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62FF9" w14:textId="26BBD0C2" w:rsidR="009922B6" w:rsidRDefault="00C4608A" w:rsidP="00C257C6">
      <w:pPr>
        <w:pStyle w:val="Heading2"/>
        <w:rPr>
          <w:rFonts w:cs="Arial"/>
          <w:sz w:val="22"/>
          <w:szCs w:val="22"/>
        </w:rPr>
      </w:pPr>
      <w:bookmarkStart w:id="0" w:name="New_Product_Assessment_Form"/>
      <w:bookmarkStart w:id="1" w:name="_GoBack"/>
      <w:bookmarkEnd w:id="1"/>
      <w:r>
        <w:rPr>
          <w:noProof/>
          <w:lang w:eastAsia="en-GB"/>
        </w:rPr>
        <w:drawing>
          <wp:anchor distT="0" distB="0" distL="114300" distR="114300" simplePos="0" relativeHeight="251659264" behindDoc="1" locked="0" layoutInCell="1" allowOverlap="1" wp14:anchorId="211D9E1C" wp14:editId="51DF097A">
            <wp:simplePos x="0" y="0"/>
            <wp:positionH relativeFrom="column">
              <wp:posOffset>-783590</wp:posOffset>
            </wp:positionH>
            <wp:positionV relativeFrom="paragraph">
              <wp:posOffset>-830580</wp:posOffset>
            </wp:positionV>
            <wp:extent cx="7829550" cy="1533525"/>
            <wp:effectExtent l="0" t="0" r="0" b="0"/>
            <wp:wrapNone/>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9550" cy="1533525"/>
                    </a:xfrm>
                    <a:prstGeom prst="rect">
                      <a:avLst/>
                    </a:prstGeom>
                    <a:noFill/>
                  </pic:spPr>
                </pic:pic>
              </a:graphicData>
            </a:graphic>
            <wp14:sizeRelH relativeFrom="page">
              <wp14:pctWidth>0</wp14:pctWidth>
            </wp14:sizeRelH>
            <wp14:sizeRelV relativeFrom="page">
              <wp14:pctHeight>0</wp14:pctHeight>
            </wp14:sizeRelV>
          </wp:anchor>
        </w:drawing>
      </w:r>
      <w:bookmarkStart w:id="2" w:name="_Ref284168440"/>
      <w:bookmarkStart w:id="3" w:name="_Ref284168528"/>
      <w:bookmarkStart w:id="4" w:name="_Ref284168853"/>
      <w:bookmarkStart w:id="5" w:name="_Ref284168907"/>
      <w:bookmarkStart w:id="6" w:name="_Ref284169046"/>
      <w:bookmarkStart w:id="7" w:name="_Ref284169108"/>
      <w:bookmarkStart w:id="8" w:name="_Ref284170123"/>
      <w:bookmarkStart w:id="9" w:name="_Ref284170801"/>
      <w:bookmarkStart w:id="10" w:name="_Ref284171419"/>
      <w:bookmarkStart w:id="11" w:name="_Ref284172660"/>
      <w:bookmarkStart w:id="12" w:name="_Ref284172918"/>
      <w:bookmarkStart w:id="13" w:name="_Ref284173042"/>
      <w:bookmarkStart w:id="14" w:name="_Ref284182614"/>
      <w:bookmarkStart w:id="15" w:name="_Ref284182711"/>
      <w:bookmarkStart w:id="16" w:name="_Ref284182824"/>
      <w:bookmarkStart w:id="17" w:name="_Ref284182881"/>
      <w:bookmarkStart w:id="18" w:name="_Ref284182938"/>
      <w:bookmarkStart w:id="19" w:name="_Ref284183174"/>
      <w:bookmarkStart w:id="20" w:name="_Ref284183248"/>
      <w:bookmarkStart w:id="21" w:name="_Ref284183453"/>
      <w:bookmarkStart w:id="22" w:name="_Ref284183586"/>
      <w:bookmarkStart w:id="23" w:name="_Ref284184080"/>
      <w:bookmarkStart w:id="24" w:name="_Ref284184095"/>
      <w:bookmarkStart w:id="25" w:name="_Ref284184117"/>
      <w:bookmarkStart w:id="26" w:name="_Ref284184167"/>
      <w:bookmarkStart w:id="27" w:name="_Ref284184349"/>
      <w:bookmarkStart w:id="28" w:name="_Ref284184374"/>
      <w:bookmarkStart w:id="29" w:name="_Ref284184511"/>
      <w:bookmarkStart w:id="30" w:name="_Ref284184765"/>
      <w:bookmarkStart w:id="31" w:name="_Ref284185401"/>
      <w:bookmarkStart w:id="32" w:name="_Ref284186519"/>
      <w:bookmarkStart w:id="33" w:name="_Ref284186565"/>
      <w:bookmarkStart w:id="34" w:name="_Ref284186885"/>
      <w:bookmarkStart w:id="35" w:name="_Ref284424516"/>
      <w:bookmarkStart w:id="36" w:name="_Ref284424599"/>
      <w:bookmarkStart w:id="37" w:name="_Ref284435389"/>
      <w:bookmarkStart w:id="38" w:name="_Ref284437576"/>
      <w:bookmarkStart w:id="39" w:name="_Ref284485784"/>
      <w:bookmarkStart w:id="40" w:name="_Ref2844858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2230369" w14:textId="77777777" w:rsidR="009C5628" w:rsidRDefault="009C5628" w:rsidP="009C5628">
      <w:pPr>
        <w:jc w:val="center"/>
        <w:rPr>
          <w:color w:val="0000FF"/>
          <w:sz w:val="32"/>
        </w:rPr>
      </w:pPr>
    </w:p>
    <w:p w14:paraId="4446B873" w14:textId="77777777" w:rsidR="009C5628" w:rsidRDefault="009C5628" w:rsidP="009C5628">
      <w:pPr>
        <w:jc w:val="center"/>
        <w:rPr>
          <w:color w:val="0000FF"/>
          <w:sz w:val="32"/>
        </w:rPr>
      </w:pPr>
    </w:p>
    <w:p w14:paraId="681EDD6E" w14:textId="77777777" w:rsidR="009C5628" w:rsidRDefault="009C5628" w:rsidP="009C5628">
      <w:pPr>
        <w:jc w:val="center"/>
        <w:rPr>
          <w:color w:val="0000FF"/>
          <w:sz w:val="32"/>
        </w:rPr>
      </w:pPr>
    </w:p>
    <w:p w14:paraId="0321B402" w14:textId="77777777" w:rsidR="009C5628" w:rsidRDefault="009C5628" w:rsidP="009C5628">
      <w:pPr>
        <w:jc w:val="center"/>
        <w:rPr>
          <w:color w:val="0000FF"/>
          <w:sz w:val="32"/>
        </w:rPr>
      </w:pPr>
    </w:p>
    <w:p w14:paraId="3F036B8C" w14:textId="77777777" w:rsidR="009C5628" w:rsidRPr="009C5628" w:rsidRDefault="009C5628" w:rsidP="009C5628">
      <w:pPr>
        <w:pStyle w:val="Heading4"/>
        <w:spacing w:line="360" w:lineRule="auto"/>
        <w:jc w:val="center"/>
        <w:rPr>
          <w:rFonts w:ascii="Arial" w:hAnsi="Arial"/>
          <w:i w:val="0"/>
          <w:iCs w:val="0"/>
          <w:color w:val="auto"/>
          <w:sz w:val="40"/>
          <w:szCs w:val="40"/>
        </w:rPr>
      </w:pPr>
      <w:r w:rsidRPr="009C5628">
        <w:rPr>
          <w:rFonts w:ascii="Arial" w:hAnsi="Arial"/>
          <w:i w:val="0"/>
          <w:color w:val="auto"/>
          <w:sz w:val="40"/>
          <w:szCs w:val="40"/>
        </w:rPr>
        <w:t>Scottish Medicines Consortium</w:t>
      </w:r>
    </w:p>
    <w:p w14:paraId="0141A3E5" w14:textId="77777777" w:rsidR="009C5628" w:rsidRPr="00676366" w:rsidRDefault="009C5628" w:rsidP="009C5628">
      <w:pPr>
        <w:jc w:val="center"/>
        <w:rPr>
          <w:b/>
          <w:sz w:val="32"/>
        </w:rPr>
      </w:pPr>
    </w:p>
    <w:p w14:paraId="4E393DFD" w14:textId="77777777" w:rsidR="009C5628" w:rsidRPr="00676366" w:rsidRDefault="009C5628" w:rsidP="009C5628">
      <w:pPr>
        <w:jc w:val="center"/>
        <w:rPr>
          <w:b/>
          <w:sz w:val="32"/>
        </w:rPr>
      </w:pPr>
    </w:p>
    <w:p w14:paraId="050BFCCA" w14:textId="77777777" w:rsidR="009C5628" w:rsidRPr="00676366" w:rsidRDefault="009C5628" w:rsidP="009C5628">
      <w:pPr>
        <w:jc w:val="center"/>
        <w:rPr>
          <w:b/>
          <w:sz w:val="32"/>
        </w:rPr>
      </w:pPr>
    </w:p>
    <w:p w14:paraId="7528765C" w14:textId="77777777" w:rsidR="003C0F6B" w:rsidRDefault="003C0F6B" w:rsidP="009C5628">
      <w:pPr>
        <w:jc w:val="center"/>
        <w:rPr>
          <w:b/>
          <w:sz w:val="36"/>
          <w:szCs w:val="36"/>
        </w:rPr>
      </w:pPr>
    </w:p>
    <w:p w14:paraId="7F709743" w14:textId="2E1194F6" w:rsidR="00E05A75" w:rsidRDefault="00E05A75" w:rsidP="009C5628">
      <w:pPr>
        <w:jc w:val="center"/>
        <w:rPr>
          <w:b/>
          <w:sz w:val="36"/>
          <w:szCs w:val="36"/>
        </w:rPr>
      </w:pPr>
      <w:r>
        <w:rPr>
          <w:b/>
          <w:sz w:val="36"/>
          <w:szCs w:val="36"/>
        </w:rPr>
        <w:t>Tedizolid phosphate for the treatment of acute bacterial skin and skin structure infections in adults</w:t>
      </w:r>
    </w:p>
    <w:p w14:paraId="1497CA11" w14:textId="77777777" w:rsidR="00E05A75" w:rsidRDefault="00E05A75" w:rsidP="009C5628">
      <w:pPr>
        <w:jc w:val="center"/>
        <w:rPr>
          <w:b/>
          <w:sz w:val="36"/>
          <w:szCs w:val="36"/>
        </w:rPr>
      </w:pPr>
    </w:p>
    <w:p w14:paraId="7D6530E4" w14:textId="77777777" w:rsidR="00E05A75" w:rsidRDefault="00E05A75" w:rsidP="009C5628">
      <w:pPr>
        <w:jc w:val="center"/>
        <w:rPr>
          <w:b/>
          <w:sz w:val="36"/>
          <w:szCs w:val="36"/>
        </w:rPr>
      </w:pPr>
    </w:p>
    <w:p w14:paraId="4D2A7F06" w14:textId="77777777" w:rsidR="00432C8C" w:rsidRDefault="00432C8C" w:rsidP="009C5628">
      <w:pPr>
        <w:jc w:val="center"/>
        <w:rPr>
          <w:b/>
          <w:sz w:val="36"/>
          <w:szCs w:val="36"/>
        </w:rPr>
      </w:pPr>
    </w:p>
    <w:p w14:paraId="2C518F20" w14:textId="77777777" w:rsidR="003C0F6B" w:rsidRDefault="003C0F6B" w:rsidP="009C5628">
      <w:pPr>
        <w:jc w:val="center"/>
        <w:rPr>
          <w:b/>
          <w:sz w:val="36"/>
          <w:szCs w:val="36"/>
        </w:rPr>
      </w:pPr>
    </w:p>
    <w:p w14:paraId="5AC4EBF3" w14:textId="77777777" w:rsidR="00432C8C" w:rsidRDefault="00E05A75" w:rsidP="009C5628">
      <w:pPr>
        <w:jc w:val="center"/>
        <w:rPr>
          <w:b/>
          <w:sz w:val="36"/>
          <w:szCs w:val="36"/>
        </w:rPr>
      </w:pPr>
      <w:r>
        <w:rPr>
          <w:b/>
          <w:sz w:val="36"/>
          <w:szCs w:val="36"/>
        </w:rPr>
        <w:t xml:space="preserve">Submission by </w:t>
      </w:r>
      <w:r w:rsidR="00432C8C">
        <w:rPr>
          <w:b/>
          <w:sz w:val="36"/>
          <w:szCs w:val="36"/>
        </w:rPr>
        <w:t>Dimitar Tonev, Medical Director</w:t>
      </w:r>
    </w:p>
    <w:p w14:paraId="487518B3" w14:textId="77777777" w:rsidR="00432C8C" w:rsidRDefault="00432C8C" w:rsidP="009C5628">
      <w:pPr>
        <w:jc w:val="center"/>
        <w:rPr>
          <w:b/>
          <w:sz w:val="36"/>
          <w:szCs w:val="36"/>
        </w:rPr>
      </w:pPr>
    </w:p>
    <w:p w14:paraId="22DB068B" w14:textId="278FA7F1" w:rsidR="00E05A75" w:rsidRDefault="00432C8C" w:rsidP="009C5628">
      <w:pPr>
        <w:jc w:val="center"/>
        <w:rPr>
          <w:b/>
          <w:sz w:val="36"/>
          <w:szCs w:val="36"/>
        </w:rPr>
      </w:pPr>
      <w:r>
        <w:rPr>
          <w:b/>
          <w:sz w:val="36"/>
          <w:szCs w:val="36"/>
        </w:rPr>
        <w:t xml:space="preserve">For and on behalf of </w:t>
      </w:r>
      <w:r w:rsidR="00E05A75">
        <w:rPr>
          <w:b/>
          <w:sz w:val="36"/>
          <w:szCs w:val="36"/>
        </w:rPr>
        <w:t xml:space="preserve">Cubist </w:t>
      </w:r>
      <w:r w:rsidR="002002B1">
        <w:rPr>
          <w:b/>
          <w:sz w:val="36"/>
          <w:szCs w:val="36"/>
        </w:rPr>
        <w:t>(UK) Limited</w:t>
      </w:r>
    </w:p>
    <w:p w14:paraId="1D67D8A8" w14:textId="77777777" w:rsidR="00E05A75" w:rsidRDefault="00E05A75" w:rsidP="009C5628">
      <w:pPr>
        <w:jc w:val="center"/>
        <w:rPr>
          <w:b/>
          <w:sz w:val="36"/>
          <w:szCs w:val="36"/>
        </w:rPr>
      </w:pPr>
    </w:p>
    <w:p w14:paraId="132FA6AF" w14:textId="77777777" w:rsidR="00432C8C" w:rsidRDefault="00432C8C" w:rsidP="009C5628">
      <w:pPr>
        <w:jc w:val="center"/>
        <w:rPr>
          <w:b/>
          <w:color w:val="FF0000"/>
          <w:sz w:val="36"/>
          <w:szCs w:val="36"/>
        </w:rPr>
      </w:pPr>
    </w:p>
    <w:p w14:paraId="261A51E8" w14:textId="77777777" w:rsidR="00432C8C" w:rsidRDefault="00432C8C" w:rsidP="009C5628">
      <w:pPr>
        <w:jc w:val="center"/>
        <w:rPr>
          <w:b/>
          <w:color w:val="FF0000"/>
          <w:sz w:val="36"/>
          <w:szCs w:val="36"/>
        </w:rPr>
      </w:pPr>
    </w:p>
    <w:p w14:paraId="034820B1" w14:textId="77777777" w:rsidR="00E05A75" w:rsidRDefault="00E05A75" w:rsidP="009C5628">
      <w:pPr>
        <w:jc w:val="center"/>
        <w:rPr>
          <w:b/>
          <w:sz w:val="36"/>
          <w:szCs w:val="36"/>
        </w:rPr>
      </w:pPr>
    </w:p>
    <w:p w14:paraId="49D50669" w14:textId="77777777" w:rsidR="00BE5B28" w:rsidRDefault="00BE5B28" w:rsidP="009C5628">
      <w:pPr>
        <w:jc w:val="center"/>
        <w:rPr>
          <w:b/>
          <w:sz w:val="36"/>
          <w:szCs w:val="36"/>
        </w:rPr>
      </w:pPr>
    </w:p>
    <w:p w14:paraId="0C63CD47" w14:textId="77777777" w:rsidR="00BE5B28" w:rsidRDefault="00BE5B28" w:rsidP="009C5628">
      <w:pPr>
        <w:jc w:val="center"/>
        <w:rPr>
          <w:b/>
          <w:sz w:val="36"/>
          <w:szCs w:val="36"/>
        </w:rPr>
      </w:pPr>
    </w:p>
    <w:p w14:paraId="6BC6DC2E" w14:textId="77777777" w:rsidR="00BE5B28" w:rsidRDefault="00BE5B28" w:rsidP="009C5628">
      <w:pPr>
        <w:jc w:val="center"/>
        <w:rPr>
          <w:b/>
          <w:sz w:val="36"/>
          <w:szCs w:val="36"/>
        </w:rPr>
      </w:pPr>
    </w:p>
    <w:p w14:paraId="37ED8336" w14:textId="77777777" w:rsidR="009C5628" w:rsidRPr="00212A82" w:rsidRDefault="009C5628" w:rsidP="009C5628">
      <w:pPr>
        <w:jc w:val="center"/>
        <w:rPr>
          <w:b/>
          <w:sz w:val="36"/>
          <w:szCs w:val="36"/>
        </w:rPr>
      </w:pPr>
      <w:r w:rsidRPr="00212A82">
        <w:rPr>
          <w:b/>
          <w:sz w:val="36"/>
          <w:szCs w:val="36"/>
        </w:rPr>
        <w:t>N</w:t>
      </w:r>
      <w:r>
        <w:rPr>
          <w:b/>
          <w:sz w:val="36"/>
          <w:szCs w:val="36"/>
        </w:rPr>
        <w:t>ew</w:t>
      </w:r>
      <w:r w:rsidRPr="00212A82">
        <w:rPr>
          <w:b/>
          <w:sz w:val="36"/>
          <w:szCs w:val="36"/>
        </w:rPr>
        <w:t xml:space="preserve"> P</w:t>
      </w:r>
      <w:r>
        <w:rPr>
          <w:b/>
          <w:sz w:val="36"/>
          <w:szCs w:val="36"/>
        </w:rPr>
        <w:t>roduct</w:t>
      </w:r>
      <w:r w:rsidRPr="00212A82">
        <w:rPr>
          <w:b/>
          <w:sz w:val="36"/>
          <w:szCs w:val="36"/>
        </w:rPr>
        <w:t xml:space="preserve"> </w:t>
      </w:r>
      <w:r>
        <w:rPr>
          <w:b/>
          <w:sz w:val="36"/>
          <w:szCs w:val="36"/>
        </w:rPr>
        <w:t>Assessment Form</w:t>
      </w:r>
    </w:p>
    <w:p w14:paraId="2DCF8071" w14:textId="74610A4C" w:rsidR="009C5628" w:rsidRPr="00212A82" w:rsidRDefault="009C5628" w:rsidP="009C5628">
      <w:pPr>
        <w:jc w:val="center"/>
        <w:rPr>
          <w:b/>
          <w:bCs/>
          <w:iCs/>
          <w:sz w:val="36"/>
          <w:szCs w:val="36"/>
        </w:rPr>
      </w:pPr>
      <w:r w:rsidRPr="00212A82">
        <w:rPr>
          <w:b/>
          <w:bCs/>
          <w:iCs/>
          <w:sz w:val="36"/>
          <w:szCs w:val="36"/>
        </w:rPr>
        <w:t>(</w:t>
      </w:r>
      <w:r>
        <w:rPr>
          <w:b/>
          <w:bCs/>
          <w:iCs/>
          <w:sz w:val="36"/>
          <w:szCs w:val="36"/>
        </w:rPr>
        <w:t>October 2014</w:t>
      </w:r>
      <w:r w:rsidR="00BE5B28">
        <w:rPr>
          <w:b/>
          <w:bCs/>
          <w:iCs/>
          <w:sz w:val="36"/>
          <w:szCs w:val="36"/>
        </w:rPr>
        <w:t xml:space="preserve"> version</w:t>
      </w:r>
      <w:r w:rsidRPr="00212A82">
        <w:rPr>
          <w:b/>
          <w:bCs/>
          <w:iCs/>
          <w:sz w:val="36"/>
          <w:szCs w:val="36"/>
        </w:rPr>
        <w:t>)</w:t>
      </w:r>
    </w:p>
    <w:p w14:paraId="0C7F3004" w14:textId="77777777" w:rsidR="009C5628" w:rsidRPr="00676366" w:rsidRDefault="009C5628" w:rsidP="009C5628">
      <w:pPr>
        <w:jc w:val="center"/>
        <w:rPr>
          <w:b/>
          <w:sz w:val="32"/>
        </w:rPr>
      </w:pPr>
    </w:p>
    <w:p w14:paraId="0661CF71" w14:textId="77777777" w:rsidR="009C5628" w:rsidRDefault="009C5628" w:rsidP="009C5628">
      <w:pPr>
        <w:rPr>
          <w:b/>
          <w:sz w:val="32"/>
        </w:rPr>
      </w:pPr>
    </w:p>
    <w:p w14:paraId="715FC830" w14:textId="77777777" w:rsidR="009C5628" w:rsidRDefault="009C5628" w:rsidP="009C5628">
      <w:pPr>
        <w:rPr>
          <w:b/>
          <w:sz w:val="32"/>
        </w:rPr>
        <w:sectPr w:rsidR="009C5628" w:rsidSect="00E05A75">
          <w:footerReference w:type="default" r:id="rId9"/>
          <w:headerReference w:type="first" r:id="rId10"/>
          <w:footerReference w:type="first" r:id="rId11"/>
          <w:pgSz w:w="11909" w:h="16834" w:code="9"/>
          <w:pgMar w:top="1134" w:right="1134" w:bottom="1134" w:left="1134" w:header="706" w:footer="454" w:gutter="0"/>
          <w:pgNumType w:start="1"/>
          <w:cols w:space="720"/>
          <w:titlePg/>
          <w:docGrid w:linePitch="326"/>
        </w:sectPr>
      </w:pPr>
    </w:p>
    <w:tbl>
      <w:tblPr>
        <w:tblW w:w="9923" w:type="dxa"/>
        <w:tblInd w:w="-34" w:type="dxa"/>
        <w:tblBorders>
          <w:top w:val="single" w:sz="12" w:space="0" w:color="000000"/>
          <w:bottom w:val="single" w:sz="12" w:space="0" w:color="000000"/>
        </w:tblBorders>
        <w:tblLayout w:type="fixed"/>
        <w:tblLook w:val="01E0" w:firstRow="1" w:lastRow="1" w:firstColumn="1" w:lastColumn="1" w:noHBand="0" w:noVBand="0"/>
      </w:tblPr>
      <w:tblGrid>
        <w:gridCol w:w="1276"/>
        <w:gridCol w:w="7040"/>
        <w:gridCol w:w="1607"/>
      </w:tblGrid>
      <w:tr w:rsidR="009C5628" w14:paraId="48D2F35F" w14:textId="77777777" w:rsidTr="005E373F">
        <w:trPr>
          <w:trHeight w:val="20"/>
        </w:trPr>
        <w:tc>
          <w:tcPr>
            <w:tcW w:w="1276" w:type="dxa"/>
            <w:tcBorders>
              <w:top w:val="nil"/>
              <w:bottom w:val="single" w:sz="4" w:space="0" w:color="auto"/>
              <w:right w:val="nil"/>
            </w:tcBorders>
          </w:tcPr>
          <w:p w14:paraId="028FC4BD" w14:textId="48029931" w:rsidR="009C5628" w:rsidRDefault="009C5628" w:rsidP="005E373F">
            <w:pPr>
              <w:rPr>
                <w:rFonts w:cs="Arial"/>
                <w:b/>
                <w:bCs/>
              </w:rPr>
            </w:pPr>
            <w:r w:rsidRPr="00041A6A">
              <w:rPr>
                <w:rFonts w:cs="Arial"/>
                <w:b/>
                <w:bCs/>
              </w:rPr>
              <w:lastRenderedPageBreak/>
              <w:t>Contents</w:t>
            </w:r>
          </w:p>
          <w:p w14:paraId="607B3E55" w14:textId="77777777" w:rsidR="009C5628" w:rsidRPr="00041A6A" w:rsidRDefault="009C5628" w:rsidP="005E373F">
            <w:pPr>
              <w:rPr>
                <w:rFonts w:cs="Arial"/>
                <w:b/>
                <w:bCs/>
              </w:rPr>
            </w:pPr>
          </w:p>
        </w:tc>
        <w:tc>
          <w:tcPr>
            <w:tcW w:w="7040" w:type="dxa"/>
            <w:tcBorders>
              <w:top w:val="nil"/>
              <w:left w:val="nil"/>
              <w:bottom w:val="single" w:sz="4" w:space="0" w:color="auto"/>
              <w:right w:val="nil"/>
            </w:tcBorders>
          </w:tcPr>
          <w:p w14:paraId="73131B25" w14:textId="77777777" w:rsidR="009C5628" w:rsidRPr="00041A6A" w:rsidRDefault="009C5628" w:rsidP="005E373F">
            <w:pPr>
              <w:ind w:right="-249"/>
              <w:rPr>
                <w:rFonts w:cs="Arial"/>
                <w:b/>
                <w:bCs/>
              </w:rPr>
            </w:pPr>
          </w:p>
        </w:tc>
        <w:tc>
          <w:tcPr>
            <w:tcW w:w="1607" w:type="dxa"/>
            <w:tcBorders>
              <w:top w:val="nil"/>
              <w:left w:val="nil"/>
              <w:bottom w:val="single" w:sz="4" w:space="0" w:color="auto"/>
            </w:tcBorders>
          </w:tcPr>
          <w:p w14:paraId="48FDB9EF" w14:textId="0D8CFB21" w:rsidR="009C5628" w:rsidRPr="00041A6A" w:rsidRDefault="005E373F" w:rsidP="005E373F">
            <w:pPr>
              <w:jc w:val="center"/>
              <w:rPr>
                <w:rFonts w:cs="Arial"/>
                <w:b/>
                <w:bCs/>
              </w:rPr>
            </w:pPr>
            <w:r>
              <w:rPr>
                <w:rFonts w:cs="Arial"/>
                <w:b/>
                <w:bCs/>
              </w:rPr>
              <w:t>Page numbers</w:t>
            </w:r>
          </w:p>
        </w:tc>
      </w:tr>
      <w:tr w:rsidR="009C5628" w14:paraId="75F79088"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5FCF4C6A" w14:textId="77777777" w:rsidR="009C5628" w:rsidRPr="00041A6A" w:rsidRDefault="009C5628" w:rsidP="00E05A75">
            <w:pPr>
              <w:rPr>
                <w:rFonts w:cs="Arial"/>
                <w:b/>
                <w:bCs/>
              </w:rPr>
            </w:pPr>
          </w:p>
        </w:tc>
        <w:tc>
          <w:tcPr>
            <w:tcW w:w="7040" w:type="dxa"/>
            <w:tcBorders>
              <w:top w:val="single" w:sz="4" w:space="0" w:color="auto"/>
              <w:left w:val="single" w:sz="4" w:space="0" w:color="auto"/>
              <w:bottom w:val="single" w:sz="4" w:space="0" w:color="auto"/>
              <w:right w:val="single" w:sz="4" w:space="0" w:color="auto"/>
            </w:tcBorders>
          </w:tcPr>
          <w:p w14:paraId="2EB37499" w14:textId="77777777" w:rsidR="009C5628" w:rsidRPr="00041A6A" w:rsidRDefault="00D8648C" w:rsidP="00E05A75">
            <w:pPr>
              <w:pStyle w:val="Heading2"/>
              <w:spacing w:before="80" w:after="80"/>
            </w:pPr>
            <w:hyperlink w:anchor="New_Product_Assessment_Form" w:history="1">
              <w:r w:rsidR="009C5628" w:rsidRPr="00426495">
                <w:rPr>
                  <w:rStyle w:val="Hyperlink"/>
                  <w:sz w:val="24"/>
                  <w:szCs w:val="24"/>
                </w:rPr>
                <w:t>New Product Assessment Form</w:t>
              </w:r>
            </w:hyperlink>
          </w:p>
        </w:tc>
        <w:tc>
          <w:tcPr>
            <w:tcW w:w="1607" w:type="dxa"/>
            <w:tcBorders>
              <w:top w:val="single" w:sz="4" w:space="0" w:color="auto"/>
              <w:left w:val="single" w:sz="4" w:space="0" w:color="auto"/>
              <w:bottom w:val="single" w:sz="4" w:space="0" w:color="auto"/>
              <w:right w:val="single" w:sz="4" w:space="0" w:color="auto"/>
            </w:tcBorders>
          </w:tcPr>
          <w:p w14:paraId="358CCF40" w14:textId="77B3979C" w:rsidR="009C5628" w:rsidRPr="00694A20" w:rsidRDefault="00272B6C" w:rsidP="00E05A75">
            <w:pPr>
              <w:spacing w:before="80" w:after="80"/>
              <w:jc w:val="center"/>
              <w:rPr>
                <w:rFonts w:cs="Arial"/>
                <w:b/>
              </w:rPr>
            </w:pPr>
            <w:r>
              <w:rPr>
                <w:rFonts w:cs="Arial"/>
                <w:b/>
              </w:rPr>
              <w:t>1</w:t>
            </w:r>
          </w:p>
        </w:tc>
      </w:tr>
      <w:tr w:rsidR="009C5628" w14:paraId="75315D0E"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357099C8" w14:textId="77777777" w:rsidR="009C5628" w:rsidRDefault="009C5628" w:rsidP="00E05A75">
            <w:pPr>
              <w:spacing w:before="80" w:after="80"/>
              <w:rPr>
                <w:rFonts w:cs="Arial"/>
                <w:b/>
                <w:bCs/>
              </w:rPr>
            </w:pPr>
          </w:p>
        </w:tc>
        <w:tc>
          <w:tcPr>
            <w:tcW w:w="7040" w:type="dxa"/>
            <w:tcBorders>
              <w:top w:val="single" w:sz="4" w:space="0" w:color="auto"/>
              <w:left w:val="single" w:sz="4" w:space="0" w:color="auto"/>
              <w:bottom w:val="single" w:sz="4" w:space="0" w:color="auto"/>
              <w:right w:val="single" w:sz="4" w:space="0" w:color="auto"/>
            </w:tcBorders>
          </w:tcPr>
          <w:p w14:paraId="3BC8688B" w14:textId="77777777" w:rsidR="009C5628" w:rsidRDefault="00D8648C" w:rsidP="00E05A75">
            <w:pPr>
              <w:pStyle w:val="Heading2"/>
              <w:spacing w:before="80" w:after="80"/>
              <w:rPr>
                <w:rFonts w:cs="Arial"/>
                <w:b w:val="0"/>
                <w:bCs/>
              </w:rPr>
            </w:pPr>
            <w:hyperlink w:anchor="Patient_Interest_Groups" w:history="1">
              <w:r w:rsidR="009C5628">
                <w:rPr>
                  <w:rStyle w:val="Hyperlink"/>
                  <w:sz w:val="24"/>
                  <w:szCs w:val="24"/>
                </w:rPr>
                <w:t>Patient</w:t>
              </w:r>
              <w:r w:rsidR="009C5628" w:rsidRPr="00426495">
                <w:rPr>
                  <w:rStyle w:val="Hyperlink"/>
                  <w:sz w:val="24"/>
                  <w:szCs w:val="24"/>
                </w:rPr>
                <w:t xml:space="preserve"> Groups</w:t>
              </w:r>
            </w:hyperlink>
          </w:p>
        </w:tc>
        <w:tc>
          <w:tcPr>
            <w:tcW w:w="1607" w:type="dxa"/>
            <w:tcBorders>
              <w:top w:val="single" w:sz="4" w:space="0" w:color="auto"/>
              <w:left w:val="single" w:sz="4" w:space="0" w:color="auto"/>
              <w:bottom w:val="single" w:sz="4" w:space="0" w:color="auto"/>
              <w:right w:val="single" w:sz="4" w:space="0" w:color="auto"/>
            </w:tcBorders>
          </w:tcPr>
          <w:p w14:paraId="125F8300" w14:textId="6290879D" w:rsidR="009C5628" w:rsidRPr="00694A20" w:rsidRDefault="000005CA" w:rsidP="00E05A75">
            <w:pPr>
              <w:spacing w:before="80" w:after="80"/>
              <w:jc w:val="center"/>
              <w:rPr>
                <w:rFonts w:cs="Arial"/>
                <w:b/>
              </w:rPr>
            </w:pPr>
            <w:r>
              <w:rPr>
                <w:rFonts w:cs="Arial"/>
                <w:b/>
              </w:rPr>
              <w:t>4</w:t>
            </w:r>
          </w:p>
        </w:tc>
      </w:tr>
      <w:tr w:rsidR="009C5628" w14:paraId="6726C095"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01CBDBEC" w14:textId="77777777" w:rsidR="009C5628" w:rsidRDefault="009C5628" w:rsidP="00E05A75">
            <w:pPr>
              <w:spacing w:before="80" w:after="80"/>
              <w:rPr>
                <w:rFonts w:cs="Arial"/>
                <w:b/>
                <w:bCs/>
              </w:rPr>
            </w:pPr>
          </w:p>
        </w:tc>
        <w:tc>
          <w:tcPr>
            <w:tcW w:w="7040" w:type="dxa"/>
            <w:tcBorders>
              <w:top w:val="single" w:sz="4" w:space="0" w:color="auto"/>
              <w:left w:val="single" w:sz="4" w:space="0" w:color="auto"/>
              <w:bottom w:val="single" w:sz="4" w:space="0" w:color="auto"/>
              <w:right w:val="single" w:sz="4" w:space="0" w:color="auto"/>
            </w:tcBorders>
          </w:tcPr>
          <w:p w14:paraId="04C0ADB3" w14:textId="77777777" w:rsidR="009C5628" w:rsidRDefault="00D8648C" w:rsidP="00E05A75">
            <w:pPr>
              <w:pStyle w:val="Heading2"/>
              <w:spacing w:before="80" w:after="80"/>
              <w:rPr>
                <w:rFonts w:cs="Arial"/>
                <w:b w:val="0"/>
                <w:bCs/>
              </w:rPr>
            </w:pPr>
            <w:hyperlink w:anchor="Summary_of_Information_for_Patients" w:history="1">
              <w:r w:rsidR="009C5628" w:rsidRPr="00EF7765">
                <w:rPr>
                  <w:rStyle w:val="Hyperlink"/>
                  <w:sz w:val="24"/>
                  <w:szCs w:val="24"/>
                </w:rPr>
                <w:t>Summary of Information for Patients</w:t>
              </w:r>
            </w:hyperlink>
          </w:p>
        </w:tc>
        <w:tc>
          <w:tcPr>
            <w:tcW w:w="1607" w:type="dxa"/>
            <w:tcBorders>
              <w:top w:val="single" w:sz="4" w:space="0" w:color="auto"/>
              <w:left w:val="single" w:sz="4" w:space="0" w:color="auto"/>
              <w:bottom w:val="single" w:sz="4" w:space="0" w:color="auto"/>
              <w:right w:val="single" w:sz="4" w:space="0" w:color="auto"/>
            </w:tcBorders>
          </w:tcPr>
          <w:p w14:paraId="6ED47203" w14:textId="5DAF89D8" w:rsidR="009C5628" w:rsidRPr="00694A20" w:rsidRDefault="000005CA" w:rsidP="00E05A75">
            <w:pPr>
              <w:spacing w:before="80" w:after="80"/>
              <w:jc w:val="center"/>
              <w:rPr>
                <w:rFonts w:cs="Arial"/>
                <w:b/>
              </w:rPr>
            </w:pPr>
            <w:r>
              <w:rPr>
                <w:rFonts w:cs="Arial"/>
                <w:b/>
              </w:rPr>
              <w:t>4</w:t>
            </w:r>
          </w:p>
        </w:tc>
      </w:tr>
      <w:tr w:rsidR="009C5628" w14:paraId="1ADDD704"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54B70D96" w14:textId="77777777" w:rsidR="009C5628" w:rsidRDefault="009C5628" w:rsidP="00E05A75">
            <w:pPr>
              <w:spacing w:before="80" w:after="80"/>
              <w:rPr>
                <w:rFonts w:cs="Arial"/>
                <w:b/>
                <w:bCs/>
              </w:rPr>
            </w:pPr>
          </w:p>
        </w:tc>
        <w:tc>
          <w:tcPr>
            <w:tcW w:w="7040" w:type="dxa"/>
            <w:tcBorders>
              <w:top w:val="single" w:sz="4" w:space="0" w:color="auto"/>
              <w:left w:val="single" w:sz="4" w:space="0" w:color="auto"/>
              <w:bottom w:val="single" w:sz="4" w:space="0" w:color="auto"/>
              <w:right w:val="single" w:sz="4" w:space="0" w:color="auto"/>
            </w:tcBorders>
          </w:tcPr>
          <w:p w14:paraId="0D911E32" w14:textId="77777777" w:rsidR="009C5628" w:rsidRDefault="00D8648C" w:rsidP="00E05A75">
            <w:pPr>
              <w:pStyle w:val="Heading2"/>
              <w:spacing w:before="80" w:after="80"/>
              <w:rPr>
                <w:rFonts w:cs="Arial"/>
                <w:b w:val="0"/>
                <w:bCs/>
              </w:rPr>
            </w:pPr>
            <w:hyperlink w:anchor="Freedom_of_Information" w:history="1">
              <w:r w:rsidR="009C5628" w:rsidRPr="00EF7765">
                <w:rPr>
                  <w:rStyle w:val="Hyperlink"/>
                  <w:sz w:val="24"/>
                  <w:szCs w:val="24"/>
                </w:rPr>
                <w:t>Freedom of Information</w:t>
              </w:r>
            </w:hyperlink>
          </w:p>
        </w:tc>
        <w:tc>
          <w:tcPr>
            <w:tcW w:w="1607" w:type="dxa"/>
            <w:tcBorders>
              <w:top w:val="single" w:sz="4" w:space="0" w:color="auto"/>
              <w:left w:val="single" w:sz="4" w:space="0" w:color="auto"/>
              <w:bottom w:val="single" w:sz="4" w:space="0" w:color="auto"/>
              <w:right w:val="single" w:sz="4" w:space="0" w:color="auto"/>
            </w:tcBorders>
          </w:tcPr>
          <w:p w14:paraId="13400A75" w14:textId="32480E51" w:rsidR="009C5628" w:rsidRPr="00694A20" w:rsidRDefault="000005CA" w:rsidP="00E05A75">
            <w:pPr>
              <w:spacing w:before="80" w:after="80"/>
              <w:jc w:val="center"/>
              <w:rPr>
                <w:rFonts w:cs="Arial"/>
                <w:b/>
              </w:rPr>
            </w:pPr>
            <w:r>
              <w:rPr>
                <w:rFonts w:cs="Arial"/>
                <w:b/>
              </w:rPr>
              <w:t>4</w:t>
            </w:r>
          </w:p>
        </w:tc>
      </w:tr>
      <w:tr w:rsidR="009C5628" w14:paraId="3038484D"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4B8E63E2" w14:textId="77777777" w:rsidR="009C5628" w:rsidRDefault="009C5628" w:rsidP="00E05A75">
            <w:pPr>
              <w:spacing w:before="80" w:after="80"/>
              <w:rPr>
                <w:rFonts w:cs="Arial"/>
                <w:b/>
                <w:bCs/>
              </w:rPr>
            </w:pPr>
          </w:p>
        </w:tc>
        <w:bookmarkStart w:id="41" w:name="_Checklist_for_Completion"/>
        <w:bookmarkEnd w:id="41"/>
        <w:tc>
          <w:tcPr>
            <w:tcW w:w="7040" w:type="dxa"/>
            <w:tcBorders>
              <w:top w:val="single" w:sz="4" w:space="0" w:color="auto"/>
              <w:left w:val="single" w:sz="4" w:space="0" w:color="auto"/>
              <w:bottom w:val="single" w:sz="4" w:space="0" w:color="auto"/>
              <w:right w:val="single" w:sz="4" w:space="0" w:color="auto"/>
            </w:tcBorders>
          </w:tcPr>
          <w:p w14:paraId="309AAE1E" w14:textId="77777777" w:rsidR="009C5628" w:rsidRDefault="009C5628" w:rsidP="00E05A75">
            <w:pPr>
              <w:pStyle w:val="Heading2"/>
              <w:spacing w:before="80" w:after="80"/>
              <w:rPr>
                <w:rFonts w:cs="Arial"/>
                <w:b w:val="0"/>
                <w:bCs/>
              </w:rPr>
            </w:pPr>
            <w:r>
              <w:fldChar w:fldCharType="begin"/>
            </w:r>
            <w:r>
              <w:instrText>HYPERLINK  \l "Checklist_for_Completion_of_New_Product_"</w:instrText>
            </w:r>
            <w:r>
              <w:fldChar w:fldCharType="separate"/>
            </w:r>
            <w:r w:rsidRPr="009B30E5">
              <w:rPr>
                <w:rStyle w:val="Hyperlink"/>
                <w:sz w:val="24"/>
                <w:szCs w:val="24"/>
              </w:rPr>
              <w:t>Checklist for Completion of New Product Assessment Form</w:t>
            </w:r>
            <w:r>
              <w:fldChar w:fldCharType="end"/>
            </w:r>
          </w:p>
        </w:tc>
        <w:tc>
          <w:tcPr>
            <w:tcW w:w="1607" w:type="dxa"/>
            <w:tcBorders>
              <w:top w:val="single" w:sz="4" w:space="0" w:color="auto"/>
              <w:left w:val="single" w:sz="4" w:space="0" w:color="auto"/>
              <w:bottom w:val="single" w:sz="4" w:space="0" w:color="auto"/>
              <w:right w:val="single" w:sz="4" w:space="0" w:color="auto"/>
            </w:tcBorders>
          </w:tcPr>
          <w:p w14:paraId="391686A5" w14:textId="115A1404" w:rsidR="009C5628" w:rsidRPr="00694A20" w:rsidRDefault="000005CA" w:rsidP="00E05A75">
            <w:pPr>
              <w:spacing w:before="80" w:after="80"/>
              <w:jc w:val="center"/>
              <w:rPr>
                <w:rFonts w:cs="Arial"/>
                <w:b/>
              </w:rPr>
            </w:pPr>
            <w:r>
              <w:rPr>
                <w:rFonts w:cs="Arial"/>
                <w:b/>
              </w:rPr>
              <w:t>6</w:t>
            </w:r>
          </w:p>
        </w:tc>
      </w:tr>
      <w:tr w:rsidR="009C5628" w14:paraId="3E62AC15"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7A3A7C13" w14:textId="77777777" w:rsidR="009C5628" w:rsidRDefault="009C5628" w:rsidP="00E05A75">
            <w:pPr>
              <w:spacing w:before="80" w:after="80"/>
              <w:rPr>
                <w:rFonts w:cs="Arial"/>
                <w:b/>
                <w:bCs/>
              </w:rPr>
            </w:pPr>
          </w:p>
        </w:tc>
        <w:tc>
          <w:tcPr>
            <w:tcW w:w="7040" w:type="dxa"/>
            <w:tcBorders>
              <w:top w:val="single" w:sz="4" w:space="0" w:color="auto"/>
              <w:left w:val="single" w:sz="4" w:space="0" w:color="auto"/>
              <w:bottom w:val="single" w:sz="4" w:space="0" w:color="auto"/>
              <w:right w:val="single" w:sz="4" w:space="0" w:color="auto"/>
            </w:tcBorders>
          </w:tcPr>
          <w:p w14:paraId="30B6D765" w14:textId="77777777" w:rsidR="009C5628" w:rsidRDefault="00D8648C" w:rsidP="00E05A75">
            <w:pPr>
              <w:pStyle w:val="Heading2"/>
              <w:spacing w:before="80" w:after="80"/>
              <w:rPr>
                <w:rFonts w:cs="Arial"/>
                <w:b w:val="0"/>
                <w:bCs/>
              </w:rPr>
            </w:pPr>
            <w:hyperlink w:anchor="Submitting_the_NPAF_to_th_Secretariat" w:history="1">
              <w:r w:rsidR="009C5628" w:rsidRPr="00EF7765">
                <w:rPr>
                  <w:rStyle w:val="Hyperlink"/>
                  <w:sz w:val="24"/>
                  <w:szCs w:val="24"/>
                </w:rPr>
                <w:t>Submitting the NPAF to the secretariat</w:t>
              </w:r>
            </w:hyperlink>
          </w:p>
        </w:tc>
        <w:tc>
          <w:tcPr>
            <w:tcW w:w="1607" w:type="dxa"/>
            <w:tcBorders>
              <w:top w:val="single" w:sz="4" w:space="0" w:color="auto"/>
              <w:left w:val="single" w:sz="4" w:space="0" w:color="auto"/>
              <w:bottom w:val="single" w:sz="4" w:space="0" w:color="auto"/>
              <w:right w:val="single" w:sz="4" w:space="0" w:color="auto"/>
            </w:tcBorders>
          </w:tcPr>
          <w:p w14:paraId="71720625" w14:textId="47BEA815" w:rsidR="009C5628" w:rsidRPr="00694A20" w:rsidRDefault="000005CA" w:rsidP="00E05A75">
            <w:pPr>
              <w:spacing w:before="80" w:after="80"/>
              <w:jc w:val="center"/>
              <w:rPr>
                <w:rFonts w:cs="Arial"/>
                <w:b/>
              </w:rPr>
            </w:pPr>
            <w:r>
              <w:rPr>
                <w:rFonts w:cs="Arial"/>
                <w:b/>
              </w:rPr>
              <w:t>6</w:t>
            </w:r>
          </w:p>
        </w:tc>
      </w:tr>
      <w:tr w:rsidR="009C5628" w14:paraId="1D9F9C19"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6A70782B" w14:textId="77777777" w:rsidR="009C5628" w:rsidRDefault="009C5628" w:rsidP="00E05A75">
            <w:pPr>
              <w:spacing w:before="80" w:after="80"/>
              <w:rPr>
                <w:rFonts w:cs="Arial"/>
                <w:b/>
                <w:bCs/>
              </w:rPr>
            </w:pPr>
            <w:r>
              <w:rPr>
                <w:rFonts w:cs="Arial"/>
                <w:b/>
                <w:bCs/>
              </w:rPr>
              <w:t>1</w:t>
            </w:r>
          </w:p>
        </w:tc>
        <w:tc>
          <w:tcPr>
            <w:tcW w:w="7040" w:type="dxa"/>
            <w:tcBorders>
              <w:top w:val="single" w:sz="4" w:space="0" w:color="auto"/>
              <w:left w:val="single" w:sz="4" w:space="0" w:color="auto"/>
              <w:bottom w:val="single" w:sz="4" w:space="0" w:color="auto"/>
              <w:right w:val="single" w:sz="4" w:space="0" w:color="auto"/>
            </w:tcBorders>
          </w:tcPr>
          <w:p w14:paraId="77BF01F4" w14:textId="77777777" w:rsidR="009C5628" w:rsidRDefault="00D8648C" w:rsidP="00E05A75">
            <w:pPr>
              <w:pStyle w:val="Heading2"/>
              <w:spacing w:before="80" w:after="80"/>
              <w:rPr>
                <w:rFonts w:cs="Arial"/>
                <w:b w:val="0"/>
                <w:bCs/>
              </w:rPr>
            </w:pPr>
            <w:hyperlink w:anchor="Registration_Details" w:history="1">
              <w:r w:rsidR="009C5628" w:rsidRPr="00EF7765">
                <w:rPr>
                  <w:rStyle w:val="Hyperlink"/>
                  <w:sz w:val="24"/>
                  <w:szCs w:val="24"/>
                </w:rPr>
                <w:t xml:space="preserve">Registration </w:t>
              </w:r>
              <w:r w:rsidR="009C5628">
                <w:rPr>
                  <w:rStyle w:val="Hyperlink"/>
                  <w:sz w:val="24"/>
                  <w:szCs w:val="24"/>
                </w:rPr>
                <w:t>D</w:t>
              </w:r>
              <w:r w:rsidR="009C5628" w:rsidRPr="00EF7765">
                <w:rPr>
                  <w:rStyle w:val="Hyperlink"/>
                  <w:sz w:val="24"/>
                  <w:szCs w:val="24"/>
                </w:rPr>
                <w:t>etails</w:t>
              </w:r>
            </w:hyperlink>
          </w:p>
        </w:tc>
        <w:tc>
          <w:tcPr>
            <w:tcW w:w="1607" w:type="dxa"/>
            <w:tcBorders>
              <w:top w:val="single" w:sz="4" w:space="0" w:color="auto"/>
              <w:left w:val="single" w:sz="4" w:space="0" w:color="auto"/>
              <w:bottom w:val="single" w:sz="4" w:space="0" w:color="auto"/>
              <w:right w:val="single" w:sz="4" w:space="0" w:color="auto"/>
            </w:tcBorders>
          </w:tcPr>
          <w:p w14:paraId="75BAE2E7" w14:textId="11C4E356" w:rsidR="009C5628" w:rsidRPr="00694A20" w:rsidRDefault="006621B2" w:rsidP="00E05A75">
            <w:pPr>
              <w:spacing w:before="80" w:after="80"/>
              <w:jc w:val="center"/>
              <w:rPr>
                <w:rFonts w:cs="Arial"/>
                <w:b/>
              </w:rPr>
            </w:pPr>
            <w:r>
              <w:rPr>
                <w:rFonts w:cs="Arial"/>
                <w:b/>
              </w:rPr>
              <w:t>9</w:t>
            </w:r>
          </w:p>
        </w:tc>
      </w:tr>
      <w:tr w:rsidR="009C5628" w14:paraId="627FC534"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0F343F61" w14:textId="77777777" w:rsidR="009C5628" w:rsidRDefault="009C5628" w:rsidP="00E05A75">
            <w:pPr>
              <w:spacing w:before="80" w:after="80"/>
              <w:rPr>
                <w:rFonts w:cs="Arial"/>
                <w:b/>
                <w:bCs/>
              </w:rPr>
            </w:pPr>
            <w:r>
              <w:rPr>
                <w:rFonts w:cs="Arial"/>
                <w:b/>
                <w:bCs/>
              </w:rPr>
              <w:t>2.</w:t>
            </w:r>
          </w:p>
        </w:tc>
        <w:tc>
          <w:tcPr>
            <w:tcW w:w="7040" w:type="dxa"/>
            <w:tcBorders>
              <w:top w:val="single" w:sz="4" w:space="0" w:color="auto"/>
              <w:left w:val="single" w:sz="4" w:space="0" w:color="auto"/>
              <w:bottom w:val="single" w:sz="4" w:space="0" w:color="auto"/>
              <w:right w:val="single" w:sz="4" w:space="0" w:color="auto"/>
            </w:tcBorders>
          </w:tcPr>
          <w:p w14:paraId="62702CF9" w14:textId="77777777" w:rsidR="009C5628" w:rsidRDefault="00D8648C" w:rsidP="00E05A75">
            <w:pPr>
              <w:pStyle w:val="Heading2"/>
              <w:spacing w:before="80" w:after="80"/>
              <w:rPr>
                <w:rFonts w:cs="Arial"/>
                <w:b w:val="0"/>
                <w:bCs/>
              </w:rPr>
            </w:pPr>
            <w:hyperlink w:anchor="Overview_and_Positioning" w:history="1">
              <w:r w:rsidR="009C5628" w:rsidRPr="00EF7765">
                <w:rPr>
                  <w:rStyle w:val="Hyperlink"/>
                  <w:sz w:val="24"/>
                  <w:szCs w:val="24"/>
                </w:rPr>
                <w:t>Overview and Positioning</w:t>
              </w:r>
            </w:hyperlink>
          </w:p>
        </w:tc>
        <w:tc>
          <w:tcPr>
            <w:tcW w:w="1607" w:type="dxa"/>
            <w:tcBorders>
              <w:top w:val="single" w:sz="4" w:space="0" w:color="auto"/>
              <w:left w:val="single" w:sz="4" w:space="0" w:color="auto"/>
              <w:bottom w:val="single" w:sz="4" w:space="0" w:color="auto"/>
              <w:right w:val="single" w:sz="4" w:space="0" w:color="auto"/>
            </w:tcBorders>
          </w:tcPr>
          <w:p w14:paraId="047A4A44" w14:textId="7843042B" w:rsidR="009C5628" w:rsidRPr="00694A20" w:rsidRDefault="000005CA" w:rsidP="00E05A75">
            <w:pPr>
              <w:spacing w:before="80" w:after="80"/>
              <w:jc w:val="center"/>
              <w:rPr>
                <w:rFonts w:cs="Arial"/>
                <w:b/>
              </w:rPr>
            </w:pPr>
            <w:r>
              <w:rPr>
                <w:rFonts w:cs="Arial"/>
                <w:b/>
              </w:rPr>
              <w:t>12</w:t>
            </w:r>
          </w:p>
        </w:tc>
      </w:tr>
      <w:tr w:rsidR="009C5628" w14:paraId="49F6AC75"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5ABD4610" w14:textId="77777777" w:rsidR="009C5628" w:rsidRDefault="009C5628" w:rsidP="00E05A75">
            <w:pPr>
              <w:spacing w:before="80" w:after="80"/>
              <w:rPr>
                <w:rFonts w:cs="Arial"/>
                <w:b/>
                <w:bCs/>
              </w:rPr>
            </w:pPr>
            <w:r>
              <w:rPr>
                <w:rFonts w:cs="Arial"/>
                <w:b/>
                <w:bCs/>
              </w:rPr>
              <w:t>3.</w:t>
            </w:r>
          </w:p>
        </w:tc>
        <w:tc>
          <w:tcPr>
            <w:tcW w:w="7040" w:type="dxa"/>
            <w:tcBorders>
              <w:top w:val="single" w:sz="4" w:space="0" w:color="auto"/>
              <w:left w:val="single" w:sz="4" w:space="0" w:color="auto"/>
              <w:bottom w:val="single" w:sz="4" w:space="0" w:color="auto"/>
              <w:right w:val="single" w:sz="4" w:space="0" w:color="auto"/>
            </w:tcBorders>
          </w:tcPr>
          <w:p w14:paraId="2A35BC6A" w14:textId="77777777" w:rsidR="009C5628" w:rsidRDefault="00D8648C" w:rsidP="00E05A75">
            <w:pPr>
              <w:pStyle w:val="Heading2"/>
              <w:spacing w:before="80" w:after="80"/>
              <w:rPr>
                <w:rFonts w:cs="Arial"/>
                <w:b w:val="0"/>
                <w:bCs/>
              </w:rPr>
            </w:pPr>
            <w:hyperlink w:anchor="Comparative_Efficacy" w:history="1">
              <w:r w:rsidR="009C5628" w:rsidRPr="00EF7765">
                <w:rPr>
                  <w:rStyle w:val="Hyperlink"/>
                  <w:sz w:val="24"/>
                  <w:szCs w:val="24"/>
                </w:rPr>
                <w:t>Comparative Efficacy</w:t>
              </w:r>
            </w:hyperlink>
          </w:p>
        </w:tc>
        <w:tc>
          <w:tcPr>
            <w:tcW w:w="1607" w:type="dxa"/>
            <w:tcBorders>
              <w:top w:val="single" w:sz="4" w:space="0" w:color="auto"/>
              <w:left w:val="single" w:sz="4" w:space="0" w:color="auto"/>
              <w:bottom w:val="single" w:sz="4" w:space="0" w:color="auto"/>
              <w:right w:val="single" w:sz="4" w:space="0" w:color="auto"/>
            </w:tcBorders>
          </w:tcPr>
          <w:p w14:paraId="6A89F7DC" w14:textId="3E03DDF5" w:rsidR="009C5628" w:rsidRPr="00694A20" w:rsidRDefault="000005CA" w:rsidP="00E05A75">
            <w:pPr>
              <w:spacing w:before="80" w:after="80"/>
              <w:jc w:val="center"/>
              <w:rPr>
                <w:rFonts w:cs="Arial"/>
                <w:b/>
              </w:rPr>
            </w:pPr>
            <w:r>
              <w:rPr>
                <w:rFonts w:cs="Arial"/>
                <w:b/>
              </w:rPr>
              <w:t>14</w:t>
            </w:r>
          </w:p>
        </w:tc>
      </w:tr>
      <w:tr w:rsidR="009C5628" w14:paraId="6AE38C0E"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1742CFCF" w14:textId="77777777" w:rsidR="009C5628" w:rsidRDefault="009C5628" w:rsidP="00E05A75">
            <w:pPr>
              <w:spacing w:before="80" w:after="80"/>
              <w:rPr>
                <w:rFonts w:cs="Arial"/>
                <w:b/>
                <w:bCs/>
              </w:rPr>
            </w:pPr>
            <w:r>
              <w:rPr>
                <w:rFonts w:cs="Arial"/>
                <w:b/>
                <w:bCs/>
              </w:rPr>
              <w:t>4.</w:t>
            </w:r>
          </w:p>
        </w:tc>
        <w:tc>
          <w:tcPr>
            <w:tcW w:w="7040" w:type="dxa"/>
            <w:tcBorders>
              <w:top w:val="single" w:sz="4" w:space="0" w:color="auto"/>
              <w:left w:val="single" w:sz="4" w:space="0" w:color="auto"/>
              <w:bottom w:val="single" w:sz="4" w:space="0" w:color="auto"/>
              <w:right w:val="single" w:sz="4" w:space="0" w:color="auto"/>
            </w:tcBorders>
          </w:tcPr>
          <w:p w14:paraId="792B00BA" w14:textId="77777777" w:rsidR="009C5628" w:rsidRDefault="00D8648C" w:rsidP="00E05A75">
            <w:pPr>
              <w:pStyle w:val="Heading2"/>
              <w:spacing w:before="80" w:after="80"/>
              <w:rPr>
                <w:rFonts w:cs="Arial"/>
                <w:b w:val="0"/>
                <w:bCs/>
              </w:rPr>
            </w:pPr>
            <w:hyperlink w:anchor="Comparative_Safety" w:history="1">
              <w:r w:rsidR="009C5628" w:rsidRPr="00EF7765">
                <w:rPr>
                  <w:rStyle w:val="Hyperlink"/>
                  <w:sz w:val="24"/>
                  <w:szCs w:val="24"/>
                </w:rPr>
                <w:t xml:space="preserve">Comparative </w:t>
              </w:r>
              <w:r w:rsidR="009C5628">
                <w:rPr>
                  <w:rStyle w:val="Hyperlink"/>
                  <w:sz w:val="24"/>
                  <w:szCs w:val="24"/>
                </w:rPr>
                <w:t>S</w:t>
              </w:r>
              <w:r w:rsidR="009C5628" w:rsidRPr="00EF7765">
                <w:rPr>
                  <w:rStyle w:val="Hyperlink"/>
                  <w:sz w:val="24"/>
                  <w:szCs w:val="24"/>
                </w:rPr>
                <w:t>afety</w:t>
              </w:r>
            </w:hyperlink>
          </w:p>
        </w:tc>
        <w:tc>
          <w:tcPr>
            <w:tcW w:w="1607" w:type="dxa"/>
            <w:tcBorders>
              <w:top w:val="single" w:sz="4" w:space="0" w:color="auto"/>
              <w:left w:val="single" w:sz="4" w:space="0" w:color="auto"/>
              <w:bottom w:val="single" w:sz="4" w:space="0" w:color="auto"/>
              <w:right w:val="single" w:sz="4" w:space="0" w:color="auto"/>
            </w:tcBorders>
          </w:tcPr>
          <w:p w14:paraId="01C7D92F" w14:textId="23F52125" w:rsidR="009C5628" w:rsidRPr="00694A20" w:rsidRDefault="001F248F" w:rsidP="00E05A75">
            <w:pPr>
              <w:spacing w:before="80" w:after="80"/>
              <w:jc w:val="center"/>
              <w:rPr>
                <w:rFonts w:cs="Arial"/>
                <w:b/>
              </w:rPr>
            </w:pPr>
            <w:r>
              <w:rPr>
                <w:rFonts w:cs="Arial"/>
                <w:b/>
              </w:rPr>
              <w:t>58</w:t>
            </w:r>
          </w:p>
        </w:tc>
      </w:tr>
      <w:tr w:rsidR="009C5628" w14:paraId="7A80C53C"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3680E6D5" w14:textId="77777777" w:rsidR="009C5628" w:rsidRDefault="009C5628" w:rsidP="00E05A75">
            <w:pPr>
              <w:spacing w:before="80" w:after="80"/>
              <w:rPr>
                <w:rFonts w:cs="Arial"/>
                <w:b/>
                <w:bCs/>
              </w:rPr>
            </w:pPr>
            <w:r>
              <w:rPr>
                <w:rFonts w:cs="Arial"/>
                <w:b/>
                <w:bCs/>
              </w:rPr>
              <w:t>5.</w:t>
            </w:r>
          </w:p>
        </w:tc>
        <w:tc>
          <w:tcPr>
            <w:tcW w:w="7040" w:type="dxa"/>
            <w:tcBorders>
              <w:top w:val="single" w:sz="4" w:space="0" w:color="auto"/>
              <w:left w:val="single" w:sz="4" w:space="0" w:color="auto"/>
              <w:bottom w:val="single" w:sz="4" w:space="0" w:color="auto"/>
              <w:right w:val="single" w:sz="4" w:space="0" w:color="auto"/>
            </w:tcBorders>
          </w:tcPr>
          <w:p w14:paraId="0A243999" w14:textId="77777777" w:rsidR="009C5628" w:rsidRDefault="00D8648C" w:rsidP="00E05A75">
            <w:pPr>
              <w:pStyle w:val="Heading2"/>
              <w:spacing w:before="80" w:after="80"/>
              <w:rPr>
                <w:rFonts w:cs="Arial"/>
                <w:b w:val="0"/>
                <w:bCs/>
              </w:rPr>
            </w:pPr>
            <w:hyperlink w:anchor="Clinical_Effectiveness" w:history="1">
              <w:r w:rsidR="009C5628" w:rsidRPr="00EF7765">
                <w:rPr>
                  <w:rStyle w:val="Hyperlink"/>
                  <w:sz w:val="24"/>
                  <w:szCs w:val="24"/>
                </w:rPr>
                <w:t>Clinical Effectiveness</w:t>
              </w:r>
            </w:hyperlink>
          </w:p>
        </w:tc>
        <w:tc>
          <w:tcPr>
            <w:tcW w:w="1607" w:type="dxa"/>
            <w:tcBorders>
              <w:top w:val="single" w:sz="4" w:space="0" w:color="auto"/>
              <w:left w:val="single" w:sz="4" w:space="0" w:color="auto"/>
              <w:bottom w:val="single" w:sz="4" w:space="0" w:color="auto"/>
              <w:right w:val="single" w:sz="4" w:space="0" w:color="auto"/>
            </w:tcBorders>
          </w:tcPr>
          <w:p w14:paraId="2AC2493F" w14:textId="7F41F9B4" w:rsidR="009C5628" w:rsidRPr="00694A20" w:rsidRDefault="001F248F" w:rsidP="00E05A75">
            <w:pPr>
              <w:spacing w:before="80" w:after="80"/>
              <w:jc w:val="center"/>
              <w:rPr>
                <w:rFonts w:cs="Arial"/>
                <w:b/>
              </w:rPr>
            </w:pPr>
            <w:r>
              <w:rPr>
                <w:rFonts w:cs="Arial"/>
                <w:b/>
              </w:rPr>
              <w:t>67</w:t>
            </w:r>
          </w:p>
        </w:tc>
      </w:tr>
      <w:tr w:rsidR="009C5628" w14:paraId="77E8C7D1"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391B7659" w14:textId="77777777" w:rsidR="009C5628" w:rsidRDefault="009C5628" w:rsidP="00E05A75">
            <w:pPr>
              <w:spacing w:before="80" w:after="80"/>
              <w:rPr>
                <w:rFonts w:cs="Arial"/>
                <w:b/>
                <w:bCs/>
              </w:rPr>
            </w:pPr>
            <w:r>
              <w:rPr>
                <w:rFonts w:cs="Arial"/>
                <w:b/>
                <w:bCs/>
              </w:rPr>
              <w:t>6.</w:t>
            </w:r>
          </w:p>
        </w:tc>
        <w:tc>
          <w:tcPr>
            <w:tcW w:w="7040" w:type="dxa"/>
            <w:tcBorders>
              <w:top w:val="single" w:sz="4" w:space="0" w:color="auto"/>
              <w:left w:val="single" w:sz="4" w:space="0" w:color="auto"/>
              <w:bottom w:val="single" w:sz="4" w:space="0" w:color="auto"/>
              <w:right w:val="single" w:sz="4" w:space="0" w:color="auto"/>
            </w:tcBorders>
          </w:tcPr>
          <w:p w14:paraId="6D980F5E" w14:textId="77777777" w:rsidR="009C5628" w:rsidRPr="00694A20" w:rsidRDefault="00D8648C" w:rsidP="00E05A75">
            <w:pPr>
              <w:spacing w:before="80" w:after="80"/>
              <w:ind w:right="-245"/>
              <w:rPr>
                <w:rFonts w:cs="Arial"/>
                <w:b/>
                <w:bCs/>
              </w:rPr>
            </w:pPr>
            <w:hyperlink w:anchor="Pharmaco_economic_Evaluation" w:history="1">
              <w:r w:rsidR="009C5628" w:rsidRPr="00EF7765">
                <w:rPr>
                  <w:rStyle w:val="Hyperlink"/>
                  <w:b/>
                  <w:szCs w:val="24"/>
                </w:rPr>
                <w:t>Pharmaco-Economic Evaluation</w:t>
              </w:r>
            </w:hyperlink>
          </w:p>
        </w:tc>
        <w:tc>
          <w:tcPr>
            <w:tcW w:w="1607" w:type="dxa"/>
            <w:tcBorders>
              <w:top w:val="single" w:sz="4" w:space="0" w:color="auto"/>
              <w:left w:val="single" w:sz="4" w:space="0" w:color="auto"/>
              <w:bottom w:val="single" w:sz="4" w:space="0" w:color="auto"/>
              <w:right w:val="single" w:sz="4" w:space="0" w:color="auto"/>
            </w:tcBorders>
          </w:tcPr>
          <w:p w14:paraId="7D927D95" w14:textId="4F7700FF" w:rsidR="009C5628" w:rsidRPr="00694A20" w:rsidRDefault="001F248F" w:rsidP="00E05A75">
            <w:pPr>
              <w:spacing w:before="80" w:after="80"/>
              <w:jc w:val="center"/>
              <w:rPr>
                <w:rFonts w:cs="Arial"/>
                <w:b/>
              </w:rPr>
            </w:pPr>
            <w:r>
              <w:rPr>
                <w:rFonts w:cs="Arial"/>
                <w:b/>
              </w:rPr>
              <w:t>80</w:t>
            </w:r>
          </w:p>
        </w:tc>
      </w:tr>
      <w:tr w:rsidR="009C5628" w14:paraId="082C95D9"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3846A585" w14:textId="77777777" w:rsidR="009C5628" w:rsidRDefault="009C5628" w:rsidP="00E05A75">
            <w:pPr>
              <w:spacing w:before="80" w:after="80"/>
              <w:rPr>
                <w:rFonts w:cs="Arial"/>
                <w:b/>
                <w:bCs/>
              </w:rPr>
            </w:pPr>
            <w:r>
              <w:rPr>
                <w:rFonts w:cs="Arial"/>
                <w:b/>
                <w:bCs/>
              </w:rPr>
              <w:t>7.</w:t>
            </w:r>
          </w:p>
        </w:tc>
        <w:tc>
          <w:tcPr>
            <w:tcW w:w="7040" w:type="dxa"/>
            <w:tcBorders>
              <w:top w:val="single" w:sz="4" w:space="0" w:color="auto"/>
              <w:left w:val="single" w:sz="4" w:space="0" w:color="auto"/>
              <w:bottom w:val="single" w:sz="4" w:space="0" w:color="auto"/>
              <w:right w:val="single" w:sz="4" w:space="0" w:color="auto"/>
            </w:tcBorders>
          </w:tcPr>
          <w:p w14:paraId="0948BE41" w14:textId="77777777" w:rsidR="009C5628" w:rsidRPr="00694A20" w:rsidRDefault="00D8648C" w:rsidP="00E05A75">
            <w:pPr>
              <w:pStyle w:val="Heading2"/>
              <w:spacing w:before="80" w:after="80"/>
              <w:rPr>
                <w:rFonts w:cs="Arial"/>
                <w:bCs/>
              </w:rPr>
            </w:pPr>
            <w:hyperlink w:anchor="Resource_Implications" w:history="1">
              <w:r w:rsidR="009C5628" w:rsidRPr="00EF7765">
                <w:rPr>
                  <w:rStyle w:val="Hyperlink"/>
                  <w:sz w:val="24"/>
                  <w:szCs w:val="24"/>
                </w:rPr>
                <w:t>Resource Implications</w:t>
              </w:r>
            </w:hyperlink>
          </w:p>
        </w:tc>
        <w:tc>
          <w:tcPr>
            <w:tcW w:w="1607" w:type="dxa"/>
            <w:tcBorders>
              <w:top w:val="single" w:sz="4" w:space="0" w:color="auto"/>
              <w:left w:val="single" w:sz="4" w:space="0" w:color="auto"/>
              <w:bottom w:val="single" w:sz="4" w:space="0" w:color="auto"/>
              <w:right w:val="single" w:sz="4" w:space="0" w:color="auto"/>
            </w:tcBorders>
          </w:tcPr>
          <w:p w14:paraId="46B77C69" w14:textId="0D7B1FA0" w:rsidR="009C5628" w:rsidRPr="00694A20" w:rsidRDefault="000005CA" w:rsidP="00E05A75">
            <w:pPr>
              <w:spacing w:before="80" w:after="80"/>
              <w:jc w:val="center"/>
              <w:rPr>
                <w:rFonts w:cs="Arial"/>
                <w:b/>
              </w:rPr>
            </w:pPr>
            <w:r>
              <w:rPr>
                <w:rFonts w:cs="Arial"/>
                <w:b/>
              </w:rPr>
              <w:t>99</w:t>
            </w:r>
          </w:p>
        </w:tc>
      </w:tr>
      <w:tr w:rsidR="009C5628" w14:paraId="1B21EC68"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317D672C" w14:textId="005887B2" w:rsidR="009C5628" w:rsidRDefault="000005CA" w:rsidP="00E05A75">
            <w:pPr>
              <w:spacing w:before="80" w:after="80"/>
              <w:rPr>
                <w:rFonts w:cs="Arial"/>
                <w:b/>
                <w:bCs/>
              </w:rPr>
            </w:pPr>
            <w:r>
              <w:rPr>
                <w:rFonts w:cs="Arial"/>
                <w:b/>
                <w:bCs/>
              </w:rPr>
              <w:t>8.</w:t>
            </w:r>
          </w:p>
        </w:tc>
        <w:tc>
          <w:tcPr>
            <w:tcW w:w="7040" w:type="dxa"/>
            <w:tcBorders>
              <w:top w:val="single" w:sz="4" w:space="0" w:color="auto"/>
              <w:left w:val="single" w:sz="4" w:space="0" w:color="auto"/>
              <w:bottom w:val="single" w:sz="4" w:space="0" w:color="auto"/>
              <w:right w:val="single" w:sz="4" w:space="0" w:color="auto"/>
            </w:tcBorders>
          </w:tcPr>
          <w:p w14:paraId="6DA8A7A7" w14:textId="2786FB04" w:rsidR="006E1712" w:rsidRPr="000005CA" w:rsidRDefault="00D8648C" w:rsidP="006E1712">
            <w:pPr>
              <w:spacing w:before="80" w:after="80"/>
              <w:ind w:right="-245"/>
            </w:pPr>
            <w:hyperlink w:anchor="References" w:history="1">
              <w:r w:rsidR="009C5628" w:rsidRPr="00EF7765">
                <w:rPr>
                  <w:rStyle w:val="Hyperlink"/>
                  <w:b/>
                  <w:szCs w:val="24"/>
                </w:rPr>
                <w:t>References</w:t>
              </w:r>
            </w:hyperlink>
          </w:p>
        </w:tc>
        <w:tc>
          <w:tcPr>
            <w:tcW w:w="1607" w:type="dxa"/>
            <w:tcBorders>
              <w:top w:val="single" w:sz="4" w:space="0" w:color="auto"/>
              <w:left w:val="single" w:sz="4" w:space="0" w:color="auto"/>
              <w:bottom w:val="single" w:sz="4" w:space="0" w:color="auto"/>
              <w:right w:val="single" w:sz="4" w:space="0" w:color="auto"/>
            </w:tcBorders>
          </w:tcPr>
          <w:p w14:paraId="781A1198" w14:textId="53BF645C" w:rsidR="009C5628" w:rsidRPr="00694A20" w:rsidRDefault="001F248F" w:rsidP="00E05A75">
            <w:pPr>
              <w:spacing w:before="80" w:after="80"/>
              <w:jc w:val="center"/>
              <w:rPr>
                <w:rFonts w:cs="Arial"/>
                <w:b/>
              </w:rPr>
            </w:pPr>
            <w:r>
              <w:rPr>
                <w:rFonts w:cs="Arial"/>
                <w:b/>
              </w:rPr>
              <w:t>103</w:t>
            </w:r>
          </w:p>
        </w:tc>
      </w:tr>
      <w:tr w:rsidR="000005CA" w14:paraId="3779D9B3" w14:textId="77777777" w:rsidTr="00E05A75">
        <w:trPr>
          <w:trHeight w:val="20"/>
        </w:trPr>
        <w:tc>
          <w:tcPr>
            <w:tcW w:w="1276" w:type="dxa"/>
            <w:tcBorders>
              <w:top w:val="single" w:sz="4" w:space="0" w:color="auto"/>
              <w:left w:val="single" w:sz="4" w:space="0" w:color="auto"/>
              <w:bottom w:val="single" w:sz="4" w:space="0" w:color="auto"/>
              <w:right w:val="single" w:sz="4" w:space="0" w:color="auto"/>
            </w:tcBorders>
          </w:tcPr>
          <w:p w14:paraId="7B5EC261" w14:textId="5F5A76D4" w:rsidR="000005CA" w:rsidRDefault="000005CA" w:rsidP="00E05A75">
            <w:pPr>
              <w:spacing w:before="80" w:after="80"/>
              <w:rPr>
                <w:rFonts w:cs="Arial"/>
                <w:b/>
                <w:bCs/>
              </w:rPr>
            </w:pPr>
            <w:r>
              <w:rPr>
                <w:rFonts w:cs="Arial"/>
                <w:b/>
                <w:bCs/>
              </w:rPr>
              <w:t>9.</w:t>
            </w:r>
          </w:p>
        </w:tc>
        <w:tc>
          <w:tcPr>
            <w:tcW w:w="7040" w:type="dxa"/>
            <w:tcBorders>
              <w:top w:val="single" w:sz="4" w:space="0" w:color="auto"/>
              <w:left w:val="single" w:sz="4" w:space="0" w:color="auto"/>
              <w:bottom w:val="single" w:sz="4" w:space="0" w:color="auto"/>
              <w:right w:val="single" w:sz="4" w:space="0" w:color="auto"/>
            </w:tcBorders>
          </w:tcPr>
          <w:p w14:paraId="1AE5A8C1" w14:textId="77777777" w:rsidR="000005CA" w:rsidRDefault="000005CA" w:rsidP="001F248F">
            <w:pPr>
              <w:spacing w:after="120"/>
              <w:ind w:right="-245"/>
              <w:rPr>
                <w:b/>
              </w:rPr>
            </w:pPr>
            <w:r>
              <w:rPr>
                <w:b/>
              </w:rPr>
              <w:t>Appendices</w:t>
            </w:r>
          </w:p>
          <w:p w14:paraId="6A9B1805" w14:textId="77777777" w:rsidR="001F248F" w:rsidRPr="001F248F" w:rsidRDefault="001F248F" w:rsidP="001F248F">
            <w:pPr>
              <w:spacing w:after="120"/>
              <w:rPr>
                <w:rFonts w:cs="Arial"/>
                <w:b/>
                <w:szCs w:val="24"/>
                <w:lang w:eastAsia="ja-JP"/>
              </w:rPr>
            </w:pPr>
            <w:r w:rsidRPr="001F248F">
              <w:rPr>
                <w:b/>
                <w:szCs w:val="24"/>
              </w:rPr>
              <w:t xml:space="preserve">Appendix A - </w:t>
            </w:r>
            <w:r w:rsidRPr="001F248F">
              <w:rPr>
                <w:rFonts w:cs="Arial"/>
                <w:b/>
                <w:szCs w:val="24"/>
                <w:lang w:eastAsia="ja-JP"/>
              </w:rPr>
              <w:t>Overview of the tedizolid clinical development programme</w:t>
            </w:r>
          </w:p>
          <w:p w14:paraId="4F1CB81E" w14:textId="77777777" w:rsidR="001F248F" w:rsidRPr="001F248F" w:rsidRDefault="001F248F" w:rsidP="001F248F">
            <w:pPr>
              <w:spacing w:after="120"/>
              <w:rPr>
                <w:b/>
                <w:szCs w:val="24"/>
              </w:rPr>
            </w:pPr>
            <w:r w:rsidRPr="001F248F">
              <w:rPr>
                <w:rFonts w:cs="Arial"/>
                <w:b/>
                <w:szCs w:val="24"/>
                <w:lang w:eastAsia="ja-JP"/>
              </w:rPr>
              <w:t xml:space="preserve">Appendix B - </w:t>
            </w:r>
            <w:r w:rsidRPr="001F248F">
              <w:rPr>
                <w:b/>
                <w:szCs w:val="24"/>
              </w:rPr>
              <w:t xml:space="preserve">Demographic and baseline characteristics for the pooled ESTABLISH-and ESTABLISH-2 populations (ITT) </w:t>
            </w:r>
          </w:p>
          <w:p w14:paraId="711E9758" w14:textId="3B8B459F" w:rsidR="001F248F" w:rsidRPr="001F248F" w:rsidRDefault="001F248F" w:rsidP="001F248F">
            <w:pPr>
              <w:spacing w:after="120"/>
              <w:rPr>
                <w:rFonts w:cs="Arial"/>
                <w:b/>
                <w:szCs w:val="24"/>
                <w:lang w:eastAsia="ja-JP"/>
              </w:rPr>
            </w:pPr>
            <w:r>
              <w:rPr>
                <w:rFonts w:cs="Arial"/>
                <w:b/>
                <w:szCs w:val="24"/>
                <w:lang w:eastAsia="ja-JP"/>
              </w:rPr>
              <w:t xml:space="preserve">Appendix C - </w:t>
            </w:r>
            <w:r w:rsidRPr="001F248F">
              <w:rPr>
                <w:rFonts w:cs="Arial"/>
                <w:b/>
                <w:szCs w:val="24"/>
                <w:lang w:eastAsia="ja-JP"/>
              </w:rPr>
              <w:t>Safety and tolerability data – ESTABLISH-1 and ESTABLISH-2</w:t>
            </w:r>
          </w:p>
          <w:p w14:paraId="7D53EEAF" w14:textId="74E23D76" w:rsidR="001F248F" w:rsidRPr="001F248F" w:rsidRDefault="001F248F" w:rsidP="001F248F">
            <w:pPr>
              <w:spacing w:after="120"/>
              <w:ind w:hanging="34"/>
              <w:rPr>
                <w:rFonts w:eastAsia="Times New Roman" w:cs="Arial"/>
                <w:bCs/>
                <w:sz w:val="18"/>
                <w:szCs w:val="18"/>
                <w:lang w:val="en-US"/>
              </w:rPr>
            </w:pPr>
            <w:r w:rsidRPr="001F248F">
              <w:rPr>
                <w:rFonts w:cs="Arial"/>
                <w:b/>
                <w:szCs w:val="24"/>
                <w:lang w:val="en-US"/>
              </w:rPr>
              <w:lastRenderedPageBreak/>
              <w:t>Appendix D - Sys</w:t>
            </w:r>
            <w:r>
              <w:rPr>
                <w:rFonts w:cs="Arial"/>
                <w:b/>
                <w:szCs w:val="24"/>
                <w:lang w:val="en-US"/>
              </w:rPr>
              <w:t xml:space="preserve">tematic Review and Network Meta </w:t>
            </w:r>
            <w:r w:rsidRPr="001F248F">
              <w:rPr>
                <w:rFonts w:cs="Arial"/>
                <w:b/>
                <w:szCs w:val="24"/>
                <w:lang w:val="en-US"/>
              </w:rPr>
              <w:t>Analysis informing Indirect Comparison</w:t>
            </w:r>
          </w:p>
        </w:tc>
        <w:tc>
          <w:tcPr>
            <w:tcW w:w="1607" w:type="dxa"/>
            <w:tcBorders>
              <w:top w:val="single" w:sz="4" w:space="0" w:color="auto"/>
              <w:left w:val="single" w:sz="4" w:space="0" w:color="auto"/>
              <w:bottom w:val="single" w:sz="4" w:space="0" w:color="auto"/>
              <w:right w:val="single" w:sz="4" w:space="0" w:color="auto"/>
            </w:tcBorders>
          </w:tcPr>
          <w:p w14:paraId="1108232C" w14:textId="77777777" w:rsidR="000005CA" w:rsidRDefault="001F248F" w:rsidP="00E05A75">
            <w:pPr>
              <w:spacing w:before="80" w:after="80"/>
              <w:jc w:val="center"/>
              <w:rPr>
                <w:rFonts w:cs="Arial"/>
                <w:b/>
              </w:rPr>
            </w:pPr>
            <w:r>
              <w:rPr>
                <w:rFonts w:cs="Arial"/>
                <w:b/>
              </w:rPr>
              <w:lastRenderedPageBreak/>
              <w:t>108</w:t>
            </w:r>
          </w:p>
          <w:p w14:paraId="1BD044AC" w14:textId="77777777" w:rsidR="001F248F" w:rsidRDefault="001F248F" w:rsidP="00E05A75">
            <w:pPr>
              <w:spacing w:before="80" w:after="80"/>
              <w:jc w:val="center"/>
              <w:rPr>
                <w:rFonts w:cs="Arial"/>
                <w:b/>
              </w:rPr>
            </w:pPr>
            <w:r>
              <w:rPr>
                <w:rFonts w:cs="Arial"/>
                <w:b/>
              </w:rPr>
              <w:t>108</w:t>
            </w:r>
          </w:p>
          <w:p w14:paraId="0F4B802D" w14:textId="77777777" w:rsidR="001F248F" w:rsidRDefault="001F248F" w:rsidP="001F248F">
            <w:pPr>
              <w:spacing w:before="80" w:after="80"/>
              <w:rPr>
                <w:rFonts w:cs="Arial"/>
                <w:b/>
              </w:rPr>
            </w:pPr>
          </w:p>
          <w:p w14:paraId="5E80F605" w14:textId="77777777" w:rsidR="001F248F" w:rsidRDefault="001F248F" w:rsidP="001F248F">
            <w:pPr>
              <w:spacing w:before="80" w:after="80"/>
              <w:jc w:val="center"/>
              <w:rPr>
                <w:rFonts w:cs="Arial"/>
                <w:b/>
              </w:rPr>
            </w:pPr>
            <w:r>
              <w:rPr>
                <w:rFonts w:cs="Arial"/>
                <w:b/>
              </w:rPr>
              <w:t>110</w:t>
            </w:r>
          </w:p>
          <w:p w14:paraId="146AF616" w14:textId="77777777" w:rsidR="001F248F" w:rsidRDefault="001F248F" w:rsidP="001F248F">
            <w:pPr>
              <w:spacing w:before="80" w:after="80"/>
              <w:jc w:val="center"/>
              <w:rPr>
                <w:rFonts w:cs="Arial"/>
                <w:b/>
              </w:rPr>
            </w:pPr>
          </w:p>
          <w:p w14:paraId="666F5C6B" w14:textId="77777777" w:rsidR="001F248F" w:rsidRDefault="001F248F" w:rsidP="001F248F">
            <w:pPr>
              <w:spacing w:before="80" w:after="80"/>
              <w:jc w:val="center"/>
              <w:rPr>
                <w:rFonts w:cs="Arial"/>
                <w:b/>
              </w:rPr>
            </w:pPr>
            <w:r>
              <w:rPr>
                <w:rFonts w:cs="Arial"/>
                <w:b/>
              </w:rPr>
              <w:t>115</w:t>
            </w:r>
          </w:p>
          <w:p w14:paraId="07F4BDA1" w14:textId="77777777" w:rsidR="001F248F" w:rsidRDefault="001F248F" w:rsidP="001F248F">
            <w:pPr>
              <w:spacing w:before="80" w:after="80"/>
              <w:jc w:val="center"/>
              <w:rPr>
                <w:rFonts w:cs="Arial"/>
                <w:b/>
              </w:rPr>
            </w:pPr>
          </w:p>
          <w:p w14:paraId="17F89BB3" w14:textId="531B6C1B" w:rsidR="001F248F" w:rsidRDefault="001F248F" w:rsidP="001F248F">
            <w:pPr>
              <w:spacing w:before="80" w:after="80"/>
              <w:jc w:val="center"/>
              <w:rPr>
                <w:rFonts w:cs="Arial"/>
                <w:b/>
              </w:rPr>
            </w:pPr>
            <w:r>
              <w:rPr>
                <w:rFonts w:cs="Arial"/>
                <w:b/>
              </w:rPr>
              <w:lastRenderedPageBreak/>
              <w:t>128</w:t>
            </w:r>
          </w:p>
        </w:tc>
      </w:tr>
    </w:tbl>
    <w:p w14:paraId="7F7712BE" w14:textId="59395813" w:rsidR="009C5628" w:rsidRDefault="009C5628" w:rsidP="009C5628">
      <w:pPr>
        <w:rPr>
          <w:sz w:val="32"/>
        </w:rPr>
      </w:pPr>
    </w:p>
    <w:p w14:paraId="1616EF5F" w14:textId="77777777" w:rsidR="009C5628" w:rsidRDefault="009C5628" w:rsidP="009C5628">
      <w:pPr>
        <w:rPr>
          <w:sz w:val="32"/>
        </w:rPr>
      </w:pPr>
    </w:p>
    <w:p w14:paraId="3DDAF63B" w14:textId="77777777" w:rsidR="009C5628" w:rsidRDefault="009C5628" w:rsidP="009C5628">
      <w:pPr>
        <w:rPr>
          <w:sz w:val="32"/>
        </w:rPr>
      </w:pPr>
    </w:p>
    <w:p w14:paraId="3C3B2E9C" w14:textId="77777777" w:rsidR="009922B6" w:rsidRDefault="009922B6" w:rsidP="00C257C6">
      <w:pPr>
        <w:pStyle w:val="Heading2"/>
        <w:rPr>
          <w:rFonts w:cs="Arial"/>
          <w:sz w:val="22"/>
          <w:szCs w:val="22"/>
        </w:rPr>
      </w:pPr>
    </w:p>
    <w:p w14:paraId="73E29412" w14:textId="77777777" w:rsidR="009C5628" w:rsidRDefault="009C5628" w:rsidP="00C257C6">
      <w:pPr>
        <w:pStyle w:val="Heading2"/>
        <w:rPr>
          <w:rFonts w:cs="Arial"/>
          <w:sz w:val="22"/>
          <w:szCs w:val="22"/>
        </w:rPr>
      </w:pPr>
    </w:p>
    <w:p w14:paraId="5657674E" w14:textId="77777777" w:rsidR="009C5628" w:rsidRDefault="009C5628" w:rsidP="00C257C6">
      <w:pPr>
        <w:pStyle w:val="Heading2"/>
        <w:rPr>
          <w:rFonts w:cs="Arial"/>
          <w:sz w:val="22"/>
          <w:szCs w:val="22"/>
        </w:rPr>
      </w:pPr>
    </w:p>
    <w:p w14:paraId="0EC50DAE" w14:textId="77777777" w:rsidR="00BB5B0F" w:rsidRDefault="00BB5B0F">
      <w:pPr>
        <w:ind w:left="357" w:hanging="357"/>
        <w:jc w:val="both"/>
        <w:rPr>
          <w:rFonts w:cs="Arial"/>
          <w:b/>
          <w:sz w:val="22"/>
          <w:szCs w:val="22"/>
        </w:rPr>
      </w:pPr>
      <w:r>
        <w:rPr>
          <w:rFonts w:cs="Arial"/>
          <w:sz w:val="22"/>
          <w:szCs w:val="22"/>
        </w:rPr>
        <w:br w:type="page"/>
      </w:r>
    </w:p>
    <w:p w14:paraId="32A706E3" w14:textId="257B85B4" w:rsidR="00C257C6" w:rsidRPr="008E4E92" w:rsidRDefault="00C257C6" w:rsidP="00C257C6">
      <w:pPr>
        <w:pStyle w:val="Heading2"/>
        <w:rPr>
          <w:rFonts w:cs="Arial"/>
          <w:sz w:val="22"/>
          <w:szCs w:val="22"/>
        </w:rPr>
      </w:pPr>
      <w:r w:rsidRPr="008E4E92">
        <w:rPr>
          <w:rFonts w:cs="Arial"/>
          <w:sz w:val="22"/>
          <w:szCs w:val="22"/>
        </w:rPr>
        <w:lastRenderedPageBreak/>
        <w:t>NEW PRODUCT ASSESSMENT FORM</w:t>
      </w:r>
    </w:p>
    <w:bookmarkEnd w:id="0"/>
    <w:p w14:paraId="4CBFF96C" w14:textId="77777777" w:rsidR="00C257C6" w:rsidRPr="008E4E92" w:rsidRDefault="00C257C6" w:rsidP="00C257C6">
      <w:pPr>
        <w:rPr>
          <w:rFonts w:cs="Arial"/>
          <w:sz w:val="22"/>
          <w:szCs w:val="22"/>
        </w:rPr>
      </w:pPr>
    </w:p>
    <w:tbl>
      <w:tblPr>
        <w:tblW w:w="94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4842"/>
      </w:tblGrid>
      <w:tr w:rsidR="00C257C6" w:rsidRPr="008E4E92" w14:paraId="6CB57619" w14:textId="77777777" w:rsidTr="009678E9">
        <w:tc>
          <w:tcPr>
            <w:tcW w:w="4622" w:type="dxa"/>
            <w:tcBorders>
              <w:top w:val="single" w:sz="4" w:space="0" w:color="auto"/>
            </w:tcBorders>
            <w:vAlign w:val="center"/>
          </w:tcPr>
          <w:p w14:paraId="7BD07E98" w14:textId="77777777" w:rsidR="00C257C6" w:rsidRPr="008E4E92" w:rsidRDefault="00C257C6" w:rsidP="00E80326">
            <w:pPr>
              <w:spacing w:before="180" w:after="180"/>
              <w:rPr>
                <w:rFonts w:cs="Arial"/>
                <w:szCs w:val="22"/>
              </w:rPr>
            </w:pPr>
            <w:r w:rsidRPr="008E4E92">
              <w:rPr>
                <w:rFonts w:cs="Arial"/>
                <w:b/>
                <w:sz w:val="22"/>
                <w:szCs w:val="22"/>
              </w:rPr>
              <w:t>Approved Name of Medicinal Product:</w:t>
            </w:r>
          </w:p>
        </w:tc>
        <w:tc>
          <w:tcPr>
            <w:tcW w:w="4842" w:type="dxa"/>
            <w:tcBorders>
              <w:top w:val="single" w:sz="4" w:space="0" w:color="auto"/>
            </w:tcBorders>
            <w:vAlign w:val="center"/>
          </w:tcPr>
          <w:p w14:paraId="08958FAC" w14:textId="10C60212" w:rsidR="00C257C6" w:rsidRPr="008E4E92" w:rsidRDefault="00897F14" w:rsidP="00E80326">
            <w:pPr>
              <w:spacing w:before="180" w:after="180"/>
              <w:rPr>
                <w:rFonts w:cs="Arial"/>
                <w:szCs w:val="22"/>
              </w:rPr>
            </w:pPr>
            <w:r>
              <w:rPr>
                <w:rFonts w:cs="Arial"/>
                <w:szCs w:val="22"/>
              </w:rPr>
              <w:t>TEDIZOLID PHOSPHATE</w:t>
            </w:r>
          </w:p>
        </w:tc>
      </w:tr>
      <w:tr w:rsidR="00C257C6" w:rsidRPr="008E4E92" w14:paraId="1BF8C525" w14:textId="77777777" w:rsidTr="009678E9">
        <w:tc>
          <w:tcPr>
            <w:tcW w:w="4622" w:type="dxa"/>
            <w:vAlign w:val="center"/>
          </w:tcPr>
          <w:p w14:paraId="08809B44" w14:textId="77777777" w:rsidR="00C257C6" w:rsidRPr="008E4E92" w:rsidRDefault="00C257C6" w:rsidP="00E80326">
            <w:pPr>
              <w:spacing w:before="180" w:after="180"/>
              <w:rPr>
                <w:rFonts w:cs="Arial"/>
                <w:b/>
                <w:bCs/>
                <w:szCs w:val="22"/>
              </w:rPr>
            </w:pPr>
            <w:r w:rsidRPr="008E4E92">
              <w:rPr>
                <w:rFonts w:cs="Arial"/>
                <w:b/>
                <w:bCs/>
                <w:sz w:val="22"/>
                <w:szCs w:val="22"/>
              </w:rPr>
              <w:t>Brand Name:</w:t>
            </w:r>
          </w:p>
        </w:tc>
        <w:tc>
          <w:tcPr>
            <w:tcW w:w="4842" w:type="dxa"/>
            <w:vAlign w:val="center"/>
          </w:tcPr>
          <w:p w14:paraId="48D12EAF" w14:textId="1DCD54E9" w:rsidR="00C257C6" w:rsidRPr="008E4E92" w:rsidRDefault="00897F14" w:rsidP="00E80326">
            <w:pPr>
              <w:spacing w:before="180" w:after="180"/>
              <w:rPr>
                <w:rFonts w:cs="Arial"/>
                <w:szCs w:val="22"/>
              </w:rPr>
            </w:pPr>
            <w:r>
              <w:rPr>
                <w:rFonts w:cs="Arial"/>
                <w:szCs w:val="22"/>
              </w:rPr>
              <w:t>SIVEXTRO</w:t>
            </w:r>
            <w:r w:rsidR="006169D8" w:rsidRPr="001201E5">
              <w:rPr>
                <w:rFonts w:ascii="Lucida Grande" w:hAnsi="Lucida Grande" w:cs="Lucida Grande"/>
                <w:b/>
                <w:color w:val="000000"/>
              </w:rPr>
              <w:t>®</w:t>
            </w:r>
          </w:p>
        </w:tc>
      </w:tr>
      <w:tr w:rsidR="00C257C6" w:rsidRPr="008E4E92" w14:paraId="7DC41F1C" w14:textId="77777777" w:rsidTr="009678E9">
        <w:tc>
          <w:tcPr>
            <w:tcW w:w="4622" w:type="dxa"/>
            <w:tcBorders>
              <w:bottom w:val="single" w:sz="4" w:space="0" w:color="auto"/>
            </w:tcBorders>
            <w:vAlign w:val="center"/>
          </w:tcPr>
          <w:p w14:paraId="31AFE08D" w14:textId="77777777" w:rsidR="00C257C6" w:rsidRPr="008E4E92" w:rsidRDefault="00C257C6" w:rsidP="00E80326">
            <w:pPr>
              <w:spacing w:before="180" w:after="180"/>
              <w:rPr>
                <w:rFonts w:cs="Arial"/>
                <w:szCs w:val="22"/>
              </w:rPr>
            </w:pPr>
            <w:r w:rsidRPr="008E4E92">
              <w:rPr>
                <w:rFonts w:cs="Arial"/>
                <w:b/>
                <w:sz w:val="22"/>
                <w:szCs w:val="22"/>
              </w:rPr>
              <w:t>Company</w:t>
            </w:r>
            <w:r w:rsidRPr="008E4E92">
              <w:rPr>
                <w:rFonts w:cs="Arial"/>
                <w:sz w:val="22"/>
                <w:szCs w:val="22"/>
              </w:rPr>
              <w:t>:</w:t>
            </w:r>
          </w:p>
        </w:tc>
        <w:tc>
          <w:tcPr>
            <w:tcW w:w="4842" w:type="dxa"/>
            <w:tcBorders>
              <w:bottom w:val="single" w:sz="4" w:space="0" w:color="auto"/>
            </w:tcBorders>
            <w:vAlign w:val="center"/>
          </w:tcPr>
          <w:p w14:paraId="43465F55" w14:textId="133E6E6E" w:rsidR="00C257C6" w:rsidRPr="008E4E92" w:rsidRDefault="00897F14" w:rsidP="00667543">
            <w:pPr>
              <w:spacing w:before="180" w:after="180"/>
              <w:rPr>
                <w:rFonts w:cs="Arial"/>
                <w:szCs w:val="22"/>
              </w:rPr>
            </w:pPr>
            <w:r>
              <w:rPr>
                <w:rFonts w:cs="Arial"/>
                <w:szCs w:val="22"/>
              </w:rPr>
              <w:t xml:space="preserve">CUBIST </w:t>
            </w:r>
            <w:r w:rsidR="00667543">
              <w:rPr>
                <w:rFonts w:cs="Arial"/>
                <w:szCs w:val="22"/>
              </w:rPr>
              <w:t>(UK) LIMITED</w:t>
            </w:r>
          </w:p>
        </w:tc>
      </w:tr>
    </w:tbl>
    <w:p w14:paraId="67EA7034" w14:textId="77777777" w:rsidR="00C257C6" w:rsidRPr="008E4E92" w:rsidRDefault="00C257C6" w:rsidP="00C257C6">
      <w:pPr>
        <w:rPr>
          <w:rFonts w:cs="Arial"/>
          <w:sz w:val="22"/>
          <w:szCs w:val="22"/>
        </w:rPr>
      </w:pPr>
    </w:p>
    <w:p w14:paraId="27DF5E9F" w14:textId="77777777" w:rsidR="00C257C6" w:rsidRPr="008E4E92" w:rsidRDefault="00C257C6" w:rsidP="00C257C6">
      <w:pPr>
        <w:rPr>
          <w:rFonts w:cs="Arial"/>
          <w:b/>
          <w:sz w:val="22"/>
          <w:szCs w:val="22"/>
        </w:rPr>
      </w:pPr>
      <w:r w:rsidRPr="008E4E92">
        <w:rPr>
          <w:rFonts w:cs="Arial"/>
          <w:b/>
          <w:sz w:val="22"/>
          <w:szCs w:val="22"/>
        </w:rPr>
        <w:t>Submitted by:</w:t>
      </w:r>
      <w:r w:rsidRPr="008E4E92">
        <w:rPr>
          <w:rFonts w:cs="Arial"/>
          <w:b/>
          <w:sz w:val="22"/>
          <w:szCs w:val="22"/>
        </w:rPr>
        <w:tab/>
      </w:r>
    </w:p>
    <w:tbl>
      <w:tblPr>
        <w:tblW w:w="94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4842"/>
      </w:tblGrid>
      <w:tr w:rsidR="00C257C6" w:rsidRPr="006232F5" w14:paraId="65365604" w14:textId="77777777" w:rsidTr="009678E9">
        <w:tc>
          <w:tcPr>
            <w:tcW w:w="4622" w:type="dxa"/>
            <w:tcBorders>
              <w:top w:val="single" w:sz="4" w:space="0" w:color="auto"/>
            </w:tcBorders>
            <w:vAlign w:val="center"/>
          </w:tcPr>
          <w:p w14:paraId="3F3DCA89" w14:textId="77777777" w:rsidR="00C257C6" w:rsidRPr="006232F5" w:rsidRDefault="00C257C6" w:rsidP="006B67C6">
            <w:pPr>
              <w:spacing w:before="120"/>
              <w:rPr>
                <w:rFonts w:cs="Arial"/>
                <w:b/>
                <w:szCs w:val="22"/>
              </w:rPr>
            </w:pPr>
            <w:r w:rsidRPr="006232F5">
              <w:rPr>
                <w:rFonts w:cs="Arial"/>
                <w:b/>
                <w:sz w:val="22"/>
                <w:szCs w:val="22"/>
              </w:rPr>
              <w:t>Name:</w:t>
            </w:r>
          </w:p>
        </w:tc>
        <w:tc>
          <w:tcPr>
            <w:tcW w:w="4842" w:type="dxa"/>
            <w:tcBorders>
              <w:top w:val="single" w:sz="4" w:space="0" w:color="auto"/>
            </w:tcBorders>
            <w:vAlign w:val="center"/>
          </w:tcPr>
          <w:p w14:paraId="408FBC44" w14:textId="398CDE40" w:rsidR="00C257C6" w:rsidRPr="006232F5" w:rsidRDefault="00DA05CA" w:rsidP="006B67C6">
            <w:pPr>
              <w:spacing w:before="120"/>
              <w:rPr>
                <w:rFonts w:cs="Arial"/>
                <w:szCs w:val="22"/>
              </w:rPr>
            </w:pPr>
            <w:r w:rsidRPr="006232F5">
              <w:rPr>
                <w:rFonts w:cs="Arial"/>
                <w:sz w:val="22"/>
                <w:szCs w:val="22"/>
              </w:rPr>
              <w:t>Dimitar Tonev</w:t>
            </w:r>
          </w:p>
        </w:tc>
      </w:tr>
      <w:tr w:rsidR="00C257C6" w:rsidRPr="006232F5" w14:paraId="0554530D" w14:textId="77777777" w:rsidTr="009678E9">
        <w:trPr>
          <w:trHeight w:val="690"/>
        </w:trPr>
        <w:tc>
          <w:tcPr>
            <w:tcW w:w="4622" w:type="dxa"/>
            <w:vAlign w:val="center"/>
          </w:tcPr>
          <w:p w14:paraId="708EC512" w14:textId="77777777" w:rsidR="00C257C6" w:rsidRPr="006232F5" w:rsidRDefault="00C257C6" w:rsidP="006B67C6">
            <w:pPr>
              <w:spacing w:before="120"/>
              <w:rPr>
                <w:rFonts w:cs="Arial"/>
                <w:b/>
                <w:szCs w:val="22"/>
              </w:rPr>
            </w:pPr>
            <w:r w:rsidRPr="006232F5">
              <w:rPr>
                <w:rFonts w:cs="Arial"/>
                <w:b/>
                <w:sz w:val="22"/>
                <w:szCs w:val="22"/>
              </w:rPr>
              <w:t>Position:</w:t>
            </w:r>
          </w:p>
        </w:tc>
        <w:tc>
          <w:tcPr>
            <w:tcW w:w="4842" w:type="dxa"/>
            <w:vAlign w:val="center"/>
          </w:tcPr>
          <w:p w14:paraId="302B39C7" w14:textId="413C18B6" w:rsidR="00C257C6" w:rsidRPr="006232F5" w:rsidRDefault="00DA05CA" w:rsidP="006B67C6">
            <w:pPr>
              <w:spacing w:before="120"/>
              <w:rPr>
                <w:rFonts w:cs="Arial"/>
                <w:szCs w:val="22"/>
              </w:rPr>
            </w:pPr>
            <w:r w:rsidRPr="006232F5">
              <w:rPr>
                <w:rFonts w:cs="Arial"/>
                <w:sz w:val="22"/>
                <w:szCs w:val="22"/>
              </w:rPr>
              <w:t>Medical Director</w:t>
            </w:r>
          </w:p>
        </w:tc>
      </w:tr>
      <w:tr w:rsidR="00C257C6" w:rsidRPr="006232F5" w14:paraId="17B0CB26" w14:textId="77777777" w:rsidTr="006B67C6">
        <w:trPr>
          <w:trHeight w:val="1551"/>
        </w:trPr>
        <w:tc>
          <w:tcPr>
            <w:tcW w:w="4622" w:type="dxa"/>
            <w:vAlign w:val="center"/>
          </w:tcPr>
          <w:p w14:paraId="0F02BF57" w14:textId="77777777" w:rsidR="00C257C6" w:rsidRPr="006232F5" w:rsidRDefault="00C257C6" w:rsidP="006B67C6">
            <w:pPr>
              <w:spacing w:before="120"/>
              <w:rPr>
                <w:rFonts w:cs="Arial"/>
                <w:b/>
                <w:szCs w:val="22"/>
              </w:rPr>
            </w:pPr>
            <w:r w:rsidRPr="006232F5">
              <w:rPr>
                <w:rFonts w:cs="Arial"/>
                <w:b/>
                <w:sz w:val="22"/>
                <w:szCs w:val="22"/>
              </w:rPr>
              <w:t>Signature:</w:t>
            </w:r>
          </w:p>
        </w:tc>
        <w:tc>
          <w:tcPr>
            <w:tcW w:w="4842" w:type="dxa"/>
            <w:vAlign w:val="center"/>
          </w:tcPr>
          <w:p w14:paraId="7773271F" w14:textId="32995B3C" w:rsidR="00C257C6" w:rsidRPr="006232F5" w:rsidRDefault="009678E9" w:rsidP="006B67C6">
            <w:pPr>
              <w:spacing w:before="120"/>
              <w:rPr>
                <w:rFonts w:cs="Arial"/>
                <w:szCs w:val="22"/>
              </w:rPr>
            </w:pPr>
            <w:r>
              <w:rPr>
                <w:rFonts w:cs="Arial"/>
                <w:noProof/>
                <w:szCs w:val="22"/>
                <w:lang w:eastAsia="en-GB"/>
              </w:rPr>
              <w:drawing>
                <wp:inline distT="0" distB="0" distL="0" distR="0" wp14:anchorId="56E150B9" wp14:editId="2ACF53B8">
                  <wp:extent cx="918809" cy="1275970"/>
                  <wp:effectExtent l="0" t="953" r="0" b="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18809" cy="1275970"/>
                          </a:xfrm>
                          <a:prstGeom prst="rect">
                            <a:avLst/>
                          </a:prstGeom>
                          <a:noFill/>
                          <a:ln>
                            <a:noFill/>
                          </a:ln>
                        </pic:spPr>
                      </pic:pic>
                    </a:graphicData>
                  </a:graphic>
                </wp:inline>
              </w:drawing>
            </w:r>
          </w:p>
        </w:tc>
      </w:tr>
      <w:tr w:rsidR="00C257C6" w:rsidRPr="006232F5" w14:paraId="6B6907AD" w14:textId="77777777" w:rsidTr="009678E9">
        <w:tc>
          <w:tcPr>
            <w:tcW w:w="4622" w:type="dxa"/>
            <w:tcBorders>
              <w:bottom w:val="single" w:sz="4" w:space="0" w:color="auto"/>
            </w:tcBorders>
            <w:vAlign w:val="center"/>
          </w:tcPr>
          <w:p w14:paraId="746E2015" w14:textId="77777777" w:rsidR="00C257C6" w:rsidRPr="006232F5" w:rsidRDefault="00C257C6" w:rsidP="006B67C6">
            <w:pPr>
              <w:spacing w:before="120"/>
              <w:rPr>
                <w:rFonts w:cs="Arial"/>
                <w:b/>
                <w:szCs w:val="22"/>
              </w:rPr>
            </w:pPr>
            <w:r w:rsidRPr="006232F5">
              <w:rPr>
                <w:rFonts w:cs="Arial"/>
                <w:b/>
                <w:sz w:val="22"/>
                <w:szCs w:val="22"/>
              </w:rPr>
              <w:t>Date:</w:t>
            </w:r>
          </w:p>
        </w:tc>
        <w:tc>
          <w:tcPr>
            <w:tcW w:w="4842" w:type="dxa"/>
            <w:tcBorders>
              <w:bottom w:val="single" w:sz="4" w:space="0" w:color="auto"/>
            </w:tcBorders>
            <w:vAlign w:val="center"/>
          </w:tcPr>
          <w:p w14:paraId="3FD1B712" w14:textId="18BFBC0E" w:rsidR="00C257C6" w:rsidRPr="006232F5" w:rsidRDefault="00DA05CA" w:rsidP="006B67C6">
            <w:pPr>
              <w:spacing w:before="120"/>
              <w:rPr>
                <w:rFonts w:cs="Arial"/>
                <w:szCs w:val="22"/>
              </w:rPr>
            </w:pPr>
            <w:r w:rsidRPr="006232F5">
              <w:rPr>
                <w:rFonts w:cs="Arial"/>
                <w:sz w:val="22"/>
                <w:szCs w:val="22"/>
              </w:rPr>
              <w:t>2</w:t>
            </w:r>
            <w:r w:rsidRPr="006232F5">
              <w:rPr>
                <w:rFonts w:cs="Arial"/>
                <w:sz w:val="22"/>
                <w:szCs w:val="22"/>
                <w:vertAlign w:val="superscript"/>
              </w:rPr>
              <w:t>nd</w:t>
            </w:r>
            <w:r w:rsidRPr="006232F5">
              <w:rPr>
                <w:rFonts w:cs="Arial"/>
                <w:sz w:val="22"/>
                <w:szCs w:val="22"/>
              </w:rPr>
              <w:t xml:space="preserve"> February 2015</w:t>
            </w:r>
          </w:p>
        </w:tc>
      </w:tr>
    </w:tbl>
    <w:p w14:paraId="37586565" w14:textId="77777777" w:rsidR="00C257C6" w:rsidRPr="006232F5" w:rsidRDefault="00C257C6" w:rsidP="00C257C6">
      <w:pPr>
        <w:rPr>
          <w:rFonts w:cs="Arial"/>
          <w:sz w:val="22"/>
          <w:szCs w:val="22"/>
        </w:rPr>
      </w:pPr>
    </w:p>
    <w:p w14:paraId="55369CBF" w14:textId="77777777" w:rsidR="00C257C6" w:rsidRPr="006232F5" w:rsidRDefault="00C257C6" w:rsidP="00C257C6">
      <w:pPr>
        <w:rPr>
          <w:rFonts w:cs="Arial"/>
          <w:b/>
          <w:sz w:val="22"/>
          <w:szCs w:val="22"/>
        </w:rPr>
      </w:pPr>
      <w:r w:rsidRPr="006232F5">
        <w:rPr>
          <w:rFonts w:cs="Arial"/>
          <w:b/>
          <w:sz w:val="22"/>
          <w:szCs w:val="22"/>
        </w:rPr>
        <w:t>For submissions with a Patient Access Scheme (PAS)</w:t>
      </w:r>
    </w:p>
    <w:p w14:paraId="2B28290C" w14:textId="77777777" w:rsidR="00C257C6" w:rsidRPr="006232F5" w:rsidRDefault="00C257C6" w:rsidP="00C257C6">
      <w:pPr>
        <w:spacing w:after="240"/>
        <w:jc w:val="both"/>
        <w:rPr>
          <w:rFonts w:cs="Arial"/>
          <w:b/>
          <w:sz w:val="22"/>
          <w:szCs w:val="22"/>
        </w:rPr>
      </w:pPr>
      <w:r w:rsidRPr="006232F5">
        <w:rPr>
          <w:rFonts w:cs="Arial"/>
          <w:i/>
          <w:iCs/>
          <w:sz w:val="22"/>
          <w:szCs w:val="22"/>
          <w:lang w:val="en-US"/>
        </w:rPr>
        <w:t>I understand that if a future SMC submission refers to this product as a comparator and the SMC considers that, on account of the PAS, there is not enough information on this product in the public domain to make the economic comparison, we will be required to provide the essential additional information to the competitor company, on a confidential basis.</w:t>
      </w:r>
      <w:r w:rsidRPr="006232F5">
        <w:rPr>
          <w:rFonts w:cs="Arial"/>
          <w:b/>
          <w:sz w:val="22"/>
          <w:szCs w:val="22"/>
        </w:rPr>
        <w:tab/>
      </w:r>
    </w:p>
    <w:tbl>
      <w:tblPr>
        <w:tblW w:w="94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4842"/>
      </w:tblGrid>
      <w:tr w:rsidR="00C257C6" w:rsidRPr="006232F5" w14:paraId="1A0D4014" w14:textId="77777777" w:rsidTr="009678E9">
        <w:tc>
          <w:tcPr>
            <w:tcW w:w="4622" w:type="dxa"/>
            <w:tcBorders>
              <w:top w:val="single" w:sz="4" w:space="0" w:color="auto"/>
            </w:tcBorders>
            <w:vAlign w:val="center"/>
          </w:tcPr>
          <w:p w14:paraId="3EBB8D26" w14:textId="77777777" w:rsidR="00C257C6" w:rsidRPr="006232F5" w:rsidRDefault="00C257C6" w:rsidP="00A4092E">
            <w:pPr>
              <w:spacing w:before="120" w:after="120"/>
              <w:rPr>
                <w:rFonts w:cs="Arial"/>
                <w:b/>
                <w:szCs w:val="22"/>
              </w:rPr>
            </w:pPr>
            <w:r w:rsidRPr="006232F5">
              <w:rPr>
                <w:rFonts w:cs="Arial"/>
                <w:b/>
                <w:sz w:val="22"/>
                <w:szCs w:val="22"/>
              </w:rPr>
              <w:t>Name:</w:t>
            </w:r>
          </w:p>
        </w:tc>
        <w:tc>
          <w:tcPr>
            <w:tcW w:w="4842" w:type="dxa"/>
            <w:tcBorders>
              <w:top w:val="single" w:sz="4" w:space="0" w:color="auto"/>
            </w:tcBorders>
            <w:vAlign w:val="center"/>
          </w:tcPr>
          <w:p w14:paraId="3C22B1D6" w14:textId="1D4F6FF9" w:rsidR="00C257C6" w:rsidRPr="006232F5" w:rsidRDefault="00DA05CA" w:rsidP="00A4092E">
            <w:pPr>
              <w:spacing w:before="120" w:after="120"/>
              <w:rPr>
                <w:rFonts w:cs="Arial"/>
                <w:szCs w:val="22"/>
              </w:rPr>
            </w:pPr>
            <w:r w:rsidRPr="006232F5">
              <w:rPr>
                <w:rFonts w:cs="Arial"/>
                <w:sz w:val="22"/>
                <w:szCs w:val="22"/>
              </w:rPr>
              <w:t>NOT APPLICABLE</w:t>
            </w:r>
          </w:p>
        </w:tc>
      </w:tr>
      <w:tr w:rsidR="00C257C6" w:rsidRPr="006232F5" w14:paraId="154212CA" w14:textId="77777777" w:rsidTr="009678E9">
        <w:tc>
          <w:tcPr>
            <w:tcW w:w="4622" w:type="dxa"/>
            <w:vAlign w:val="center"/>
          </w:tcPr>
          <w:p w14:paraId="095FF0DF" w14:textId="5671A77D" w:rsidR="00C257C6" w:rsidRPr="006232F5" w:rsidRDefault="00DA05CA" w:rsidP="00A4092E">
            <w:pPr>
              <w:spacing w:before="120" w:after="120"/>
              <w:rPr>
                <w:rFonts w:cs="Arial"/>
                <w:b/>
                <w:szCs w:val="22"/>
              </w:rPr>
            </w:pPr>
            <w:r w:rsidRPr="006232F5">
              <w:rPr>
                <w:rFonts w:cs="Arial"/>
                <w:b/>
                <w:sz w:val="22"/>
                <w:szCs w:val="22"/>
              </w:rPr>
              <w:t>Position:</w:t>
            </w:r>
          </w:p>
        </w:tc>
        <w:tc>
          <w:tcPr>
            <w:tcW w:w="4842" w:type="dxa"/>
            <w:vAlign w:val="center"/>
          </w:tcPr>
          <w:p w14:paraId="40A857EE" w14:textId="40B22CDA" w:rsidR="00C257C6" w:rsidRPr="006232F5" w:rsidRDefault="00DA05CA" w:rsidP="00A4092E">
            <w:pPr>
              <w:spacing w:before="120" w:after="120"/>
              <w:rPr>
                <w:rFonts w:cs="Arial"/>
                <w:szCs w:val="22"/>
              </w:rPr>
            </w:pPr>
            <w:r w:rsidRPr="006232F5">
              <w:rPr>
                <w:rFonts w:cs="Arial"/>
                <w:sz w:val="22"/>
                <w:szCs w:val="22"/>
              </w:rPr>
              <w:t>NOT APPLICABLE</w:t>
            </w:r>
          </w:p>
        </w:tc>
      </w:tr>
      <w:tr w:rsidR="00C257C6" w:rsidRPr="006232F5" w14:paraId="2A9AAE3E" w14:textId="77777777" w:rsidTr="009678E9">
        <w:tc>
          <w:tcPr>
            <w:tcW w:w="4622" w:type="dxa"/>
            <w:vAlign w:val="center"/>
          </w:tcPr>
          <w:p w14:paraId="22D7943E" w14:textId="77777777" w:rsidR="00C257C6" w:rsidRPr="006232F5" w:rsidRDefault="00C257C6" w:rsidP="00A4092E">
            <w:pPr>
              <w:spacing w:before="120" w:after="120"/>
              <w:rPr>
                <w:rFonts w:cs="Arial"/>
                <w:b/>
                <w:szCs w:val="22"/>
              </w:rPr>
            </w:pPr>
            <w:r w:rsidRPr="006232F5">
              <w:rPr>
                <w:rFonts w:cs="Arial"/>
                <w:b/>
                <w:sz w:val="22"/>
                <w:szCs w:val="22"/>
              </w:rPr>
              <w:t>Signature:</w:t>
            </w:r>
          </w:p>
        </w:tc>
        <w:tc>
          <w:tcPr>
            <w:tcW w:w="4842" w:type="dxa"/>
            <w:vAlign w:val="center"/>
          </w:tcPr>
          <w:p w14:paraId="435EE597" w14:textId="0E6F8C5A" w:rsidR="00C257C6" w:rsidRPr="006232F5" w:rsidRDefault="00DA05CA" w:rsidP="00A4092E">
            <w:pPr>
              <w:spacing w:before="120" w:after="120"/>
              <w:rPr>
                <w:rFonts w:cs="Arial"/>
                <w:szCs w:val="22"/>
              </w:rPr>
            </w:pPr>
            <w:r w:rsidRPr="006232F5">
              <w:rPr>
                <w:rFonts w:cs="Arial"/>
                <w:sz w:val="22"/>
                <w:szCs w:val="22"/>
              </w:rPr>
              <w:t>NOT APPLICABLE</w:t>
            </w:r>
          </w:p>
        </w:tc>
      </w:tr>
      <w:tr w:rsidR="00C257C6" w:rsidRPr="006232F5" w14:paraId="4D2E4CF8" w14:textId="77777777" w:rsidTr="009678E9">
        <w:tc>
          <w:tcPr>
            <w:tcW w:w="4622" w:type="dxa"/>
            <w:tcBorders>
              <w:bottom w:val="single" w:sz="4" w:space="0" w:color="auto"/>
            </w:tcBorders>
            <w:vAlign w:val="center"/>
          </w:tcPr>
          <w:p w14:paraId="0B1B58F1" w14:textId="77777777" w:rsidR="00C257C6" w:rsidRPr="006232F5" w:rsidRDefault="00C257C6" w:rsidP="00A4092E">
            <w:pPr>
              <w:spacing w:before="120" w:after="120"/>
              <w:rPr>
                <w:rFonts w:cs="Arial"/>
                <w:b/>
                <w:szCs w:val="22"/>
              </w:rPr>
            </w:pPr>
            <w:r w:rsidRPr="006232F5">
              <w:rPr>
                <w:rFonts w:cs="Arial"/>
                <w:b/>
                <w:sz w:val="22"/>
                <w:szCs w:val="22"/>
              </w:rPr>
              <w:lastRenderedPageBreak/>
              <w:t>Date:</w:t>
            </w:r>
          </w:p>
        </w:tc>
        <w:tc>
          <w:tcPr>
            <w:tcW w:w="4842" w:type="dxa"/>
            <w:tcBorders>
              <w:bottom w:val="single" w:sz="4" w:space="0" w:color="auto"/>
            </w:tcBorders>
            <w:vAlign w:val="center"/>
          </w:tcPr>
          <w:p w14:paraId="332FD5EA" w14:textId="68681469" w:rsidR="00C257C6" w:rsidRPr="006232F5" w:rsidRDefault="00DA05CA" w:rsidP="00A4092E">
            <w:pPr>
              <w:spacing w:before="120" w:after="120"/>
              <w:rPr>
                <w:rFonts w:cs="Arial"/>
                <w:szCs w:val="22"/>
              </w:rPr>
            </w:pPr>
            <w:r w:rsidRPr="006232F5">
              <w:rPr>
                <w:rFonts w:cs="Arial"/>
                <w:sz w:val="22"/>
                <w:szCs w:val="22"/>
              </w:rPr>
              <w:t>NOT APPLICABLE</w:t>
            </w:r>
          </w:p>
        </w:tc>
      </w:tr>
    </w:tbl>
    <w:p w14:paraId="044BB391" w14:textId="77777777" w:rsidR="00C257C6" w:rsidRPr="006232F5" w:rsidRDefault="00C257C6" w:rsidP="00C257C6">
      <w:pPr>
        <w:rPr>
          <w:rFonts w:cs="Arial"/>
          <w:sz w:val="22"/>
          <w:szCs w:val="22"/>
        </w:rPr>
      </w:pPr>
    </w:p>
    <w:p w14:paraId="6734839C" w14:textId="77777777" w:rsidR="00C257C6" w:rsidRPr="006232F5" w:rsidRDefault="00C257C6" w:rsidP="00C257C6">
      <w:pPr>
        <w:rPr>
          <w:rFonts w:cs="Arial"/>
          <w:sz w:val="22"/>
          <w:szCs w:val="22"/>
        </w:rPr>
      </w:pPr>
      <w:r w:rsidRPr="006232F5">
        <w:rPr>
          <w:rFonts w:cs="Arial"/>
          <w:b/>
          <w:bCs/>
          <w:sz w:val="22"/>
          <w:szCs w:val="22"/>
        </w:rPr>
        <w:t>For Further Information Please Contact:</w:t>
      </w:r>
    </w:p>
    <w:tbl>
      <w:tblPr>
        <w:tblW w:w="94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4842"/>
      </w:tblGrid>
      <w:tr w:rsidR="00C257C6" w:rsidRPr="006232F5" w14:paraId="3567747F" w14:textId="77777777" w:rsidTr="009678E9">
        <w:tc>
          <w:tcPr>
            <w:tcW w:w="4622" w:type="dxa"/>
            <w:tcBorders>
              <w:top w:val="single" w:sz="4" w:space="0" w:color="auto"/>
            </w:tcBorders>
            <w:vAlign w:val="center"/>
          </w:tcPr>
          <w:p w14:paraId="64A9F1E1" w14:textId="77777777" w:rsidR="00C257C6" w:rsidRPr="006232F5" w:rsidRDefault="00C257C6" w:rsidP="00A4092E">
            <w:pPr>
              <w:spacing w:before="120" w:after="120"/>
              <w:rPr>
                <w:rFonts w:cs="Arial"/>
                <w:b/>
                <w:szCs w:val="22"/>
              </w:rPr>
            </w:pPr>
            <w:r w:rsidRPr="006232F5">
              <w:rPr>
                <w:rFonts w:cs="Arial"/>
                <w:b/>
                <w:sz w:val="22"/>
                <w:szCs w:val="22"/>
              </w:rPr>
              <w:t>Name:</w:t>
            </w:r>
          </w:p>
        </w:tc>
        <w:tc>
          <w:tcPr>
            <w:tcW w:w="4842" w:type="dxa"/>
            <w:tcBorders>
              <w:top w:val="single" w:sz="4" w:space="0" w:color="auto"/>
            </w:tcBorders>
            <w:vAlign w:val="center"/>
          </w:tcPr>
          <w:p w14:paraId="66B12864" w14:textId="7BE4A70A" w:rsidR="00C257C6" w:rsidRPr="006232F5" w:rsidRDefault="00DA05CA" w:rsidP="00A4092E">
            <w:pPr>
              <w:spacing w:before="120" w:after="120"/>
              <w:rPr>
                <w:rFonts w:cs="Arial"/>
                <w:szCs w:val="22"/>
              </w:rPr>
            </w:pPr>
            <w:r w:rsidRPr="006232F5">
              <w:rPr>
                <w:rFonts w:cs="Arial"/>
                <w:sz w:val="22"/>
                <w:szCs w:val="22"/>
              </w:rPr>
              <w:t>Dimitar Tonev</w:t>
            </w:r>
          </w:p>
        </w:tc>
      </w:tr>
      <w:tr w:rsidR="00C257C6" w:rsidRPr="006232F5" w14:paraId="1B0A06DE" w14:textId="77777777" w:rsidTr="009678E9">
        <w:tc>
          <w:tcPr>
            <w:tcW w:w="4622" w:type="dxa"/>
            <w:vAlign w:val="center"/>
          </w:tcPr>
          <w:p w14:paraId="5CED02C1" w14:textId="77777777" w:rsidR="00C257C6" w:rsidRPr="006232F5" w:rsidRDefault="00C257C6" w:rsidP="00A4092E">
            <w:pPr>
              <w:spacing w:before="120" w:after="120"/>
              <w:rPr>
                <w:rFonts w:cs="Arial"/>
                <w:b/>
                <w:szCs w:val="22"/>
              </w:rPr>
            </w:pPr>
            <w:r w:rsidRPr="006232F5">
              <w:rPr>
                <w:rFonts w:cs="Arial"/>
                <w:b/>
                <w:sz w:val="22"/>
                <w:szCs w:val="22"/>
              </w:rPr>
              <w:t>Position:</w:t>
            </w:r>
          </w:p>
        </w:tc>
        <w:tc>
          <w:tcPr>
            <w:tcW w:w="4842" w:type="dxa"/>
            <w:vAlign w:val="center"/>
          </w:tcPr>
          <w:p w14:paraId="0B8F7F0F" w14:textId="1F3943A1" w:rsidR="00C257C6" w:rsidRPr="006232F5" w:rsidRDefault="00DA05CA" w:rsidP="00A4092E">
            <w:pPr>
              <w:spacing w:before="120" w:after="120"/>
              <w:rPr>
                <w:rFonts w:cs="Arial"/>
                <w:szCs w:val="22"/>
              </w:rPr>
            </w:pPr>
            <w:r w:rsidRPr="006232F5">
              <w:rPr>
                <w:rFonts w:cs="Arial"/>
                <w:sz w:val="22"/>
                <w:szCs w:val="22"/>
              </w:rPr>
              <w:t>Medical Director</w:t>
            </w:r>
          </w:p>
        </w:tc>
      </w:tr>
      <w:tr w:rsidR="00C257C6" w:rsidRPr="006232F5" w14:paraId="55ECD879" w14:textId="77777777" w:rsidTr="009678E9">
        <w:tc>
          <w:tcPr>
            <w:tcW w:w="4622" w:type="dxa"/>
            <w:vAlign w:val="center"/>
          </w:tcPr>
          <w:p w14:paraId="6AB630C3" w14:textId="77777777" w:rsidR="00C257C6" w:rsidRPr="006232F5" w:rsidRDefault="00C257C6" w:rsidP="00A4092E">
            <w:pPr>
              <w:spacing w:before="120" w:after="120"/>
              <w:rPr>
                <w:rFonts w:cs="Arial"/>
                <w:b/>
                <w:szCs w:val="22"/>
              </w:rPr>
            </w:pPr>
            <w:r w:rsidRPr="006232F5">
              <w:rPr>
                <w:rFonts w:cs="Arial"/>
                <w:b/>
                <w:sz w:val="22"/>
                <w:szCs w:val="22"/>
              </w:rPr>
              <w:t>Address:</w:t>
            </w:r>
          </w:p>
        </w:tc>
        <w:tc>
          <w:tcPr>
            <w:tcW w:w="4842" w:type="dxa"/>
            <w:vAlign w:val="center"/>
          </w:tcPr>
          <w:p w14:paraId="6A7998EE" w14:textId="3768A69D" w:rsidR="00C257C6" w:rsidRPr="0020398B" w:rsidRDefault="00DA05CA" w:rsidP="00A4092E">
            <w:pPr>
              <w:spacing w:before="120" w:after="120"/>
              <w:rPr>
                <w:rFonts w:cs="Arial"/>
                <w:sz w:val="22"/>
                <w:szCs w:val="22"/>
              </w:rPr>
            </w:pPr>
            <w:r w:rsidRPr="0020398B">
              <w:rPr>
                <w:rFonts w:cs="Arial"/>
                <w:sz w:val="22"/>
                <w:szCs w:val="22"/>
                <w:lang w:val="en-US" w:eastAsia="ja-JP"/>
              </w:rPr>
              <w:t>Unit 1</w:t>
            </w:r>
            <w:r w:rsidR="0020398B">
              <w:rPr>
                <w:rFonts w:cs="Arial"/>
                <w:sz w:val="22"/>
                <w:szCs w:val="22"/>
                <w:lang w:val="en-US" w:eastAsia="ja-JP"/>
              </w:rPr>
              <w:t>,</w:t>
            </w:r>
            <w:r w:rsidRPr="0020398B">
              <w:rPr>
                <w:rFonts w:cs="Arial"/>
                <w:sz w:val="22"/>
                <w:szCs w:val="22"/>
                <w:lang w:val="en-US" w:eastAsia="ja-JP"/>
              </w:rPr>
              <w:t> Horizon Business Village, 1 Brooklands Road, Weybridge, Surrey, KT13 0RU</w:t>
            </w:r>
          </w:p>
        </w:tc>
      </w:tr>
      <w:tr w:rsidR="00C257C6" w:rsidRPr="006232F5" w14:paraId="1E75DD6C" w14:textId="77777777" w:rsidTr="009678E9">
        <w:tc>
          <w:tcPr>
            <w:tcW w:w="4622" w:type="dxa"/>
            <w:vAlign w:val="center"/>
          </w:tcPr>
          <w:p w14:paraId="7A397704" w14:textId="77777777" w:rsidR="00C257C6" w:rsidRPr="006232F5" w:rsidRDefault="00C257C6" w:rsidP="00A4092E">
            <w:pPr>
              <w:spacing w:before="120" w:after="120"/>
              <w:rPr>
                <w:rFonts w:cs="Arial"/>
                <w:b/>
                <w:szCs w:val="22"/>
              </w:rPr>
            </w:pPr>
            <w:r w:rsidRPr="006232F5">
              <w:rPr>
                <w:rFonts w:cs="Arial"/>
                <w:b/>
                <w:sz w:val="22"/>
                <w:szCs w:val="22"/>
              </w:rPr>
              <w:t>Phone Number:</w:t>
            </w:r>
          </w:p>
        </w:tc>
        <w:tc>
          <w:tcPr>
            <w:tcW w:w="4842" w:type="dxa"/>
            <w:vAlign w:val="center"/>
          </w:tcPr>
          <w:p w14:paraId="0997C539" w14:textId="63AAC70C" w:rsidR="00C257C6" w:rsidRPr="00230D49" w:rsidRDefault="00230D49" w:rsidP="00A4092E">
            <w:pPr>
              <w:spacing w:before="120" w:after="120"/>
              <w:rPr>
                <w:rFonts w:cs="Arial"/>
                <w:sz w:val="22"/>
                <w:szCs w:val="22"/>
              </w:rPr>
            </w:pPr>
            <w:r w:rsidRPr="00230D49">
              <w:rPr>
                <w:rFonts w:cs="Arial"/>
                <w:sz w:val="22"/>
                <w:szCs w:val="22"/>
                <w:lang w:val="en-US" w:eastAsia="ja-JP"/>
              </w:rPr>
              <w:t>07823 557 100</w:t>
            </w:r>
          </w:p>
        </w:tc>
      </w:tr>
      <w:tr w:rsidR="00C257C6" w:rsidRPr="006232F5" w14:paraId="62B7860B" w14:textId="77777777" w:rsidTr="009678E9">
        <w:tc>
          <w:tcPr>
            <w:tcW w:w="4622" w:type="dxa"/>
            <w:tcBorders>
              <w:bottom w:val="single" w:sz="4" w:space="0" w:color="auto"/>
            </w:tcBorders>
            <w:vAlign w:val="center"/>
          </w:tcPr>
          <w:p w14:paraId="2ABC372D" w14:textId="77777777" w:rsidR="00C257C6" w:rsidRPr="006232F5" w:rsidRDefault="00C257C6" w:rsidP="00A4092E">
            <w:pPr>
              <w:spacing w:before="120" w:after="120"/>
              <w:rPr>
                <w:rFonts w:cs="Arial"/>
                <w:b/>
                <w:szCs w:val="22"/>
              </w:rPr>
            </w:pPr>
            <w:r w:rsidRPr="006232F5">
              <w:rPr>
                <w:rFonts w:cs="Arial"/>
                <w:b/>
                <w:sz w:val="22"/>
                <w:szCs w:val="22"/>
              </w:rPr>
              <w:t>E-mail:</w:t>
            </w:r>
          </w:p>
        </w:tc>
        <w:tc>
          <w:tcPr>
            <w:tcW w:w="4842" w:type="dxa"/>
            <w:tcBorders>
              <w:bottom w:val="single" w:sz="4" w:space="0" w:color="auto"/>
            </w:tcBorders>
            <w:vAlign w:val="center"/>
          </w:tcPr>
          <w:p w14:paraId="119D8301" w14:textId="00DC221B" w:rsidR="00C257C6" w:rsidRPr="006232F5" w:rsidRDefault="00D8648C" w:rsidP="00A4092E">
            <w:pPr>
              <w:spacing w:before="120" w:after="120"/>
              <w:rPr>
                <w:rFonts w:cs="Arial"/>
                <w:szCs w:val="22"/>
              </w:rPr>
            </w:pPr>
            <w:hyperlink r:id="rId13" w:history="1">
              <w:r w:rsidR="00A21E46" w:rsidRPr="00751593">
                <w:rPr>
                  <w:rStyle w:val="Hyperlink"/>
                  <w:rFonts w:cs="Arial"/>
                  <w:sz w:val="22"/>
                  <w:szCs w:val="22"/>
                </w:rPr>
                <w:t>dimitar.tonev@cubist.com</w:t>
              </w:r>
            </w:hyperlink>
          </w:p>
        </w:tc>
      </w:tr>
    </w:tbl>
    <w:p w14:paraId="359E352E" w14:textId="77777777" w:rsidR="00C257C6" w:rsidRPr="008E4E92" w:rsidRDefault="00C257C6" w:rsidP="00C257C6">
      <w:pPr>
        <w:rPr>
          <w:rFonts w:cs="Arial"/>
          <w:b/>
          <w:sz w:val="22"/>
          <w:szCs w:val="22"/>
        </w:rPr>
      </w:pPr>
    </w:p>
    <w:p w14:paraId="116AEFBE" w14:textId="77777777" w:rsidR="00C257C6" w:rsidRPr="008E4E92" w:rsidRDefault="00C257C6" w:rsidP="00C257C6">
      <w:pPr>
        <w:jc w:val="both"/>
        <w:rPr>
          <w:rFonts w:cs="Arial"/>
          <w:b/>
          <w:color w:val="000000"/>
          <w:sz w:val="22"/>
          <w:szCs w:val="22"/>
        </w:rPr>
      </w:pPr>
      <w:r w:rsidRPr="008E4E92">
        <w:rPr>
          <w:rFonts w:cs="Arial"/>
          <w:b/>
          <w:color w:val="000000"/>
          <w:sz w:val="22"/>
          <w:szCs w:val="22"/>
        </w:rPr>
        <w:t xml:space="preserve">Please refer to the </w:t>
      </w:r>
      <w:hyperlink r:id="rId14" w:history="1">
        <w:r w:rsidRPr="008E4E92">
          <w:rPr>
            <w:rStyle w:val="Hyperlink"/>
            <w:rFonts w:cs="Arial"/>
            <w:b/>
            <w:color w:val="7030A0"/>
            <w:sz w:val="22"/>
            <w:szCs w:val="22"/>
          </w:rPr>
          <w:t>Guidance to Manufacturers</w:t>
        </w:r>
      </w:hyperlink>
      <w:r w:rsidRPr="008E4E92">
        <w:rPr>
          <w:rFonts w:cs="Arial"/>
          <w:b/>
          <w:color w:val="000000"/>
          <w:sz w:val="22"/>
          <w:szCs w:val="22"/>
        </w:rPr>
        <w:t xml:space="preserve"> (Revised April 2014) and </w:t>
      </w:r>
      <w:hyperlink r:id="rId15" w:history="1">
        <w:r w:rsidRPr="008E4E92">
          <w:rPr>
            <w:rStyle w:val="Hyperlink"/>
            <w:rFonts w:cs="Arial"/>
            <w:b/>
            <w:color w:val="7030A0"/>
            <w:sz w:val="22"/>
            <w:szCs w:val="22"/>
          </w:rPr>
          <w:t>Supplement on medicines for end of life and very rare conditions</w:t>
        </w:r>
      </w:hyperlink>
      <w:r w:rsidRPr="008E4E92">
        <w:rPr>
          <w:rFonts w:cs="Arial"/>
          <w:b/>
          <w:color w:val="7030A0"/>
          <w:sz w:val="22"/>
          <w:szCs w:val="22"/>
        </w:rPr>
        <w:t xml:space="preserve"> </w:t>
      </w:r>
      <w:r w:rsidRPr="008E4E92">
        <w:rPr>
          <w:rFonts w:cs="Arial"/>
          <w:b/>
          <w:color w:val="000000"/>
          <w:sz w:val="22"/>
          <w:szCs w:val="22"/>
        </w:rPr>
        <w:t>(June 2014) for completion of the New Product Assessment Form, available from the SMC website.</w:t>
      </w:r>
    </w:p>
    <w:p w14:paraId="4E7C112F" w14:textId="77777777" w:rsidR="00C257C6" w:rsidRPr="008E4E92" w:rsidRDefault="00C257C6" w:rsidP="00C257C6">
      <w:pPr>
        <w:rPr>
          <w:rFonts w:cs="Arial"/>
          <w:b/>
          <w:bCs/>
          <w:sz w:val="22"/>
          <w:szCs w:val="22"/>
        </w:rPr>
      </w:pPr>
    </w:p>
    <w:p w14:paraId="08AC04A8" w14:textId="77777777" w:rsidR="00C257C6" w:rsidRPr="008E4E92" w:rsidRDefault="00C257C6" w:rsidP="00C257C6">
      <w:pPr>
        <w:rPr>
          <w:rFonts w:cs="Arial"/>
          <w:b/>
          <w:sz w:val="22"/>
          <w:szCs w:val="22"/>
        </w:rPr>
      </w:pPr>
      <w:r w:rsidRPr="008E4E92">
        <w:rPr>
          <w:rFonts w:cs="Arial"/>
          <w:b/>
          <w:sz w:val="22"/>
          <w:szCs w:val="22"/>
        </w:rPr>
        <w:br w:type="page"/>
      </w:r>
      <w:bookmarkStart w:id="42" w:name="Patient_Interest_Groups"/>
      <w:r w:rsidRPr="008E4E92">
        <w:rPr>
          <w:rFonts w:cs="Arial"/>
          <w:b/>
          <w:sz w:val="22"/>
          <w:szCs w:val="22"/>
        </w:rPr>
        <w:lastRenderedPageBreak/>
        <w:t>Patient Groups</w:t>
      </w:r>
      <w:bookmarkEnd w:id="42"/>
      <w:r w:rsidRPr="008E4E92">
        <w:rPr>
          <w:rFonts w:cs="Arial"/>
          <w:b/>
          <w:sz w:val="22"/>
          <w:szCs w:val="22"/>
        </w:rPr>
        <w:t xml:space="preserve"> and Voluntary Organisations</w:t>
      </w:r>
    </w:p>
    <w:p w14:paraId="4A3B4692" w14:textId="77777777" w:rsidR="00C257C6" w:rsidRPr="008E4E92" w:rsidRDefault="00C257C6" w:rsidP="00C257C6">
      <w:pPr>
        <w:autoSpaceDE w:val="0"/>
        <w:autoSpaceDN w:val="0"/>
        <w:adjustRightInd w:val="0"/>
        <w:rPr>
          <w:rFonts w:cs="Arial"/>
          <w:sz w:val="22"/>
          <w:szCs w:val="22"/>
        </w:rPr>
      </w:pPr>
    </w:p>
    <w:p w14:paraId="5F0F28F4" w14:textId="77777777" w:rsidR="00C257C6" w:rsidRPr="008E4E92" w:rsidRDefault="00C257C6" w:rsidP="00C257C6">
      <w:pPr>
        <w:autoSpaceDE w:val="0"/>
        <w:autoSpaceDN w:val="0"/>
        <w:adjustRightInd w:val="0"/>
        <w:jc w:val="both"/>
        <w:rPr>
          <w:rFonts w:cs="Arial"/>
          <w:sz w:val="22"/>
          <w:szCs w:val="22"/>
        </w:rPr>
      </w:pPr>
      <w:r w:rsidRPr="008E4E92">
        <w:rPr>
          <w:rFonts w:cs="Arial"/>
          <w:sz w:val="22"/>
          <w:szCs w:val="22"/>
        </w:rPr>
        <w:t xml:space="preserve">The Scottish Medicines Consortium (SMC) is committed to involving patient groups and voluntary organisations in its decision making process.  The main objective will be to provide SMC with a patient perspective on the condition being considered.  However representatives of such groups may wish to obtain simple information from the company making a submission.  </w:t>
      </w:r>
    </w:p>
    <w:p w14:paraId="63A2F147" w14:textId="77777777" w:rsidR="00C257C6" w:rsidRPr="008E4E92" w:rsidRDefault="00C257C6" w:rsidP="00C257C6">
      <w:pPr>
        <w:autoSpaceDE w:val="0"/>
        <w:autoSpaceDN w:val="0"/>
        <w:adjustRightInd w:val="0"/>
        <w:jc w:val="both"/>
        <w:rPr>
          <w:rFonts w:cs="Arial"/>
          <w:sz w:val="22"/>
          <w:szCs w:val="22"/>
        </w:rPr>
      </w:pPr>
    </w:p>
    <w:p w14:paraId="7D0F2C6C" w14:textId="77777777" w:rsidR="00C257C6" w:rsidRPr="008E4E92" w:rsidRDefault="00C257C6" w:rsidP="00C257C6">
      <w:pPr>
        <w:autoSpaceDE w:val="0"/>
        <w:autoSpaceDN w:val="0"/>
        <w:adjustRightInd w:val="0"/>
        <w:jc w:val="both"/>
        <w:rPr>
          <w:rFonts w:cs="Arial"/>
          <w:sz w:val="22"/>
          <w:szCs w:val="22"/>
        </w:rPr>
      </w:pPr>
      <w:r w:rsidRPr="008E4E92">
        <w:rPr>
          <w:rFonts w:cs="Arial"/>
          <w:sz w:val="22"/>
          <w:szCs w:val="22"/>
        </w:rPr>
        <w:t>Such requests will be channelled through SMC to the company, as we recognise that they may raise particular issues relating to confidentiality and to codes of practice on promotion of unlicensed medicines.  Please provide a contact name for such requests (which may or may not be the same contact point as on the front page).</w:t>
      </w:r>
    </w:p>
    <w:p w14:paraId="4A282032" w14:textId="77777777" w:rsidR="00C257C6" w:rsidRPr="008E4E92" w:rsidRDefault="00C257C6" w:rsidP="00C257C6">
      <w:pPr>
        <w:autoSpaceDE w:val="0"/>
        <w:autoSpaceDN w:val="0"/>
        <w:adjustRightInd w:val="0"/>
        <w:jc w:val="both"/>
        <w:rPr>
          <w:rFonts w:cs="Arial"/>
          <w:sz w:val="22"/>
          <w:szCs w:val="22"/>
        </w:rPr>
      </w:pPr>
    </w:p>
    <w:p w14:paraId="00680CD6" w14:textId="77777777" w:rsidR="00C257C6" w:rsidRPr="008E4E92" w:rsidRDefault="00C257C6" w:rsidP="00C257C6">
      <w:pPr>
        <w:autoSpaceDE w:val="0"/>
        <w:autoSpaceDN w:val="0"/>
        <w:adjustRightInd w:val="0"/>
        <w:jc w:val="both"/>
        <w:rPr>
          <w:rFonts w:cs="Arial"/>
          <w:sz w:val="22"/>
          <w:szCs w:val="22"/>
        </w:rPr>
      </w:pPr>
      <w:r w:rsidRPr="008E4E92">
        <w:rPr>
          <w:rFonts w:cs="Arial"/>
          <w:b/>
          <w:sz w:val="22"/>
          <w:szCs w:val="22"/>
        </w:rPr>
        <w:t>Please note:</w:t>
      </w:r>
      <w:r w:rsidRPr="008E4E92">
        <w:rPr>
          <w:rFonts w:cs="Arial"/>
          <w:sz w:val="22"/>
          <w:szCs w:val="22"/>
        </w:rPr>
        <w:t xml:space="preserve"> This is a contact point for SMC only.  It will not be given to representatives of Patient Groups without your express permission.</w:t>
      </w:r>
    </w:p>
    <w:p w14:paraId="32C12C15" w14:textId="77777777" w:rsidR="00C257C6" w:rsidRPr="008E4E92" w:rsidRDefault="00C257C6" w:rsidP="00C257C6">
      <w:pPr>
        <w:autoSpaceDE w:val="0"/>
        <w:autoSpaceDN w:val="0"/>
        <w:adjustRightInd w:val="0"/>
        <w:rPr>
          <w:rFonts w:cs="Arial"/>
          <w:sz w:val="22"/>
          <w:szCs w:val="22"/>
        </w:rPr>
      </w:pPr>
    </w:p>
    <w:tbl>
      <w:tblPr>
        <w:tblW w:w="98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5267"/>
      </w:tblGrid>
      <w:tr w:rsidR="00C257C6" w:rsidRPr="008E4E92" w14:paraId="176FF644" w14:textId="77777777" w:rsidTr="00E80326">
        <w:tc>
          <w:tcPr>
            <w:tcW w:w="4622" w:type="dxa"/>
            <w:tcBorders>
              <w:top w:val="single" w:sz="4" w:space="0" w:color="auto"/>
            </w:tcBorders>
          </w:tcPr>
          <w:p w14:paraId="37C50044" w14:textId="77777777" w:rsidR="00C257C6" w:rsidRPr="008E4E92" w:rsidRDefault="00C257C6" w:rsidP="00E80326">
            <w:pPr>
              <w:spacing w:before="240" w:after="240"/>
              <w:rPr>
                <w:rFonts w:cs="Arial"/>
                <w:b/>
                <w:szCs w:val="22"/>
              </w:rPr>
            </w:pPr>
            <w:r w:rsidRPr="008E4E92">
              <w:rPr>
                <w:rFonts w:cs="Arial"/>
                <w:b/>
                <w:sz w:val="22"/>
                <w:szCs w:val="22"/>
              </w:rPr>
              <w:t>Name:</w:t>
            </w:r>
          </w:p>
        </w:tc>
        <w:tc>
          <w:tcPr>
            <w:tcW w:w="5267" w:type="dxa"/>
            <w:tcBorders>
              <w:top w:val="single" w:sz="4" w:space="0" w:color="auto"/>
            </w:tcBorders>
          </w:tcPr>
          <w:p w14:paraId="1BA80261" w14:textId="7B9D14F8" w:rsidR="00C257C6" w:rsidRPr="006232F5" w:rsidRDefault="00A80E73" w:rsidP="00E80326">
            <w:pPr>
              <w:spacing w:before="240" w:after="240"/>
              <w:rPr>
                <w:rFonts w:cs="Arial"/>
                <w:szCs w:val="22"/>
              </w:rPr>
            </w:pPr>
            <w:r w:rsidRPr="006232F5">
              <w:rPr>
                <w:rFonts w:cs="Arial"/>
                <w:sz w:val="22"/>
                <w:szCs w:val="22"/>
              </w:rPr>
              <w:t>Dimitar Tonev</w:t>
            </w:r>
          </w:p>
        </w:tc>
      </w:tr>
      <w:tr w:rsidR="00C257C6" w:rsidRPr="008E4E92" w14:paraId="1D2723F6" w14:textId="77777777" w:rsidTr="00E80326">
        <w:tc>
          <w:tcPr>
            <w:tcW w:w="4622" w:type="dxa"/>
          </w:tcPr>
          <w:p w14:paraId="3D475CEE" w14:textId="77777777" w:rsidR="00C257C6" w:rsidRPr="008E4E92" w:rsidRDefault="00C257C6" w:rsidP="00E80326">
            <w:pPr>
              <w:spacing w:before="240" w:after="240"/>
              <w:rPr>
                <w:rFonts w:cs="Arial"/>
                <w:b/>
                <w:szCs w:val="22"/>
              </w:rPr>
            </w:pPr>
            <w:r w:rsidRPr="008E4E92">
              <w:rPr>
                <w:rFonts w:cs="Arial"/>
                <w:b/>
                <w:sz w:val="22"/>
                <w:szCs w:val="22"/>
              </w:rPr>
              <w:t>Position:</w:t>
            </w:r>
          </w:p>
        </w:tc>
        <w:tc>
          <w:tcPr>
            <w:tcW w:w="5267" w:type="dxa"/>
          </w:tcPr>
          <w:p w14:paraId="75C4E236" w14:textId="6FC129FB" w:rsidR="00C257C6" w:rsidRPr="006232F5" w:rsidRDefault="00CB2F26" w:rsidP="00E80326">
            <w:pPr>
              <w:spacing w:before="240" w:after="240"/>
              <w:rPr>
                <w:rFonts w:cs="Arial"/>
                <w:szCs w:val="22"/>
              </w:rPr>
            </w:pPr>
            <w:r w:rsidRPr="006232F5">
              <w:rPr>
                <w:rFonts w:cs="Arial"/>
                <w:sz w:val="22"/>
                <w:szCs w:val="22"/>
              </w:rPr>
              <w:t>Medical Director, Cubist (UK) Limited</w:t>
            </w:r>
          </w:p>
        </w:tc>
      </w:tr>
      <w:tr w:rsidR="00C257C6" w:rsidRPr="008E4E92" w14:paraId="695A22F8" w14:textId="77777777" w:rsidTr="00E80326">
        <w:tc>
          <w:tcPr>
            <w:tcW w:w="4622" w:type="dxa"/>
          </w:tcPr>
          <w:p w14:paraId="019B4F0A" w14:textId="77777777" w:rsidR="00C257C6" w:rsidRPr="008E4E92" w:rsidRDefault="00C257C6" w:rsidP="00E80326">
            <w:pPr>
              <w:spacing w:before="240" w:after="240"/>
              <w:rPr>
                <w:rFonts w:cs="Arial"/>
                <w:b/>
                <w:szCs w:val="22"/>
              </w:rPr>
            </w:pPr>
            <w:r w:rsidRPr="008E4E92">
              <w:rPr>
                <w:rFonts w:cs="Arial"/>
                <w:b/>
                <w:sz w:val="22"/>
                <w:szCs w:val="22"/>
              </w:rPr>
              <w:t>Address:</w:t>
            </w:r>
          </w:p>
        </w:tc>
        <w:tc>
          <w:tcPr>
            <w:tcW w:w="5267" w:type="dxa"/>
          </w:tcPr>
          <w:p w14:paraId="3E33EEBA" w14:textId="0595BEF6" w:rsidR="00C257C6" w:rsidRPr="006232F5" w:rsidRDefault="001F55CE" w:rsidP="001F55CE">
            <w:pPr>
              <w:widowControl w:val="0"/>
              <w:autoSpaceDE w:val="0"/>
              <w:autoSpaceDN w:val="0"/>
              <w:adjustRightInd w:val="0"/>
              <w:rPr>
                <w:rFonts w:cs="Arial"/>
                <w:szCs w:val="22"/>
                <w:lang w:val="en-US" w:eastAsia="ja-JP"/>
              </w:rPr>
            </w:pPr>
            <w:r w:rsidRPr="006232F5">
              <w:rPr>
                <w:rFonts w:cs="Arial"/>
                <w:sz w:val="22"/>
                <w:szCs w:val="22"/>
                <w:lang w:val="en-US" w:eastAsia="ja-JP"/>
              </w:rPr>
              <w:t>Unit 1</w:t>
            </w:r>
            <w:r w:rsidR="0020398B">
              <w:rPr>
                <w:rFonts w:cs="Arial"/>
                <w:sz w:val="22"/>
                <w:szCs w:val="22"/>
                <w:lang w:val="en-US" w:eastAsia="ja-JP"/>
              </w:rPr>
              <w:t>,</w:t>
            </w:r>
            <w:r w:rsidRPr="006232F5">
              <w:rPr>
                <w:rFonts w:cs="Arial"/>
                <w:sz w:val="22"/>
                <w:szCs w:val="22"/>
                <w:lang w:val="en-US" w:eastAsia="ja-JP"/>
              </w:rPr>
              <w:t> Horizon Business Village, 1 Brooklands Road, Weybridge, Surrey, KT13 0RU</w:t>
            </w:r>
          </w:p>
        </w:tc>
      </w:tr>
      <w:tr w:rsidR="00C257C6" w:rsidRPr="008E4E92" w14:paraId="1E1E7844" w14:textId="77777777" w:rsidTr="00E80326">
        <w:tc>
          <w:tcPr>
            <w:tcW w:w="4622" w:type="dxa"/>
          </w:tcPr>
          <w:p w14:paraId="41FC81C0" w14:textId="77777777" w:rsidR="00C257C6" w:rsidRPr="008E4E92" w:rsidRDefault="00C257C6" w:rsidP="00E80326">
            <w:pPr>
              <w:spacing w:before="240" w:after="240"/>
              <w:rPr>
                <w:rFonts w:cs="Arial"/>
                <w:b/>
                <w:szCs w:val="22"/>
              </w:rPr>
            </w:pPr>
            <w:r w:rsidRPr="008E4E92">
              <w:rPr>
                <w:rFonts w:cs="Arial"/>
                <w:b/>
                <w:sz w:val="22"/>
                <w:szCs w:val="22"/>
              </w:rPr>
              <w:t>Phone Number:</w:t>
            </w:r>
          </w:p>
        </w:tc>
        <w:tc>
          <w:tcPr>
            <w:tcW w:w="5267" w:type="dxa"/>
          </w:tcPr>
          <w:p w14:paraId="0F0A6DAE" w14:textId="16ED4F5F" w:rsidR="00C257C6" w:rsidRPr="0020398B" w:rsidRDefault="00230D49" w:rsidP="00E80326">
            <w:pPr>
              <w:spacing w:before="240" w:after="240"/>
              <w:rPr>
                <w:rFonts w:cs="Arial"/>
                <w:szCs w:val="22"/>
              </w:rPr>
            </w:pPr>
            <w:r w:rsidRPr="00230D49">
              <w:rPr>
                <w:rFonts w:cs="Arial"/>
                <w:sz w:val="22"/>
                <w:szCs w:val="22"/>
                <w:lang w:val="en-US" w:eastAsia="ja-JP"/>
              </w:rPr>
              <w:t>07823 557 100</w:t>
            </w:r>
          </w:p>
        </w:tc>
      </w:tr>
      <w:tr w:rsidR="00C257C6" w:rsidRPr="008E4E92" w14:paraId="7F5D5C8B" w14:textId="77777777" w:rsidTr="00E80326">
        <w:tc>
          <w:tcPr>
            <w:tcW w:w="4622" w:type="dxa"/>
            <w:tcBorders>
              <w:bottom w:val="single" w:sz="4" w:space="0" w:color="auto"/>
            </w:tcBorders>
          </w:tcPr>
          <w:p w14:paraId="11F88A32" w14:textId="77777777" w:rsidR="00C257C6" w:rsidRPr="008E4E92" w:rsidRDefault="00C257C6" w:rsidP="00E80326">
            <w:pPr>
              <w:spacing w:before="240" w:after="240"/>
              <w:rPr>
                <w:rFonts w:cs="Arial"/>
                <w:b/>
                <w:szCs w:val="22"/>
              </w:rPr>
            </w:pPr>
            <w:r w:rsidRPr="008E4E92">
              <w:rPr>
                <w:rFonts w:cs="Arial"/>
                <w:b/>
                <w:sz w:val="22"/>
                <w:szCs w:val="22"/>
              </w:rPr>
              <w:t>E-mail:</w:t>
            </w:r>
          </w:p>
        </w:tc>
        <w:tc>
          <w:tcPr>
            <w:tcW w:w="5267" w:type="dxa"/>
            <w:tcBorders>
              <w:bottom w:val="single" w:sz="4" w:space="0" w:color="auto"/>
            </w:tcBorders>
          </w:tcPr>
          <w:p w14:paraId="06DA4A34" w14:textId="0C593B79" w:rsidR="00C257C6" w:rsidRPr="006232F5" w:rsidRDefault="00D8648C" w:rsidP="00E80326">
            <w:pPr>
              <w:spacing w:before="240" w:after="240"/>
              <w:rPr>
                <w:rFonts w:cs="Arial"/>
                <w:szCs w:val="22"/>
              </w:rPr>
            </w:pPr>
            <w:hyperlink r:id="rId16" w:history="1">
              <w:r w:rsidR="00420A09" w:rsidRPr="006232F5">
                <w:rPr>
                  <w:rStyle w:val="Hyperlink"/>
                  <w:rFonts w:cs="Arial"/>
                  <w:sz w:val="22"/>
                  <w:szCs w:val="22"/>
                </w:rPr>
                <w:t>dimitar.tonev@cubist.com</w:t>
              </w:r>
            </w:hyperlink>
          </w:p>
        </w:tc>
      </w:tr>
    </w:tbl>
    <w:p w14:paraId="3BB42E6B" w14:textId="77777777" w:rsidR="00C257C6" w:rsidRPr="008E4E92" w:rsidRDefault="00C257C6" w:rsidP="00C257C6">
      <w:pPr>
        <w:autoSpaceDE w:val="0"/>
        <w:autoSpaceDN w:val="0"/>
        <w:adjustRightInd w:val="0"/>
        <w:rPr>
          <w:rFonts w:cs="Arial"/>
          <w:sz w:val="22"/>
          <w:szCs w:val="22"/>
        </w:rPr>
      </w:pPr>
    </w:p>
    <w:p w14:paraId="0A658455" w14:textId="77777777" w:rsidR="00C257C6" w:rsidRPr="008E4E92" w:rsidRDefault="00C257C6" w:rsidP="00C257C6">
      <w:pPr>
        <w:rPr>
          <w:rFonts w:cs="Arial"/>
          <w:sz w:val="22"/>
          <w:szCs w:val="22"/>
        </w:rPr>
      </w:pPr>
    </w:p>
    <w:p w14:paraId="739272F6" w14:textId="77777777" w:rsidR="00C257C6" w:rsidRPr="008E4E92" w:rsidRDefault="00C257C6" w:rsidP="00C257C6">
      <w:pPr>
        <w:rPr>
          <w:rFonts w:cs="Arial"/>
          <w:b/>
          <w:bCs/>
          <w:sz w:val="22"/>
          <w:szCs w:val="22"/>
        </w:rPr>
      </w:pPr>
      <w:bookmarkStart w:id="43" w:name="Summary_of_Information_for_Patients"/>
      <w:r w:rsidRPr="008E4E92">
        <w:rPr>
          <w:rFonts w:cs="Arial"/>
          <w:b/>
          <w:bCs/>
          <w:sz w:val="22"/>
          <w:szCs w:val="22"/>
        </w:rPr>
        <w:t>Summary of Information for Patients</w:t>
      </w:r>
      <w:bookmarkEnd w:id="43"/>
    </w:p>
    <w:p w14:paraId="54514F83" w14:textId="77777777" w:rsidR="00C257C6" w:rsidRPr="008E4E92" w:rsidRDefault="00C257C6" w:rsidP="00C257C6">
      <w:pPr>
        <w:rPr>
          <w:rFonts w:cs="Arial"/>
          <w:b/>
          <w:bCs/>
          <w:sz w:val="22"/>
          <w:szCs w:val="22"/>
        </w:rPr>
      </w:pPr>
    </w:p>
    <w:p w14:paraId="4E643014" w14:textId="77777777" w:rsidR="00C257C6" w:rsidRPr="008E4E92" w:rsidRDefault="00C257C6" w:rsidP="00C257C6">
      <w:pPr>
        <w:pStyle w:val="BodyText"/>
        <w:tabs>
          <w:tab w:val="left" w:pos="720"/>
        </w:tabs>
        <w:jc w:val="both"/>
        <w:rPr>
          <w:rFonts w:cs="Arial"/>
          <w:sz w:val="22"/>
          <w:szCs w:val="22"/>
        </w:rPr>
      </w:pPr>
      <w:r w:rsidRPr="008E4E92">
        <w:rPr>
          <w:rFonts w:cs="Arial"/>
          <w:sz w:val="22"/>
          <w:szCs w:val="22"/>
        </w:rPr>
        <w:lastRenderedPageBreak/>
        <w:t xml:space="preserve">If companies wish to provide a patient / public friendly version of their submission they can do so following the standard “Summary Information for Patients” available on the </w:t>
      </w:r>
      <w:hyperlink r:id="rId17" w:history="1">
        <w:r w:rsidRPr="008E4E92">
          <w:rPr>
            <w:rStyle w:val="Hyperlink"/>
            <w:rFonts w:cs="Arial"/>
            <w:color w:val="7030A0"/>
            <w:sz w:val="22"/>
            <w:szCs w:val="22"/>
          </w:rPr>
          <w:t>SMC website</w:t>
        </w:r>
      </w:hyperlink>
      <w:r w:rsidRPr="008E4E92">
        <w:rPr>
          <w:rFonts w:cs="Arial"/>
          <w:sz w:val="22"/>
          <w:szCs w:val="22"/>
        </w:rPr>
        <w:t>.  The SMC secretariat will forward upon request to any Patient Group making a Patient Group submission in connection with a new product submission.</w:t>
      </w:r>
    </w:p>
    <w:p w14:paraId="5DF85731" w14:textId="77777777" w:rsidR="008E4E92" w:rsidRDefault="008E4E92" w:rsidP="00C257C6">
      <w:pPr>
        <w:rPr>
          <w:rFonts w:cs="Arial"/>
          <w:b/>
          <w:bCs/>
          <w:sz w:val="22"/>
          <w:szCs w:val="22"/>
          <w:lang w:eastAsia="ja-JP"/>
        </w:rPr>
      </w:pPr>
      <w:bookmarkStart w:id="44" w:name="Freedom_of_Information"/>
    </w:p>
    <w:p w14:paraId="625C5AB6" w14:textId="77777777" w:rsidR="00E22F70" w:rsidRDefault="00E22F70" w:rsidP="00C257C6">
      <w:pPr>
        <w:rPr>
          <w:rFonts w:cs="Arial"/>
          <w:b/>
          <w:bCs/>
          <w:sz w:val="22"/>
          <w:szCs w:val="22"/>
          <w:lang w:eastAsia="ja-JP"/>
        </w:rPr>
      </w:pPr>
    </w:p>
    <w:p w14:paraId="2534362B" w14:textId="77777777" w:rsidR="00C257C6" w:rsidRPr="008E4E92" w:rsidRDefault="00C257C6" w:rsidP="00C257C6">
      <w:pPr>
        <w:rPr>
          <w:rFonts w:cs="Arial"/>
          <w:b/>
          <w:bCs/>
          <w:sz w:val="22"/>
          <w:szCs w:val="22"/>
        </w:rPr>
      </w:pPr>
      <w:r w:rsidRPr="008E4E92">
        <w:rPr>
          <w:rFonts w:cs="Arial"/>
          <w:b/>
          <w:bCs/>
          <w:sz w:val="22"/>
          <w:szCs w:val="22"/>
        </w:rPr>
        <w:t>Freedom of Information</w:t>
      </w:r>
      <w:bookmarkEnd w:id="44"/>
      <w:r w:rsidRPr="008E4E92">
        <w:rPr>
          <w:rFonts w:cs="Arial"/>
          <w:b/>
          <w:bCs/>
          <w:sz w:val="22"/>
          <w:szCs w:val="22"/>
        </w:rPr>
        <w:t xml:space="preserve"> </w:t>
      </w:r>
    </w:p>
    <w:p w14:paraId="5F0ECA37" w14:textId="77777777" w:rsidR="00C257C6" w:rsidRPr="008E4E92" w:rsidRDefault="00C257C6" w:rsidP="00C257C6">
      <w:pPr>
        <w:rPr>
          <w:rFonts w:cs="Arial"/>
          <w:b/>
          <w:bCs/>
          <w:sz w:val="22"/>
          <w:szCs w:val="22"/>
        </w:rPr>
      </w:pPr>
    </w:p>
    <w:p w14:paraId="55707B78" w14:textId="77777777" w:rsidR="00C257C6" w:rsidRPr="008E4E92" w:rsidRDefault="00C257C6" w:rsidP="00C257C6">
      <w:pPr>
        <w:pStyle w:val="CorpsdetextemargeExp"/>
        <w:overflowPunct/>
        <w:autoSpaceDE/>
        <w:autoSpaceDN/>
        <w:adjustRightInd/>
        <w:textAlignment w:val="auto"/>
        <w:rPr>
          <w:rFonts w:ascii="Arial" w:hAnsi="Arial" w:cs="Arial"/>
          <w:szCs w:val="22"/>
          <w:lang w:val="en-GB"/>
        </w:rPr>
      </w:pPr>
      <w:r w:rsidRPr="008E4E92">
        <w:rPr>
          <w:rFonts w:ascii="Arial" w:hAnsi="Arial" w:cs="Arial"/>
          <w:szCs w:val="22"/>
          <w:lang w:val="en-GB"/>
        </w:rPr>
        <w:t>The Freedom of Information (Scotland) Act 2002 came into force on 1 January, 2005, and enables any person to obtain information from Scottish public authorities, giving legal right of access including all types of recorded information of any date held by Scottish public authorities.</w:t>
      </w:r>
    </w:p>
    <w:p w14:paraId="573D7C1D" w14:textId="77777777" w:rsidR="00C257C6" w:rsidRPr="008E4E92" w:rsidRDefault="00C257C6" w:rsidP="00C257C6">
      <w:pPr>
        <w:pStyle w:val="Corpsdetextemarge"/>
        <w:rPr>
          <w:rFonts w:ascii="Arial" w:hAnsi="Arial" w:cs="Arial"/>
          <w:b/>
          <w:bCs/>
          <w:sz w:val="22"/>
          <w:szCs w:val="22"/>
        </w:rPr>
      </w:pPr>
    </w:p>
    <w:p w14:paraId="6CCF5659" w14:textId="77777777" w:rsidR="00C257C6" w:rsidRPr="008E4E92" w:rsidRDefault="00C257C6" w:rsidP="00C257C6">
      <w:pPr>
        <w:autoSpaceDE w:val="0"/>
        <w:autoSpaceDN w:val="0"/>
        <w:adjustRightInd w:val="0"/>
        <w:jc w:val="both"/>
        <w:rPr>
          <w:rFonts w:cs="Arial"/>
          <w:sz w:val="22"/>
          <w:szCs w:val="22"/>
        </w:rPr>
      </w:pPr>
      <w:r w:rsidRPr="008E4E92">
        <w:rPr>
          <w:rFonts w:cs="Arial"/>
          <w:sz w:val="22"/>
          <w:szCs w:val="22"/>
        </w:rPr>
        <w:t xml:space="preserve">As such all information received may be subject to disclosure under the Freedom of Information (Scotland) Act 2002.  </w:t>
      </w:r>
    </w:p>
    <w:p w14:paraId="69309129" w14:textId="77777777" w:rsidR="00C257C6" w:rsidRPr="008E4E92" w:rsidRDefault="00C257C6" w:rsidP="00C257C6">
      <w:pPr>
        <w:pStyle w:val="CorpsdetextemargeExp"/>
        <w:overflowPunct/>
        <w:textAlignment w:val="auto"/>
        <w:rPr>
          <w:rFonts w:ascii="Arial" w:hAnsi="Arial" w:cs="Arial"/>
          <w:szCs w:val="22"/>
          <w:lang w:val="en-GB"/>
        </w:rPr>
      </w:pPr>
    </w:p>
    <w:p w14:paraId="073DC36A" w14:textId="77777777" w:rsidR="00C257C6" w:rsidRPr="008E4E92" w:rsidRDefault="00C257C6" w:rsidP="00C257C6">
      <w:pPr>
        <w:jc w:val="both"/>
        <w:rPr>
          <w:rFonts w:cs="Arial"/>
          <w:sz w:val="22"/>
          <w:szCs w:val="22"/>
        </w:rPr>
      </w:pPr>
      <w:r w:rsidRPr="008E4E92">
        <w:rPr>
          <w:rFonts w:cs="Arial"/>
          <w:sz w:val="22"/>
          <w:szCs w:val="22"/>
        </w:rPr>
        <w:t>On receipt of a request for information, the SMC secretariat will contact your designated company representative to confirm that you are agreeable to the release of the information being requested and to give you the opportunity to identify information that is deemed as commercial in confidence.</w:t>
      </w:r>
    </w:p>
    <w:p w14:paraId="677E741A" w14:textId="77777777" w:rsidR="00C257C6" w:rsidRPr="008E4E92" w:rsidRDefault="00C257C6" w:rsidP="00C257C6">
      <w:pPr>
        <w:pStyle w:val="CorpsdetextemargeExp"/>
        <w:overflowPunct/>
        <w:textAlignment w:val="auto"/>
        <w:rPr>
          <w:rFonts w:ascii="Arial" w:hAnsi="Arial" w:cs="Arial"/>
          <w:szCs w:val="22"/>
          <w:lang w:val="en-GB"/>
        </w:rPr>
      </w:pPr>
    </w:p>
    <w:p w14:paraId="7938E4EE" w14:textId="77777777" w:rsidR="00C257C6" w:rsidRPr="008E4E92" w:rsidRDefault="00C257C6" w:rsidP="00C257C6">
      <w:pPr>
        <w:pStyle w:val="CorpsdetextemargeExp"/>
        <w:overflowPunct/>
        <w:textAlignment w:val="auto"/>
        <w:rPr>
          <w:rFonts w:ascii="Arial" w:hAnsi="Arial" w:cs="Arial"/>
          <w:szCs w:val="22"/>
          <w:lang w:val="en-GB"/>
        </w:rPr>
      </w:pPr>
      <w:r w:rsidRPr="008E4E92">
        <w:rPr>
          <w:rFonts w:ascii="Arial" w:hAnsi="Arial" w:cs="Arial"/>
          <w:szCs w:val="22"/>
          <w:lang w:val="en-GB"/>
        </w:rPr>
        <w:t>To allow prompt attention on receipt of a request for information and deadlines for response to be met (20 working days from receipt of request) please identify a contact within your company who will deal with such requests.</w:t>
      </w:r>
    </w:p>
    <w:p w14:paraId="16B37659" w14:textId="77777777" w:rsidR="00C257C6" w:rsidRPr="008E4E92" w:rsidRDefault="00C257C6" w:rsidP="00C257C6">
      <w:pPr>
        <w:rPr>
          <w:rFonts w:cs="Arial"/>
          <w:sz w:val="22"/>
          <w:szCs w:val="22"/>
        </w:rPr>
      </w:pPr>
    </w:p>
    <w:tbl>
      <w:tblPr>
        <w:tblW w:w="98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2"/>
        <w:gridCol w:w="5267"/>
      </w:tblGrid>
      <w:tr w:rsidR="00C257C6" w:rsidRPr="008E4E92" w14:paraId="72AABE8F" w14:textId="77777777" w:rsidTr="00E80326">
        <w:tc>
          <w:tcPr>
            <w:tcW w:w="4622" w:type="dxa"/>
            <w:tcBorders>
              <w:top w:val="single" w:sz="4" w:space="0" w:color="auto"/>
            </w:tcBorders>
          </w:tcPr>
          <w:p w14:paraId="7DCFFFC8" w14:textId="77777777" w:rsidR="00C257C6" w:rsidRPr="00A4092E" w:rsidRDefault="00C257C6" w:rsidP="00A4092E">
            <w:pPr>
              <w:spacing w:before="120" w:after="120"/>
              <w:rPr>
                <w:rFonts w:cs="Arial"/>
                <w:b/>
                <w:szCs w:val="22"/>
              </w:rPr>
            </w:pPr>
            <w:r w:rsidRPr="00A4092E">
              <w:rPr>
                <w:rFonts w:cs="Arial"/>
                <w:b/>
                <w:sz w:val="22"/>
                <w:szCs w:val="22"/>
              </w:rPr>
              <w:t>Name:</w:t>
            </w:r>
          </w:p>
        </w:tc>
        <w:tc>
          <w:tcPr>
            <w:tcW w:w="5267" w:type="dxa"/>
            <w:tcBorders>
              <w:top w:val="single" w:sz="4" w:space="0" w:color="auto"/>
            </w:tcBorders>
          </w:tcPr>
          <w:p w14:paraId="2F94987D" w14:textId="023AAE8C" w:rsidR="00C257C6" w:rsidRPr="00A4092E" w:rsidRDefault="00420A09" w:rsidP="00A4092E">
            <w:pPr>
              <w:spacing w:before="120" w:after="120"/>
              <w:rPr>
                <w:rFonts w:cs="Arial"/>
                <w:szCs w:val="22"/>
              </w:rPr>
            </w:pPr>
            <w:r w:rsidRPr="00A4092E">
              <w:rPr>
                <w:rFonts w:cs="Arial"/>
                <w:sz w:val="22"/>
                <w:szCs w:val="22"/>
              </w:rPr>
              <w:t>Dimitar Tonev</w:t>
            </w:r>
          </w:p>
        </w:tc>
      </w:tr>
      <w:tr w:rsidR="00C257C6" w:rsidRPr="008E4E92" w14:paraId="293595DA" w14:textId="77777777" w:rsidTr="00E80326">
        <w:tc>
          <w:tcPr>
            <w:tcW w:w="4622" w:type="dxa"/>
          </w:tcPr>
          <w:p w14:paraId="1B5D7B46" w14:textId="77777777" w:rsidR="00C257C6" w:rsidRPr="00A4092E" w:rsidRDefault="00C257C6" w:rsidP="00A4092E">
            <w:pPr>
              <w:spacing w:before="120" w:after="120"/>
              <w:rPr>
                <w:rFonts w:cs="Arial"/>
                <w:b/>
                <w:szCs w:val="22"/>
              </w:rPr>
            </w:pPr>
            <w:r w:rsidRPr="00A4092E">
              <w:rPr>
                <w:rFonts w:cs="Arial"/>
                <w:b/>
                <w:sz w:val="22"/>
                <w:szCs w:val="22"/>
              </w:rPr>
              <w:t>Position:</w:t>
            </w:r>
          </w:p>
        </w:tc>
        <w:tc>
          <w:tcPr>
            <w:tcW w:w="5267" w:type="dxa"/>
          </w:tcPr>
          <w:p w14:paraId="6C4EE1B4" w14:textId="2046D68D" w:rsidR="00C257C6" w:rsidRPr="00A4092E" w:rsidRDefault="00420A09" w:rsidP="00A4092E">
            <w:pPr>
              <w:spacing w:before="120" w:after="120"/>
              <w:rPr>
                <w:rFonts w:cs="Arial"/>
                <w:szCs w:val="22"/>
              </w:rPr>
            </w:pPr>
            <w:r w:rsidRPr="00A4092E">
              <w:rPr>
                <w:rFonts w:cs="Arial"/>
                <w:sz w:val="22"/>
                <w:szCs w:val="22"/>
              </w:rPr>
              <w:t>Medical Director, Cubist (UK) Limited</w:t>
            </w:r>
          </w:p>
        </w:tc>
      </w:tr>
      <w:tr w:rsidR="00C257C6" w:rsidRPr="008E4E92" w14:paraId="757077BD" w14:textId="77777777" w:rsidTr="00E80326">
        <w:tc>
          <w:tcPr>
            <w:tcW w:w="4622" w:type="dxa"/>
          </w:tcPr>
          <w:p w14:paraId="07C28F8F" w14:textId="77777777" w:rsidR="00C257C6" w:rsidRPr="00A4092E" w:rsidRDefault="00C257C6" w:rsidP="00A4092E">
            <w:pPr>
              <w:spacing w:before="120" w:after="120"/>
              <w:rPr>
                <w:rFonts w:cs="Arial"/>
                <w:b/>
                <w:szCs w:val="22"/>
              </w:rPr>
            </w:pPr>
            <w:r w:rsidRPr="00A4092E">
              <w:rPr>
                <w:rFonts w:cs="Arial"/>
                <w:b/>
                <w:sz w:val="22"/>
                <w:szCs w:val="22"/>
              </w:rPr>
              <w:t>Address:</w:t>
            </w:r>
          </w:p>
        </w:tc>
        <w:tc>
          <w:tcPr>
            <w:tcW w:w="5267" w:type="dxa"/>
          </w:tcPr>
          <w:p w14:paraId="4E0A1FBD" w14:textId="0D209E61" w:rsidR="00C257C6" w:rsidRPr="00A4092E" w:rsidRDefault="001F55CE" w:rsidP="00A4092E">
            <w:pPr>
              <w:spacing w:before="120" w:after="120"/>
              <w:rPr>
                <w:rFonts w:cs="Arial"/>
                <w:color w:val="FF0000"/>
                <w:szCs w:val="22"/>
              </w:rPr>
            </w:pPr>
            <w:r w:rsidRPr="00A4092E">
              <w:rPr>
                <w:rFonts w:cs="Arial"/>
                <w:sz w:val="22"/>
                <w:szCs w:val="22"/>
                <w:lang w:val="en-US" w:eastAsia="ja-JP"/>
              </w:rPr>
              <w:t>Unit 1</w:t>
            </w:r>
            <w:r w:rsidR="0020398B">
              <w:rPr>
                <w:rFonts w:cs="Arial"/>
                <w:sz w:val="22"/>
                <w:szCs w:val="22"/>
                <w:lang w:val="en-US" w:eastAsia="ja-JP"/>
              </w:rPr>
              <w:t>,</w:t>
            </w:r>
            <w:r w:rsidRPr="00A4092E">
              <w:rPr>
                <w:rFonts w:cs="Arial"/>
                <w:sz w:val="22"/>
                <w:szCs w:val="22"/>
                <w:lang w:val="en-US" w:eastAsia="ja-JP"/>
              </w:rPr>
              <w:t> Horizon Business Village, 1 Brooklands Road, Weybridge, Surrey, KT13 0RU</w:t>
            </w:r>
          </w:p>
        </w:tc>
      </w:tr>
      <w:tr w:rsidR="00C257C6" w:rsidRPr="008E4E92" w14:paraId="49C5DF7B" w14:textId="77777777" w:rsidTr="00E80326">
        <w:tc>
          <w:tcPr>
            <w:tcW w:w="4622" w:type="dxa"/>
          </w:tcPr>
          <w:p w14:paraId="76AE84F1" w14:textId="77777777" w:rsidR="00C257C6" w:rsidRPr="00A4092E" w:rsidRDefault="00C257C6" w:rsidP="00A4092E">
            <w:pPr>
              <w:spacing w:before="120" w:after="120"/>
              <w:rPr>
                <w:rFonts w:cs="Arial"/>
                <w:b/>
                <w:szCs w:val="22"/>
              </w:rPr>
            </w:pPr>
            <w:r w:rsidRPr="00A4092E">
              <w:rPr>
                <w:rFonts w:cs="Arial"/>
                <w:b/>
                <w:sz w:val="22"/>
                <w:szCs w:val="22"/>
              </w:rPr>
              <w:t>Phone Number:</w:t>
            </w:r>
          </w:p>
        </w:tc>
        <w:tc>
          <w:tcPr>
            <w:tcW w:w="5267" w:type="dxa"/>
          </w:tcPr>
          <w:p w14:paraId="202F1859" w14:textId="16FC2284" w:rsidR="00C257C6" w:rsidRPr="0020398B" w:rsidRDefault="00230D49" w:rsidP="00A4092E">
            <w:pPr>
              <w:spacing w:before="120" w:after="120"/>
              <w:rPr>
                <w:rFonts w:cs="Arial"/>
                <w:szCs w:val="22"/>
              </w:rPr>
            </w:pPr>
            <w:r w:rsidRPr="00230D49">
              <w:rPr>
                <w:rFonts w:cs="Arial"/>
                <w:sz w:val="22"/>
                <w:szCs w:val="22"/>
                <w:lang w:val="en-US" w:eastAsia="ja-JP"/>
              </w:rPr>
              <w:t>07823 557 100</w:t>
            </w:r>
          </w:p>
        </w:tc>
      </w:tr>
      <w:tr w:rsidR="00C257C6" w:rsidRPr="008E4E92" w14:paraId="521CCCF0" w14:textId="77777777" w:rsidTr="00E80326">
        <w:tc>
          <w:tcPr>
            <w:tcW w:w="4622" w:type="dxa"/>
            <w:tcBorders>
              <w:bottom w:val="single" w:sz="4" w:space="0" w:color="auto"/>
            </w:tcBorders>
          </w:tcPr>
          <w:p w14:paraId="471B40A8" w14:textId="77777777" w:rsidR="00C257C6" w:rsidRPr="00A4092E" w:rsidRDefault="00C257C6" w:rsidP="00A4092E">
            <w:pPr>
              <w:spacing w:before="120" w:after="120"/>
              <w:rPr>
                <w:rFonts w:cs="Arial"/>
                <w:b/>
                <w:szCs w:val="22"/>
              </w:rPr>
            </w:pPr>
            <w:r w:rsidRPr="00A4092E">
              <w:rPr>
                <w:rFonts w:cs="Arial"/>
                <w:b/>
                <w:sz w:val="22"/>
                <w:szCs w:val="22"/>
              </w:rPr>
              <w:lastRenderedPageBreak/>
              <w:t>E-mail:</w:t>
            </w:r>
          </w:p>
        </w:tc>
        <w:tc>
          <w:tcPr>
            <w:tcW w:w="5267" w:type="dxa"/>
            <w:tcBorders>
              <w:bottom w:val="single" w:sz="4" w:space="0" w:color="auto"/>
            </w:tcBorders>
          </w:tcPr>
          <w:p w14:paraId="7B8C581A" w14:textId="6936419C" w:rsidR="00C257C6" w:rsidRPr="00A4092E" w:rsidRDefault="00D8648C" w:rsidP="00A4092E">
            <w:pPr>
              <w:spacing w:before="120" w:after="120"/>
              <w:rPr>
                <w:rFonts w:cs="Arial"/>
                <w:szCs w:val="22"/>
              </w:rPr>
            </w:pPr>
            <w:hyperlink r:id="rId18" w:history="1">
              <w:r w:rsidR="00B87BD5" w:rsidRPr="00A4092E">
                <w:rPr>
                  <w:rStyle w:val="Hyperlink"/>
                  <w:rFonts w:cs="Arial"/>
                  <w:sz w:val="22"/>
                  <w:szCs w:val="22"/>
                </w:rPr>
                <w:t>dimitar.tonev@cubist.com</w:t>
              </w:r>
            </w:hyperlink>
          </w:p>
        </w:tc>
      </w:tr>
    </w:tbl>
    <w:p w14:paraId="35EEF7D1" w14:textId="77777777" w:rsidR="00C257C6" w:rsidRPr="008E4E92" w:rsidRDefault="00C257C6" w:rsidP="00C257C6">
      <w:pPr>
        <w:rPr>
          <w:rFonts w:cs="Arial"/>
          <w:b/>
          <w:sz w:val="22"/>
          <w:szCs w:val="22"/>
        </w:rPr>
      </w:pPr>
    </w:p>
    <w:p w14:paraId="2BA5E498" w14:textId="77777777" w:rsidR="00C257C6" w:rsidRPr="008E4E92" w:rsidRDefault="00C257C6" w:rsidP="00C257C6">
      <w:pPr>
        <w:rPr>
          <w:rFonts w:cs="Arial"/>
          <w:b/>
          <w:sz w:val="22"/>
          <w:szCs w:val="22"/>
        </w:rPr>
      </w:pPr>
    </w:p>
    <w:p w14:paraId="163F62A1" w14:textId="77777777" w:rsidR="00C257C6" w:rsidRPr="008E4E92" w:rsidRDefault="00C257C6" w:rsidP="00C257C6">
      <w:pPr>
        <w:rPr>
          <w:rFonts w:cs="Arial"/>
          <w:sz w:val="22"/>
          <w:szCs w:val="22"/>
          <w:lang w:eastAsia="ja-JP"/>
        </w:rPr>
      </w:pPr>
      <w:r w:rsidRPr="008E4E92">
        <w:rPr>
          <w:rFonts w:cs="Arial"/>
          <w:sz w:val="22"/>
          <w:szCs w:val="22"/>
        </w:rPr>
        <w:br w:type="page"/>
      </w:r>
    </w:p>
    <w:p w14:paraId="18B771F0" w14:textId="77777777" w:rsidR="00C257C6" w:rsidRPr="008E4E92" w:rsidRDefault="00C257C6" w:rsidP="00C257C6">
      <w:pPr>
        <w:pStyle w:val="Title"/>
        <w:tabs>
          <w:tab w:val="left" w:pos="720"/>
        </w:tabs>
        <w:jc w:val="both"/>
        <w:rPr>
          <w:rFonts w:ascii="Arial" w:hAnsi="Arial" w:cs="Arial"/>
          <w:sz w:val="22"/>
          <w:szCs w:val="22"/>
          <w:u w:val="none"/>
        </w:rPr>
      </w:pPr>
      <w:bookmarkStart w:id="45" w:name="Checklist_for_Completion_of_New_Product_"/>
      <w:r w:rsidRPr="008E4E92">
        <w:rPr>
          <w:rFonts w:ascii="Arial" w:hAnsi="Arial" w:cs="Arial"/>
          <w:sz w:val="22"/>
          <w:szCs w:val="22"/>
          <w:u w:val="none"/>
        </w:rPr>
        <w:lastRenderedPageBreak/>
        <w:t>Checklist for Completion of New Product Assessment Form</w:t>
      </w:r>
      <w:bookmarkEnd w:id="45"/>
    </w:p>
    <w:p w14:paraId="509AC78C" w14:textId="77777777" w:rsidR="00C257C6" w:rsidRPr="008E4E92" w:rsidRDefault="00C257C6" w:rsidP="00C257C6">
      <w:pPr>
        <w:pStyle w:val="Title"/>
        <w:tabs>
          <w:tab w:val="left" w:pos="720"/>
        </w:tabs>
        <w:jc w:val="both"/>
        <w:rPr>
          <w:rFonts w:ascii="Arial" w:hAnsi="Arial" w:cs="Arial"/>
          <w:b w:val="0"/>
          <w:bCs w:val="0"/>
          <w:sz w:val="22"/>
          <w:szCs w:val="22"/>
          <w:u w:val="none"/>
        </w:rPr>
      </w:pPr>
    </w:p>
    <w:p w14:paraId="5CE62B03" w14:textId="77777777" w:rsidR="00C257C6" w:rsidRPr="008E4E92" w:rsidRDefault="00C257C6" w:rsidP="00C257C6">
      <w:pPr>
        <w:pStyle w:val="Title"/>
        <w:tabs>
          <w:tab w:val="left" w:pos="720"/>
        </w:tabs>
        <w:jc w:val="both"/>
        <w:rPr>
          <w:rFonts w:ascii="Arial" w:hAnsi="Arial" w:cs="Arial"/>
          <w:b w:val="0"/>
          <w:i/>
          <w:sz w:val="22"/>
          <w:szCs w:val="22"/>
          <w:u w:val="none"/>
        </w:rPr>
      </w:pPr>
      <w:r w:rsidRPr="008E4E92">
        <w:rPr>
          <w:rFonts w:ascii="Arial" w:hAnsi="Arial" w:cs="Arial"/>
          <w:b w:val="0"/>
          <w:i/>
          <w:sz w:val="22"/>
          <w:szCs w:val="22"/>
          <w:u w:val="none"/>
        </w:rPr>
        <w:t>Before submitting the New Product Assessment Form (NPAF) please ensure the following checklist is complete: Failure to complete any of these may delay processing of the submission.</w:t>
      </w:r>
    </w:p>
    <w:p w14:paraId="050CF42D" w14:textId="77777777" w:rsidR="00C257C6" w:rsidRPr="008E4E92" w:rsidRDefault="00C257C6" w:rsidP="00C257C6">
      <w:pPr>
        <w:pStyle w:val="Title"/>
        <w:tabs>
          <w:tab w:val="left" w:pos="720"/>
        </w:tabs>
        <w:jc w:val="both"/>
        <w:rPr>
          <w:rFonts w:ascii="Arial" w:hAnsi="Arial" w:cs="Arial"/>
          <w:b w:val="0"/>
          <w:bCs w:val="0"/>
          <w:sz w:val="22"/>
          <w:szCs w:val="22"/>
        </w:rPr>
      </w:pPr>
    </w:p>
    <w:tbl>
      <w:tblPr>
        <w:tblW w:w="9923" w:type="dxa"/>
        <w:tblInd w:w="-34" w:type="dxa"/>
        <w:tblLook w:val="0000" w:firstRow="0" w:lastRow="0" w:firstColumn="0" w:lastColumn="0" w:noHBand="0" w:noVBand="0"/>
      </w:tblPr>
      <w:tblGrid>
        <w:gridCol w:w="8080"/>
        <w:gridCol w:w="1843"/>
      </w:tblGrid>
      <w:tr w:rsidR="00C257C6" w:rsidRPr="008E4E92" w14:paraId="0FB43D8E" w14:textId="77777777" w:rsidTr="00E80326">
        <w:trPr>
          <w:cantSplit/>
        </w:trPr>
        <w:tc>
          <w:tcPr>
            <w:tcW w:w="8080" w:type="dxa"/>
            <w:tcBorders>
              <w:top w:val="single" w:sz="4" w:space="0" w:color="auto"/>
              <w:left w:val="single" w:sz="4" w:space="0" w:color="auto"/>
            </w:tcBorders>
            <w:vAlign w:val="center"/>
          </w:tcPr>
          <w:p w14:paraId="5D000CE8" w14:textId="77777777" w:rsidR="00C257C6" w:rsidRPr="008E4E92" w:rsidRDefault="00C257C6" w:rsidP="00E80326">
            <w:pPr>
              <w:pStyle w:val="Title"/>
              <w:tabs>
                <w:tab w:val="left" w:pos="720"/>
              </w:tabs>
              <w:spacing w:before="160" w:after="160"/>
              <w:jc w:val="left"/>
              <w:rPr>
                <w:rFonts w:ascii="Arial" w:hAnsi="Arial" w:cs="Arial"/>
                <w:szCs w:val="22"/>
                <w:u w:val="none"/>
              </w:rPr>
            </w:pPr>
            <w:r w:rsidRPr="008E4E92">
              <w:rPr>
                <w:rFonts w:ascii="Arial" w:hAnsi="Arial" w:cs="Arial"/>
                <w:sz w:val="22"/>
                <w:szCs w:val="22"/>
                <w:u w:val="none"/>
              </w:rPr>
              <w:t>All sections of NPAF completed</w:t>
            </w:r>
          </w:p>
        </w:tc>
        <w:tc>
          <w:tcPr>
            <w:tcW w:w="1843" w:type="dxa"/>
            <w:tcBorders>
              <w:top w:val="single" w:sz="4" w:space="0" w:color="auto"/>
              <w:left w:val="single" w:sz="4" w:space="0" w:color="auto"/>
              <w:bottom w:val="single" w:sz="4" w:space="0" w:color="auto"/>
              <w:right w:val="single" w:sz="4" w:space="0" w:color="auto"/>
            </w:tcBorders>
          </w:tcPr>
          <w:p w14:paraId="65FC00B6" w14:textId="638D86F1" w:rsidR="00C257C6" w:rsidRPr="008E4E92" w:rsidRDefault="00A4092E" w:rsidP="00A4092E">
            <w:pPr>
              <w:pStyle w:val="Title"/>
              <w:tabs>
                <w:tab w:val="left" w:pos="720"/>
              </w:tabs>
              <w:spacing w:before="160" w:after="160"/>
              <w:rPr>
                <w:rFonts w:ascii="Arial" w:hAnsi="Arial" w:cs="Arial"/>
                <w:szCs w:val="22"/>
                <w:u w:val="none"/>
              </w:rPr>
            </w:pPr>
            <w:r>
              <w:rPr>
                <w:rFonts w:ascii="Arial" w:hAnsi="Arial" w:cs="Arial"/>
                <w:szCs w:val="22"/>
                <w:u w:val="none"/>
              </w:rPr>
              <w:t>YES</w:t>
            </w:r>
          </w:p>
        </w:tc>
      </w:tr>
      <w:tr w:rsidR="00C257C6" w:rsidRPr="008E4E92" w14:paraId="4758037A" w14:textId="77777777" w:rsidTr="00E80326">
        <w:trPr>
          <w:cantSplit/>
        </w:trPr>
        <w:tc>
          <w:tcPr>
            <w:tcW w:w="8080" w:type="dxa"/>
            <w:tcBorders>
              <w:left w:val="single" w:sz="4" w:space="0" w:color="auto"/>
            </w:tcBorders>
            <w:vAlign w:val="center"/>
          </w:tcPr>
          <w:p w14:paraId="10AA3898" w14:textId="77777777" w:rsidR="00C257C6" w:rsidRPr="008E4E92" w:rsidRDefault="00C257C6" w:rsidP="00E80326">
            <w:pPr>
              <w:pStyle w:val="Title"/>
              <w:tabs>
                <w:tab w:val="left" w:pos="720"/>
              </w:tabs>
              <w:spacing w:before="160" w:after="160"/>
              <w:jc w:val="left"/>
              <w:rPr>
                <w:rFonts w:ascii="Arial" w:hAnsi="Arial" w:cs="Arial"/>
                <w:szCs w:val="22"/>
                <w:u w:val="none"/>
              </w:rPr>
            </w:pPr>
            <w:r w:rsidRPr="008E4E92">
              <w:rPr>
                <w:rFonts w:ascii="Arial" w:hAnsi="Arial" w:cs="Arial"/>
                <w:sz w:val="22"/>
                <w:szCs w:val="22"/>
                <w:u w:val="none"/>
              </w:rPr>
              <w:t>Signed electronic copy of full NPAF and appendices enclosed</w:t>
            </w:r>
          </w:p>
        </w:tc>
        <w:tc>
          <w:tcPr>
            <w:tcW w:w="1843" w:type="dxa"/>
            <w:tcBorders>
              <w:top w:val="single" w:sz="4" w:space="0" w:color="auto"/>
              <w:left w:val="single" w:sz="4" w:space="0" w:color="auto"/>
              <w:bottom w:val="single" w:sz="4" w:space="0" w:color="auto"/>
              <w:right w:val="single" w:sz="4" w:space="0" w:color="auto"/>
            </w:tcBorders>
          </w:tcPr>
          <w:p w14:paraId="6D49E80C" w14:textId="477EC77C" w:rsidR="00C257C6" w:rsidRPr="008E4E92" w:rsidRDefault="00A4092E" w:rsidP="00A4092E">
            <w:pPr>
              <w:pStyle w:val="Title"/>
              <w:tabs>
                <w:tab w:val="left" w:pos="720"/>
              </w:tabs>
              <w:spacing w:before="160" w:after="160"/>
              <w:rPr>
                <w:rFonts w:ascii="Arial" w:hAnsi="Arial" w:cs="Arial"/>
                <w:szCs w:val="22"/>
                <w:u w:val="none"/>
              </w:rPr>
            </w:pPr>
            <w:r>
              <w:rPr>
                <w:rFonts w:ascii="Arial" w:hAnsi="Arial" w:cs="Arial"/>
                <w:szCs w:val="22"/>
                <w:u w:val="none"/>
              </w:rPr>
              <w:t>YES</w:t>
            </w:r>
          </w:p>
        </w:tc>
      </w:tr>
      <w:tr w:rsidR="00C257C6" w:rsidRPr="008E4E92" w14:paraId="3BF51E13" w14:textId="77777777" w:rsidTr="00E80326">
        <w:trPr>
          <w:cantSplit/>
        </w:trPr>
        <w:tc>
          <w:tcPr>
            <w:tcW w:w="8080" w:type="dxa"/>
            <w:tcBorders>
              <w:left w:val="single" w:sz="4" w:space="0" w:color="auto"/>
            </w:tcBorders>
            <w:vAlign w:val="center"/>
          </w:tcPr>
          <w:p w14:paraId="168A478C" w14:textId="77777777" w:rsidR="00C257C6" w:rsidRPr="008E4E92" w:rsidRDefault="00C257C6" w:rsidP="00E80326">
            <w:pPr>
              <w:pStyle w:val="Title"/>
              <w:tabs>
                <w:tab w:val="left" w:pos="720"/>
              </w:tabs>
              <w:spacing w:before="160" w:after="160"/>
              <w:jc w:val="left"/>
              <w:rPr>
                <w:rFonts w:ascii="Arial" w:hAnsi="Arial" w:cs="Arial"/>
                <w:szCs w:val="22"/>
                <w:u w:val="none"/>
              </w:rPr>
            </w:pPr>
            <w:r w:rsidRPr="008E4E92">
              <w:rPr>
                <w:rFonts w:ascii="Arial" w:hAnsi="Arial" w:cs="Arial"/>
                <w:sz w:val="22"/>
                <w:szCs w:val="22"/>
                <w:u w:val="none"/>
              </w:rPr>
              <w:t>Electronic Summary of Product Characteristics enclosed</w:t>
            </w:r>
          </w:p>
        </w:tc>
        <w:tc>
          <w:tcPr>
            <w:tcW w:w="1843" w:type="dxa"/>
            <w:tcBorders>
              <w:top w:val="single" w:sz="4" w:space="0" w:color="auto"/>
              <w:left w:val="single" w:sz="4" w:space="0" w:color="auto"/>
              <w:bottom w:val="single" w:sz="4" w:space="0" w:color="auto"/>
              <w:right w:val="single" w:sz="4" w:space="0" w:color="auto"/>
            </w:tcBorders>
          </w:tcPr>
          <w:p w14:paraId="51E792BC" w14:textId="65B7BB28" w:rsidR="00C257C6" w:rsidRPr="008E4E92" w:rsidRDefault="00A4092E" w:rsidP="00A4092E">
            <w:pPr>
              <w:pStyle w:val="Title"/>
              <w:tabs>
                <w:tab w:val="left" w:pos="720"/>
              </w:tabs>
              <w:spacing w:before="160" w:after="160"/>
              <w:rPr>
                <w:rFonts w:ascii="Arial" w:hAnsi="Arial" w:cs="Arial"/>
                <w:szCs w:val="22"/>
                <w:u w:val="none"/>
              </w:rPr>
            </w:pPr>
            <w:r>
              <w:rPr>
                <w:rFonts w:ascii="Arial" w:hAnsi="Arial" w:cs="Arial"/>
                <w:szCs w:val="22"/>
                <w:u w:val="none"/>
              </w:rPr>
              <w:t>YES</w:t>
            </w:r>
          </w:p>
        </w:tc>
      </w:tr>
      <w:tr w:rsidR="00C257C6" w:rsidRPr="008E4E92" w14:paraId="4CDD29FF" w14:textId="77777777" w:rsidTr="00B619F6">
        <w:trPr>
          <w:cantSplit/>
        </w:trPr>
        <w:tc>
          <w:tcPr>
            <w:tcW w:w="8080" w:type="dxa"/>
            <w:tcBorders>
              <w:left w:val="single" w:sz="4" w:space="0" w:color="auto"/>
              <w:bottom w:val="single" w:sz="4" w:space="0" w:color="auto"/>
            </w:tcBorders>
          </w:tcPr>
          <w:p w14:paraId="458F8855" w14:textId="77777777" w:rsidR="00C257C6" w:rsidRPr="008E4E92" w:rsidRDefault="00C257C6" w:rsidP="00E80326">
            <w:pPr>
              <w:rPr>
                <w:rFonts w:cs="Arial"/>
                <w:szCs w:val="22"/>
              </w:rPr>
            </w:pPr>
            <w:r w:rsidRPr="008E4E92">
              <w:rPr>
                <w:rFonts w:cs="Arial"/>
                <w:b/>
                <w:bCs/>
                <w:sz w:val="22"/>
                <w:szCs w:val="22"/>
              </w:rPr>
              <w:t>References to be provided in a RIS formatted file including copies of all database references.</w:t>
            </w:r>
          </w:p>
        </w:tc>
        <w:tc>
          <w:tcPr>
            <w:tcW w:w="1843" w:type="dxa"/>
            <w:tcBorders>
              <w:top w:val="single" w:sz="4" w:space="0" w:color="auto"/>
              <w:left w:val="single" w:sz="4" w:space="0" w:color="auto"/>
              <w:bottom w:val="single" w:sz="4" w:space="0" w:color="auto"/>
              <w:right w:val="single" w:sz="4" w:space="0" w:color="auto"/>
            </w:tcBorders>
          </w:tcPr>
          <w:p w14:paraId="2E6DFF05" w14:textId="5493E8F0" w:rsidR="00C257C6" w:rsidRPr="008E4E92" w:rsidRDefault="00A4092E" w:rsidP="00A4092E">
            <w:pPr>
              <w:pStyle w:val="Title"/>
              <w:tabs>
                <w:tab w:val="left" w:pos="720"/>
              </w:tabs>
              <w:spacing w:before="160" w:after="160"/>
              <w:rPr>
                <w:rFonts w:ascii="Arial" w:hAnsi="Arial" w:cs="Arial"/>
                <w:szCs w:val="22"/>
                <w:u w:val="none"/>
              </w:rPr>
            </w:pPr>
            <w:r>
              <w:rPr>
                <w:rFonts w:ascii="Arial" w:hAnsi="Arial" w:cs="Arial"/>
                <w:szCs w:val="22"/>
                <w:u w:val="none"/>
              </w:rPr>
              <w:t>YES</w:t>
            </w:r>
          </w:p>
        </w:tc>
      </w:tr>
    </w:tbl>
    <w:p w14:paraId="5BA10AE7" w14:textId="77777777" w:rsidR="00C257C6" w:rsidRPr="008E4E92" w:rsidRDefault="00C257C6" w:rsidP="00C257C6">
      <w:pPr>
        <w:pStyle w:val="CorpsdetextemargeExp"/>
        <w:tabs>
          <w:tab w:val="left" w:pos="720"/>
        </w:tabs>
        <w:overflowPunct/>
        <w:textAlignment w:val="auto"/>
        <w:rPr>
          <w:rFonts w:ascii="Arial" w:hAnsi="Arial" w:cs="Arial"/>
          <w:szCs w:val="22"/>
          <w:lang w:val="en-GB"/>
        </w:rPr>
      </w:pPr>
    </w:p>
    <w:p w14:paraId="4C2C3601" w14:textId="77777777" w:rsidR="00C257C6" w:rsidRPr="008E4E92" w:rsidRDefault="00C257C6" w:rsidP="00C257C6">
      <w:pPr>
        <w:pStyle w:val="BodyText"/>
        <w:tabs>
          <w:tab w:val="left" w:pos="720"/>
        </w:tabs>
        <w:rPr>
          <w:rFonts w:cs="Arial"/>
          <w:sz w:val="22"/>
          <w:szCs w:val="22"/>
        </w:rPr>
      </w:pPr>
    </w:p>
    <w:p w14:paraId="5720A864" w14:textId="77777777" w:rsidR="00C257C6" w:rsidRPr="008E4E92" w:rsidRDefault="00C257C6" w:rsidP="00C257C6">
      <w:pPr>
        <w:pStyle w:val="CorpsdetextemargeExp"/>
        <w:tabs>
          <w:tab w:val="left" w:pos="720"/>
        </w:tabs>
        <w:overflowPunct/>
        <w:textAlignment w:val="auto"/>
        <w:rPr>
          <w:rFonts w:ascii="Arial" w:hAnsi="Arial" w:cs="Arial"/>
          <w:b/>
          <w:bCs/>
          <w:szCs w:val="22"/>
          <w:lang w:val="en-GB"/>
        </w:rPr>
      </w:pPr>
      <w:bookmarkStart w:id="46" w:name="Submitting_the_NPAF_to_th_Secretariat"/>
      <w:r w:rsidRPr="008E4E92">
        <w:rPr>
          <w:rFonts w:ascii="Arial" w:hAnsi="Arial" w:cs="Arial"/>
          <w:b/>
          <w:bCs/>
          <w:szCs w:val="22"/>
          <w:lang w:val="en-GB"/>
        </w:rPr>
        <w:t>Submitting the NPAF to the Secretariat</w:t>
      </w:r>
      <w:bookmarkEnd w:id="46"/>
    </w:p>
    <w:p w14:paraId="1AE8F0FA" w14:textId="77777777" w:rsidR="00C257C6" w:rsidRPr="008E4E92" w:rsidRDefault="00C257C6" w:rsidP="00C257C6">
      <w:pPr>
        <w:pStyle w:val="CorpsdetextemargeExp"/>
        <w:tabs>
          <w:tab w:val="left" w:pos="720"/>
        </w:tabs>
        <w:overflowPunct/>
        <w:textAlignment w:val="auto"/>
        <w:rPr>
          <w:rFonts w:ascii="Arial" w:hAnsi="Arial" w:cs="Arial"/>
          <w:szCs w:val="22"/>
          <w:lang w:val="en-GB"/>
        </w:rPr>
      </w:pPr>
    </w:p>
    <w:p w14:paraId="757168D4" w14:textId="77777777" w:rsidR="00C257C6" w:rsidRPr="008E4E92" w:rsidRDefault="00C257C6" w:rsidP="00C257C6">
      <w:pPr>
        <w:pStyle w:val="CorpsdetextemargeExp"/>
        <w:tabs>
          <w:tab w:val="left" w:pos="720"/>
        </w:tabs>
        <w:overflowPunct/>
        <w:textAlignment w:val="auto"/>
        <w:rPr>
          <w:rFonts w:ascii="Arial" w:hAnsi="Arial" w:cs="Arial"/>
          <w:szCs w:val="22"/>
          <w:lang w:val="en-GB"/>
        </w:rPr>
      </w:pPr>
      <w:r w:rsidRPr="008E4E92">
        <w:rPr>
          <w:rFonts w:ascii="Arial" w:hAnsi="Arial" w:cs="Arial"/>
          <w:szCs w:val="22"/>
          <w:lang w:val="en-GB"/>
        </w:rPr>
        <w:t>As SMC uses a paperless system, wherever possible, a signed hard copy of the master NPAF is not required.  The secretariat will accept the electronic version of the NPAF as the master document, provided that the person responsible for compiling the submission has entered a scanned signature on the front page.</w:t>
      </w:r>
    </w:p>
    <w:p w14:paraId="1ACF8E32" w14:textId="77777777" w:rsidR="00C257C6" w:rsidRPr="008E4E92" w:rsidRDefault="00C257C6" w:rsidP="00C257C6">
      <w:pPr>
        <w:rPr>
          <w:rFonts w:cs="Arial"/>
          <w:b/>
          <w:sz w:val="22"/>
          <w:szCs w:val="22"/>
        </w:rPr>
      </w:pPr>
    </w:p>
    <w:p w14:paraId="278ECD56" w14:textId="77777777" w:rsidR="00C257C6" w:rsidRPr="008E4E92" w:rsidRDefault="00C257C6" w:rsidP="00C257C6">
      <w:pPr>
        <w:jc w:val="both"/>
        <w:rPr>
          <w:rFonts w:cs="Arial"/>
          <w:sz w:val="22"/>
          <w:szCs w:val="22"/>
        </w:rPr>
      </w:pPr>
      <w:r w:rsidRPr="008E4E92">
        <w:rPr>
          <w:rFonts w:cs="Arial"/>
          <w:sz w:val="22"/>
          <w:szCs w:val="22"/>
        </w:rPr>
        <w:t xml:space="preserve">Please email your completed NPAF to Maureen Stark </w:t>
      </w:r>
      <w:hyperlink r:id="rId19" w:history="1">
        <w:r w:rsidRPr="008E4E92">
          <w:rPr>
            <w:rStyle w:val="Hyperlink"/>
            <w:rFonts w:cs="Arial"/>
            <w:sz w:val="22"/>
            <w:szCs w:val="22"/>
          </w:rPr>
          <w:t>maureen.stark@nhs.net</w:t>
        </w:r>
      </w:hyperlink>
      <w:r w:rsidRPr="008E4E92">
        <w:rPr>
          <w:rFonts w:cs="Arial"/>
          <w:sz w:val="22"/>
          <w:szCs w:val="22"/>
        </w:rPr>
        <w:t xml:space="preserve"> and Catherine Tait </w:t>
      </w:r>
      <w:hyperlink r:id="rId20" w:history="1">
        <w:r w:rsidRPr="008E4E92">
          <w:rPr>
            <w:rStyle w:val="Hyperlink"/>
            <w:rFonts w:cs="Arial"/>
            <w:sz w:val="22"/>
            <w:szCs w:val="22"/>
          </w:rPr>
          <w:t>catherine.tait@nhs.net</w:t>
        </w:r>
      </w:hyperlink>
    </w:p>
    <w:p w14:paraId="2C68266C" w14:textId="77777777" w:rsidR="00C257C6" w:rsidRPr="008E4E92" w:rsidRDefault="00C257C6" w:rsidP="00C257C6">
      <w:pPr>
        <w:jc w:val="both"/>
        <w:rPr>
          <w:rFonts w:cs="Arial"/>
          <w:sz w:val="22"/>
          <w:szCs w:val="22"/>
        </w:rPr>
      </w:pPr>
    </w:p>
    <w:p w14:paraId="3296D055" w14:textId="77777777" w:rsidR="00C257C6" w:rsidRPr="008E4E92" w:rsidRDefault="00C257C6" w:rsidP="00C257C6">
      <w:pPr>
        <w:jc w:val="both"/>
        <w:rPr>
          <w:rFonts w:cs="Arial"/>
          <w:sz w:val="22"/>
          <w:szCs w:val="22"/>
          <w:u w:val="single"/>
        </w:rPr>
      </w:pPr>
      <w:r w:rsidRPr="008E4E92">
        <w:rPr>
          <w:rFonts w:cs="Arial"/>
          <w:sz w:val="22"/>
          <w:szCs w:val="22"/>
          <w:u w:val="single"/>
        </w:rPr>
        <w:t xml:space="preserve">Contact Address:  </w:t>
      </w:r>
    </w:p>
    <w:p w14:paraId="5EC31136" w14:textId="77777777" w:rsidR="00C257C6" w:rsidRPr="008E4E92" w:rsidRDefault="00C257C6" w:rsidP="00C257C6">
      <w:pPr>
        <w:jc w:val="both"/>
        <w:rPr>
          <w:rFonts w:cs="Arial"/>
          <w:sz w:val="22"/>
          <w:szCs w:val="22"/>
        </w:rPr>
      </w:pPr>
      <w:r w:rsidRPr="008E4E92">
        <w:rPr>
          <w:rFonts w:cs="Arial"/>
          <w:sz w:val="22"/>
          <w:szCs w:val="22"/>
        </w:rPr>
        <w:t>SMC Secretariat</w:t>
      </w:r>
    </w:p>
    <w:p w14:paraId="7C7837A1" w14:textId="77777777" w:rsidR="00C257C6" w:rsidRPr="008E4E92" w:rsidRDefault="00C257C6" w:rsidP="00C257C6">
      <w:pPr>
        <w:rPr>
          <w:rFonts w:cs="Arial"/>
          <w:sz w:val="22"/>
          <w:szCs w:val="22"/>
        </w:rPr>
      </w:pPr>
      <w:r w:rsidRPr="008E4E92">
        <w:rPr>
          <w:rFonts w:cs="Arial"/>
          <w:sz w:val="22"/>
          <w:szCs w:val="22"/>
        </w:rPr>
        <w:t>Scottish Medicines Consortium</w:t>
      </w:r>
    </w:p>
    <w:p w14:paraId="2AFB14B9" w14:textId="77777777" w:rsidR="00C257C6" w:rsidRPr="008E4E92" w:rsidRDefault="00C257C6" w:rsidP="00C257C6">
      <w:pPr>
        <w:rPr>
          <w:rFonts w:cs="Arial"/>
          <w:sz w:val="22"/>
          <w:szCs w:val="22"/>
        </w:rPr>
      </w:pPr>
      <w:r w:rsidRPr="008E4E92">
        <w:rPr>
          <w:rFonts w:cs="Arial"/>
          <w:sz w:val="22"/>
          <w:szCs w:val="22"/>
        </w:rPr>
        <w:t>Healthcare Improvement Scotland</w:t>
      </w:r>
    </w:p>
    <w:p w14:paraId="7D56D325" w14:textId="77777777" w:rsidR="00C257C6" w:rsidRPr="008E4E92" w:rsidRDefault="00C257C6" w:rsidP="00C257C6">
      <w:pPr>
        <w:rPr>
          <w:rFonts w:cs="Arial"/>
          <w:sz w:val="22"/>
          <w:szCs w:val="22"/>
        </w:rPr>
      </w:pPr>
      <w:r w:rsidRPr="008E4E92">
        <w:rPr>
          <w:rFonts w:cs="Arial"/>
          <w:sz w:val="22"/>
          <w:szCs w:val="22"/>
        </w:rPr>
        <w:t>8</w:t>
      </w:r>
      <w:r w:rsidRPr="008E4E92">
        <w:rPr>
          <w:rFonts w:cs="Arial"/>
          <w:sz w:val="22"/>
          <w:szCs w:val="22"/>
          <w:vertAlign w:val="superscript"/>
        </w:rPr>
        <w:t>th</w:t>
      </w:r>
      <w:r w:rsidRPr="008E4E92">
        <w:rPr>
          <w:rFonts w:cs="Arial"/>
          <w:sz w:val="22"/>
          <w:szCs w:val="22"/>
        </w:rPr>
        <w:t xml:space="preserve"> Floor, Delta House</w:t>
      </w:r>
    </w:p>
    <w:p w14:paraId="06EF3FC3" w14:textId="77777777" w:rsidR="00C257C6" w:rsidRPr="008E4E92" w:rsidRDefault="00C257C6" w:rsidP="00C257C6">
      <w:pPr>
        <w:rPr>
          <w:rFonts w:cs="Arial"/>
          <w:sz w:val="22"/>
          <w:szCs w:val="22"/>
        </w:rPr>
      </w:pPr>
      <w:r w:rsidRPr="008E4E92">
        <w:rPr>
          <w:rFonts w:cs="Arial"/>
          <w:sz w:val="22"/>
          <w:szCs w:val="22"/>
        </w:rPr>
        <w:t>50 West Nile Street</w:t>
      </w:r>
    </w:p>
    <w:p w14:paraId="236DBF22" w14:textId="77777777" w:rsidR="00C257C6" w:rsidRPr="008E4E92" w:rsidRDefault="00C257C6" w:rsidP="00C257C6">
      <w:pPr>
        <w:rPr>
          <w:rFonts w:cs="Arial"/>
          <w:sz w:val="22"/>
          <w:szCs w:val="22"/>
        </w:rPr>
      </w:pPr>
      <w:r w:rsidRPr="008E4E92">
        <w:rPr>
          <w:rFonts w:cs="Arial"/>
          <w:sz w:val="22"/>
          <w:szCs w:val="22"/>
        </w:rPr>
        <w:t>Glasgow G1 2NP</w:t>
      </w:r>
    </w:p>
    <w:p w14:paraId="444A4408" w14:textId="77777777" w:rsidR="00C257C6" w:rsidRPr="008E4E92" w:rsidRDefault="00C257C6" w:rsidP="00C257C6">
      <w:pPr>
        <w:rPr>
          <w:rFonts w:cs="Arial"/>
          <w:b/>
          <w:sz w:val="22"/>
          <w:szCs w:val="22"/>
        </w:rPr>
      </w:pPr>
      <w:r w:rsidRPr="008E4E92">
        <w:rPr>
          <w:rFonts w:cs="Arial"/>
          <w:sz w:val="22"/>
          <w:szCs w:val="22"/>
        </w:rPr>
        <w:t>Tel</w:t>
      </w:r>
      <w:r w:rsidRPr="008E4E92">
        <w:rPr>
          <w:rFonts w:cs="Arial"/>
          <w:b/>
          <w:sz w:val="22"/>
          <w:szCs w:val="22"/>
        </w:rPr>
        <w:t xml:space="preserve">: </w:t>
      </w:r>
      <w:r w:rsidRPr="008E4E92">
        <w:rPr>
          <w:rFonts w:cs="Arial"/>
          <w:sz w:val="22"/>
          <w:szCs w:val="22"/>
        </w:rPr>
        <w:t>0141 225 6874 / 5552</w:t>
      </w:r>
    </w:p>
    <w:p w14:paraId="3E638202" w14:textId="77777777" w:rsidR="00367E54" w:rsidRDefault="00367E54" w:rsidP="00F97529">
      <w:pPr>
        <w:jc w:val="both"/>
        <w:rPr>
          <w:rFonts w:cs="Arial"/>
          <w:b/>
          <w:sz w:val="22"/>
          <w:szCs w:val="22"/>
        </w:rPr>
      </w:pPr>
      <w:r>
        <w:rPr>
          <w:rFonts w:cs="Arial"/>
          <w:b/>
          <w:sz w:val="22"/>
          <w:szCs w:val="22"/>
        </w:rPr>
        <w:lastRenderedPageBreak/>
        <w:br w:type="page"/>
      </w:r>
    </w:p>
    <w:p w14:paraId="64984880" w14:textId="3E9A7361" w:rsidR="00E80642" w:rsidRDefault="00367E54" w:rsidP="00F97529">
      <w:pPr>
        <w:ind w:left="357" w:hanging="357"/>
        <w:jc w:val="both"/>
        <w:rPr>
          <w:rFonts w:cs="Arial"/>
          <w:b/>
          <w:sz w:val="22"/>
          <w:szCs w:val="22"/>
        </w:rPr>
      </w:pPr>
      <w:r>
        <w:rPr>
          <w:rFonts w:cs="Arial"/>
          <w:b/>
          <w:sz w:val="22"/>
          <w:szCs w:val="22"/>
        </w:rPr>
        <w:lastRenderedPageBreak/>
        <w:t>GLOSSARY</w:t>
      </w:r>
    </w:p>
    <w:p w14:paraId="1B12D097" w14:textId="77777777" w:rsidR="00367E54" w:rsidRDefault="00367E54" w:rsidP="00C257C6">
      <w:pPr>
        <w:rPr>
          <w:rFonts w:cs="Arial"/>
          <w:b/>
          <w:sz w:val="22"/>
          <w:szCs w:val="22"/>
        </w:rPr>
      </w:pPr>
    </w:p>
    <w:tbl>
      <w:tblPr>
        <w:tblStyle w:val="TableGrid"/>
        <w:tblW w:w="9464" w:type="dxa"/>
        <w:tblLook w:val="04A0" w:firstRow="1" w:lastRow="0" w:firstColumn="1" w:lastColumn="0" w:noHBand="0" w:noVBand="1"/>
      </w:tblPr>
      <w:tblGrid>
        <w:gridCol w:w="1809"/>
        <w:gridCol w:w="7655"/>
      </w:tblGrid>
      <w:tr w:rsidR="00825995" w:rsidRPr="006F7DD5" w14:paraId="0731650E" w14:textId="77777777" w:rsidTr="008E14CD">
        <w:tc>
          <w:tcPr>
            <w:tcW w:w="1809" w:type="dxa"/>
          </w:tcPr>
          <w:p w14:paraId="2E2009A1" w14:textId="6159D313" w:rsidR="00825995" w:rsidRPr="000C3EA0" w:rsidRDefault="00825995" w:rsidP="00C257C6">
            <w:pPr>
              <w:rPr>
                <w:rFonts w:cs="Arial"/>
                <w:szCs w:val="22"/>
              </w:rPr>
            </w:pPr>
            <w:r w:rsidRPr="000C3EA0">
              <w:rPr>
                <w:rFonts w:cs="Arial"/>
                <w:sz w:val="22"/>
                <w:szCs w:val="22"/>
              </w:rPr>
              <w:t>ABSSSI</w:t>
            </w:r>
          </w:p>
        </w:tc>
        <w:tc>
          <w:tcPr>
            <w:tcW w:w="7655" w:type="dxa"/>
          </w:tcPr>
          <w:p w14:paraId="1E1E3058" w14:textId="3550D90E" w:rsidR="00825995" w:rsidRPr="000C3EA0" w:rsidRDefault="00237A6D" w:rsidP="00C257C6">
            <w:pPr>
              <w:rPr>
                <w:rFonts w:cs="Arial"/>
                <w:szCs w:val="22"/>
              </w:rPr>
            </w:pPr>
            <w:r w:rsidRPr="000C3EA0">
              <w:rPr>
                <w:rFonts w:cs="Arial"/>
                <w:sz w:val="22"/>
                <w:szCs w:val="22"/>
                <w:shd w:val="clear" w:color="auto" w:fill="FFFFFF"/>
              </w:rPr>
              <w:t>Acute bacterial skin and skin structure infections</w:t>
            </w:r>
          </w:p>
        </w:tc>
      </w:tr>
      <w:tr w:rsidR="007C6F69" w:rsidRPr="006F7DD5" w14:paraId="6BD072C8" w14:textId="77777777" w:rsidTr="008E14CD">
        <w:tc>
          <w:tcPr>
            <w:tcW w:w="1809" w:type="dxa"/>
          </w:tcPr>
          <w:p w14:paraId="24AD521D" w14:textId="36D041AB" w:rsidR="007C6F69" w:rsidRPr="000C3EA0" w:rsidRDefault="007C6F69" w:rsidP="00C257C6">
            <w:pPr>
              <w:rPr>
                <w:rFonts w:cs="Arial"/>
                <w:szCs w:val="22"/>
              </w:rPr>
            </w:pPr>
            <w:r w:rsidRPr="000C3EA0">
              <w:rPr>
                <w:rFonts w:cs="Arial"/>
                <w:sz w:val="22"/>
                <w:szCs w:val="22"/>
              </w:rPr>
              <w:t>AE</w:t>
            </w:r>
          </w:p>
        </w:tc>
        <w:tc>
          <w:tcPr>
            <w:tcW w:w="7655" w:type="dxa"/>
          </w:tcPr>
          <w:p w14:paraId="2833F1D0" w14:textId="77613D32" w:rsidR="007C6F69" w:rsidRPr="000C3EA0" w:rsidRDefault="000C3EA0" w:rsidP="00C257C6">
            <w:pPr>
              <w:rPr>
                <w:rFonts w:cs="Arial"/>
                <w:szCs w:val="22"/>
                <w:shd w:val="clear" w:color="auto" w:fill="FFFFFF"/>
              </w:rPr>
            </w:pPr>
            <w:r w:rsidRPr="000C3EA0">
              <w:rPr>
                <w:rFonts w:cs="Arial"/>
                <w:sz w:val="22"/>
                <w:szCs w:val="22"/>
                <w:shd w:val="clear" w:color="auto" w:fill="FFFFFF"/>
              </w:rPr>
              <w:t>Adverse Event</w:t>
            </w:r>
          </w:p>
        </w:tc>
      </w:tr>
      <w:tr w:rsidR="00B87BD5" w:rsidRPr="006F7DD5" w14:paraId="1E1E7581" w14:textId="77777777" w:rsidTr="008E14CD">
        <w:tc>
          <w:tcPr>
            <w:tcW w:w="1809" w:type="dxa"/>
          </w:tcPr>
          <w:p w14:paraId="3FA0D907" w14:textId="118EA631" w:rsidR="00B87BD5" w:rsidRPr="000C3EA0" w:rsidRDefault="00B87BD5" w:rsidP="00C257C6">
            <w:pPr>
              <w:rPr>
                <w:rFonts w:cs="Arial"/>
                <w:szCs w:val="22"/>
              </w:rPr>
            </w:pPr>
            <w:r>
              <w:rPr>
                <w:rFonts w:cs="Arial"/>
                <w:sz w:val="22"/>
                <w:szCs w:val="22"/>
              </w:rPr>
              <w:t>AOBD</w:t>
            </w:r>
          </w:p>
        </w:tc>
        <w:tc>
          <w:tcPr>
            <w:tcW w:w="7655" w:type="dxa"/>
          </w:tcPr>
          <w:p w14:paraId="18B2CAE5" w14:textId="7ABD1D34" w:rsidR="00B87BD5" w:rsidRPr="000C3EA0" w:rsidRDefault="00B87BD5" w:rsidP="00C257C6">
            <w:pPr>
              <w:rPr>
                <w:rFonts w:cs="Arial"/>
                <w:szCs w:val="22"/>
                <w:shd w:val="clear" w:color="auto" w:fill="FFFFFF"/>
              </w:rPr>
            </w:pPr>
            <w:r>
              <w:rPr>
                <w:rFonts w:cs="Arial"/>
                <w:sz w:val="22"/>
                <w:szCs w:val="22"/>
                <w:shd w:val="clear" w:color="auto" w:fill="FFFFFF"/>
              </w:rPr>
              <w:t>Acute Occupied Bed Days</w:t>
            </w:r>
          </w:p>
        </w:tc>
      </w:tr>
      <w:tr w:rsidR="00825995" w:rsidRPr="006F7DD5" w14:paraId="29588C7B" w14:textId="77777777" w:rsidTr="008E14CD">
        <w:tc>
          <w:tcPr>
            <w:tcW w:w="1809" w:type="dxa"/>
          </w:tcPr>
          <w:p w14:paraId="0CFE8FB3" w14:textId="388BFB3A" w:rsidR="00825995" w:rsidRPr="000C3EA0" w:rsidRDefault="00825995" w:rsidP="00C257C6">
            <w:pPr>
              <w:rPr>
                <w:rFonts w:cs="Arial"/>
                <w:szCs w:val="22"/>
              </w:rPr>
            </w:pPr>
            <w:r w:rsidRPr="000C3EA0">
              <w:rPr>
                <w:rFonts w:cs="Arial"/>
                <w:sz w:val="22"/>
                <w:szCs w:val="22"/>
              </w:rPr>
              <w:t>AWMSG</w:t>
            </w:r>
          </w:p>
        </w:tc>
        <w:tc>
          <w:tcPr>
            <w:tcW w:w="7655" w:type="dxa"/>
          </w:tcPr>
          <w:p w14:paraId="1CDB6FB1" w14:textId="6D31A35A" w:rsidR="00825995" w:rsidRPr="000C3EA0" w:rsidRDefault="00825995" w:rsidP="00C257C6">
            <w:pPr>
              <w:rPr>
                <w:rFonts w:cs="Arial"/>
                <w:szCs w:val="22"/>
              </w:rPr>
            </w:pPr>
            <w:r w:rsidRPr="000C3EA0">
              <w:rPr>
                <w:rFonts w:cs="Arial"/>
                <w:sz w:val="22"/>
                <w:szCs w:val="22"/>
              </w:rPr>
              <w:t>All Wales Medicines Strategy Group</w:t>
            </w:r>
          </w:p>
        </w:tc>
      </w:tr>
      <w:tr w:rsidR="00BB5B0F" w:rsidRPr="006F7DD5" w14:paraId="607C41FA" w14:textId="77777777" w:rsidTr="008E14CD">
        <w:tc>
          <w:tcPr>
            <w:tcW w:w="1809" w:type="dxa"/>
          </w:tcPr>
          <w:p w14:paraId="5A1464A2" w14:textId="19FBFCDF" w:rsidR="00BB5B0F" w:rsidRPr="000C3EA0" w:rsidRDefault="00BB5B0F" w:rsidP="00C257C6">
            <w:pPr>
              <w:rPr>
                <w:rFonts w:cs="Arial"/>
                <w:szCs w:val="22"/>
              </w:rPr>
            </w:pPr>
            <w:r>
              <w:rPr>
                <w:rFonts w:cs="Arial"/>
                <w:sz w:val="22"/>
                <w:szCs w:val="22"/>
              </w:rPr>
              <w:t>BNF</w:t>
            </w:r>
          </w:p>
        </w:tc>
        <w:tc>
          <w:tcPr>
            <w:tcW w:w="7655" w:type="dxa"/>
          </w:tcPr>
          <w:p w14:paraId="5B6583C0" w14:textId="7320C3CF" w:rsidR="00BB5B0F" w:rsidRPr="000C3EA0" w:rsidRDefault="00BB5B0F" w:rsidP="00C257C6">
            <w:pPr>
              <w:rPr>
                <w:rFonts w:cs="Arial"/>
                <w:szCs w:val="22"/>
              </w:rPr>
            </w:pPr>
            <w:r>
              <w:rPr>
                <w:rFonts w:cs="Arial"/>
                <w:sz w:val="22"/>
                <w:szCs w:val="22"/>
              </w:rPr>
              <w:t>British National Formulary</w:t>
            </w:r>
          </w:p>
        </w:tc>
      </w:tr>
      <w:tr w:rsidR="00825995" w:rsidRPr="006F7DD5" w14:paraId="72EA770F" w14:textId="77777777" w:rsidTr="008E14CD">
        <w:tc>
          <w:tcPr>
            <w:tcW w:w="1809" w:type="dxa"/>
          </w:tcPr>
          <w:p w14:paraId="0C1FF0B1" w14:textId="23CCB2F6" w:rsidR="00825995" w:rsidRPr="000C3EA0" w:rsidRDefault="00FB4E0E" w:rsidP="00C257C6">
            <w:pPr>
              <w:rPr>
                <w:rFonts w:cs="Arial"/>
                <w:szCs w:val="22"/>
              </w:rPr>
            </w:pPr>
            <w:r w:rsidRPr="000C3EA0">
              <w:rPr>
                <w:rFonts w:cs="Arial"/>
                <w:sz w:val="22"/>
                <w:szCs w:val="22"/>
              </w:rPr>
              <w:t>BSAC</w:t>
            </w:r>
          </w:p>
        </w:tc>
        <w:tc>
          <w:tcPr>
            <w:tcW w:w="7655" w:type="dxa"/>
          </w:tcPr>
          <w:p w14:paraId="4061619C" w14:textId="30D9FA29" w:rsidR="00825995" w:rsidRPr="000C3EA0" w:rsidRDefault="006F7DD5" w:rsidP="00C257C6">
            <w:pPr>
              <w:rPr>
                <w:rFonts w:cs="Arial"/>
                <w:szCs w:val="22"/>
              </w:rPr>
            </w:pPr>
            <w:r w:rsidRPr="000C3EA0">
              <w:rPr>
                <w:rFonts w:cs="Arial"/>
                <w:sz w:val="22"/>
                <w:szCs w:val="22"/>
              </w:rPr>
              <w:t>British Society of Antimicrobial Chemotherapy</w:t>
            </w:r>
          </w:p>
        </w:tc>
      </w:tr>
      <w:tr w:rsidR="00B95903" w:rsidRPr="006F7DD5" w14:paraId="5E17FCB1" w14:textId="77777777" w:rsidTr="008E14CD">
        <w:tc>
          <w:tcPr>
            <w:tcW w:w="1809" w:type="dxa"/>
          </w:tcPr>
          <w:p w14:paraId="4382C4D3" w14:textId="5945FBF3" w:rsidR="00B95903" w:rsidRPr="000C3EA0" w:rsidRDefault="00B95903" w:rsidP="00C257C6">
            <w:pPr>
              <w:rPr>
                <w:rFonts w:cs="Arial"/>
                <w:sz w:val="22"/>
                <w:szCs w:val="22"/>
              </w:rPr>
            </w:pPr>
            <w:r>
              <w:rPr>
                <w:rFonts w:cs="Arial"/>
                <w:sz w:val="22"/>
                <w:szCs w:val="22"/>
              </w:rPr>
              <w:t>BUN</w:t>
            </w:r>
          </w:p>
        </w:tc>
        <w:tc>
          <w:tcPr>
            <w:tcW w:w="7655" w:type="dxa"/>
          </w:tcPr>
          <w:p w14:paraId="0AC5B75C" w14:textId="7C70E574" w:rsidR="00B95903" w:rsidRPr="000C3EA0" w:rsidRDefault="00320EF3" w:rsidP="00C257C6">
            <w:pPr>
              <w:rPr>
                <w:rFonts w:cs="Arial"/>
                <w:sz w:val="22"/>
                <w:szCs w:val="22"/>
              </w:rPr>
            </w:pPr>
            <w:r>
              <w:rPr>
                <w:rFonts w:cs="Arial"/>
                <w:sz w:val="22"/>
                <w:szCs w:val="22"/>
              </w:rPr>
              <w:t>Blood urea nitrogen</w:t>
            </w:r>
          </w:p>
        </w:tc>
      </w:tr>
      <w:tr w:rsidR="000C3EA0" w:rsidRPr="006F7DD5" w14:paraId="2EABC6D2" w14:textId="77777777" w:rsidTr="008E14CD">
        <w:tc>
          <w:tcPr>
            <w:tcW w:w="1809" w:type="dxa"/>
          </w:tcPr>
          <w:p w14:paraId="7FC913C2" w14:textId="0EF7242F" w:rsidR="000C3EA0" w:rsidRPr="000C3EA0" w:rsidRDefault="000C3EA0" w:rsidP="00C257C6">
            <w:pPr>
              <w:rPr>
                <w:rFonts w:cs="Arial"/>
                <w:szCs w:val="22"/>
              </w:rPr>
            </w:pPr>
            <w:r w:rsidRPr="000C3EA0">
              <w:rPr>
                <w:rFonts w:cs="Arial"/>
                <w:sz w:val="22"/>
                <w:szCs w:val="22"/>
              </w:rPr>
              <w:t>CHMP</w:t>
            </w:r>
          </w:p>
        </w:tc>
        <w:tc>
          <w:tcPr>
            <w:tcW w:w="7655" w:type="dxa"/>
          </w:tcPr>
          <w:p w14:paraId="600804C4" w14:textId="0601431F" w:rsidR="000C3EA0" w:rsidRPr="000C3EA0" w:rsidRDefault="000C3EA0" w:rsidP="00C257C6">
            <w:pPr>
              <w:rPr>
                <w:rFonts w:cs="Arial"/>
                <w:szCs w:val="22"/>
              </w:rPr>
            </w:pPr>
            <w:r w:rsidRPr="000C3EA0">
              <w:rPr>
                <w:rFonts w:cs="Arial"/>
                <w:sz w:val="22"/>
                <w:szCs w:val="22"/>
              </w:rPr>
              <w:t>European Medicines Agency Committee for Human Medicinal Products</w:t>
            </w:r>
          </w:p>
        </w:tc>
      </w:tr>
      <w:tr w:rsidR="000C3EA0" w:rsidRPr="006F7DD5" w14:paraId="4AFE966B" w14:textId="77777777" w:rsidTr="008E14CD">
        <w:tc>
          <w:tcPr>
            <w:tcW w:w="1809" w:type="dxa"/>
          </w:tcPr>
          <w:p w14:paraId="76ABF691" w14:textId="23DD5B3E" w:rsidR="000C3EA0" w:rsidRPr="000C3EA0" w:rsidRDefault="000C3EA0" w:rsidP="00C257C6">
            <w:pPr>
              <w:rPr>
                <w:rFonts w:cs="Arial"/>
                <w:szCs w:val="22"/>
              </w:rPr>
            </w:pPr>
            <w:r w:rsidRPr="000C3EA0">
              <w:rPr>
                <w:rFonts w:cs="Arial"/>
                <w:sz w:val="22"/>
                <w:szCs w:val="22"/>
              </w:rPr>
              <w:t>CMA</w:t>
            </w:r>
          </w:p>
        </w:tc>
        <w:tc>
          <w:tcPr>
            <w:tcW w:w="7655" w:type="dxa"/>
          </w:tcPr>
          <w:p w14:paraId="3E1F1F3F" w14:textId="26599311" w:rsidR="000C3EA0" w:rsidRPr="00BB5B0F" w:rsidRDefault="000C3EA0" w:rsidP="00C257C6">
            <w:pPr>
              <w:rPr>
                <w:rFonts w:cs="Arial"/>
                <w:szCs w:val="22"/>
              </w:rPr>
            </w:pPr>
            <w:r w:rsidRPr="00BB5B0F">
              <w:rPr>
                <w:rFonts w:cs="Arial"/>
                <w:sz w:val="22"/>
                <w:szCs w:val="22"/>
              </w:rPr>
              <w:t>Cost-Minimisation Analysis</w:t>
            </w:r>
          </w:p>
        </w:tc>
      </w:tr>
      <w:tr w:rsidR="007C6F69" w:rsidRPr="006F7DD5" w14:paraId="785F1C01" w14:textId="77777777" w:rsidTr="008E14CD">
        <w:tc>
          <w:tcPr>
            <w:tcW w:w="1809" w:type="dxa"/>
          </w:tcPr>
          <w:p w14:paraId="3E3A26C8" w14:textId="73C24B72" w:rsidR="007C6F69" w:rsidRPr="000C3EA0" w:rsidRDefault="007C6F69" w:rsidP="00C257C6">
            <w:pPr>
              <w:rPr>
                <w:rFonts w:cs="Arial"/>
                <w:szCs w:val="22"/>
              </w:rPr>
            </w:pPr>
            <w:r w:rsidRPr="000C3EA0">
              <w:rPr>
                <w:rFonts w:cs="Arial"/>
                <w:sz w:val="22"/>
                <w:szCs w:val="22"/>
              </w:rPr>
              <w:t>cSSSI</w:t>
            </w:r>
          </w:p>
        </w:tc>
        <w:tc>
          <w:tcPr>
            <w:tcW w:w="7655" w:type="dxa"/>
          </w:tcPr>
          <w:p w14:paraId="57EE9F38" w14:textId="556BB7BC" w:rsidR="007C6F69" w:rsidRPr="00BB5B0F" w:rsidRDefault="000C3EA0" w:rsidP="00C257C6">
            <w:pPr>
              <w:rPr>
                <w:rFonts w:cs="Arial"/>
                <w:szCs w:val="22"/>
              </w:rPr>
            </w:pPr>
            <w:r w:rsidRPr="00BB5B0F">
              <w:rPr>
                <w:rFonts w:cs="Arial"/>
                <w:sz w:val="22"/>
                <w:szCs w:val="22"/>
              </w:rPr>
              <w:t>Complicated Skin or Skin Structure Infection</w:t>
            </w:r>
          </w:p>
        </w:tc>
      </w:tr>
      <w:tr w:rsidR="00825995" w:rsidRPr="006F7DD5" w14:paraId="534F07F1" w14:textId="77777777" w:rsidTr="008E14CD">
        <w:tc>
          <w:tcPr>
            <w:tcW w:w="1809" w:type="dxa"/>
          </w:tcPr>
          <w:p w14:paraId="27E66F0A" w14:textId="2454B83F" w:rsidR="00825995" w:rsidRPr="000C3EA0" w:rsidRDefault="00825995" w:rsidP="00C257C6">
            <w:pPr>
              <w:rPr>
                <w:rFonts w:cs="Arial"/>
                <w:szCs w:val="22"/>
              </w:rPr>
            </w:pPr>
            <w:r w:rsidRPr="000C3EA0">
              <w:rPr>
                <w:rFonts w:cs="Arial"/>
                <w:sz w:val="22"/>
                <w:szCs w:val="22"/>
              </w:rPr>
              <w:t>cSSTI</w:t>
            </w:r>
          </w:p>
        </w:tc>
        <w:tc>
          <w:tcPr>
            <w:tcW w:w="7655" w:type="dxa"/>
          </w:tcPr>
          <w:p w14:paraId="4E3E9E63" w14:textId="35E3AC33" w:rsidR="00825995" w:rsidRPr="00BB5B0F" w:rsidRDefault="00825995" w:rsidP="00C257C6">
            <w:pPr>
              <w:rPr>
                <w:rFonts w:cs="Arial"/>
                <w:szCs w:val="22"/>
              </w:rPr>
            </w:pPr>
            <w:r w:rsidRPr="00BB5B0F">
              <w:rPr>
                <w:rFonts w:cs="Arial"/>
                <w:sz w:val="22"/>
                <w:szCs w:val="22"/>
              </w:rPr>
              <w:t>C</w:t>
            </w:r>
            <w:r w:rsidR="00237A6D" w:rsidRPr="00BB5B0F">
              <w:rPr>
                <w:rFonts w:cs="Arial"/>
                <w:sz w:val="22"/>
                <w:szCs w:val="22"/>
              </w:rPr>
              <w:t>omplicated Skin or Skin Tissue i</w:t>
            </w:r>
            <w:r w:rsidRPr="00BB5B0F">
              <w:rPr>
                <w:rFonts w:cs="Arial"/>
                <w:sz w:val="22"/>
                <w:szCs w:val="22"/>
              </w:rPr>
              <w:t>nfection</w:t>
            </w:r>
          </w:p>
        </w:tc>
      </w:tr>
      <w:tr w:rsidR="00825995" w:rsidRPr="006F7DD5" w14:paraId="7E65A31C" w14:textId="77777777" w:rsidTr="008E14CD">
        <w:tc>
          <w:tcPr>
            <w:tcW w:w="1809" w:type="dxa"/>
          </w:tcPr>
          <w:p w14:paraId="19F08970" w14:textId="374906DC" w:rsidR="00825995" w:rsidRPr="000C3EA0" w:rsidRDefault="009F6AFB" w:rsidP="00C257C6">
            <w:pPr>
              <w:rPr>
                <w:rFonts w:cs="Arial"/>
                <w:szCs w:val="22"/>
              </w:rPr>
            </w:pPr>
            <w:r w:rsidRPr="000C3EA0">
              <w:rPr>
                <w:rFonts w:cs="Arial"/>
                <w:sz w:val="22"/>
                <w:szCs w:val="22"/>
              </w:rPr>
              <w:t>CE</w:t>
            </w:r>
          </w:p>
        </w:tc>
        <w:tc>
          <w:tcPr>
            <w:tcW w:w="7655" w:type="dxa"/>
          </w:tcPr>
          <w:p w14:paraId="3BD53BD8" w14:textId="0798F799" w:rsidR="00825995" w:rsidRPr="00BB5B0F" w:rsidRDefault="009F6AFB" w:rsidP="00C257C6">
            <w:pPr>
              <w:rPr>
                <w:rFonts w:cs="Arial"/>
                <w:szCs w:val="22"/>
              </w:rPr>
            </w:pPr>
            <w:r w:rsidRPr="00BB5B0F">
              <w:rPr>
                <w:rFonts w:cs="Arial"/>
                <w:sz w:val="22"/>
                <w:szCs w:val="22"/>
              </w:rPr>
              <w:t>Clinically-Evaluable</w:t>
            </w:r>
          </w:p>
        </w:tc>
      </w:tr>
      <w:tr w:rsidR="009F6AFB" w:rsidRPr="006F7DD5" w14:paraId="09808012" w14:textId="77777777" w:rsidTr="008E14CD">
        <w:tc>
          <w:tcPr>
            <w:tcW w:w="1809" w:type="dxa"/>
          </w:tcPr>
          <w:p w14:paraId="402A2574" w14:textId="21BDD6E2" w:rsidR="009F6AFB" w:rsidRPr="000C3EA0" w:rsidRDefault="009F6AFB" w:rsidP="00C257C6">
            <w:pPr>
              <w:rPr>
                <w:rFonts w:cs="Arial"/>
                <w:szCs w:val="22"/>
              </w:rPr>
            </w:pPr>
            <w:r w:rsidRPr="000C3EA0">
              <w:rPr>
                <w:rFonts w:cs="Arial"/>
                <w:sz w:val="22"/>
                <w:szCs w:val="22"/>
              </w:rPr>
              <w:t>CE-EOT</w:t>
            </w:r>
          </w:p>
        </w:tc>
        <w:tc>
          <w:tcPr>
            <w:tcW w:w="7655" w:type="dxa"/>
          </w:tcPr>
          <w:p w14:paraId="2BEBA0B1" w14:textId="05AA90B9" w:rsidR="009F6AFB" w:rsidRPr="00BB5B0F" w:rsidRDefault="009F6AFB" w:rsidP="00C257C6">
            <w:pPr>
              <w:rPr>
                <w:rFonts w:cs="Arial"/>
                <w:szCs w:val="22"/>
              </w:rPr>
            </w:pPr>
            <w:r w:rsidRPr="00BB5B0F">
              <w:rPr>
                <w:rFonts w:cs="Arial"/>
                <w:sz w:val="22"/>
                <w:szCs w:val="22"/>
              </w:rPr>
              <w:t>Clinically-Evaluable End of Treatment population</w:t>
            </w:r>
          </w:p>
        </w:tc>
      </w:tr>
      <w:tr w:rsidR="009F6AFB" w:rsidRPr="006F7DD5" w14:paraId="1A506C88" w14:textId="77777777" w:rsidTr="008E14CD">
        <w:tc>
          <w:tcPr>
            <w:tcW w:w="1809" w:type="dxa"/>
          </w:tcPr>
          <w:p w14:paraId="1C2F5A9E" w14:textId="75B51193" w:rsidR="009F6AFB" w:rsidRPr="000C3EA0" w:rsidRDefault="009F6AFB" w:rsidP="00C257C6">
            <w:pPr>
              <w:rPr>
                <w:rFonts w:cs="Arial"/>
                <w:szCs w:val="22"/>
              </w:rPr>
            </w:pPr>
            <w:r w:rsidRPr="000C3EA0">
              <w:rPr>
                <w:rFonts w:cs="Arial"/>
                <w:sz w:val="22"/>
                <w:szCs w:val="22"/>
              </w:rPr>
              <w:t>CE-PTE</w:t>
            </w:r>
          </w:p>
        </w:tc>
        <w:tc>
          <w:tcPr>
            <w:tcW w:w="7655" w:type="dxa"/>
          </w:tcPr>
          <w:p w14:paraId="5FB4132C" w14:textId="720F0B15" w:rsidR="009F6AFB" w:rsidRPr="00BB5B0F" w:rsidRDefault="009F6AFB" w:rsidP="009F6AFB">
            <w:pPr>
              <w:rPr>
                <w:rFonts w:cs="Arial"/>
                <w:szCs w:val="22"/>
              </w:rPr>
            </w:pPr>
            <w:r w:rsidRPr="00BB5B0F">
              <w:rPr>
                <w:rFonts w:cs="Arial"/>
                <w:sz w:val="22"/>
                <w:szCs w:val="22"/>
              </w:rPr>
              <w:t>Clinically-Evaluable Post-Therapy Evaluation population</w:t>
            </w:r>
          </w:p>
        </w:tc>
      </w:tr>
      <w:tr w:rsidR="007B20BB" w:rsidRPr="006F7DD5" w14:paraId="36BFF5C3" w14:textId="77777777" w:rsidTr="008E14CD">
        <w:tc>
          <w:tcPr>
            <w:tcW w:w="1809" w:type="dxa"/>
          </w:tcPr>
          <w:p w14:paraId="7E4B6C13" w14:textId="7D440E81" w:rsidR="007B20BB" w:rsidRPr="000C3EA0" w:rsidRDefault="007B20BB" w:rsidP="00C257C6">
            <w:pPr>
              <w:rPr>
                <w:rFonts w:cs="Arial"/>
                <w:szCs w:val="22"/>
              </w:rPr>
            </w:pPr>
            <w:r w:rsidRPr="000C3EA0">
              <w:rPr>
                <w:rFonts w:cs="Arial"/>
                <w:sz w:val="22"/>
                <w:szCs w:val="22"/>
              </w:rPr>
              <w:t>CI</w:t>
            </w:r>
          </w:p>
        </w:tc>
        <w:tc>
          <w:tcPr>
            <w:tcW w:w="7655" w:type="dxa"/>
          </w:tcPr>
          <w:p w14:paraId="2E7E1A34" w14:textId="36ED74CF" w:rsidR="007B20BB" w:rsidRPr="00BB5B0F" w:rsidRDefault="007B20BB" w:rsidP="009F6AFB">
            <w:pPr>
              <w:rPr>
                <w:rFonts w:cs="Arial"/>
                <w:szCs w:val="22"/>
              </w:rPr>
            </w:pPr>
            <w:r w:rsidRPr="00BB5B0F">
              <w:rPr>
                <w:rFonts w:cs="Arial"/>
                <w:sz w:val="22"/>
                <w:szCs w:val="22"/>
              </w:rPr>
              <w:t>Confidence Interval</w:t>
            </w:r>
          </w:p>
        </w:tc>
      </w:tr>
      <w:tr w:rsidR="007B20BB" w:rsidRPr="006F7DD5" w14:paraId="72E840D1" w14:textId="77777777" w:rsidTr="008E14CD">
        <w:tc>
          <w:tcPr>
            <w:tcW w:w="1809" w:type="dxa"/>
          </w:tcPr>
          <w:p w14:paraId="0A7FBF30" w14:textId="530B8DC8" w:rsidR="007B20BB" w:rsidRPr="000C3EA0" w:rsidRDefault="007B20BB" w:rsidP="00C257C6">
            <w:pPr>
              <w:rPr>
                <w:rFonts w:cs="Arial"/>
                <w:szCs w:val="22"/>
              </w:rPr>
            </w:pPr>
            <w:r w:rsidRPr="000C3EA0">
              <w:rPr>
                <w:rFonts w:cs="Arial"/>
                <w:sz w:val="22"/>
                <w:szCs w:val="22"/>
              </w:rPr>
              <w:t>CrI</w:t>
            </w:r>
          </w:p>
        </w:tc>
        <w:tc>
          <w:tcPr>
            <w:tcW w:w="7655" w:type="dxa"/>
          </w:tcPr>
          <w:p w14:paraId="61D63CD2" w14:textId="2BC01C60" w:rsidR="007B20BB" w:rsidRPr="00BB5B0F" w:rsidRDefault="007B20BB" w:rsidP="009F6AFB">
            <w:pPr>
              <w:rPr>
                <w:rFonts w:cs="Arial"/>
                <w:szCs w:val="22"/>
              </w:rPr>
            </w:pPr>
            <w:r w:rsidRPr="00BB5B0F">
              <w:rPr>
                <w:rFonts w:cs="Arial"/>
                <w:sz w:val="22"/>
                <w:szCs w:val="22"/>
              </w:rPr>
              <w:t>Credible Interval</w:t>
            </w:r>
          </w:p>
        </w:tc>
      </w:tr>
      <w:tr w:rsidR="000C3EA0" w:rsidRPr="006F7DD5" w14:paraId="1F2FC312" w14:textId="77777777" w:rsidTr="008E14CD">
        <w:tc>
          <w:tcPr>
            <w:tcW w:w="1809" w:type="dxa"/>
          </w:tcPr>
          <w:p w14:paraId="0DFC5F5E" w14:textId="065B4F73" w:rsidR="000C3EA0" w:rsidRPr="000C3EA0" w:rsidRDefault="000C3EA0" w:rsidP="00C257C6">
            <w:pPr>
              <w:rPr>
                <w:rFonts w:cs="Arial"/>
                <w:szCs w:val="22"/>
              </w:rPr>
            </w:pPr>
            <w:r w:rsidRPr="000C3EA0">
              <w:rPr>
                <w:rFonts w:cs="Arial"/>
                <w:sz w:val="22"/>
                <w:szCs w:val="22"/>
              </w:rPr>
              <w:t>CRD</w:t>
            </w:r>
          </w:p>
        </w:tc>
        <w:tc>
          <w:tcPr>
            <w:tcW w:w="7655" w:type="dxa"/>
          </w:tcPr>
          <w:p w14:paraId="25E361E8" w14:textId="7D173302" w:rsidR="000C3EA0" w:rsidRPr="00BB5B0F" w:rsidRDefault="00F97529" w:rsidP="009F6AFB">
            <w:pPr>
              <w:rPr>
                <w:rFonts w:cs="Arial"/>
                <w:szCs w:val="22"/>
              </w:rPr>
            </w:pPr>
            <w:r w:rsidRPr="00BB5B0F">
              <w:rPr>
                <w:rFonts w:cs="Arial"/>
                <w:sz w:val="22"/>
                <w:szCs w:val="22"/>
              </w:rPr>
              <w:t>Centre for Reviews</w:t>
            </w:r>
            <w:r w:rsidR="000C3EA0" w:rsidRPr="00BB5B0F">
              <w:rPr>
                <w:rFonts w:cs="Arial"/>
                <w:sz w:val="22"/>
                <w:szCs w:val="22"/>
              </w:rPr>
              <w:t xml:space="preserve"> and Dissemination</w:t>
            </w:r>
          </w:p>
        </w:tc>
      </w:tr>
      <w:tr w:rsidR="007C6F69" w:rsidRPr="006F7DD5" w14:paraId="3831AD0A" w14:textId="77777777" w:rsidTr="008E14CD">
        <w:tc>
          <w:tcPr>
            <w:tcW w:w="1809" w:type="dxa"/>
          </w:tcPr>
          <w:p w14:paraId="3552A260" w14:textId="64C822E3" w:rsidR="007C6F69" w:rsidRPr="000C3EA0" w:rsidRDefault="007C6F69" w:rsidP="00C257C6">
            <w:pPr>
              <w:rPr>
                <w:rFonts w:cs="Arial"/>
                <w:szCs w:val="22"/>
              </w:rPr>
            </w:pPr>
            <w:r w:rsidRPr="000C3EA0">
              <w:rPr>
                <w:rFonts w:cs="Arial"/>
                <w:sz w:val="22"/>
                <w:szCs w:val="22"/>
              </w:rPr>
              <w:t>ECDC</w:t>
            </w:r>
          </w:p>
        </w:tc>
        <w:tc>
          <w:tcPr>
            <w:tcW w:w="7655" w:type="dxa"/>
          </w:tcPr>
          <w:p w14:paraId="3E2BFA64" w14:textId="3B166318" w:rsidR="007C6F69" w:rsidRPr="00BB5B0F" w:rsidRDefault="000C3EA0" w:rsidP="009F6AFB">
            <w:pPr>
              <w:rPr>
                <w:rFonts w:cs="Arial"/>
                <w:szCs w:val="22"/>
              </w:rPr>
            </w:pPr>
            <w:r w:rsidRPr="00BB5B0F">
              <w:rPr>
                <w:rFonts w:cs="Arial"/>
                <w:sz w:val="22"/>
                <w:szCs w:val="22"/>
              </w:rPr>
              <w:t>European Centre for Disease Control</w:t>
            </w:r>
          </w:p>
        </w:tc>
      </w:tr>
      <w:tr w:rsidR="009F6AFB" w:rsidRPr="006F7DD5" w14:paraId="1C73350D" w14:textId="77777777" w:rsidTr="008E14CD">
        <w:tc>
          <w:tcPr>
            <w:tcW w:w="1809" w:type="dxa"/>
          </w:tcPr>
          <w:p w14:paraId="1A606650" w14:textId="73E1054F" w:rsidR="009F6AFB" w:rsidRPr="008E14CD" w:rsidRDefault="009F6AFB" w:rsidP="00C257C6">
            <w:pPr>
              <w:rPr>
                <w:rFonts w:cs="Arial"/>
                <w:szCs w:val="22"/>
              </w:rPr>
            </w:pPr>
            <w:r w:rsidRPr="008E14CD">
              <w:rPr>
                <w:rFonts w:cs="Arial"/>
                <w:sz w:val="22"/>
                <w:szCs w:val="22"/>
              </w:rPr>
              <w:t>EMA</w:t>
            </w:r>
          </w:p>
        </w:tc>
        <w:tc>
          <w:tcPr>
            <w:tcW w:w="7655" w:type="dxa"/>
          </w:tcPr>
          <w:p w14:paraId="7F41DAC8" w14:textId="7F90F351" w:rsidR="009F6AFB" w:rsidRPr="008E14CD" w:rsidRDefault="009F6AFB" w:rsidP="00C257C6">
            <w:pPr>
              <w:rPr>
                <w:rFonts w:cs="Arial"/>
                <w:szCs w:val="22"/>
              </w:rPr>
            </w:pPr>
            <w:r w:rsidRPr="008E14CD">
              <w:rPr>
                <w:rFonts w:cs="Arial"/>
                <w:sz w:val="22"/>
                <w:szCs w:val="22"/>
              </w:rPr>
              <w:t>European Medicines Agency</w:t>
            </w:r>
          </w:p>
        </w:tc>
      </w:tr>
      <w:tr w:rsidR="009F6AFB" w:rsidRPr="006F7DD5" w14:paraId="47D6539A" w14:textId="77777777" w:rsidTr="008E14CD">
        <w:tc>
          <w:tcPr>
            <w:tcW w:w="1809" w:type="dxa"/>
          </w:tcPr>
          <w:p w14:paraId="0E356C50" w14:textId="04520B59" w:rsidR="009F6AFB" w:rsidRPr="008E14CD" w:rsidRDefault="009F6AFB" w:rsidP="00C257C6">
            <w:pPr>
              <w:rPr>
                <w:rFonts w:cs="Arial"/>
                <w:szCs w:val="22"/>
              </w:rPr>
            </w:pPr>
            <w:r w:rsidRPr="008E14CD">
              <w:rPr>
                <w:rFonts w:cs="Arial"/>
                <w:sz w:val="22"/>
                <w:szCs w:val="22"/>
              </w:rPr>
              <w:t>EOT</w:t>
            </w:r>
          </w:p>
        </w:tc>
        <w:tc>
          <w:tcPr>
            <w:tcW w:w="7655" w:type="dxa"/>
          </w:tcPr>
          <w:p w14:paraId="3288DEC1" w14:textId="5A8A04FC" w:rsidR="009F6AFB" w:rsidRPr="008E14CD" w:rsidRDefault="009F6AFB" w:rsidP="00C257C6">
            <w:pPr>
              <w:rPr>
                <w:rFonts w:cs="Arial"/>
                <w:szCs w:val="22"/>
              </w:rPr>
            </w:pPr>
            <w:r w:rsidRPr="008E14CD">
              <w:rPr>
                <w:rFonts w:cs="Arial"/>
                <w:sz w:val="22"/>
                <w:szCs w:val="22"/>
              </w:rPr>
              <w:t>End of treatment</w:t>
            </w:r>
          </w:p>
        </w:tc>
      </w:tr>
      <w:tr w:rsidR="009F6AFB" w:rsidRPr="006F7DD5" w14:paraId="7E47B0B1" w14:textId="77777777" w:rsidTr="008E14CD">
        <w:tc>
          <w:tcPr>
            <w:tcW w:w="1809" w:type="dxa"/>
          </w:tcPr>
          <w:p w14:paraId="2FE25F72" w14:textId="1F5260B4" w:rsidR="009F6AFB" w:rsidRPr="008E14CD" w:rsidRDefault="009F6AFB" w:rsidP="00C257C6">
            <w:pPr>
              <w:rPr>
                <w:rFonts w:cs="Arial"/>
                <w:szCs w:val="22"/>
              </w:rPr>
            </w:pPr>
            <w:r w:rsidRPr="008E14CD">
              <w:rPr>
                <w:rFonts w:cs="Arial"/>
                <w:sz w:val="22"/>
                <w:szCs w:val="22"/>
              </w:rPr>
              <w:t>ESCMID</w:t>
            </w:r>
          </w:p>
        </w:tc>
        <w:tc>
          <w:tcPr>
            <w:tcW w:w="7655" w:type="dxa"/>
          </w:tcPr>
          <w:p w14:paraId="1A7464B2" w14:textId="02034EA4" w:rsidR="009F6AFB" w:rsidRPr="008E14CD" w:rsidRDefault="00BB5B0F" w:rsidP="00C257C6">
            <w:pPr>
              <w:rPr>
                <w:rFonts w:cs="Arial"/>
                <w:szCs w:val="22"/>
              </w:rPr>
            </w:pPr>
            <w:r w:rsidRPr="008E14CD">
              <w:rPr>
                <w:rFonts w:cs="Arial"/>
                <w:sz w:val="22"/>
                <w:szCs w:val="22"/>
              </w:rPr>
              <w:t>European Society for Clinical Microbiology and Infectious Diseases</w:t>
            </w:r>
          </w:p>
        </w:tc>
      </w:tr>
      <w:tr w:rsidR="00780358" w:rsidRPr="006F7DD5" w14:paraId="13E31A56" w14:textId="77777777" w:rsidTr="008E14CD">
        <w:tc>
          <w:tcPr>
            <w:tcW w:w="1809" w:type="dxa"/>
          </w:tcPr>
          <w:p w14:paraId="4D8E1CB4" w14:textId="0A76013B" w:rsidR="00780358" w:rsidRPr="008E14CD" w:rsidRDefault="00780358" w:rsidP="00C257C6">
            <w:pPr>
              <w:rPr>
                <w:rFonts w:cs="Arial"/>
                <w:szCs w:val="22"/>
              </w:rPr>
            </w:pPr>
            <w:r>
              <w:rPr>
                <w:rFonts w:cs="Arial"/>
                <w:sz w:val="22"/>
                <w:szCs w:val="22"/>
              </w:rPr>
              <w:t>FA</w:t>
            </w:r>
          </w:p>
        </w:tc>
        <w:tc>
          <w:tcPr>
            <w:tcW w:w="7655" w:type="dxa"/>
          </w:tcPr>
          <w:p w14:paraId="5FEFF6FC" w14:textId="6C19D972" w:rsidR="00780358" w:rsidRPr="008E14CD" w:rsidRDefault="00780358" w:rsidP="00C257C6">
            <w:pPr>
              <w:rPr>
                <w:rFonts w:cs="Arial"/>
                <w:szCs w:val="22"/>
              </w:rPr>
            </w:pPr>
            <w:r>
              <w:rPr>
                <w:rFonts w:cs="Arial"/>
                <w:sz w:val="22"/>
                <w:szCs w:val="22"/>
              </w:rPr>
              <w:t>Free Acid</w:t>
            </w:r>
          </w:p>
        </w:tc>
      </w:tr>
      <w:tr w:rsidR="009F6AFB" w:rsidRPr="006F7DD5" w14:paraId="300DF75D" w14:textId="77777777" w:rsidTr="008E14CD">
        <w:tc>
          <w:tcPr>
            <w:tcW w:w="1809" w:type="dxa"/>
          </w:tcPr>
          <w:p w14:paraId="0AC6FA15" w14:textId="619357EC" w:rsidR="009F6AFB" w:rsidRPr="008E14CD" w:rsidRDefault="009F6AFB" w:rsidP="00C257C6">
            <w:pPr>
              <w:rPr>
                <w:rFonts w:cs="Arial"/>
                <w:szCs w:val="22"/>
              </w:rPr>
            </w:pPr>
            <w:r w:rsidRPr="008E14CD">
              <w:rPr>
                <w:rFonts w:cs="Arial"/>
                <w:sz w:val="22"/>
                <w:szCs w:val="22"/>
              </w:rPr>
              <w:t>FDA</w:t>
            </w:r>
          </w:p>
        </w:tc>
        <w:tc>
          <w:tcPr>
            <w:tcW w:w="7655" w:type="dxa"/>
          </w:tcPr>
          <w:p w14:paraId="0E74C09D" w14:textId="28D966C9" w:rsidR="009F6AFB" w:rsidRPr="008E14CD" w:rsidRDefault="009F6AFB" w:rsidP="00C257C6">
            <w:pPr>
              <w:rPr>
                <w:rFonts w:cs="Arial"/>
                <w:szCs w:val="22"/>
              </w:rPr>
            </w:pPr>
            <w:r w:rsidRPr="008E14CD">
              <w:rPr>
                <w:rFonts w:cs="Arial"/>
                <w:sz w:val="22"/>
                <w:szCs w:val="22"/>
              </w:rPr>
              <w:t>US Food and Drug Administration</w:t>
            </w:r>
          </w:p>
        </w:tc>
      </w:tr>
      <w:tr w:rsidR="009F6AFB" w:rsidRPr="006F7DD5" w14:paraId="16EA1052" w14:textId="77777777" w:rsidTr="008E14CD">
        <w:tc>
          <w:tcPr>
            <w:tcW w:w="1809" w:type="dxa"/>
          </w:tcPr>
          <w:p w14:paraId="67ED815B" w14:textId="2C80C7A6" w:rsidR="009F6AFB" w:rsidRPr="008E14CD" w:rsidRDefault="009F6AFB" w:rsidP="00C257C6">
            <w:pPr>
              <w:rPr>
                <w:rFonts w:cs="Arial"/>
                <w:szCs w:val="22"/>
              </w:rPr>
            </w:pPr>
            <w:r w:rsidRPr="008E14CD">
              <w:rPr>
                <w:rFonts w:cs="Arial"/>
                <w:sz w:val="22"/>
                <w:szCs w:val="22"/>
              </w:rPr>
              <w:t>HAI</w:t>
            </w:r>
          </w:p>
        </w:tc>
        <w:tc>
          <w:tcPr>
            <w:tcW w:w="7655" w:type="dxa"/>
          </w:tcPr>
          <w:p w14:paraId="1D887480" w14:textId="6377E513" w:rsidR="009F6AFB" w:rsidRPr="008E14CD" w:rsidRDefault="009F6AFB" w:rsidP="00C257C6">
            <w:pPr>
              <w:rPr>
                <w:rFonts w:cs="Arial"/>
                <w:szCs w:val="22"/>
              </w:rPr>
            </w:pPr>
            <w:r w:rsidRPr="008E14CD">
              <w:rPr>
                <w:rFonts w:cs="Arial"/>
                <w:sz w:val="22"/>
                <w:szCs w:val="22"/>
              </w:rPr>
              <w:t>Healthcare-Acquired Infection</w:t>
            </w:r>
          </w:p>
        </w:tc>
      </w:tr>
      <w:tr w:rsidR="007C6F69" w:rsidRPr="006F7DD5" w14:paraId="52319860" w14:textId="77777777" w:rsidTr="008E14CD">
        <w:tc>
          <w:tcPr>
            <w:tcW w:w="1809" w:type="dxa"/>
          </w:tcPr>
          <w:p w14:paraId="4D3E95DD" w14:textId="53AF7636" w:rsidR="007C6F69" w:rsidRPr="008E14CD" w:rsidRDefault="007C6F69" w:rsidP="00C257C6">
            <w:pPr>
              <w:rPr>
                <w:rFonts w:cs="Arial"/>
                <w:szCs w:val="22"/>
              </w:rPr>
            </w:pPr>
            <w:r w:rsidRPr="008E14CD">
              <w:rPr>
                <w:rFonts w:cs="Arial"/>
                <w:sz w:val="22"/>
                <w:szCs w:val="22"/>
              </w:rPr>
              <w:t>HEAT</w:t>
            </w:r>
          </w:p>
        </w:tc>
        <w:tc>
          <w:tcPr>
            <w:tcW w:w="7655" w:type="dxa"/>
          </w:tcPr>
          <w:p w14:paraId="7508159A" w14:textId="2175BE89" w:rsidR="007C6F69" w:rsidRPr="008E14CD" w:rsidRDefault="009918B0" w:rsidP="00C257C6">
            <w:pPr>
              <w:rPr>
                <w:rFonts w:cs="Arial"/>
                <w:szCs w:val="22"/>
              </w:rPr>
            </w:pPr>
            <w:r w:rsidRPr="008E14CD">
              <w:rPr>
                <w:rFonts w:cs="Arial"/>
                <w:sz w:val="22"/>
                <w:szCs w:val="22"/>
              </w:rPr>
              <w:t>Health Improvement Efficiency Access Treatment targets in NHS Scotland</w:t>
            </w:r>
          </w:p>
        </w:tc>
      </w:tr>
      <w:tr w:rsidR="008E14CD" w:rsidRPr="006F7DD5" w14:paraId="2B9E7273" w14:textId="77777777" w:rsidTr="008E14CD">
        <w:tc>
          <w:tcPr>
            <w:tcW w:w="1809" w:type="dxa"/>
          </w:tcPr>
          <w:p w14:paraId="2946439F" w14:textId="5BFD7F93" w:rsidR="008E14CD" w:rsidRPr="008E14CD" w:rsidRDefault="008E14CD" w:rsidP="00C257C6">
            <w:pPr>
              <w:rPr>
                <w:rFonts w:cs="Arial"/>
                <w:szCs w:val="22"/>
              </w:rPr>
            </w:pPr>
            <w:r w:rsidRPr="008E14CD">
              <w:rPr>
                <w:rFonts w:cs="Arial"/>
                <w:sz w:val="22"/>
                <w:szCs w:val="22"/>
              </w:rPr>
              <w:t>HPS</w:t>
            </w:r>
          </w:p>
        </w:tc>
        <w:tc>
          <w:tcPr>
            <w:tcW w:w="7655" w:type="dxa"/>
          </w:tcPr>
          <w:p w14:paraId="079CF638" w14:textId="2714218A" w:rsidR="008E14CD" w:rsidRPr="008E14CD" w:rsidRDefault="008E14CD" w:rsidP="00C257C6">
            <w:pPr>
              <w:rPr>
                <w:rFonts w:cs="Arial"/>
                <w:szCs w:val="22"/>
              </w:rPr>
            </w:pPr>
            <w:r w:rsidRPr="008E14CD">
              <w:rPr>
                <w:rFonts w:cs="Arial"/>
                <w:sz w:val="22"/>
                <w:szCs w:val="22"/>
              </w:rPr>
              <w:t>Health Protection Scotland</w:t>
            </w:r>
          </w:p>
        </w:tc>
      </w:tr>
      <w:tr w:rsidR="00B87BD5" w:rsidRPr="006F7DD5" w14:paraId="09B28D48" w14:textId="77777777" w:rsidTr="008E14CD">
        <w:tc>
          <w:tcPr>
            <w:tcW w:w="1809" w:type="dxa"/>
          </w:tcPr>
          <w:p w14:paraId="16D16F10" w14:textId="21E2A972" w:rsidR="00B87BD5" w:rsidRPr="008E14CD" w:rsidRDefault="00B87BD5" w:rsidP="00C257C6">
            <w:pPr>
              <w:rPr>
                <w:rFonts w:cs="Arial"/>
                <w:szCs w:val="22"/>
              </w:rPr>
            </w:pPr>
            <w:r>
              <w:rPr>
                <w:rFonts w:cs="Arial"/>
                <w:sz w:val="22"/>
                <w:szCs w:val="22"/>
              </w:rPr>
              <w:t>HRQoL</w:t>
            </w:r>
          </w:p>
        </w:tc>
        <w:tc>
          <w:tcPr>
            <w:tcW w:w="7655" w:type="dxa"/>
          </w:tcPr>
          <w:p w14:paraId="7B9E79C6" w14:textId="2E64AE1F" w:rsidR="00B87BD5" w:rsidRPr="008E14CD" w:rsidRDefault="00B87BD5" w:rsidP="00C257C6">
            <w:pPr>
              <w:rPr>
                <w:rFonts w:cs="Arial"/>
                <w:szCs w:val="22"/>
              </w:rPr>
            </w:pPr>
            <w:r>
              <w:rPr>
                <w:rFonts w:cs="Arial"/>
                <w:sz w:val="22"/>
                <w:szCs w:val="22"/>
              </w:rPr>
              <w:t>Health-Related Quality of Life</w:t>
            </w:r>
          </w:p>
        </w:tc>
      </w:tr>
      <w:tr w:rsidR="009F6AFB" w:rsidRPr="006F7DD5" w14:paraId="4C6359C9" w14:textId="77777777" w:rsidTr="008E14CD">
        <w:tc>
          <w:tcPr>
            <w:tcW w:w="1809" w:type="dxa"/>
          </w:tcPr>
          <w:p w14:paraId="26475E1A" w14:textId="0D02B1A3" w:rsidR="009F6AFB" w:rsidRPr="008E14CD" w:rsidRDefault="009F6AFB" w:rsidP="00C257C6">
            <w:pPr>
              <w:rPr>
                <w:rFonts w:cs="Arial"/>
                <w:szCs w:val="22"/>
              </w:rPr>
            </w:pPr>
            <w:r w:rsidRPr="008E14CD">
              <w:rPr>
                <w:rFonts w:cs="Arial"/>
                <w:sz w:val="22"/>
                <w:szCs w:val="22"/>
              </w:rPr>
              <w:t>ITT</w:t>
            </w:r>
          </w:p>
        </w:tc>
        <w:tc>
          <w:tcPr>
            <w:tcW w:w="7655" w:type="dxa"/>
          </w:tcPr>
          <w:p w14:paraId="1AF1E177" w14:textId="3B6576FB" w:rsidR="009F6AFB" w:rsidRPr="008E14CD" w:rsidRDefault="009F6AFB" w:rsidP="00C257C6">
            <w:pPr>
              <w:rPr>
                <w:rFonts w:cs="Arial"/>
                <w:szCs w:val="22"/>
              </w:rPr>
            </w:pPr>
            <w:r w:rsidRPr="008E14CD">
              <w:rPr>
                <w:rFonts w:cs="Arial"/>
                <w:sz w:val="22"/>
                <w:szCs w:val="22"/>
              </w:rPr>
              <w:t>Intent-to-Treat</w:t>
            </w:r>
          </w:p>
        </w:tc>
      </w:tr>
      <w:tr w:rsidR="009F6AFB" w:rsidRPr="006F7DD5" w14:paraId="043E25D2" w14:textId="77777777" w:rsidTr="008E14CD">
        <w:tc>
          <w:tcPr>
            <w:tcW w:w="1809" w:type="dxa"/>
          </w:tcPr>
          <w:p w14:paraId="31219B8C" w14:textId="5F3D8D7A" w:rsidR="009F6AFB" w:rsidRPr="008E14CD" w:rsidRDefault="009F6AFB" w:rsidP="00C257C6">
            <w:pPr>
              <w:rPr>
                <w:rFonts w:cs="Arial"/>
                <w:szCs w:val="22"/>
              </w:rPr>
            </w:pPr>
            <w:r w:rsidRPr="008E14CD">
              <w:rPr>
                <w:rFonts w:cs="Arial"/>
                <w:sz w:val="22"/>
                <w:szCs w:val="22"/>
              </w:rPr>
              <w:t>IV</w:t>
            </w:r>
          </w:p>
        </w:tc>
        <w:tc>
          <w:tcPr>
            <w:tcW w:w="7655" w:type="dxa"/>
          </w:tcPr>
          <w:p w14:paraId="7159271B" w14:textId="57697742" w:rsidR="009F6AFB" w:rsidRPr="008E14CD" w:rsidRDefault="009F6AFB" w:rsidP="00C257C6">
            <w:pPr>
              <w:rPr>
                <w:rFonts w:cs="Arial"/>
                <w:szCs w:val="22"/>
              </w:rPr>
            </w:pPr>
            <w:r w:rsidRPr="008E14CD">
              <w:rPr>
                <w:rFonts w:cs="Arial"/>
                <w:sz w:val="22"/>
                <w:szCs w:val="22"/>
              </w:rPr>
              <w:t>Intravenous</w:t>
            </w:r>
          </w:p>
        </w:tc>
      </w:tr>
      <w:tr w:rsidR="007C6F69" w:rsidRPr="006F7DD5" w14:paraId="4602F6C6" w14:textId="77777777" w:rsidTr="008E14CD">
        <w:tc>
          <w:tcPr>
            <w:tcW w:w="1809" w:type="dxa"/>
          </w:tcPr>
          <w:p w14:paraId="4BC04039" w14:textId="7AC1F599" w:rsidR="007C6F69" w:rsidRPr="008E14CD" w:rsidRDefault="007C6F69" w:rsidP="00C257C6">
            <w:pPr>
              <w:rPr>
                <w:rFonts w:cs="Arial"/>
                <w:szCs w:val="22"/>
              </w:rPr>
            </w:pPr>
            <w:r w:rsidRPr="008E14CD">
              <w:rPr>
                <w:rFonts w:cs="Arial"/>
                <w:sz w:val="22"/>
                <w:szCs w:val="22"/>
              </w:rPr>
              <w:t>LFU</w:t>
            </w:r>
          </w:p>
        </w:tc>
        <w:tc>
          <w:tcPr>
            <w:tcW w:w="7655" w:type="dxa"/>
          </w:tcPr>
          <w:p w14:paraId="296C97A9" w14:textId="040D6772" w:rsidR="007C6F69" w:rsidRPr="008E14CD" w:rsidRDefault="007B20BB" w:rsidP="00C257C6">
            <w:pPr>
              <w:rPr>
                <w:rFonts w:cs="Arial"/>
                <w:szCs w:val="22"/>
              </w:rPr>
            </w:pPr>
            <w:r w:rsidRPr="008E14CD">
              <w:rPr>
                <w:rFonts w:cs="Arial"/>
                <w:sz w:val="22"/>
                <w:szCs w:val="22"/>
              </w:rPr>
              <w:t>Late Follow-Up</w:t>
            </w:r>
          </w:p>
        </w:tc>
      </w:tr>
      <w:tr w:rsidR="007C6F69" w:rsidRPr="006F7DD5" w14:paraId="799591AD" w14:textId="77777777" w:rsidTr="008E14CD">
        <w:tc>
          <w:tcPr>
            <w:tcW w:w="1809" w:type="dxa"/>
          </w:tcPr>
          <w:p w14:paraId="56CE2DD1" w14:textId="0A6B0EB2" w:rsidR="007C6F69" w:rsidRPr="008E14CD" w:rsidRDefault="005C73A6" w:rsidP="00C257C6">
            <w:pPr>
              <w:rPr>
                <w:rFonts w:cs="Arial"/>
                <w:szCs w:val="22"/>
              </w:rPr>
            </w:pPr>
            <w:r w:rsidRPr="008E14CD">
              <w:rPr>
                <w:rFonts w:cs="Arial"/>
                <w:sz w:val="22"/>
                <w:szCs w:val="22"/>
              </w:rPr>
              <w:t>LOS</w:t>
            </w:r>
          </w:p>
        </w:tc>
        <w:tc>
          <w:tcPr>
            <w:tcW w:w="7655" w:type="dxa"/>
          </w:tcPr>
          <w:p w14:paraId="3EC07D59" w14:textId="481F6EB9" w:rsidR="007C6F69" w:rsidRPr="008E14CD" w:rsidRDefault="005C73A6" w:rsidP="00C257C6">
            <w:pPr>
              <w:rPr>
                <w:rFonts w:cs="Arial"/>
                <w:szCs w:val="22"/>
              </w:rPr>
            </w:pPr>
            <w:r w:rsidRPr="008E14CD">
              <w:rPr>
                <w:rFonts w:cs="Arial"/>
                <w:sz w:val="22"/>
                <w:szCs w:val="22"/>
              </w:rPr>
              <w:t>Length of Stay</w:t>
            </w:r>
          </w:p>
        </w:tc>
      </w:tr>
      <w:tr w:rsidR="000C3EA0" w:rsidRPr="006F7DD5" w14:paraId="0B1C4F9E" w14:textId="77777777" w:rsidTr="008E14CD">
        <w:tc>
          <w:tcPr>
            <w:tcW w:w="1809" w:type="dxa"/>
          </w:tcPr>
          <w:p w14:paraId="5A06077F" w14:textId="58271C91" w:rsidR="000C3EA0" w:rsidRPr="008E14CD" w:rsidRDefault="000C3EA0" w:rsidP="00C257C6">
            <w:pPr>
              <w:rPr>
                <w:rFonts w:cs="Arial"/>
                <w:szCs w:val="22"/>
              </w:rPr>
            </w:pPr>
            <w:r w:rsidRPr="008E14CD">
              <w:rPr>
                <w:rFonts w:cs="Arial"/>
                <w:sz w:val="22"/>
                <w:szCs w:val="22"/>
              </w:rPr>
              <w:t>MTC</w:t>
            </w:r>
          </w:p>
        </w:tc>
        <w:tc>
          <w:tcPr>
            <w:tcW w:w="7655" w:type="dxa"/>
          </w:tcPr>
          <w:p w14:paraId="345A6688" w14:textId="27FD7848" w:rsidR="000C3EA0" w:rsidRPr="008E14CD" w:rsidRDefault="000C3EA0" w:rsidP="00C257C6">
            <w:pPr>
              <w:rPr>
                <w:rFonts w:cs="Arial"/>
                <w:szCs w:val="22"/>
              </w:rPr>
            </w:pPr>
            <w:r w:rsidRPr="008E14CD">
              <w:rPr>
                <w:rFonts w:cs="Arial"/>
                <w:sz w:val="22"/>
                <w:szCs w:val="22"/>
              </w:rPr>
              <w:t>Mixed Treatment Comparison</w:t>
            </w:r>
          </w:p>
        </w:tc>
      </w:tr>
      <w:tr w:rsidR="009F6AFB" w:rsidRPr="006F7DD5" w14:paraId="1162688E" w14:textId="77777777" w:rsidTr="008E14CD">
        <w:tc>
          <w:tcPr>
            <w:tcW w:w="1809" w:type="dxa"/>
          </w:tcPr>
          <w:p w14:paraId="3F053326" w14:textId="17B777FE" w:rsidR="009F6AFB" w:rsidRPr="008E14CD" w:rsidRDefault="009F6AFB" w:rsidP="00C257C6">
            <w:pPr>
              <w:rPr>
                <w:rFonts w:cs="Arial"/>
                <w:szCs w:val="22"/>
              </w:rPr>
            </w:pPr>
            <w:r w:rsidRPr="008E14CD">
              <w:rPr>
                <w:rFonts w:cs="Arial"/>
                <w:sz w:val="22"/>
                <w:szCs w:val="22"/>
              </w:rPr>
              <w:lastRenderedPageBreak/>
              <w:t>MRSA</w:t>
            </w:r>
          </w:p>
        </w:tc>
        <w:tc>
          <w:tcPr>
            <w:tcW w:w="7655" w:type="dxa"/>
          </w:tcPr>
          <w:p w14:paraId="45881A36" w14:textId="2CD03CC6" w:rsidR="009F6AFB" w:rsidRPr="008E14CD" w:rsidRDefault="000C3EA0" w:rsidP="00C257C6">
            <w:pPr>
              <w:rPr>
                <w:rFonts w:cs="Arial"/>
                <w:szCs w:val="22"/>
              </w:rPr>
            </w:pPr>
            <w:r w:rsidRPr="008E14CD">
              <w:rPr>
                <w:rFonts w:cs="Arial"/>
                <w:sz w:val="22"/>
                <w:szCs w:val="22"/>
              </w:rPr>
              <w:t xml:space="preserve">Methicillin-resistant </w:t>
            </w:r>
            <w:r w:rsidRPr="00566611">
              <w:rPr>
                <w:rFonts w:cs="Arial"/>
                <w:i/>
                <w:sz w:val="22"/>
                <w:szCs w:val="22"/>
              </w:rPr>
              <w:t xml:space="preserve">Staph. </w:t>
            </w:r>
            <w:r w:rsidR="00566611" w:rsidRPr="00566611">
              <w:rPr>
                <w:rFonts w:cs="Arial"/>
                <w:i/>
                <w:sz w:val="22"/>
                <w:szCs w:val="22"/>
              </w:rPr>
              <w:t>a</w:t>
            </w:r>
            <w:r w:rsidRPr="00566611">
              <w:rPr>
                <w:rFonts w:cs="Arial"/>
                <w:i/>
                <w:sz w:val="22"/>
                <w:szCs w:val="22"/>
              </w:rPr>
              <w:t>ureus</w:t>
            </w:r>
          </w:p>
        </w:tc>
      </w:tr>
      <w:tr w:rsidR="009F6AFB" w:rsidRPr="006F7DD5" w14:paraId="6080E2AC" w14:textId="77777777" w:rsidTr="008E14CD">
        <w:tc>
          <w:tcPr>
            <w:tcW w:w="1809" w:type="dxa"/>
          </w:tcPr>
          <w:p w14:paraId="0751C863" w14:textId="748304BE" w:rsidR="009F6AFB" w:rsidRPr="008E14CD" w:rsidRDefault="009F6AFB" w:rsidP="00C257C6">
            <w:pPr>
              <w:rPr>
                <w:rFonts w:cs="Arial"/>
                <w:szCs w:val="22"/>
              </w:rPr>
            </w:pPr>
            <w:r w:rsidRPr="008E14CD">
              <w:rPr>
                <w:rFonts w:cs="Arial"/>
                <w:sz w:val="22"/>
                <w:szCs w:val="22"/>
              </w:rPr>
              <w:t>MSSA</w:t>
            </w:r>
          </w:p>
        </w:tc>
        <w:tc>
          <w:tcPr>
            <w:tcW w:w="7655" w:type="dxa"/>
          </w:tcPr>
          <w:p w14:paraId="6781254D" w14:textId="7537C881" w:rsidR="009F6AFB" w:rsidRPr="008E14CD" w:rsidRDefault="000C3EA0" w:rsidP="000C3EA0">
            <w:pPr>
              <w:rPr>
                <w:rFonts w:cs="Arial"/>
                <w:szCs w:val="22"/>
              </w:rPr>
            </w:pPr>
            <w:r w:rsidRPr="008E14CD">
              <w:rPr>
                <w:rFonts w:cs="Arial"/>
                <w:sz w:val="22"/>
                <w:szCs w:val="22"/>
              </w:rPr>
              <w:t xml:space="preserve">Methicillin-susceptible </w:t>
            </w:r>
            <w:r w:rsidRPr="00566611">
              <w:rPr>
                <w:rFonts w:cs="Arial"/>
                <w:i/>
                <w:sz w:val="22"/>
                <w:szCs w:val="22"/>
              </w:rPr>
              <w:t xml:space="preserve">Staph. </w:t>
            </w:r>
            <w:r w:rsidR="00566611" w:rsidRPr="00566611">
              <w:rPr>
                <w:rFonts w:cs="Arial"/>
                <w:i/>
                <w:sz w:val="22"/>
                <w:szCs w:val="22"/>
              </w:rPr>
              <w:t>a</w:t>
            </w:r>
            <w:r w:rsidRPr="00566611">
              <w:rPr>
                <w:rFonts w:cs="Arial"/>
                <w:i/>
                <w:sz w:val="22"/>
                <w:szCs w:val="22"/>
              </w:rPr>
              <w:t>ureus</w:t>
            </w:r>
          </w:p>
        </w:tc>
      </w:tr>
      <w:tr w:rsidR="000C3EA0" w:rsidRPr="006F7DD5" w14:paraId="3DE51695" w14:textId="77777777" w:rsidTr="008E14CD">
        <w:tc>
          <w:tcPr>
            <w:tcW w:w="1809" w:type="dxa"/>
          </w:tcPr>
          <w:p w14:paraId="63419EA2" w14:textId="18A033D7" w:rsidR="000C3EA0" w:rsidRPr="008E14CD" w:rsidRDefault="000C3EA0" w:rsidP="00C257C6">
            <w:pPr>
              <w:rPr>
                <w:rFonts w:cs="Arial"/>
                <w:szCs w:val="22"/>
              </w:rPr>
            </w:pPr>
            <w:r w:rsidRPr="008E14CD">
              <w:rPr>
                <w:rFonts w:cs="Arial"/>
                <w:sz w:val="22"/>
                <w:szCs w:val="22"/>
              </w:rPr>
              <w:t>NICE</w:t>
            </w:r>
          </w:p>
        </w:tc>
        <w:tc>
          <w:tcPr>
            <w:tcW w:w="7655" w:type="dxa"/>
          </w:tcPr>
          <w:p w14:paraId="676F8F9B" w14:textId="49D24E43" w:rsidR="000C3EA0" w:rsidRPr="008E14CD" w:rsidRDefault="000C3EA0" w:rsidP="00C257C6">
            <w:pPr>
              <w:rPr>
                <w:rFonts w:cs="Arial"/>
                <w:szCs w:val="22"/>
              </w:rPr>
            </w:pPr>
            <w:r w:rsidRPr="008E14CD">
              <w:rPr>
                <w:rFonts w:cs="Arial"/>
                <w:sz w:val="22"/>
                <w:szCs w:val="22"/>
              </w:rPr>
              <w:t>National Institute for Health and Care Excellence</w:t>
            </w:r>
          </w:p>
        </w:tc>
      </w:tr>
      <w:tr w:rsidR="000C3EA0" w:rsidRPr="006F7DD5" w14:paraId="56703AC6" w14:textId="77777777" w:rsidTr="008E14CD">
        <w:tc>
          <w:tcPr>
            <w:tcW w:w="1809" w:type="dxa"/>
          </w:tcPr>
          <w:p w14:paraId="2B5CBCBC" w14:textId="2A8BA3AF" w:rsidR="000C3EA0" w:rsidRPr="008E14CD" w:rsidRDefault="000C3EA0" w:rsidP="00C257C6">
            <w:pPr>
              <w:rPr>
                <w:rFonts w:cs="Arial"/>
                <w:szCs w:val="22"/>
              </w:rPr>
            </w:pPr>
            <w:r w:rsidRPr="008E14CD">
              <w:rPr>
                <w:rFonts w:cs="Arial"/>
                <w:sz w:val="22"/>
                <w:szCs w:val="22"/>
              </w:rPr>
              <w:t>NI</w:t>
            </w:r>
          </w:p>
        </w:tc>
        <w:tc>
          <w:tcPr>
            <w:tcW w:w="7655" w:type="dxa"/>
          </w:tcPr>
          <w:p w14:paraId="1FC151EA" w14:textId="24113204" w:rsidR="000C3EA0" w:rsidRPr="008E14CD" w:rsidRDefault="000C3EA0" w:rsidP="00C257C6">
            <w:pPr>
              <w:rPr>
                <w:rFonts w:cs="Arial"/>
                <w:szCs w:val="22"/>
              </w:rPr>
            </w:pPr>
            <w:r w:rsidRPr="008E14CD">
              <w:rPr>
                <w:rFonts w:cs="Arial"/>
                <w:sz w:val="22"/>
                <w:szCs w:val="22"/>
              </w:rPr>
              <w:t>Non-inferiority</w:t>
            </w:r>
          </w:p>
        </w:tc>
      </w:tr>
      <w:tr w:rsidR="009F6AFB" w:rsidRPr="006F7DD5" w14:paraId="58B68F7F" w14:textId="77777777" w:rsidTr="008E14CD">
        <w:tc>
          <w:tcPr>
            <w:tcW w:w="1809" w:type="dxa"/>
          </w:tcPr>
          <w:p w14:paraId="65F12C03" w14:textId="7E02213A" w:rsidR="009F6AFB" w:rsidRPr="008E14CD" w:rsidRDefault="000C3EA0" w:rsidP="00C257C6">
            <w:pPr>
              <w:rPr>
                <w:rFonts w:cs="Arial"/>
                <w:szCs w:val="22"/>
              </w:rPr>
            </w:pPr>
            <w:r w:rsidRPr="008E14CD">
              <w:rPr>
                <w:rFonts w:cs="Arial"/>
                <w:sz w:val="22"/>
                <w:szCs w:val="22"/>
              </w:rPr>
              <w:t>NMA</w:t>
            </w:r>
          </w:p>
        </w:tc>
        <w:tc>
          <w:tcPr>
            <w:tcW w:w="7655" w:type="dxa"/>
          </w:tcPr>
          <w:p w14:paraId="7032676C" w14:textId="42B8767B" w:rsidR="009F6AFB" w:rsidRPr="008E14CD" w:rsidRDefault="000C3EA0" w:rsidP="00C257C6">
            <w:pPr>
              <w:rPr>
                <w:rFonts w:cs="Arial"/>
                <w:szCs w:val="22"/>
              </w:rPr>
            </w:pPr>
            <w:r w:rsidRPr="008E14CD">
              <w:rPr>
                <w:rFonts w:cs="Arial"/>
                <w:sz w:val="22"/>
                <w:szCs w:val="22"/>
              </w:rPr>
              <w:t>Network Meta-Analysis</w:t>
            </w:r>
          </w:p>
        </w:tc>
      </w:tr>
      <w:tr w:rsidR="008E14CD" w:rsidRPr="006F7DD5" w14:paraId="72559AD2" w14:textId="77777777" w:rsidTr="008E14CD">
        <w:tc>
          <w:tcPr>
            <w:tcW w:w="1809" w:type="dxa"/>
          </w:tcPr>
          <w:p w14:paraId="2D8A4018" w14:textId="59214EB1" w:rsidR="008E14CD" w:rsidRPr="008E14CD" w:rsidRDefault="008E14CD" w:rsidP="00C257C6">
            <w:pPr>
              <w:rPr>
                <w:rFonts w:cs="Arial"/>
                <w:szCs w:val="22"/>
              </w:rPr>
            </w:pPr>
            <w:r w:rsidRPr="008E14CD">
              <w:rPr>
                <w:rFonts w:cs="Arial"/>
                <w:sz w:val="22"/>
                <w:szCs w:val="22"/>
              </w:rPr>
              <w:t>OPAT</w:t>
            </w:r>
          </w:p>
        </w:tc>
        <w:tc>
          <w:tcPr>
            <w:tcW w:w="7655" w:type="dxa"/>
          </w:tcPr>
          <w:p w14:paraId="2BC9A898" w14:textId="154884FD" w:rsidR="008E14CD" w:rsidRPr="008E14CD" w:rsidRDefault="008E14CD" w:rsidP="00C257C6">
            <w:pPr>
              <w:rPr>
                <w:rFonts w:cs="Arial"/>
                <w:szCs w:val="22"/>
              </w:rPr>
            </w:pPr>
            <w:r w:rsidRPr="008E14CD">
              <w:rPr>
                <w:rFonts w:cs="Arial"/>
                <w:sz w:val="22"/>
                <w:szCs w:val="22"/>
              </w:rPr>
              <w:t>Outpatient Parenteral Antibiotic Therapy</w:t>
            </w:r>
          </w:p>
        </w:tc>
      </w:tr>
      <w:tr w:rsidR="000C3EA0" w:rsidRPr="006F7DD5" w14:paraId="38A88EBF" w14:textId="77777777" w:rsidTr="008E14CD">
        <w:tc>
          <w:tcPr>
            <w:tcW w:w="1809" w:type="dxa"/>
          </w:tcPr>
          <w:p w14:paraId="17DC135A" w14:textId="3578F6F3" w:rsidR="000C3EA0" w:rsidRPr="008E14CD" w:rsidRDefault="000C3EA0" w:rsidP="00C257C6">
            <w:pPr>
              <w:rPr>
                <w:rFonts w:cs="Arial"/>
                <w:szCs w:val="22"/>
              </w:rPr>
            </w:pPr>
            <w:r w:rsidRPr="008E14CD">
              <w:rPr>
                <w:rFonts w:cs="Arial"/>
                <w:sz w:val="22"/>
                <w:szCs w:val="22"/>
              </w:rPr>
              <w:t>OR</w:t>
            </w:r>
          </w:p>
        </w:tc>
        <w:tc>
          <w:tcPr>
            <w:tcW w:w="7655" w:type="dxa"/>
          </w:tcPr>
          <w:p w14:paraId="70DF1153" w14:textId="39A61AE9" w:rsidR="000C3EA0" w:rsidRPr="008E14CD" w:rsidRDefault="000C3EA0" w:rsidP="00C257C6">
            <w:pPr>
              <w:rPr>
                <w:rFonts w:cs="Arial"/>
                <w:szCs w:val="22"/>
              </w:rPr>
            </w:pPr>
            <w:r w:rsidRPr="008E14CD">
              <w:rPr>
                <w:rFonts w:cs="Arial"/>
                <w:sz w:val="22"/>
                <w:szCs w:val="22"/>
              </w:rPr>
              <w:t>Odds Ratio</w:t>
            </w:r>
          </w:p>
        </w:tc>
      </w:tr>
      <w:tr w:rsidR="00B87BD5" w:rsidRPr="006F7DD5" w14:paraId="6A5EA629" w14:textId="77777777" w:rsidTr="008E14CD">
        <w:tc>
          <w:tcPr>
            <w:tcW w:w="1809" w:type="dxa"/>
          </w:tcPr>
          <w:p w14:paraId="09450B1C" w14:textId="04DD74BA" w:rsidR="00B87BD5" w:rsidRPr="008E14CD" w:rsidRDefault="00B87BD5" w:rsidP="00C257C6">
            <w:pPr>
              <w:rPr>
                <w:rFonts w:cs="Arial"/>
                <w:szCs w:val="22"/>
              </w:rPr>
            </w:pPr>
            <w:r>
              <w:rPr>
                <w:rFonts w:cs="Arial"/>
                <w:sz w:val="22"/>
                <w:szCs w:val="22"/>
              </w:rPr>
              <w:t>PICC</w:t>
            </w:r>
          </w:p>
        </w:tc>
        <w:tc>
          <w:tcPr>
            <w:tcW w:w="7655" w:type="dxa"/>
          </w:tcPr>
          <w:p w14:paraId="38C7F715" w14:textId="3ED3B8FF" w:rsidR="00B87BD5" w:rsidRPr="008E14CD" w:rsidRDefault="00B87BD5" w:rsidP="00C257C6">
            <w:pPr>
              <w:rPr>
                <w:rFonts w:cs="Arial"/>
                <w:szCs w:val="22"/>
              </w:rPr>
            </w:pPr>
            <w:r>
              <w:rPr>
                <w:rFonts w:cs="Arial"/>
                <w:sz w:val="22"/>
                <w:szCs w:val="22"/>
              </w:rPr>
              <w:t>Peripherally-inserted central catheter</w:t>
            </w:r>
          </w:p>
        </w:tc>
      </w:tr>
      <w:tr w:rsidR="00B87BD5" w:rsidRPr="006F7DD5" w14:paraId="5259C66C" w14:textId="77777777" w:rsidTr="008E14CD">
        <w:tc>
          <w:tcPr>
            <w:tcW w:w="1809" w:type="dxa"/>
          </w:tcPr>
          <w:p w14:paraId="3BF5541B" w14:textId="591E0037" w:rsidR="00B87BD5" w:rsidRDefault="00B87BD5" w:rsidP="00C257C6">
            <w:pPr>
              <w:rPr>
                <w:rFonts w:cs="Arial"/>
                <w:szCs w:val="22"/>
              </w:rPr>
            </w:pPr>
            <w:r>
              <w:rPr>
                <w:rFonts w:cs="Arial"/>
                <w:sz w:val="22"/>
                <w:szCs w:val="22"/>
              </w:rPr>
              <w:t>PSA</w:t>
            </w:r>
          </w:p>
        </w:tc>
        <w:tc>
          <w:tcPr>
            <w:tcW w:w="7655" w:type="dxa"/>
          </w:tcPr>
          <w:p w14:paraId="4DA8733D" w14:textId="6EFB15CB" w:rsidR="00B87BD5" w:rsidRDefault="00B87BD5" w:rsidP="00C257C6">
            <w:pPr>
              <w:rPr>
                <w:rFonts w:cs="Arial"/>
                <w:szCs w:val="22"/>
              </w:rPr>
            </w:pPr>
            <w:r>
              <w:rPr>
                <w:rFonts w:cs="Arial"/>
                <w:sz w:val="22"/>
                <w:szCs w:val="22"/>
              </w:rPr>
              <w:t>Probabilistic Sensitivity Analysis</w:t>
            </w:r>
          </w:p>
        </w:tc>
      </w:tr>
      <w:tr w:rsidR="009F6AFB" w:rsidRPr="006F7DD5" w14:paraId="51766C13" w14:textId="77777777" w:rsidTr="008E14CD">
        <w:tc>
          <w:tcPr>
            <w:tcW w:w="1809" w:type="dxa"/>
          </w:tcPr>
          <w:p w14:paraId="6EABDF50" w14:textId="7EFA40C2" w:rsidR="009F6AFB" w:rsidRPr="008E14CD" w:rsidRDefault="009F6AFB" w:rsidP="00C257C6">
            <w:pPr>
              <w:rPr>
                <w:rFonts w:cs="Arial"/>
                <w:szCs w:val="22"/>
              </w:rPr>
            </w:pPr>
            <w:r w:rsidRPr="008E14CD">
              <w:rPr>
                <w:rFonts w:cs="Arial"/>
                <w:sz w:val="22"/>
                <w:szCs w:val="22"/>
              </w:rPr>
              <w:t>PTE</w:t>
            </w:r>
          </w:p>
        </w:tc>
        <w:tc>
          <w:tcPr>
            <w:tcW w:w="7655" w:type="dxa"/>
          </w:tcPr>
          <w:p w14:paraId="52A2FAA5" w14:textId="3CE5638E" w:rsidR="009F6AFB" w:rsidRPr="008E14CD" w:rsidRDefault="009F6AFB" w:rsidP="00C257C6">
            <w:pPr>
              <w:rPr>
                <w:rFonts w:cs="Arial"/>
                <w:szCs w:val="22"/>
              </w:rPr>
            </w:pPr>
            <w:r w:rsidRPr="008E14CD">
              <w:rPr>
                <w:rFonts w:cs="Arial"/>
                <w:sz w:val="22"/>
                <w:szCs w:val="22"/>
              </w:rPr>
              <w:t>Post-Therapy Evaluation</w:t>
            </w:r>
          </w:p>
        </w:tc>
      </w:tr>
      <w:tr w:rsidR="009F6AFB" w:rsidRPr="006F7DD5" w14:paraId="45E3C98A" w14:textId="77777777" w:rsidTr="008E14CD">
        <w:tc>
          <w:tcPr>
            <w:tcW w:w="1809" w:type="dxa"/>
          </w:tcPr>
          <w:p w14:paraId="471CF077" w14:textId="7CA69FA4" w:rsidR="009F6AFB" w:rsidRPr="008E14CD" w:rsidRDefault="000C3EA0" w:rsidP="00C257C6">
            <w:pPr>
              <w:rPr>
                <w:rFonts w:cs="Arial"/>
                <w:szCs w:val="22"/>
              </w:rPr>
            </w:pPr>
            <w:r w:rsidRPr="008E14CD">
              <w:rPr>
                <w:rFonts w:cs="Arial"/>
                <w:sz w:val="22"/>
                <w:szCs w:val="22"/>
              </w:rPr>
              <w:t>RCT</w:t>
            </w:r>
          </w:p>
        </w:tc>
        <w:tc>
          <w:tcPr>
            <w:tcW w:w="7655" w:type="dxa"/>
          </w:tcPr>
          <w:p w14:paraId="3C41DDB9" w14:textId="34632866" w:rsidR="009F6AFB" w:rsidRPr="008E14CD" w:rsidRDefault="000C3EA0" w:rsidP="00C257C6">
            <w:pPr>
              <w:rPr>
                <w:rFonts w:cs="Arial"/>
                <w:szCs w:val="22"/>
              </w:rPr>
            </w:pPr>
            <w:r w:rsidRPr="008E14CD">
              <w:rPr>
                <w:rFonts w:cs="Arial"/>
                <w:sz w:val="22"/>
                <w:szCs w:val="22"/>
              </w:rPr>
              <w:t>Randomised Controlled Trial</w:t>
            </w:r>
          </w:p>
        </w:tc>
      </w:tr>
      <w:tr w:rsidR="009F6AFB" w:rsidRPr="006F7DD5" w14:paraId="76CC85C0" w14:textId="77777777" w:rsidTr="008E14CD">
        <w:tc>
          <w:tcPr>
            <w:tcW w:w="1809" w:type="dxa"/>
          </w:tcPr>
          <w:p w14:paraId="4EB789F9" w14:textId="109DA44B" w:rsidR="009F6AFB" w:rsidRPr="008E14CD" w:rsidRDefault="009F6AFB" w:rsidP="00C257C6">
            <w:pPr>
              <w:rPr>
                <w:rFonts w:cs="Arial"/>
                <w:szCs w:val="22"/>
              </w:rPr>
            </w:pPr>
            <w:r w:rsidRPr="008E14CD">
              <w:rPr>
                <w:rFonts w:cs="Arial"/>
                <w:sz w:val="22"/>
                <w:szCs w:val="22"/>
              </w:rPr>
              <w:t>RIE</w:t>
            </w:r>
          </w:p>
        </w:tc>
        <w:tc>
          <w:tcPr>
            <w:tcW w:w="7655" w:type="dxa"/>
          </w:tcPr>
          <w:p w14:paraId="7235034D" w14:textId="1F9B87A0" w:rsidR="009F6AFB" w:rsidRPr="008E14CD" w:rsidRDefault="00181F9A" w:rsidP="00C257C6">
            <w:pPr>
              <w:rPr>
                <w:rFonts w:cs="Arial"/>
                <w:szCs w:val="22"/>
              </w:rPr>
            </w:pPr>
            <w:r w:rsidRPr="008E14CD">
              <w:rPr>
                <w:rFonts w:cs="Arial"/>
                <w:sz w:val="22"/>
                <w:szCs w:val="22"/>
              </w:rPr>
              <w:t>Right-sided infective endocarditis</w:t>
            </w:r>
          </w:p>
        </w:tc>
      </w:tr>
      <w:tr w:rsidR="009F6AFB" w:rsidRPr="006F7DD5" w14:paraId="315D2907" w14:textId="77777777" w:rsidTr="008E14CD">
        <w:tc>
          <w:tcPr>
            <w:tcW w:w="1809" w:type="dxa"/>
          </w:tcPr>
          <w:p w14:paraId="1F33FC6E" w14:textId="1A95AAC0" w:rsidR="009F6AFB" w:rsidRPr="008E14CD" w:rsidRDefault="009F6AFB" w:rsidP="00C257C6">
            <w:pPr>
              <w:rPr>
                <w:rFonts w:cs="Arial"/>
                <w:szCs w:val="22"/>
              </w:rPr>
            </w:pPr>
            <w:r w:rsidRPr="008E14CD">
              <w:rPr>
                <w:rFonts w:cs="Arial"/>
                <w:sz w:val="22"/>
                <w:szCs w:val="22"/>
              </w:rPr>
              <w:t xml:space="preserve">SAB </w:t>
            </w:r>
          </w:p>
        </w:tc>
        <w:tc>
          <w:tcPr>
            <w:tcW w:w="7655" w:type="dxa"/>
          </w:tcPr>
          <w:p w14:paraId="2867CE2C" w14:textId="3959E695" w:rsidR="009F6AFB" w:rsidRPr="008E14CD" w:rsidRDefault="009F6AFB" w:rsidP="00C257C6">
            <w:pPr>
              <w:rPr>
                <w:rFonts w:cs="Arial"/>
                <w:szCs w:val="22"/>
              </w:rPr>
            </w:pPr>
            <w:r w:rsidRPr="008B49A5">
              <w:rPr>
                <w:rFonts w:cs="Arial"/>
                <w:i/>
                <w:sz w:val="22"/>
                <w:szCs w:val="22"/>
              </w:rPr>
              <w:t>Staph. aureus</w:t>
            </w:r>
            <w:r w:rsidRPr="008E14CD">
              <w:rPr>
                <w:rFonts w:cs="Arial"/>
                <w:sz w:val="22"/>
                <w:szCs w:val="22"/>
              </w:rPr>
              <w:t xml:space="preserve"> bacteraemia</w:t>
            </w:r>
          </w:p>
        </w:tc>
      </w:tr>
      <w:tr w:rsidR="007C6F69" w:rsidRPr="006F7DD5" w14:paraId="4012C73A" w14:textId="77777777" w:rsidTr="008E14CD">
        <w:tc>
          <w:tcPr>
            <w:tcW w:w="1809" w:type="dxa"/>
          </w:tcPr>
          <w:p w14:paraId="09AE3D1E" w14:textId="2B71C161" w:rsidR="007C6F69" w:rsidRPr="008E14CD" w:rsidRDefault="007C6F69" w:rsidP="00C257C6">
            <w:pPr>
              <w:rPr>
                <w:rFonts w:cs="Arial"/>
                <w:szCs w:val="22"/>
              </w:rPr>
            </w:pPr>
            <w:r w:rsidRPr="008E14CD">
              <w:rPr>
                <w:rFonts w:cs="Arial"/>
                <w:sz w:val="22"/>
                <w:szCs w:val="22"/>
              </w:rPr>
              <w:t>SAE</w:t>
            </w:r>
          </w:p>
        </w:tc>
        <w:tc>
          <w:tcPr>
            <w:tcW w:w="7655" w:type="dxa"/>
          </w:tcPr>
          <w:p w14:paraId="7C6B6BC8" w14:textId="12675365" w:rsidR="007C6F69" w:rsidRPr="008E14CD" w:rsidRDefault="000C3EA0" w:rsidP="00C257C6">
            <w:pPr>
              <w:rPr>
                <w:rFonts w:cs="Arial"/>
                <w:szCs w:val="22"/>
              </w:rPr>
            </w:pPr>
            <w:r w:rsidRPr="008E14CD">
              <w:rPr>
                <w:rFonts w:cs="Arial"/>
                <w:sz w:val="22"/>
                <w:szCs w:val="22"/>
              </w:rPr>
              <w:t>Serious adverse event</w:t>
            </w:r>
          </w:p>
        </w:tc>
      </w:tr>
      <w:tr w:rsidR="000C3EA0" w:rsidRPr="006F7DD5" w14:paraId="45CBF353" w14:textId="77777777" w:rsidTr="008E14CD">
        <w:tc>
          <w:tcPr>
            <w:tcW w:w="1809" w:type="dxa"/>
          </w:tcPr>
          <w:p w14:paraId="641D689C" w14:textId="3C428BBF" w:rsidR="000C3EA0" w:rsidRPr="008E14CD" w:rsidRDefault="000C3EA0" w:rsidP="00C257C6">
            <w:pPr>
              <w:rPr>
                <w:rFonts w:cs="Arial"/>
                <w:szCs w:val="22"/>
              </w:rPr>
            </w:pPr>
            <w:r w:rsidRPr="008E14CD">
              <w:rPr>
                <w:rFonts w:cs="Arial"/>
                <w:sz w:val="22"/>
                <w:szCs w:val="22"/>
              </w:rPr>
              <w:t>SAP</w:t>
            </w:r>
          </w:p>
        </w:tc>
        <w:tc>
          <w:tcPr>
            <w:tcW w:w="7655" w:type="dxa"/>
          </w:tcPr>
          <w:p w14:paraId="57432414" w14:textId="20F6FD52" w:rsidR="000C3EA0" w:rsidRPr="008E14CD" w:rsidRDefault="000C3EA0" w:rsidP="00C257C6">
            <w:pPr>
              <w:rPr>
                <w:rFonts w:cs="Arial"/>
                <w:szCs w:val="22"/>
              </w:rPr>
            </w:pPr>
            <w:r w:rsidRPr="008E14CD">
              <w:rPr>
                <w:rFonts w:cs="Arial"/>
                <w:sz w:val="22"/>
                <w:szCs w:val="22"/>
              </w:rPr>
              <w:t>Statistical Analysis Plan</w:t>
            </w:r>
          </w:p>
        </w:tc>
      </w:tr>
      <w:tr w:rsidR="009F6AFB" w:rsidRPr="006F7DD5" w14:paraId="3585A66D" w14:textId="77777777" w:rsidTr="008E14CD">
        <w:tc>
          <w:tcPr>
            <w:tcW w:w="1809" w:type="dxa"/>
          </w:tcPr>
          <w:p w14:paraId="7B3F8820" w14:textId="634E76C4" w:rsidR="009F6AFB" w:rsidRPr="008E14CD" w:rsidRDefault="009F6AFB" w:rsidP="00C257C6">
            <w:pPr>
              <w:rPr>
                <w:rFonts w:cs="Arial"/>
                <w:szCs w:val="22"/>
              </w:rPr>
            </w:pPr>
            <w:r w:rsidRPr="008E14CD">
              <w:rPr>
                <w:rFonts w:cs="Arial"/>
                <w:sz w:val="22"/>
                <w:szCs w:val="22"/>
              </w:rPr>
              <w:t>SAPG</w:t>
            </w:r>
          </w:p>
        </w:tc>
        <w:tc>
          <w:tcPr>
            <w:tcW w:w="7655" w:type="dxa"/>
          </w:tcPr>
          <w:p w14:paraId="4F561C39" w14:textId="542F2EDE" w:rsidR="009F6AFB" w:rsidRPr="008E14CD" w:rsidRDefault="009F6AFB" w:rsidP="00C257C6">
            <w:pPr>
              <w:rPr>
                <w:rFonts w:cs="Arial"/>
                <w:szCs w:val="22"/>
              </w:rPr>
            </w:pPr>
            <w:r w:rsidRPr="008E14CD">
              <w:rPr>
                <w:rFonts w:cs="Arial"/>
                <w:sz w:val="22"/>
                <w:szCs w:val="22"/>
              </w:rPr>
              <w:t xml:space="preserve">Scottish Antimicrobial Prescribing Group </w:t>
            </w:r>
          </w:p>
        </w:tc>
      </w:tr>
      <w:tr w:rsidR="009F6AFB" w:rsidRPr="006F7DD5" w14:paraId="706E084D" w14:textId="77777777" w:rsidTr="008E14CD">
        <w:tc>
          <w:tcPr>
            <w:tcW w:w="1809" w:type="dxa"/>
          </w:tcPr>
          <w:p w14:paraId="0173268B" w14:textId="48416237" w:rsidR="009F6AFB" w:rsidRPr="008E14CD" w:rsidRDefault="009F6AFB" w:rsidP="00C257C6">
            <w:pPr>
              <w:rPr>
                <w:rFonts w:cs="Arial"/>
                <w:szCs w:val="22"/>
              </w:rPr>
            </w:pPr>
            <w:r w:rsidRPr="008E14CD">
              <w:rPr>
                <w:rFonts w:cs="Arial"/>
                <w:sz w:val="22"/>
                <w:szCs w:val="22"/>
              </w:rPr>
              <w:t>SIGN</w:t>
            </w:r>
          </w:p>
        </w:tc>
        <w:tc>
          <w:tcPr>
            <w:tcW w:w="7655" w:type="dxa"/>
          </w:tcPr>
          <w:p w14:paraId="399A52FA" w14:textId="0F61B5B8" w:rsidR="009F6AFB" w:rsidRPr="008E14CD" w:rsidRDefault="009F6AFB" w:rsidP="00C257C6">
            <w:pPr>
              <w:rPr>
                <w:rFonts w:cs="Arial"/>
                <w:szCs w:val="22"/>
              </w:rPr>
            </w:pPr>
            <w:r w:rsidRPr="008E14CD">
              <w:rPr>
                <w:rFonts w:cs="Arial"/>
                <w:sz w:val="22"/>
                <w:szCs w:val="22"/>
              </w:rPr>
              <w:t xml:space="preserve">Scottish Intercollegiate Guidelines Network </w:t>
            </w:r>
          </w:p>
        </w:tc>
      </w:tr>
      <w:tr w:rsidR="009F6AFB" w:rsidRPr="006F7DD5" w14:paraId="50C8B7CD" w14:textId="77777777" w:rsidTr="008E14CD">
        <w:tc>
          <w:tcPr>
            <w:tcW w:w="1809" w:type="dxa"/>
          </w:tcPr>
          <w:p w14:paraId="030CB856" w14:textId="3F401A0D" w:rsidR="009F6AFB" w:rsidRPr="008E14CD" w:rsidRDefault="009F6AFB" w:rsidP="00C257C6">
            <w:pPr>
              <w:rPr>
                <w:rFonts w:cs="Arial"/>
                <w:szCs w:val="22"/>
              </w:rPr>
            </w:pPr>
            <w:r w:rsidRPr="008E14CD">
              <w:rPr>
                <w:rFonts w:cs="Arial"/>
                <w:sz w:val="22"/>
                <w:szCs w:val="22"/>
              </w:rPr>
              <w:t>SMC</w:t>
            </w:r>
          </w:p>
        </w:tc>
        <w:tc>
          <w:tcPr>
            <w:tcW w:w="7655" w:type="dxa"/>
          </w:tcPr>
          <w:p w14:paraId="1A08704B" w14:textId="5FF5E74B" w:rsidR="009F6AFB" w:rsidRPr="008E14CD" w:rsidRDefault="009F6AFB" w:rsidP="00C257C6">
            <w:pPr>
              <w:rPr>
                <w:rFonts w:cs="Arial"/>
                <w:szCs w:val="22"/>
              </w:rPr>
            </w:pPr>
            <w:r w:rsidRPr="008E14CD">
              <w:rPr>
                <w:rFonts w:cs="Arial"/>
                <w:sz w:val="22"/>
                <w:szCs w:val="22"/>
              </w:rPr>
              <w:t>Scottish Medicines Consortium</w:t>
            </w:r>
          </w:p>
        </w:tc>
      </w:tr>
      <w:tr w:rsidR="009F6AFB" w:rsidRPr="006F7DD5" w14:paraId="7880B762" w14:textId="77777777" w:rsidTr="008E14CD">
        <w:tc>
          <w:tcPr>
            <w:tcW w:w="1809" w:type="dxa"/>
          </w:tcPr>
          <w:p w14:paraId="5DFBD07A" w14:textId="4E036907" w:rsidR="009F6AFB" w:rsidRPr="008E14CD" w:rsidRDefault="009F6AFB" w:rsidP="00C257C6">
            <w:pPr>
              <w:rPr>
                <w:rFonts w:cs="Arial"/>
                <w:szCs w:val="22"/>
              </w:rPr>
            </w:pPr>
            <w:r w:rsidRPr="008E14CD">
              <w:rPr>
                <w:rFonts w:cs="Arial"/>
                <w:sz w:val="22"/>
                <w:szCs w:val="22"/>
              </w:rPr>
              <w:t>SmPC</w:t>
            </w:r>
          </w:p>
        </w:tc>
        <w:tc>
          <w:tcPr>
            <w:tcW w:w="7655" w:type="dxa"/>
          </w:tcPr>
          <w:p w14:paraId="2079B77B" w14:textId="3E9260F0" w:rsidR="009F6AFB" w:rsidRPr="008E14CD" w:rsidRDefault="009F6AFB" w:rsidP="00C257C6">
            <w:pPr>
              <w:rPr>
                <w:rFonts w:cs="Arial"/>
                <w:szCs w:val="22"/>
              </w:rPr>
            </w:pPr>
            <w:r w:rsidRPr="008E14CD">
              <w:rPr>
                <w:rFonts w:cs="Arial"/>
                <w:sz w:val="22"/>
                <w:szCs w:val="22"/>
              </w:rPr>
              <w:t>Summary of Product Characteristics</w:t>
            </w:r>
          </w:p>
        </w:tc>
      </w:tr>
      <w:tr w:rsidR="000C3EA0" w:rsidRPr="006F7DD5" w14:paraId="48246CB4" w14:textId="77777777" w:rsidTr="008E14CD">
        <w:tc>
          <w:tcPr>
            <w:tcW w:w="1809" w:type="dxa"/>
          </w:tcPr>
          <w:p w14:paraId="073C925F" w14:textId="386B063D" w:rsidR="000C3EA0" w:rsidRPr="008E14CD" w:rsidRDefault="000C3EA0" w:rsidP="00C257C6">
            <w:pPr>
              <w:rPr>
                <w:rFonts w:cs="Arial"/>
                <w:szCs w:val="22"/>
              </w:rPr>
            </w:pPr>
            <w:r w:rsidRPr="008E14CD">
              <w:rPr>
                <w:rFonts w:cs="Arial"/>
                <w:sz w:val="22"/>
                <w:szCs w:val="22"/>
              </w:rPr>
              <w:t>SR</w:t>
            </w:r>
          </w:p>
        </w:tc>
        <w:tc>
          <w:tcPr>
            <w:tcW w:w="7655" w:type="dxa"/>
          </w:tcPr>
          <w:p w14:paraId="39C7FC3C" w14:textId="25D365D9" w:rsidR="000C3EA0" w:rsidRPr="008E14CD" w:rsidRDefault="000C3EA0" w:rsidP="00C257C6">
            <w:pPr>
              <w:rPr>
                <w:rFonts w:cs="Arial"/>
                <w:szCs w:val="22"/>
              </w:rPr>
            </w:pPr>
            <w:r w:rsidRPr="008E14CD">
              <w:rPr>
                <w:rFonts w:cs="Arial"/>
                <w:sz w:val="22"/>
                <w:szCs w:val="22"/>
              </w:rPr>
              <w:t xml:space="preserve">Systematic Review </w:t>
            </w:r>
          </w:p>
        </w:tc>
      </w:tr>
      <w:tr w:rsidR="009F6AFB" w:rsidRPr="006F7DD5" w14:paraId="2F97FDE6" w14:textId="77777777" w:rsidTr="008E14CD">
        <w:tc>
          <w:tcPr>
            <w:tcW w:w="1809" w:type="dxa"/>
          </w:tcPr>
          <w:p w14:paraId="002024A4" w14:textId="74F432C0" w:rsidR="009F6AFB" w:rsidRPr="008E14CD" w:rsidRDefault="009F6AFB" w:rsidP="00C257C6">
            <w:pPr>
              <w:rPr>
                <w:rFonts w:cs="Arial"/>
                <w:szCs w:val="22"/>
              </w:rPr>
            </w:pPr>
            <w:r w:rsidRPr="008E14CD">
              <w:rPr>
                <w:rFonts w:cs="Arial"/>
                <w:sz w:val="22"/>
                <w:szCs w:val="22"/>
              </w:rPr>
              <w:t>SSI</w:t>
            </w:r>
          </w:p>
        </w:tc>
        <w:tc>
          <w:tcPr>
            <w:tcW w:w="7655" w:type="dxa"/>
          </w:tcPr>
          <w:p w14:paraId="6C2A58A7" w14:textId="574BD38E" w:rsidR="009F6AFB" w:rsidRPr="008E14CD" w:rsidRDefault="009F6AFB" w:rsidP="00C257C6">
            <w:pPr>
              <w:rPr>
                <w:rFonts w:cs="Arial"/>
                <w:szCs w:val="22"/>
              </w:rPr>
            </w:pPr>
            <w:r w:rsidRPr="008E14CD">
              <w:rPr>
                <w:rFonts w:cs="Arial"/>
                <w:sz w:val="22"/>
                <w:szCs w:val="22"/>
              </w:rPr>
              <w:t>Surgical site infection</w:t>
            </w:r>
          </w:p>
        </w:tc>
      </w:tr>
      <w:tr w:rsidR="002528F6" w:rsidRPr="006F7DD5" w14:paraId="52D2A7E6" w14:textId="77777777" w:rsidTr="008E14CD">
        <w:tc>
          <w:tcPr>
            <w:tcW w:w="1809" w:type="dxa"/>
          </w:tcPr>
          <w:p w14:paraId="2890D65B" w14:textId="7680102C" w:rsidR="002528F6" w:rsidRPr="008E14CD" w:rsidRDefault="002528F6" w:rsidP="00C257C6">
            <w:pPr>
              <w:rPr>
                <w:rFonts w:cs="Arial"/>
                <w:szCs w:val="22"/>
              </w:rPr>
            </w:pPr>
            <w:r w:rsidRPr="008E14CD">
              <w:rPr>
                <w:rFonts w:cs="Arial"/>
                <w:sz w:val="22"/>
                <w:szCs w:val="22"/>
              </w:rPr>
              <w:t>SSRI</w:t>
            </w:r>
          </w:p>
        </w:tc>
        <w:tc>
          <w:tcPr>
            <w:tcW w:w="7655" w:type="dxa"/>
          </w:tcPr>
          <w:p w14:paraId="577C338E" w14:textId="3B7DF125" w:rsidR="002528F6" w:rsidRPr="008E14CD" w:rsidRDefault="008E14CD" w:rsidP="00C257C6">
            <w:pPr>
              <w:rPr>
                <w:rFonts w:cs="Arial"/>
                <w:szCs w:val="22"/>
              </w:rPr>
            </w:pPr>
            <w:r>
              <w:rPr>
                <w:rFonts w:cs="Arial"/>
                <w:sz w:val="22"/>
                <w:szCs w:val="22"/>
              </w:rPr>
              <w:t>Selective serotonin reuptake in</w:t>
            </w:r>
            <w:r w:rsidR="002528F6" w:rsidRPr="008E14CD">
              <w:rPr>
                <w:rFonts w:cs="Arial"/>
                <w:sz w:val="22"/>
                <w:szCs w:val="22"/>
              </w:rPr>
              <w:t>hibitor</w:t>
            </w:r>
          </w:p>
        </w:tc>
      </w:tr>
      <w:tr w:rsidR="009F6AFB" w:rsidRPr="006F7DD5" w14:paraId="2298FC72" w14:textId="77777777" w:rsidTr="008E14CD">
        <w:tc>
          <w:tcPr>
            <w:tcW w:w="1809" w:type="dxa"/>
          </w:tcPr>
          <w:p w14:paraId="7D08124D" w14:textId="36548A2B" w:rsidR="009F6AFB" w:rsidRPr="008E14CD" w:rsidRDefault="009F6AFB" w:rsidP="00C257C6">
            <w:pPr>
              <w:rPr>
                <w:rFonts w:cs="Arial"/>
                <w:szCs w:val="22"/>
              </w:rPr>
            </w:pPr>
            <w:r w:rsidRPr="008E14CD">
              <w:rPr>
                <w:rFonts w:cs="Arial"/>
                <w:sz w:val="22"/>
                <w:szCs w:val="22"/>
              </w:rPr>
              <w:t>SSTI</w:t>
            </w:r>
          </w:p>
        </w:tc>
        <w:tc>
          <w:tcPr>
            <w:tcW w:w="7655" w:type="dxa"/>
          </w:tcPr>
          <w:p w14:paraId="39B2FCCC" w14:textId="01BCCA2A" w:rsidR="009F6AFB" w:rsidRPr="008E14CD" w:rsidRDefault="009F6AFB" w:rsidP="00237A6D">
            <w:pPr>
              <w:rPr>
                <w:rFonts w:cs="Arial"/>
                <w:szCs w:val="22"/>
              </w:rPr>
            </w:pPr>
            <w:r w:rsidRPr="008E14CD">
              <w:rPr>
                <w:rFonts w:cs="Arial"/>
                <w:sz w:val="22"/>
                <w:szCs w:val="22"/>
              </w:rPr>
              <w:t>Skin or skin tissue infection</w:t>
            </w:r>
          </w:p>
        </w:tc>
      </w:tr>
      <w:tr w:rsidR="009F6AFB" w:rsidRPr="006F7DD5" w14:paraId="0C0BB784" w14:textId="77777777" w:rsidTr="008E14CD">
        <w:tc>
          <w:tcPr>
            <w:tcW w:w="1809" w:type="dxa"/>
          </w:tcPr>
          <w:p w14:paraId="62196F30" w14:textId="461480C0" w:rsidR="009F6AFB" w:rsidRPr="008E14CD" w:rsidRDefault="007C6F69" w:rsidP="00C257C6">
            <w:pPr>
              <w:rPr>
                <w:rFonts w:cs="Arial"/>
                <w:szCs w:val="22"/>
              </w:rPr>
            </w:pPr>
            <w:r w:rsidRPr="008E14CD">
              <w:rPr>
                <w:rFonts w:cs="Arial"/>
                <w:sz w:val="22"/>
                <w:szCs w:val="22"/>
              </w:rPr>
              <w:t>TEAE</w:t>
            </w:r>
          </w:p>
        </w:tc>
        <w:tc>
          <w:tcPr>
            <w:tcW w:w="7655" w:type="dxa"/>
          </w:tcPr>
          <w:p w14:paraId="04CB731C" w14:textId="39F6FA8B" w:rsidR="009F6AFB" w:rsidRPr="008E14CD" w:rsidRDefault="000C3EA0" w:rsidP="00C257C6">
            <w:pPr>
              <w:rPr>
                <w:rFonts w:cs="Arial"/>
                <w:szCs w:val="22"/>
              </w:rPr>
            </w:pPr>
            <w:r w:rsidRPr="008E14CD">
              <w:rPr>
                <w:rFonts w:cs="Arial"/>
                <w:sz w:val="22"/>
                <w:szCs w:val="22"/>
              </w:rPr>
              <w:t>Treatment-Emergent Adverse Event</w:t>
            </w:r>
          </w:p>
        </w:tc>
      </w:tr>
      <w:tr w:rsidR="00762A13" w:rsidRPr="006F7DD5" w14:paraId="4543039D" w14:textId="77777777" w:rsidTr="008E14CD">
        <w:tc>
          <w:tcPr>
            <w:tcW w:w="1809" w:type="dxa"/>
          </w:tcPr>
          <w:p w14:paraId="5EEBA1AA" w14:textId="20FFF44E" w:rsidR="00762A13" w:rsidRPr="008E14CD" w:rsidRDefault="00762A13" w:rsidP="00C257C6">
            <w:pPr>
              <w:rPr>
                <w:rFonts w:cs="Arial"/>
                <w:szCs w:val="22"/>
              </w:rPr>
            </w:pPr>
            <w:r>
              <w:rPr>
                <w:rFonts w:cs="Arial"/>
                <w:sz w:val="22"/>
                <w:szCs w:val="22"/>
              </w:rPr>
              <w:t>ToC</w:t>
            </w:r>
          </w:p>
        </w:tc>
        <w:tc>
          <w:tcPr>
            <w:tcW w:w="7655" w:type="dxa"/>
          </w:tcPr>
          <w:p w14:paraId="10A5D758" w14:textId="627611BE" w:rsidR="00762A13" w:rsidRPr="008E14CD" w:rsidRDefault="00762A13" w:rsidP="00C257C6">
            <w:pPr>
              <w:rPr>
                <w:rFonts w:cs="Arial"/>
                <w:szCs w:val="22"/>
              </w:rPr>
            </w:pPr>
            <w:r>
              <w:rPr>
                <w:rFonts w:cs="Arial"/>
                <w:sz w:val="22"/>
                <w:szCs w:val="22"/>
              </w:rPr>
              <w:t>Test of Cure - EMA preferred primary efficacy outcome</w:t>
            </w:r>
          </w:p>
        </w:tc>
      </w:tr>
      <w:tr w:rsidR="00780358" w:rsidRPr="006F7DD5" w14:paraId="2F38A2F9" w14:textId="77777777" w:rsidTr="008E14CD">
        <w:tc>
          <w:tcPr>
            <w:tcW w:w="1809" w:type="dxa"/>
          </w:tcPr>
          <w:p w14:paraId="446233E3" w14:textId="2AD0F78F" w:rsidR="00780358" w:rsidRDefault="00780358" w:rsidP="00C257C6">
            <w:pPr>
              <w:rPr>
                <w:rFonts w:cs="Arial"/>
                <w:szCs w:val="22"/>
              </w:rPr>
            </w:pPr>
            <w:r>
              <w:rPr>
                <w:rFonts w:cs="Arial"/>
                <w:sz w:val="22"/>
                <w:szCs w:val="22"/>
              </w:rPr>
              <w:t>TR-701</w:t>
            </w:r>
          </w:p>
        </w:tc>
        <w:tc>
          <w:tcPr>
            <w:tcW w:w="7655" w:type="dxa"/>
          </w:tcPr>
          <w:p w14:paraId="066D6E99" w14:textId="16646005" w:rsidR="00780358" w:rsidRDefault="00780358" w:rsidP="00C257C6">
            <w:pPr>
              <w:rPr>
                <w:rFonts w:cs="Arial"/>
                <w:szCs w:val="22"/>
              </w:rPr>
            </w:pPr>
            <w:r>
              <w:rPr>
                <w:rFonts w:cs="Arial"/>
                <w:sz w:val="22"/>
                <w:szCs w:val="22"/>
              </w:rPr>
              <w:t>The investigational name for tedizolid phosphate</w:t>
            </w:r>
          </w:p>
        </w:tc>
      </w:tr>
      <w:tr w:rsidR="00320EF3" w:rsidRPr="006F7DD5" w14:paraId="52D52F8A" w14:textId="77777777" w:rsidTr="008E14CD">
        <w:tc>
          <w:tcPr>
            <w:tcW w:w="1809" w:type="dxa"/>
          </w:tcPr>
          <w:p w14:paraId="2CCC5C50" w14:textId="578D9846" w:rsidR="00320EF3" w:rsidRDefault="00320EF3" w:rsidP="00C257C6">
            <w:pPr>
              <w:rPr>
                <w:rFonts w:cs="Arial"/>
                <w:sz w:val="22"/>
                <w:szCs w:val="22"/>
              </w:rPr>
            </w:pPr>
            <w:r>
              <w:rPr>
                <w:rFonts w:cs="Arial"/>
                <w:sz w:val="22"/>
                <w:szCs w:val="22"/>
              </w:rPr>
              <w:t>ULN</w:t>
            </w:r>
          </w:p>
        </w:tc>
        <w:tc>
          <w:tcPr>
            <w:tcW w:w="7655" w:type="dxa"/>
          </w:tcPr>
          <w:p w14:paraId="36FE3F75" w14:textId="6E1798C8" w:rsidR="00320EF3" w:rsidRDefault="00320EF3" w:rsidP="00C257C6">
            <w:pPr>
              <w:rPr>
                <w:rFonts w:cs="Arial"/>
                <w:sz w:val="22"/>
                <w:szCs w:val="22"/>
              </w:rPr>
            </w:pPr>
            <w:r>
              <w:rPr>
                <w:rFonts w:cs="Arial"/>
                <w:sz w:val="22"/>
                <w:szCs w:val="22"/>
              </w:rPr>
              <w:t xml:space="preserve">Upper limit of normal </w:t>
            </w:r>
          </w:p>
        </w:tc>
      </w:tr>
      <w:tr w:rsidR="001F55CE" w:rsidRPr="006F7DD5" w14:paraId="4176FF8A" w14:textId="77777777" w:rsidTr="008E14CD">
        <w:tc>
          <w:tcPr>
            <w:tcW w:w="1809" w:type="dxa"/>
          </w:tcPr>
          <w:p w14:paraId="614EDBC4" w14:textId="5915E40C" w:rsidR="001F55CE" w:rsidRPr="008E14CD" w:rsidRDefault="001F55CE" w:rsidP="00C257C6">
            <w:pPr>
              <w:rPr>
                <w:rFonts w:cs="Arial"/>
                <w:szCs w:val="22"/>
              </w:rPr>
            </w:pPr>
            <w:r>
              <w:rPr>
                <w:rFonts w:cs="Arial"/>
                <w:sz w:val="22"/>
                <w:szCs w:val="22"/>
              </w:rPr>
              <w:t>uSSTI</w:t>
            </w:r>
          </w:p>
        </w:tc>
        <w:tc>
          <w:tcPr>
            <w:tcW w:w="7655" w:type="dxa"/>
          </w:tcPr>
          <w:p w14:paraId="2951C81E" w14:textId="6472C123" w:rsidR="001F55CE" w:rsidRPr="008E14CD" w:rsidRDefault="001F55CE" w:rsidP="00C257C6">
            <w:pPr>
              <w:rPr>
                <w:rFonts w:cs="Arial"/>
                <w:szCs w:val="22"/>
              </w:rPr>
            </w:pPr>
            <w:r>
              <w:rPr>
                <w:rFonts w:cs="Arial"/>
                <w:sz w:val="22"/>
                <w:szCs w:val="22"/>
              </w:rPr>
              <w:t>Uncomplicated Skin and Skin Tissue Infection</w:t>
            </w:r>
          </w:p>
        </w:tc>
      </w:tr>
      <w:tr w:rsidR="007B20BB" w:rsidRPr="006F7DD5" w14:paraId="4B43D903" w14:textId="77777777" w:rsidTr="008E14CD">
        <w:tc>
          <w:tcPr>
            <w:tcW w:w="1809" w:type="dxa"/>
          </w:tcPr>
          <w:p w14:paraId="0F02EBBB" w14:textId="04E92F92" w:rsidR="007B20BB" w:rsidRPr="008E14CD" w:rsidRDefault="007B20BB" w:rsidP="00C257C6">
            <w:pPr>
              <w:rPr>
                <w:rFonts w:cs="Arial"/>
                <w:szCs w:val="22"/>
              </w:rPr>
            </w:pPr>
            <w:r w:rsidRPr="008E14CD">
              <w:rPr>
                <w:rFonts w:cs="Arial"/>
                <w:sz w:val="22"/>
                <w:szCs w:val="22"/>
              </w:rPr>
              <w:t>VAS</w:t>
            </w:r>
          </w:p>
        </w:tc>
        <w:tc>
          <w:tcPr>
            <w:tcW w:w="7655" w:type="dxa"/>
          </w:tcPr>
          <w:p w14:paraId="7E1A1FD3" w14:textId="00D2A19A" w:rsidR="007B20BB" w:rsidRPr="008E14CD" w:rsidRDefault="007B20BB" w:rsidP="00C257C6">
            <w:pPr>
              <w:rPr>
                <w:rFonts w:cs="Arial"/>
                <w:szCs w:val="22"/>
              </w:rPr>
            </w:pPr>
            <w:r w:rsidRPr="008E14CD">
              <w:rPr>
                <w:rFonts w:cs="Arial"/>
                <w:sz w:val="22"/>
                <w:szCs w:val="22"/>
              </w:rPr>
              <w:t>Visual Analogue Scale</w:t>
            </w:r>
          </w:p>
        </w:tc>
      </w:tr>
      <w:tr w:rsidR="007B20BB" w:rsidRPr="006F7DD5" w14:paraId="7AC7D2D0" w14:textId="77777777" w:rsidTr="008E14CD">
        <w:tc>
          <w:tcPr>
            <w:tcW w:w="1809" w:type="dxa"/>
          </w:tcPr>
          <w:p w14:paraId="2A68ECAA" w14:textId="5EEF6F0F" w:rsidR="007B20BB" w:rsidRPr="000C3EA0" w:rsidRDefault="007B20BB" w:rsidP="00C257C6">
            <w:pPr>
              <w:rPr>
                <w:rFonts w:cs="Arial"/>
                <w:szCs w:val="22"/>
              </w:rPr>
            </w:pPr>
            <w:r w:rsidRPr="000C3EA0">
              <w:rPr>
                <w:rFonts w:cs="Arial"/>
                <w:sz w:val="22"/>
                <w:szCs w:val="22"/>
              </w:rPr>
              <w:t>WBC</w:t>
            </w:r>
          </w:p>
        </w:tc>
        <w:tc>
          <w:tcPr>
            <w:tcW w:w="7655" w:type="dxa"/>
          </w:tcPr>
          <w:p w14:paraId="164BF377" w14:textId="22846D7D" w:rsidR="007B20BB" w:rsidRPr="000C3EA0" w:rsidRDefault="007B20BB" w:rsidP="00C257C6">
            <w:pPr>
              <w:rPr>
                <w:rFonts w:cs="Arial"/>
                <w:szCs w:val="22"/>
              </w:rPr>
            </w:pPr>
            <w:r w:rsidRPr="000C3EA0">
              <w:rPr>
                <w:rFonts w:cs="Arial"/>
                <w:sz w:val="22"/>
                <w:szCs w:val="22"/>
              </w:rPr>
              <w:t>White Blood Cell</w:t>
            </w:r>
          </w:p>
        </w:tc>
      </w:tr>
    </w:tbl>
    <w:p w14:paraId="34A8E463" w14:textId="10CCC79F" w:rsidR="00C257C6" w:rsidRPr="00825995" w:rsidRDefault="00C257C6" w:rsidP="00C257C6">
      <w:pPr>
        <w:rPr>
          <w:rFonts w:cs="Arial"/>
          <w:sz w:val="22"/>
          <w:szCs w:val="22"/>
          <w:lang w:eastAsia="ja-JP"/>
        </w:rPr>
      </w:pPr>
      <w:r w:rsidRPr="00825995">
        <w:rPr>
          <w:rFonts w:cs="Arial"/>
          <w:sz w:val="22"/>
          <w:szCs w:val="22"/>
        </w:rPr>
        <w:br w:type="page"/>
      </w:r>
    </w:p>
    <w:p w14:paraId="4E4E6F20" w14:textId="77777777" w:rsidR="00C257C6" w:rsidRPr="00DA312F" w:rsidRDefault="00C257C6" w:rsidP="00C257C6">
      <w:pPr>
        <w:pBdr>
          <w:top w:val="single" w:sz="4" w:space="0" w:color="auto"/>
          <w:bottom w:val="single" w:sz="4" w:space="1" w:color="auto"/>
        </w:pBdr>
        <w:tabs>
          <w:tab w:val="left" w:pos="567"/>
        </w:tabs>
        <w:spacing w:line="360" w:lineRule="auto"/>
        <w:rPr>
          <w:rFonts w:cs="Arial"/>
          <w:b/>
          <w:sz w:val="28"/>
          <w:szCs w:val="28"/>
        </w:rPr>
      </w:pPr>
      <w:r w:rsidRPr="00DA312F">
        <w:rPr>
          <w:rFonts w:cs="Arial"/>
          <w:b/>
          <w:sz w:val="28"/>
          <w:szCs w:val="28"/>
        </w:rPr>
        <w:lastRenderedPageBreak/>
        <w:t>1.</w:t>
      </w:r>
      <w:r w:rsidRPr="00DA312F">
        <w:rPr>
          <w:rFonts w:cs="Arial"/>
          <w:b/>
          <w:sz w:val="28"/>
          <w:szCs w:val="28"/>
        </w:rPr>
        <w:tab/>
      </w:r>
      <w:bookmarkStart w:id="47" w:name="Registration_Details"/>
      <w:r w:rsidRPr="00DA312F">
        <w:rPr>
          <w:rFonts w:cs="Arial"/>
          <w:b/>
          <w:sz w:val="28"/>
          <w:szCs w:val="28"/>
        </w:rPr>
        <w:t>Registration Details</w:t>
      </w:r>
      <w:bookmarkEnd w:id="47"/>
      <w:r w:rsidRPr="00DA312F">
        <w:rPr>
          <w:rFonts w:cs="Arial"/>
          <w:b/>
          <w:sz w:val="28"/>
          <w:szCs w:val="28"/>
        </w:rPr>
        <w:t xml:space="preserve"> </w:t>
      </w:r>
    </w:p>
    <w:p w14:paraId="3209EB34" w14:textId="77777777" w:rsidR="00C257C6" w:rsidRPr="008E4E92" w:rsidRDefault="00C257C6" w:rsidP="00C257C6">
      <w:pPr>
        <w:rPr>
          <w:rFonts w:cs="Arial"/>
          <w:sz w:val="22"/>
          <w:szCs w:val="22"/>
        </w:rPr>
      </w:pPr>
    </w:p>
    <w:p w14:paraId="4CAF6794" w14:textId="77777777" w:rsidR="00AC4969" w:rsidRDefault="00C257C6" w:rsidP="00AC4969">
      <w:pPr>
        <w:pStyle w:val="BodyText"/>
        <w:numPr>
          <w:ilvl w:val="0"/>
          <w:numId w:val="1"/>
        </w:numPr>
        <w:tabs>
          <w:tab w:val="clear" w:pos="360"/>
          <w:tab w:val="num" w:pos="567"/>
        </w:tabs>
        <w:ind w:left="567" w:hanging="567"/>
        <w:jc w:val="both"/>
        <w:rPr>
          <w:rFonts w:cs="Arial"/>
          <w:bCs/>
          <w:i/>
          <w:iCs/>
          <w:sz w:val="22"/>
          <w:szCs w:val="22"/>
        </w:rPr>
      </w:pPr>
      <w:r w:rsidRPr="003A47D9">
        <w:rPr>
          <w:rFonts w:cs="Arial"/>
          <w:bCs/>
          <w:i/>
          <w:iCs/>
          <w:sz w:val="22"/>
          <w:szCs w:val="22"/>
        </w:rPr>
        <w:t>State the indication(s) for the product detailed in the submission, as described in the Summary of Product Characteristics.</w:t>
      </w:r>
      <w:r w:rsidRPr="003A47D9">
        <w:rPr>
          <w:rFonts w:cs="Arial"/>
          <w:bCs/>
          <w:i/>
          <w:iCs/>
          <w:sz w:val="22"/>
          <w:szCs w:val="22"/>
          <w:lang w:eastAsia="ja-JP"/>
        </w:rPr>
        <w:t xml:space="preserve"> </w:t>
      </w:r>
    </w:p>
    <w:p w14:paraId="39036676" w14:textId="77777777" w:rsidR="00AC4969" w:rsidRDefault="00AC4969" w:rsidP="00AC4969">
      <w:pPr>
        <w:pStyle w:val="BodyText"/>
        <w:jc w:val="both"/>
        <w:rPr>
          <w:rFonts w:cs="Arial"/>
          <w:bCs/>
          <w:i/>
          <w:iCs/>
          <w:sz w:val="22"/>
          <w:szCs w:val="22"/>
          <w:lang w:eastAsia="ja-JP"/>
        </w:rPr>
      </w:pPr>
    </w:p>
    <w:p w14:paraId="3EA42DE7" w14:textId="256B92C2" w:rsidR="00533A68" w:rsidRPr="00533A68" w:rsidRDefault="00AC4969" w:rsidP="00AC4969">
      <w:pPr>
        <w:pStyle w:val="BodyText"/>
        <w:rPr>
          <w:rFonts w:cs="Arial"/>
          <w:sz w:val="22"/>
          <w:szCs w:val="22"/>
          <w:shd w:val="clear" w:color="auto" w:fill="FFFFFF"/>
          <w:lang w:eastAsia="ja-JP"/>
        </w:rPr>
      </w:pPr>
      <w:r w:rsidRPr="00533A68">
        <w:rPr>
          <w:rFonts w:cs="Arial"/>
          <w:sz w:val="22"/>
          <w:szCs w:val="22"/>
          <w:shd w:val="clear" w:color="auto" w:fill="FFFFFF"/>
        </w:rPr>
        <w:t xml:space="preserve">Tedizolid phosphate (SIVEXTRO™) is </w:t>
      </w:r>
      <w:r w:rsidRPr="00533A68">
        <w:rPr>
          <w:rFonts w:cs="Arial"/>
          <w:sz w:val="22"/>
          <w:szCs w:val="22"/>
          <w:shd w:val="clear" w:color="auto" w:fill="FFFFFF"/>
          <w:lang w:eastAsia="ja-JP"/>
        </w:rPr>
        <w:t xml:space="preserve">a novel </w:t>
      </w:r>
      <w:r w:rsidRPr="00533A68">
        <w:rPr>
          <w:rFonts w:cs="Arial"/>
          <w:sz w:val="22"/>
          <w:szCs w:val="22"/>
          <w:shd w:val="clear" w:color="auto" w:fill="FFFFFF"/>
        </w:rPr>
        <w:t>oxazolidinone-class</w:t>
      </w:r>
      <w:r w:rsidRPr="00533A68">
        <w:rPr>
          <w:rFonts w:cs="Arial"/>
          <w:sz w:val="22"/>
          <w:szCs w:val="22"/>
          <w:shd w:val="clear" w:color="auto" w:fill="FFFFFF"/>
          <w:lang w:eastAsia="ja-JP"/>
        </w:rPr>
        <w:t xml:space="preserve"> antibacterial</w:t>
      </w:r>
      <w:r w:rsidR="00F33F25">
        <w:rPr>
          <w:rFonts w:cs="Arial"/>
          <w:sz w:val="22"/>
          <w:szCs w:val="22"/>
          <w:shd w:val="clear" w:color="auto" w:fill="FFFFFF"/>
          <w:lang w:eastAsia="ja-JP"/>
        </w:rPr>
        <w:t>,</w:t>
      </w:r>
      <w:r w:rsidR="00533A68" w:rsidRPr="00533A68">
        <w:rPr>
          <w:rFonts w:cs="Arial"/>
          <w:sz w:val="22"/>
          <w:szCs w:val="22"/>
          <w:shd w:val="clear" w:color="auto" w:fill="FFFFFF"/>
          <w:lang w:eastAsia="ja-JP"/>
        </w:rPr>
        <w:t xml:space="preserve"> which is expected to receive a European </w:t>
      </w:r>
      <w:r w:rsidR="009D1AD3">
        <w:rPr>
          <w:rFonts w:cs="Arial"/>
          <w:sz w:val="22"/>
          <w:szCs w:val="22"/>
          <w:shd w:val="clear" w:color="auto" w:fill="FFFFFF"/>
          <w:lang w:eastAsia="ja-JP"/>
        </w:rPr>
        <w:t xml:space="preserve">Union </w:t>
      </w:r>
      <w:r w:rsidR="00240DB3">
        <w:rPr>
          <w:rFonts w:cs="Arial"/>
          <w:sz w:val="22"/>
          <w:szCs w:val="22"/>
          <w:shd w:val="clear" w:color="auto" w:fill="FFFFFF"/>
          <w:lang w:eastAsia="ja-JP"/>
        </w:rPr>
        <w:t xml:space="preserve">(EU) </w:t>
      </w:r>
      <w:r w:rsidR="00533A68" w:rsidRPr="00533A68">
        <w:rPr>
          <w:rFonts w:cs="Arial"/>
          <w:sz w:val="22"/>
          <w:szCs w:val="22"/>
          <w:shd w:val="clear" w:color="auto" w:fill="FFFFFF"/>
          <w:lang w:eastAsia="ja-JP"/>
        </w:rPr>
        <w:t>marketing authorisation</w:t>
      </w:r>
      <w:r w:rsidR="00533A68" w:rsidRPr="00533A68">
        <w:rPr>
          <w:sz w:val="22"/>
          <w:szCs w:val="22"/>
        </w:rPr>
        <w:t xml:space="preserve"> for the treatment of acute bacterial skin and skin structure infections (ABSSSI) in adu</w:t>
      </w:r>
      <w:r w:rsidR="008B49A5">
        <w:rPr>
          <w:sz w:val="22"/>
          <w:szCs w:val="22"/>
        </w:rPr>
        <w:t>lts</w:t>
      </w:r>
      <w:r w:rsidR="00533A68" w:rsidRPr="00533A68">
        <w:rPr>
          <w:sz w:val="22"/>
          <w:szCs w:val="22"/>
        </w:rPr>
        <w:t>(</w:t>
      </w:r>
      <w:r w:rsidR="00B82746">
        <w:rPr>
          <w:sz w:val="22"/>
          <w:szCs w:val="22"/>
        </w:rPr>
        <w:fldChar w:fldCharType="begin"/>
      </w:r>
      <w:r w:rsidR="00B82746">
        <w:rPr>
          <w:sz w:val="22"/>
          <w:szCs w:val="22"/>
        </w:rPr>
        <w:instrText xml:space="preserve"> REF _Ref284168274 \r \h </w:instrText>
      </w:r>
      <w:r w:rsidR="00B82746">
        <w:rPr>
          <w:sz w:val="22"/>
          <w:szCs w:val="22"/>
        </w:rPr>
      </w:r>
      <w:r w:rsidR="00B82746">
        <w:rPr>
          <w:sz w:val="22"/>
          <w:szCs w:val="22"/>
        </w:rPr>
        <w:fldChar w:fldCharType="separate"/>
      </w:r>
      <w:r w:rsidR="00151A1C">
        <w:rPr>
          <w:sz w:val="22"/>
          <w:szCs w:val="22"/>
        </w:rPr>
        <w:t>1</w:t>
      </w:r>
      <w:r w:rsidR="00B82746">
        <w:rPr>
          <w:sz w:val="22"/>
          <w:szCs w:val="22"/>
        </w:rPr>
        <w:fldChar w:fldCharType="end"/>
      </w:r>
      <w:r w:rsidR="00533A68" w:rsidRPr="00533A68">
        <w:rPr>
          <w:sz w:val="22"/>
          <w:szCs w:val="22"/>
        </w:rPr>
        <w:t>).</w:t>
      </w:r>
      <w:r w:rsidR="009D1AD3">
        <w:rPr>
          <w:sz w:val="22"/>
          <w:szCs w:val="22"/>
        </w:rPr>
        <w:t xml:space="preserve"> </w:t>
      </w:r>
    </w:p>
    <w:p w14:paraId="7ACE5B34" w14:textId="77777777" w:rsidR="00533A68" w:rsidRPr="00533A68" w:rsidRDefault="00533A68" w:rsidP="00AC4969">
      <w:pPr>
        <w:pStyle w:val="BodyText"/>
        <w:rPr>
          <w:rFonts w:cs="Arial"/>
          <w:sz w:val="22"/>
          <w:szCs w:val="22"/>
          <w:shd w:val="clear" w:color="auto" w:fill="FFFFFF"/>
          <w:lang w:eastAsia="ja-JP"/>
        </w:rPr>
      </w:pPr>
    </w:p>
    <w:p w14:paraId="5DF83758" w14:textId="4CBF8BDD" w:rsidR="00AC4969" w:rsidRPr="00533A68" w:rsidRDefault="00533A68" w:rsidP="00AC4969">
      <w:pPr>
        <w:pStyle w:val="BodyText"/>
        <w:rPr>
          <w:rStyle w:val="apple-converted-space"/>
          <w:rFonts w:cs="Arial"/>
          <w:bCs/>
          <w:i/>
          <w:iCs/>
          <w:sz w:val="22"/>
          <w:szCs w:val="22"/>
        </w:rPr>
      </w:pPr>
      <w:r w:rsidRPr="00533A68">
        <w:rPr>
          <w:rFonts w:cs="Arial"/>
          <w:sz w:val="22"/>
          <w:szCs w:val="22"/>
          <w:shd w:val="clear" w:color="auto" w:fill="FFFFFF"/>
          <w:lang w:eastAsia="ja-JP"/>
        </w:rPr>
        <w:t xml:space="preserve">Tedizolid phosphate is already </w:t>
      </w:r>
      <w:r w:rsidR="006E7EB5">
        <w:rPr>
          <w:rFonts w:cs="Arial"/>
          <w:sz w:val="22"/>
          <w:szCs w:val="22"/>
          <w:shd w:val="clear" w:color="auto" w:fill="FFFFFF"/>
        </w:rPr>
        <w:t>approved</w:t>
      </w:r>
      <w:r w:rsidR="00AC4969" w:rsidRPr="00533A68">
        <w:rPr>
          <w:rFonts w:cs="Arial"/>
          <w:sz w:val="22"/>
          <w:szCs w:val="22"/>
          <w:shd w:val="clear" w:color="auto" w:fill="FFFFFF"/>
        </w:rPr>
        <w:t xml:space="preserve"> in the USA for the treatment of acute bacterial skin and skin structure infections (ABSSSI) caused by susceptible isolates of th</w:t>
      </w:r>
      <w:r w:rsidR="006C5A48" w:rsidRPr="00533A68">
        <w:rPr>
          <w:rFonts w:cs="Arial"/>
          <w:sz w:val="22"/>
          <w:szCs w:val="22"/>
          <w:shd w:val="clear" w:color="auto" w:fill="FFFFFF"/>
        </w:rPr>
        <w:t xml:space="preserve">e following Gram-positive micro </w:t>
      </w:r>
      <w:r w:rsidR="00AC4969" w:rsidRPr="00533A68">
        <w:rPr>
          <w:rFonts w:cs="Arial"/>
          <w:sz w:val="22"/>
          <w:szCs w:val="22"/>
          <w:shd w:val="clear" w:color="auto" w:fill="FFFFFF"/>
        </w:rPr>
        <w:t>organisms:</w:t>
      </w:r>
      <w:r w:rsidR="00AC4969" w:rsidRPr="00533A68">
        <w:rPr>
          <w:rStyle w:val="apple-converted-space"/>
          <w:rFonts w:cs="Arial"/>
          <w:sz w:val="22"/>
          <w:szCs w:val="22"/>
          <w:shd w:val="clear" w:color="auto" w:fill="FFFFFF"/>
        </w:rPr>
        <w:t> </w:t>
      </w:r>
      <w:r w:rsidR="00AC4969" w:rsidRPr="00533A68">
        <w:rPr>
          <w:rStyle w:val="Emphasis"/>
          <w:rFonts w:cs="Arial"/>
          <w:sz w:val="22"/>
          <w:szCs w:val="22"/>
          <w:shd w:val="clear" w:color="auto" w:fill="FFFFFF"/>
        </w:rPr>
        <w:t>Staphylococcus aureus</w:t>
      </w:r>
      <w:r w:rsidR="00AC4969" w:rsidRPr="00533A68">
        <w:rPr>
          <w:rStyle w:val="apple-converted-space"/>
          <w:rFonts w:cs="Arial"/>
          <w:sz w:val="22"/>
          <w:szCs w:val="22"/>
          <w:shd w:val="clear" w:color="auto" w:fill="FFFFFF"/>
        </w:rPr>
        <w:t> </w:t>
      </w:r>
      <w:r w:rsidR="00AC4969" w:rsidRPr="00533A68">
        <w:rPr>
          <w:rFonts w:cs="Arial"/>
          <w:sz w:val="22"/>
          <w:szCs w:val="22"/>
          <w:shd w:val="clear" w:color="auto" w:fill="FFFFFF"/>
        </w:rPr>
        <w:t xml:space="preserve">(including methicillin-resistant [MRSA] and methicillin-susceptible [MSSA] </w:t>
      </w:r>
      <w:r w:rsidR="00AC4969" w:rsidRPr="00533A68">
        <w:rPr>
          <w:rFonts w:cs="Arial"/>
          <w:sz w:val="22"/>
          <w:szCs w:val="22"/>
          <w:shd w:val="clear" w:color="auto" w:fill="FFFFFF"/>
          <w:lang w:eastAsia="ja-JP"/>
        </w:rPr>
        <w:t>i</w:t>
      </w:r>
      <w:r w:rsidR="00AC4969" w:rsidRPr="00533A68">
        <w:rPr>
          <w:rFonts w:cs="Arial"/>
          <w:sz w:val="22"/>
          <w:szCs w:val="22"/>
          <w:shd w:val="clear" w:color="auto" w:fill="FFFFFF"/>
        </w:rPr>
        <w:t>solates),</w:t>
      </w:r>
      <w:r w:rsidR="00AC4969" w:rsidRPr="00533A68">
        <w:rPr>
          <w:rStyle w:val="apple-converted-space"/>
          <w:rFonts w:cs="Arial"/>
          <w:sz w:val="22"/>
          <w:szCs w:val="22"/>
          <w:shd w:val="clear" w:color="auto" w:fill="FFFFFF"/>
        </w:rPr>
        <w:t> </w:t>
      </w:r>
      <w:r w:rsidR="00AC4969" w:rsidRPr="00533A68">
        <w:rPr>
          <w:rStyle w:val="Emphasis"/>
          <w:rFonts w:cs="Arial"/>
          <w:sz w:val="22"/>
          <w:szCs w:val="22"/>
          <w:shd w:val="clear" w:color="auto" w:fill="FFFFFF"/>
        </w:rPr>
        <w:t>Streptococcus pyogenes, Streptococcus agalactiae</w:t>
      </w:r>
      <w:r w:rsidR="00AC4969" w:rsidRPr="00533A68">
        <w:rPr>
          <w:rFonts w:cs="Arial"/>
          <w:sz w:val="22"/>
          <w:szCs w:val="22"/>
          <w:shd w:val="clear" w:color="auto" w:fill="FFFFFF"/>
        </w:rPr>
        <w:t>,</w:t>
      </w:r>
      <w:r w:rsidR="00AC4969" w:rsidRPr="00533A68">
        <w:rPr>
          <w:rStyle w:val="apple-converted-space"/>
          <w:rFonts w:cs="Arial"/>
          <w:i/>
          <w:iCs/>
          <w:sz w:val="22"/>
          <w:szCs w:val="22"/>
          <w:shd w:val="clear" w:color="auto" w:fill="FFFFFF"/>
        </w:rPr>
        <w:t> </w:t>
      </w:r>
      <w:r w:rsidR="00AC4969" w:rsidRPr="00533A68">
        <w:rPr>
          <w:rStyle w:val="Emphasis"/>
          <w:rFonts w:cs="Arial"/>
          <w:sz w:val="22"/>
          <w:szCs w:val="22"/>
          <w:shd w:val="clear" w:color="auto" w:fill="FFFFFF"/>
        </w:rPr>
        <w:t>Streptococcus anginosus</w:t>
      </w:r>
      <w:r w:rsidR="00AC4969" w:rsidRPr="00533A68">
        <w:rPr>
          <w:rStyle w:val="apple-converted-space"/>
          <w:rFonts w:cs="Arial"/>
          <w:sz w:val="22"/>
          <w:szCs w:val="22"/>
          <w:shd w:val="clear" w:color="auto" w:fill="FFFFFF"/>
        </w:rPr>
        <w:t> </w:t>
      </w:r>
      <w:r w:rsidR="00AC4969" w:rsidRPr="00533A68">
        <w:rPr>
          <w:rFonts w:cs="Arial"/>
          <w:sz w:val="22"/>
          <w:szCs w:val="22"/>
          <w:shd w:val="clear" w:color="auto" w:fill="FFFFFF"/>
        </w:rPr>
        <w:t>group (including</w:t>
      </w:r>
      <w:r w:rsidR="00452E81">
        <w:rPr>
          <w:rFonts w:cs="Arial"/>
          <w:sz w:val="22"/>
          <w:szCs w:val="22"/>
          <w:shd w:val="clear" w:color="auto" w:fill="FFFFFF"/>
        </w:rPr>
        <w:t xml:space="preserve"> </w:t>
      </w:r>
      <w:r w:rsidR="00AC4969" w:rsidRPr="00533A68">
        <w:rPr>
          <w:rStyle w:val="Emphasis"/>
          <w:rFonts w:cs="Arial"/>
          <w:sz w:val="22"/>
          <w:szCs w:val="22"/>
          <w:shd w:val="clear" w:color="auto" w:fill="FFFFFF"/>
        </w:rPr>
        <w:t>Streptococcus anginosus, Streptococcus intermedius</w:t>
      </w:r>
      <w:r w:rsidR="00AC4969" w:rsidRPr="00533A68">
        <w:rPr>
          <w:rStyle w:val="apple-converted-space"/>
          <w:rFonts w:cs="Arial"/>
          <w:sz w:val="22"/>
          <w:szCs w:val="22"/>
          <w:shd w:val="clear" w:color="auto" w:fill="FFFFFF"/>
        </w:rPr>
        <w:t> </w:t>
      </w:r>
      <w:r w:rsidR="00AC4969" w:rsidRPr="00533A68">
        <w:rPr>
          <w:rFonts w:cs="Arial"/>
          <w:sz w:val="22"/>
          <w:szCs w:val="22"/>
          <w:shd w:val="clear" w:color="auto" w:fill="FFFFFF"/>
        </w:rPr>
        <w:t>and</w:t>
      </w:r>
      <w:r w:rsidR="00AC4969" w:rsidRPr="00533A68">
        <w:rPr>
          <w:rStyle w:val="apple-converted-space"/>
          <w:rFonts w:cs="Arial"/>
          <w:sz w:val="22"/>
          <w:szCs w:val="22"/>
          <w:shd w:val="clear" w:color="auto" w:fill="FFFFFF"/>
        </w:rPr>
        <w:t> </w:t>
      </w:r>
      <w:r w:rsidR="00AC4969" w:rsidRPr="00533A68">
        <w:rPr>
          <w:rStyle w:val="Emphasis"/>
          <w:rFonts w:cs="Arial"/>
          <w:sz w:val="22"/>
          <w:szCs w:val="22"/>
          <w:shd w:val="clear" w:color="auto" w:fill="FFFFFF"/>
        </w:rPr>
        <w:t>Streptococcus constellatus</w:t>
      </w:r>
      <w:r w:rsidR="00AC4969" w:rsidRPr="00533A68">
        <w:rPr>
          <w:rFonts w:cs="Arial"/>
          <w:sz w:val="22"/>
          <w:szCs w:val="22"/>
          <w:shd w:val="clear" w:color="auto" w:fill="FFFFFF"/>
        </w:rPr>
        <w:t>), and</w:t>
      </w:r>
      <w:r w:rsidR="00AC4969" w:rsidRPr="00533A68">
        <w:rPr>
          <w:rStyle w:val="apple-converted-space"/>
          <w:rFonts w:cs="Arial"/>
          <w:sz w:val="22"/>
          <w:szCs w:val="22"/>
          <w:shd w:val="clear" w:color="auto" w:fill="FFFFFF"/>
        </w:rPr>
        <w:t> </w:t>
      </w:r>
      <w:r w:rsidR="009D1AD3" w:rsidRPr="00533A68">
        <w:rPr>
          <w:rStyle w:val="Emphasis"/>
          <w:rFonts w:cs="Arial"/>
          <w:sz w:val="22"/>
          <w:szCs w:val="22"/>
          <w:shd w:val="clear" w:color="auto" w:fill="FFFFFF"/>
        </w:rPr>
        <w:t>Enterococcus faecalis</w:t>
      </w:r>
      <w:r w:rsidR="00AC4969" w:rsidRPr="00533A68">
        <w:rPr>
          <w:rFonts w:cs="Arial"/>
          <w:sz w:val="22"/>
          <w:szCs w:val="22"/>
          <w:shd w:val="clear" w:color="auto" w:fill="FFFFFF"/>
        </w:rPr>
        <w:t>.</w:t>
      </w:r>
    </w:p>
    <w:p w14:paraId="6549AA47" w14:textId="77777777" w:rsidR="00AC4969" w:rsidRPr="00533A68" w:rsidRDefault="00AC4969" w:rsidP="00AC4969">
      <w:pPr>
        <w:pStyle w:val="BodyText"/>
        <w:rPr>
          <w:rStyle w:val="apple-converted-space"/>
          <w:rFonts w:cs="Arial"/>
          <w:bCs/>
          <w:i/>
          <w:iCs/>
          <w:sz w:val="22"/>
          <w:szCs w:val="22"/>
        </w:rPr>
      </w:pPr>
    </w:p>
    <w:p w14:paraId="76E82150" w14:textId="44D30DF7" w:rsidR="00AC4969" w:rsidRPr="00533A68" w:rsidRDefault="00AC4969" w:rsidP="00AC4969">
      <w:pPr>
        <w:pStyle w:val="BodyText"/>
        <w:rPr>
          <w:rFonts w:cs="Arial"/>
          <w:bCs/>
          <w:i/>
          <w:iCs/>
          <w:sz w:val="22"/>
          <w:szCs w:val="22"/>
        </w:rPr>
      </w:pPr>
      <w:r w:rsidRPr="00533A68">
        <w:rPr>
          <w:rFonts w:cs="Arial"/>
          <w:sz w:val="22"/>
          <w:szCs w:val="22"/>
          <w:shd w:val="clear" w:color="auto" w:fill="FFFFFF"/>
          <w:lang w:eastAsia="ja-JP"/>
        </w:rPr>
        <w:t xml:space="preserve">It is anticipated that </w:t>
      </w:r>
      <w:r w:rsidRPr="00533A68">
        <w:rPr>
          <w:rFonts w:cs="Arial"/>
          <w:sz w:val="22"/>
          <w:szCs w:val="22"/>
          <w:shd w:val="clear" w:color="auto" w:fill="FFFFFF"/>
        </w:rPr>
        <w:t xml:space="preserve">tedizolid phosphate will be licensed in </w:t>
      </w:r>
      <w:r w:rsidRPr="00533A68">
        <w:rPr>
          <w:rFonts w:cs="Arial"/>
          <w:sz w:val="22"/>
          <w:szCs w:val="22"/>
          <w:shd w:val="clear" w:color="auto" w:fill="FFFFFF"/>
          <w:lang w:eastAsia="ja-JP"/>
        </w:rPr>
        <w:t xml:space="preserve">the European Union for </w:t>
      </w:r>
      <w:r w:rsidRPr="00533A68">
        <w:rPr>
          <w:sz w:val="22"/>
          <w:szCs w:val="22"/>
        </w:rPr>
        <w:t xml:space="preserve">the </w:t>
      </w:r>
      <w:r w:rsidR="00C14CE3" w:rsidRPr="00533A68">
        <w:rPr>
          <w:sz w:val="22"/>
          <w:szCs w:val="22"/>
        </w:rPr>
        <w:t>same indication and patient population</w:t>
      </w:r>
      <w:r w:rsidR="00533A68" w:rsidRPr="00533A68">
        <w:rPr>
          <w:sz w:val="22"/>
          <w:szCs w:val="22"/>
        </w:rPr>
        <w:t xml:space="preserve"> as in the US</w:t>
      </w:r>
      <w:r w:rsidR="00822942">
        <w:rPr>
          <w:sz w:val="22"/>
          <w:szCs w:val="22"/>
        </w:rPr>
        <w:t>.</w:t>
      </w:r>
      <w:r w:rsidRPr="00533A68">
        <w:rPr>
          <w:sz w:val="22"/>
          <w:szCs w:val="22"/>
        </w:rPr>
        <w:t xml:space="preserve"> </w:t>
      </w:r>
      <w:r w:rsidR="00822942" w:rsidRPr="00D05C35">
        <w:rPr>
          <w:rFonts w:cs="Arial"/>
          <w:sz w:val="22"/>
          <w:szCs w:val="22"/>
          <w:shd w:val="clear" w:color="auto" w:fill="FFFFFF"/>
          <w:lang w:eastAsia="ja-JP"/>
        </w:rPr>
        <w:t xml:space="preserve">The European Medicines Agency (EMA) Committee for Human Medicinal Products </w:t>
      </w:r>
      <w:r w:rsidR="00135983">
        <w:rPr>
          <w:rFonts w:cs="Arial"/>
          <w:sz w:val="22"/>
          <w:szCs w:val="22"/>
          <w:shd w:val="clear" w:color="auto" w:fill="FFFFFF"/>
          <w:lang w:eastAsia="ja-JP"/>
        </w:rPr>
        <w:t xml:space="preserve">(CHMP) </w:t>
      </w:r>
      <w:r w:rsidR="00822942" w:rsidRPr="00D05C35">
        <w:rPr>
          <w:rFonts w:cs="Arial"/>
          <w:sz w:val="22"/>
          <w:szCs w:val="22"/>
          <w:shd w:val="clear" w:color="auto" w:fill="FFFFFF"/>
          <w:lang w:eastAsia="ja-JP"/>
        </w:rPr>
        <w:t>issue</w:t>
      </w:r>
      <w:r w:rsidR="00822942">
        <w:rPr>
          <w:rFonts w:cs="Arial"/>
          <w:sz w:val="22"/>
          <w:szCs w:val="22"/>
          <w:shd w:val="clear" w:color="auto" w:fill="FFFFFF"/>
          <w:lang w:eastAsia="ja-JP"/>
        </w:rPr>
        <w:t>d</w:t>
      </w:r>
      <w:r w:rsidR="00822942" w:rsidRPr="00D05C35">
        <w:rPr>
          <w:rFonts w:cs="Arial"/>
          <w:sz w:val="22"/>
          <w:szCs w:val="22"/>
          <w:shd w:val="clear" w:color="auto" w:fill="FFFFFF"/>
          <w:lang w:eastAsia="ja-JP"/>
        </w:rPr>
        <w:t xml:space="preserve"> a positive opinion </w:t>
      </w:r>
      <w:r w:rsidR="00822942">
        <w:rPr>
          <w:rFonts w:cs="Arial"/>
          <w:sz w:val="22"/>
          <w:szCs w:val="22"/>
          <w:shd w:val="clear" w:color="auto" w:fill="FFFFFF"/>
          <w:lang w:eastAsia="ja-JP"/>
        </w:rPr>
        <w:t>on 22</w:t>
      </w:r>
      <w:r w:rsidR="00822942" w:rsidRPr="0082795E">
        <w:rPr>
          <w:rFonts w:cs="Arial"/>
          <w:sz w:val="22"/>
          <w:szCs w:val="22"/>
          <w:shd w:val="clear" w:color="auto" w:fill="FFFFFF"/>
          <w:vertAlign w:val="superscript"/>
          <w:lang w:eastAsia="ja-JP"/>
        </w:rPr>
        <w:t>nd</w:t>
      </w:r>
      <w:r w:rsidR="00822942">
        <w:rPr>
          <w:rFonts w:cs="Arial"/>
          <w:sz w:val="22"/>
          <w:szCs w:val="22"/>
          <w:shd w:val="clear" w:color="auto" w:fill="FFFFFF"/>
          <w:lang w:eastAsia="ja-JP"/>
        </w:rPr>
        <w:t xml:space="preserve"> January 2015.</w:t>
      </w:r>
      <w:r w:rsidR="00822942" w:rsidRPr="00533A68">
        <w:rPr>
          <w:rFonts w:cs="Arial"/>
          <w:sz w:val="22"/>
          <w:szCs w:val="22"/>
          <w:shd w:val="clear" w:color="auto" w:fill="FFFFFF"/>
          <w:lang w:eastAsia="ja-JP"/>
        </w:rPr>
        <w:t xml:space="preserve"> </w:t>
      </w:r>
    </w:p>
    <w:p w14:paraId="676D8A6B" w14:textId="77777777" w:rsidR="00C257C6" w:rsidRPr="008E4E92" w:rsidRDefault="00C257C6" w:rsidP="0010571C">
      <w:pPr>
        <w:pStyle w:val="BodyText"/>
        <w:tabs>
          <w:tab w:val="num" w:pos="567"/>
        </w:tabs>
        <w:jc w:val="both"/>
        <w:rPr>
          <w:rFonts w:cs="Arial"/>
          <w:bCs/>
          <w:iCs/>
          <w:sz w:val="22"/>
          <w:szCs w:val="22"/>
        </w:rPr>
      </w:pPr>
    </w:p>
    <w:p w14:paraId="706408FA" w14:textId="77777777" w:rsidR="00C257C6" w:rsidRPr="003A47D9"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3A47D9">
        <w:rPr>
          <w:rFonts w:cs="Arial"/>
          <w:bCs/>
          <w:i/>
          <w:iCs/>
          <w:sz w:val="22"/>
          <w:szCs w:val="22"/>
        </w:rPr>
        <w:t>If the submission positions the medicine for use in a sub-population of the licensed indication, please state clearly the context in which you wish SMC to consider the use of the medicine.</w:t>
      </w:r>
    </w:p>
    <w:p w14:paraId="23855B64" w14:textId="77777777" w:rsidR="006A7EF3" w:rsidRDefault="006A7EF3" w:rsidP="0010571C">
      <w:pPr>
        <w:pStyle w:val="BodyText"/>
        <w:tabs>
          <w:tab w:val="num" w:pos="0"/>
        </w:tabs>
        <w:jc w:val="both"/>
        <w:rPr>
          <w:rFonts w:cs="Arial"/>
          <w:color w:val="FF0000"/>
          <w:sz w:val="22"/>
          <w:szCs w:val="22"/>
          <w:shd w:val="clear" w:color="auto" w:fill="FFFFFF"/>
        </w:rPr>
      </w:pPr>
    </w:p>
    <w:p w14:paraId="7B9EDBD5" w14:textId="5DCF65CF" w:rsidR="006A7EF3" w:rsidRPr="00F33F25" w:rsidRDefault="006A7EF3" w:rsidP="006A7EF3">
      <w:pPr>
        <w:pStyle w:val="BodyText"/>
        <w:tabs>
          <w:tab w:val="num" w:pos="0"/>
        </w:tabs>
        <w:rPr>
          <w:rFonts w:cs="Arial"/>
          <w:i/>
          <w:sz w:val="22"/>
          <w:szCs w:val="22"/>
          <w:shd w:val="clear" w:color="auto" w:fill="FFFFFF"/>
        </w:rPr>
      </w:pPr>
      <w:r w:rsidRPr="00F33F25">
        <w:rPr>
          <w:rStyle w:val="Emphasis"/>
          <w:rFonts w:cs="Arial"/>
          <w:i w:val="0"/>
          <w:sz w:val="22"/>
          <w:szCs w:val="22"/>
          <w:shd w:val="clear" w:color="auto" w:fill="FFFFFF"/>
        </w:rPr>
        <w:t>This submission positions tedizolid phosphate for use in a sub-population of the expected EU licensed indication: name</w:t>
      </w:r>
      <w:r w:rsidR="00B62AFB">
        <w:rPr>
          <w:rStyle w:val="Emphasis"/>
          <w:rFonts w:cs="Arial"/>
          <w:i w:val="0"/>
          <w:sz w:val="22"/>
          <w:szCs w:val="22"/>
          <w:shd w:val="clear" w:color="auto" w:fill="FFFFFF"/>
        </w:rPr>
        <w:t>ly, for patients with</w:t>
      </w:r>
      <w:r w:rsidR="00BC4151" w:rsidRPr="00F33F25">
        <w:rPr>
          <w:rStyle w:val="Emphasis"/>
          <w:rFonts w:cs="Arial"/>
          <w:i w:val="0"/>
          <w:sz w:val="22"/>
          <w:szCs w:val="22"/>
          <w:shd w:val="clear" w:color="auto" w:fill="FFFFFF"/>
        </w:rPr>
        <w:t xml:space="preserve"> ABSSSI </w:t>
      </w:r>
      <w:r w:rsidRPr="00F33F25">
        <w:rPr>
          <w:rStyle w:val="Emphasis"/>
          <w:rFonts w:cs="Arial"/>
          <w:i w:val="0"/>
          <w:sz w:val="22"/>
          <w:szCs w:val="22"/>
          <w:shd w:val="clear" w:color="auto" w:fill="FFFFFF"/>
        </w:rPr>
        <w:t xml:space="preserve">caused by Gram-positive </w:t>
      </w:r>
      <w:r w:rsidRPr="00B62FCC">
        <w:rPr>
          <w:rStyle w:val="Emphasis"/>
          <w:rFonts w:cs="Arial"/>
          <w:sz w:val="22"/>
          <w:szCs w:val="22"/>
          <w:shd w:val="clear" w:color="auto" w:fill="FFFFFF"/>
        </w:rPr>
        <w:t xml:space="preserve">Staphylococcus </w:t>
      </w:r>
      <w:r w:rsidRPr="003A268B">
        <w:rPr>
          <w:rStyle w:val="Emphasis"/>
          <w:rFonts w:cs="Arial"/>
          <w:sz w:val="22"/>
          <w:szCs w:val="22"/>
          <w:shd w:val="clear" w:color="auto" w:fill="FFFFFF"/>
        </w:rPr>
        <w:t>aureus</w:t>
      </w:r>
      <w:r w:rsidRPr="003A268B">
        <w:rPr>
          <w:rStyle w:val="apple-converted-space"/>
          <w:rFonts w:cs="Arial"/>
          <w:sz w:val="22"/>
          <w:szCs w:val="22"/>
          <w:shd w:val="clear" w:color="auto" w:fill="FFFFFF"/>
        </w:rPr>
        <w:t> </w:t>
      </w:r>
      <w:r w:rsidR="00B13248" w:rsidRPr="003A268B">
        <w:rPr>
          <w:rFonts w:cs="Arial"/>
          <w:sz w:val="22"/>
          <w:szCs w:val="22"/>
          <w:shd w:val="clear" w:color="auto" w:fill="FFFFFF"/>
        </w:rPr>
        <w:t>(specifically</w:t>
      </w:r>
      <w:r w:rsidRPr="003A268B">
        <w:rPr>
          <w:rFonts w:cs="Arial"/>
          <w:sz w:val="22"/>
          <w:szCs w:val="22"/>
          <w:shd w:val="clear" w:color="auto" w:fill="FFFFFF"/>
        </w:rPr>
        <w:t xml:space="preserve"> methicillin-resistant [MRSA] </w:t>
      </w:r>
      <w:r w:rsidRPr="003A268B">
        <w:rPr>
          <w:rFonts w:cs="Arial"/>
          <w:sz w:val="22"/>
          <w:szCs w:val="22"/>
          <w:shd w:val="clear" w:color="auto" w:fill="FFFFFF"/>
          <w:lang w:eastAsia="ja-JP"/>
        </w:rPr>
        <w:t>i</w:t>
      </w:r>
      <w:r w:rsidRPr="003A268B">
        <w:rPr>
          <w:rFonts w:cs="Arial"/>
          <w:sz w:val="22"/>
          <w:szCs w:val="22"/>
          <w:shd w:val="clear" w:color="auto" w:fill="FFFFFF"/>
        </w:rPr>
        <w:t>solates) only.</w:t>
      </w:r>
    </w:p>
    <w:p w14:paraId="18647710" w14:textId="77777777" w:rsidR="006A7EF3" w:rsidRPr="00F33F25" w:rsidRDefault="006A7EF3" w:rsidP="006A7EF3">
      <w:pPr>
        <w:pStyle w:val="BodyText"/>
        <w:tabs>
          <w:tab w:val="num" w:pos="0"/>
        </w:tabs>
        <w:rPr>
          <w:rFonts w:cs="Arial"/>
          <w:sz w:val="22"/>
          <w:szCs w:val="22"/>
          <w:shd w:val="clear" w:color="auto" w:fill="FFFFFF"/>
        </w:rPr>
      </w:pPr>
    </w:p>
    <w:p w14:paraId="61385DE1" w14:textId="5EE4D92B" w:rsidR="006A7EF3" w:rsidRPr="00F33F25" w:rsidRDefault="006A7EF3" w:rsidP="006A7EF3">
      <w:pPr>
        <w:suppressLineNumbers/>
        <w:autoSpaceDE w:val="0"/>
        <w:autoSpaceDN w:val="0"/>
        <w:adjustRightInd w:val="0"/>
        <w:rPr>
          <w:rFonts w:cs="Arial"/>
          <w:sz w:val="22"/>
          <w:szCs w:val="22"/>
        </w:rPr>
      </w:pPr>
      <w:r w:rsidRPr="00F33F25">
        <w:rPr>
          <w:rFonts w:cs="Arial"/>
          <w:noProof/>
          <w:sz w:val="22"/>
          <w:szCs w:val="22"/>
        </w:rPr>
        <w:t xml:space="preserve">Tedizolid </w:t>
      </w:r>
      <w:r w:rsidR="00CF4756">
        <w:rPr>
          <w:rFonts w:cs="Arial"/>
          <w:noProof/>
          <w:sz w:val="22"/>
          <w:szCs w:val="22"/>
        </w:rPr>
        <w:t xml:space="preserve">phosphate </w:t>
      </w:r>
      <w:r w:rsidRPr="00F33F25">
        <w:rPr>
          <w:rFonts w:cs="Arial"/>
          <w:sz w:val="22"/>
          <w:szCs w:val="22"/>
        </w:rPr>
        <w:t xml:space="preserve">is primarily active against Gram-positive bacteria. It is bacteriostatic against enterococci, staphylococci, and streptococci </w:t>
      </w:r>
      <w:r w:rsidRPr="00F33F25">
        <w:rPr>
          <w:rFonts w:cs="Arial"/>
          <w:i/>
          <w:sz w:val="22"/>
          <w:szCs w:val="22"/>
        </w:rPr>
        <w:t xml:space="preserve">in vitro </w:t>
      </w:r>
      <w:r w:rsidRPr="00F33F25">
        <w:rPr>
          <w:rFonts w:cs="Arial"/>
          <w:sz w:val="22"/>
          <w:szCs w:val="22"/>
        </w:rPr>
        <w:t>only. Tedizolid phosphate is generally not active against Gram-negative bacteria (</w:t>
      </w:r>
      <w:r w:rsidR="00B82746">
        <w:rPr>
          <w:rFonts w:cs="Arial"/>
          <w:sz w:val="22"/>
          <w:szCs w:val="22"/>
        </w:rPr>
        <w:fldChar w:fldCharType="begin"/>
      </w:r>
      <w:r w:rsidR="00B82746">
        <w:rPr>
          <w:rFonts w:cs="Arial"/>
          <w:sz w:val="22"/>
          <w:szCs w:val="22"/>
        </w:rPr>
        <w:instrText xml:space="preserve"> REF _Ref284168296 \r \h </w:instrText>
      </w:r>
      <w:r w:rsidR="00B82746">
        <w:rPr>
          <w:rFonts w:cs="Arial"/>
          <w:sz w:val="22"/>
          <w:szCs w:val="22"/>
        </w:rPr>
      </w:r>
      <w:r w:rsidR="00B82746">
        <w:rPr>
          <w:rFonts w:cs="Arial"/>
          <w:sz w:val="22"/>
          <w:szCs w:val="22"/>
        </w:rPr>
        <w:fldChar w:fldCharType="separate"/>
      </w:r>
      <w:r w:rsidR="00151A1C">
        <w:rPr>
          <w:rFonts w:cs="Arial"/>
          <w:sz w:val="22"/>
          <w:szCs w:val="22"/>
        </w:rPr>
        <w:t>1</w:t>
      </w:r>
      <w:r w:rsidR="00B82746">
        <w:rPr>
          <w:rFonts w:cs="Arial"/>
          <w:sz w:val="22"/>
          <w:szCs w:val="22"/>
        </w:rPr>
        <w:fldChar w:fldCharType="end"/>
      </w:r>
      <w:r w:rsidRPr="00F33F25">
        <w:rPr>
          <w:rFonts w:cs="Arial"/>
          <w:sz w:val="22"/>
          <w:szCs w:val="22"/>
        </w:rPr>
        <w:t>).</w:t>
      </w:r>
    </w:p>
    <w:p w14:paraId="4A765C00" w14:textId="77777777" w:rsidR="006A7EF3" w:rsidRPr="00F33F25" w:rsidRDefault="006A7EF3" w:rsidP="006A7EF3">
      <w:pPr>
        <w:pStyle w:val="BodyText"/>
        <w:tabs>
          <w:tab w:val="num" w:pos="0"/>
        </w:tabs>
        <w:rPr>
          <w:rFonts w:cs="Arial"/>
          <w:sz w:val="22"/>
          <w:szCs w:val="22"/>
          <w:shd w:val="clear" w:color="auto" w:fill="FFFFFF"/>
        </w:rPr>
      </w:pPr>
    </w:p>
    <w:p w14:paraId="1DD02DC1" w14:textId="5546CB00" w:rsidR="006A7EF3" w:rsidRPr="00F33F25" w:rsidRDefault="006A7EF3" w:rsidP="006A7EF3">
      <w:pPr>
        <w:pStyle w:val="BodyText"/>
        <w:tabs>
          <w:tab w:val="num" w:pos="0"/>
        </w:tabs>
        <w:rPr>
          <w:rFonts w:cs="Arial"/>
          <w:iCs/>
          <w:sz w:val="22"/>
          <w:szCs w:val="22"/>
          <w:shd w:val="clear" w:color="auto" w:fill="FFFFFF"/>
        </w:rPr>
      </w:pPr>
      <w:r w:rsidRPr="00F33F25">
        <w:rPr>
          <w:rFonts w:cs="Arial"/>
          <w:sz w:val="22"/>
          <w:szCs w:val="22"/>
          <w:shd w:val="clear" w:color="auto" w:fill="FFFFFF"/>
        </w:rPr>
        <w:lastRenderedPageBreak/>
        <w:t xml:space="preserve">For the avoidance of doubt, the manufacturer does not wish the SMC to consider the use of tedizolid phosphate in so-called “mixed infections”; that is, where the infection involves both Gram-positive and Gram-negative organisms. </w:t>
      </w:r>
    </w:p>
    <w:p w14:paraId="5DDAEDFC" w14:textId="7CFF6FC4" w:rsidR="0010571C" w:rsidRPr="006A7EF3" w:rsidRDefault="0010571C" w:rsidP="006A7EF3">
      <w:pPr>
        <w:pStyle w:val="BodyText"/>
        <w:tabs>
          <w:tab w:val="num" w:pos="0"/>
        </w:tabs>
        <w:jc w:val="both"/>
        <w:rPr>
          <w:rFonts w:cs="Arial"/>
          <w:color w:val="FF0000"/>
          <w:sz w:val="22"/>
          <w:szCs w:val="22"/>
          <w:shd w:val="clear" w:color="auto" w:fill="FFFFFF"/>
        </w:rPr>
      </w:pPr>
      <w:r>
        <w:rPr>
          <w:rFonts w:cs="Arial"/>
          <w:color w:val="FF0000"/>
          <w:sz w:val="22"/>
          <w:szCs w:val="22"/>
          <w:shd w:val="clear" w:color="auto" w:fill="FFFFFF"/>
        </w:rPr>
        <w:t xml:space="preserve"> </w:t>
      </w:r>
    </w:p>
    <w:p w14:paraId="09B7BF36" w14:textId="77777777" w:rsidR="00C257C6" w:rsidRPr="003A47D9"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3A47D9">
        <w:rPr>
          <w:rFonts w:cs="Arial"/>
          <w:bCs/>
          <w:i/>
          <w:iCs/>
          <w:sz w:val="22"/>
          <w:szCs w:val="22"/>
        </w:rPr>
        <w:t>State any other indication(s) for the product that fall within the remit of SMC. If not previously reviewed by SMC, please provide details of timelines for submission(s).</w:t>
      </w:r>
    </w:p>
    <w:p w14:paraId="692F2F5D" w14:textId="77777777" w:rsidR="00C257C6" w:rsidRPr="008E4E92" w:rsidRDefault="00C257C6" w:rsidP="00C257C6">
      <w:pPr>
        <w:pStyle w:val="BodyText"/>
        <w:jc w:val="both"/>
        <w:rPr>
          <w:rFonts w:cs="Arial"/>
          <w:bCs/>
          <w:iCs/>
          <w:sz w:val="22"/>
          <w:szCs w:val="22"/>
          <w:lang w:eastAsia="ja-JP"/>
        </w:rPr>
      </w:pPr>
    </w:p>
    <w:p w14:paraId="6F7C7DDB" w14:textId="3BD888A8" w:rsidR="00C257C6" w:rsidRPr="00AA035C" w:rsidRDefault="006A7EF3" w:rsidP="006A7EF3">
      <w:pPr>
        <w:pStyle w:val="BodyText"/>
        <w:jc w:val="both"/>
        <w:rPr>
          <w:sz w:val="22"/>
          <w:szCs w:val="22"/>
        </w:rPr>
      </w:pPr>
      <w:r w:rsidRPr="00AA035C">
        <w:rPr>
          <w:sz w:val="22"/>
          <w:szCs w:val="22"/>
        </w:rPr>
        <w:t>As noted in section 1b) above, this submission is a selective submission, and the SMC is asked to consider the use of tedizolid phosphate in a sub-population of the total population covered by the anticipated EU marketing authorisation.</w:t>
      </w:r>
    </w:p>
    <w:p w14:paraId="3BA1773E" w14:textId="77777777" w:rsidR="006A7EF3" w:rsidRPr="008E4E92" w:rsidRDefault="006A7EF3" w:rsidP="006A7EF3">
      <w:pPr>
        <w:pStyle w:val="BodyText"/>
        <w:tabs>
          <w:tab w:val="num" w:pos="567"/>
        </w:tabs>
        <w:jc w:val="both"/>
        <w:rPr>
          <w:rFonts w:cs="Arial"/>
          <w:bCs/>
          <w:iCs/>
          <w:sz w:val="22"/>
          <w:szCs w:val="22"/>
        </w:rPr>
      </w:pPr>
    </w:p>
    <w:p w14:paraId="15F53585" w14:textId="77777777" w:rsidR="00C257C6" w:rsidRPr="003A47D9"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3A47D9">
        <w:rPr>
          <w:rFonts w:cs="Arial"/>
          <w:bCs/>
          <w:i/>
          <w:iCs/>
          <w:sz w:val="22"/>
          <w:szCs w:val="22"/>
        </w:rPr>
        <w:t>Provide details of the licence status of the product for the indication(s) detailed in the submission, including dates of granted or expected UK marketing approval.</w:t>
      </w:r>
    </w:p>
    <w:p w14:paraId="7B12E5A3" w14:textId="77777777" w:rsidR="00C257C6" w:rsidRPr="008E4E92" w:rsidRDefault="00C257C6" w:rsidP="00C257C6">
      <w:pPr>
        <w:pStyle w:val="BodyText"/>
        <w:jc w:val="both"/>
        <w:rPr>
          <w:rFonts w:cs="Arial"/>
          <w:bCs/>
          <w:iCs/>
          <w:sz w:val="22"/>
          <w:szCs w:val="22"/>
          <w:lang w:eastAsia="ja-JP"/>
        </w:rPr>
      </w:pPr>
    </w:p>
    <w:p w14:paraId="1F009282" w14:textId="5960C944" w:rsidR="00C257C6" w:rsidRPr="00D05C35" w:rsidRDefault="0010571C" w:rsidP="00665B35">
      <w:pPr>
        <w:pStyle w:val="BodyText"/>
        <w:rPr>
          <w:rFonts w:cs="Arial"/>
          <w:bCs/>
          <w:iCs/>
          <w:sz w:val="22"/>
          <w:szCs w:val="22"/>
        </w:rPr>
      </w:pPr>
      <w:r w:rsidRPr="00D05C35">
        <w:rPr>
          <w:rFonts w:cs="Arial"/>
          <w:sz w:val="22"/>
          <w:szCs w:val="22"/>
          <w:shd w:val="clear" w:color="auto" w:fill="FFFFFF"/>
          <w:lang w:eastAsia="ja-JP"/>
        </w:rPr>
        <w:t xml:space="preserve">Tedizolid phosphate does not yet have a licence in the EU or UK. The </w:t>
      </w:r>
      <w:r w:rsidR="00135983">
        <w:rPr>
          <w:rFonts w:cs="Arial"/>
          <w:sz w:val="22"/>
          <w:szCs w:val="22"/>
          <w:shd w:val="clear" w:color="auto" w:fill="FFFFFF"/>
          <w:lang w:eastAsia="ja-JP"/>
        </w:rPr>
        <w:t>EMA</w:t>
      </w:r>
      <w:r w:rsidRPr="00D05C35">
        <w:rPr>
          <w:rFonts w:cs="Arial"/>
          <w:sz w:val="22"/>
          <w:szCs w:val="22"/>
          <w:shd w:val="clear" w:color="auto" w:fill="FFFFFF"/>
          <w:lang w:eastAsia="ja-JP"/>
        </w:rPr>
        <w:t xml:space="preserve"> </w:t>
      </w:r>
      <w:r w:rsidR="00135983">
        <w:rPr>
          <w:rFonts w:cs="Arial"/>
          <w:sz w:val="22"/>
          <w:szCs w:val="22"/>
          <w:shd w:val="clear" w:color="auto" w:fill="FFFFFF"/>
          <w:lang w:eastAsia="ja-JP"/>
        </w:rPr>
        <w:t>CHMP</w:t>
      </w:r>
      <w:r w:rsidRPr="00D05C35">
        <w:rPr>
          <w:rFonts w:cs="Arial"/>
          <w:sz w:val="22"/>
          <w:szCs w:val="22"/>
          <w:shd w:val="clear" w:color="auto" w:fill="FFFFFF"/>
          <w:lang w:eastAsia="ja-JP"/>
        </w:rPr>
        <w:t xml:space="preserve"> issue</w:t>
      </w:r>
      <w:r w:rsidR="0082795E">
        <w:rPr>
          <w:rFonts w:cs="Arial"/>
          <w:sz w:val="22"/>
          <w:szCs w:val="22"/>
          <w:shd w:val="clear" w:color="auto" w:fill="FFFFFF"/>
          <w:lang w:eastAsia="ja-JP"/>
        </w:rPr>
        <w:t>d</w:t>
      </w:r>
      <w:r w:rsidRPr="00D05C35">
        <w:rPr>
          <w:rFonts w:cs="Arial"/>
          <w:sz w:val="22"/>
          <w:szCs w:val="22"/>
          <w:shd w:val="clear" w:color="auto" w:fill="FFFFFF"/>
          <w:lang w:eastAsia="ja-JP"/>
        </w:rPr>
        <w:t xml:space="preserve"> a positive opinion </w:t>
      </w:r>
      <w:r w:rsidR="0082795E">
        <w:rPr>
          <w:rFonts w:cs="Arial"/>
          <w:sz w:val="22"/>
          <w:szCs w:val="22"/>
          <w:shd w:val="clear" w:color="auto" w:fill="FFFFFF"/>
          <w:lang w:eastAsia="ja-JP"/>
        </w:rPr>
        <w:t>on 22</w:t>
      </w:r>
      <w:r w:rsidR="0082795E" w:rsidRPr="0082795E">
        <w:rPr>
          <w:rFonts w:cs="Arial"/>
          <w:sz w:val="22"/>
          <w:szCs w:val="22"/>
          <w:shd w:val="clear" w:color="auto" w:fill="FFFFFF"/>
          <w:vertAlign w:val="superscript"/>
          <w:lang w:eastAsia="ja-JP"/>
        </w:rPr>
        <w:t>nd</w:t>
      </w:r>
      <w:r w:rsidR="0082795E">
        <w:rPr>
          <w:rFonts w:cs="Arial"/>
          <w:sz w:val="22"/>
          <w:szCs w:val="22"/>
          <w:shd w:val="clear" w:color="auto" w:fill="FFFFFF"/>
          <w:lang w:eastAsia="ja-JP"/>
        </w:rPr>
        <w:t xml:space="preserve"> January 2015. An </w:t>
      </w:r>
      <w:r w:rsidRPr="00D05C35">
        <w:rPr>
          <w:rFonts w:cs="Arial"/>
          <w:sz w:val="22"/>
          <w:szCs w:val="22"/>
          <w:shd w:val="clear" w:color="auto" w:fill="FFFFFF"/>
          <w:lang w:eastAsia="ja-JP"/>
        </w:rPr>
        <w:t xml:space="preserve">EU marketing authorisation </w:t>
      </w:r>
      <w:r w:rsidR="0082795E">
        <w:rPr>
          <w:rFonts w:cs="Arial"/>
          <w:sz w:val="22"/>
          <w:szCs w:val="22"/>
          <w:shd w:val="clear" w:color="auto" w:fill="FFFFFF"/>
          <w:lang w:eastAsia="ja-JP"/>
        </w:rPr>
        <w:t xml:space="preserve">is expected </w:t>
      </w:r>
      <w:r w:rsidRPr="00D05C35">
        <w:rPr>
          <w:rFonts w:cs="Arial"/>
          <w:sz w:val="22"/>
          <w:szCs w:val="22"/>
          <w:shd w:val="clear" w:color="auto" w:fill="FFFFFF"/>
          <w:lang w:eastAsia="ja-JP"/>
        </w:rPr>
        <w:t>to follow shortly thereafter</w:t>
      </w:r>
      <w:r w:rsidR="0082795E">
        <w:rPr>
          <w:rFonts w:cs="Arial"/>
          <w:sz w:val="22"/>
          <w:szCs w:val="22"/>
          <w:shd w:val="clear" w:color="auto" w:fill="FFFFFF"/>
          <w:lang w:eastAsia="ja-JP"/>
        </w:rPr>
        <w:t>.</w:t>
      </w:r>
      <w:r w:rsidRPr="00D05C35">
        <w:rPr>
          <w:rFonts w:cs="Arial"/>
          <w:sz w:val="22"/>
          <w:szCs w:val="22"/>
          <w:shd w:val="clear" w:color="auto" w:fill="FFFFFF"/>
          <w:lang w:eastAsia="ja-JP"/>
        </w:rPr>
        <w:t xml:space="preserve"> </w:t>
      </w:r>
    </w:p>
    <w:p w14:paraId="7401351A" w14:textId="77777777" w:rsidR="00C257C6" w:rsidRPr="008E4E92" w:rsidRDefault="00C257C6" w:rsidP="00C257C6">
      <w:pPr>
        <w:pStyle w:val="BodyText"/>
        <w:tabs>
          <w:tab w:val="num" w:pos="567"/>
        </w:tabs>
        <w:ind w:left="567" w:hanging="567"/>
        <w:jc w:val="both"/>
        <w:rPr>
          <w:rFonts w:cs="Arial"/>
          <w:bCs/>
          <w:iCs/>
          <w:sz w:val="22"/>
          <w:szCs w:val="22"/>
        </w:rPr>
      </w:pPr>
    </w:p>
    <w:p w14:paraId="6D5F2945" w14:textId="77777777" w:rsidR="00C257C6" w:rsidRPr="004945B8"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Please answer Yes or No to each of the following.</w:t>
      </w:r>
    </w:p>
    <w:p w14:paraId="76BF1B99" w14:textId="77777777" w:rsidR="00C257C6" w:rsidRPr="004945B8" w:rsidRDefault="00C257C6" w:rsidP="00C257C6">
      <w:pPr>
        <w:pStyle w:val="ListParagraph"/>
        <w:rPr>
          <w:rFonts w:cs="Arial"/>
          <w:bCs/>
          <w:i/>
          <w:iCs/>
          <w:sz w:val="22"/>
          <w:szCs w:val="22"/>
        </w:rPr>
      </w:pPr>
    </w:p>
    <w:p w14:paraId="1C92AD34" w14:textId="77777777" w:rsidR="00C257C6" w:rsidRPr="004945B8" w:rsidRDefault="00C257C6" w:rsidP="00C257C6">
      <w:pPr>
        <w:pStyle w:val="BodyText"/>
        <w:ind w:left="567"/>
        <w:jc w:val="both"/>
        <w:rPr>
          <w:rFonts w:cs="Arial"/>
          <w:bCs/>
          <w:i/>
          <w:iCs/>
          <w:sz w:val="22"/>
          <w:szCs w:val="22"/>
        </w:rPr>
      </w:pPr>
      <w:r w:rsidRPr="004945B8">
        <w:rPr>
          <w:rFonts w:cs="Arial"/>
          <w:bCs/>
          <w:i/>
          <w:iCs/>
          <w:sz w:val="22"/>
          <w:szCs w:val="22"/>
        </w:rPr>
        <w:t>Is this submission for:</w:t>
      </w:r>
    </w:p>
    <w:p w14:paraId="420B57AB" w14:textId="77777777" w:rsidR="00C257C6" w:rsidRPr="004945B8" w:rsidRDefault="00C257C6" w:rsidP="00C257C6">
      <w:pPr>
        <w:pStyle w:val="ListParagraph"/>
        <w:jc w:val="both"/>
        <w:rPr>
          <w:rFonts w:cs="Arial"/>
          <w:bCs/>
          <w:i/>
          <w:iCs/>
          <w:sz w:val="22"/>
          <w:szCs w:val="22"/>
        </w:rPr>
      </w:pPr>
    </w:p>
    <w:p w14:paraId="482F024E" w14:textId="77777777" w:rsidR="00C257C6" w:rsidRPr="008E4E92" w:rsidRDefault="00C257C6" w:rsidP="00C257C6">
      <w:pPr>
        <w:pStyle w:val="BodyText"/>
        <w:numPr>
          <w:ilvl w:val="0"/>
          <w:numId w:val="2"/>
        </w:numPr>
        <w:ind w:left="851" w:right="1561" w:hanging="284"/>
        <w:jc w:val="both"/>
        <w:rPr>
          <w:rFonts w:cs="Arial"/>
          <w:bCs/>
          <w:iCs/>
          <w:sz w:val="22"/>
          <w:szCs w:val="22"/>
        </w:rPr>
      </w:pPr>
      <w:r w:rsidRPr="004945B8">
        <w:rPr>
          <w:rFonts w:cs="Arial"/>
          <w:bCs/>
          <w:i/>
          <w:iCs/>
          <w:sz w:val="22"/>
          <w:szCs w:val="22"/>
        </w:rPr>
        <w:t xml:space="preserve">  an end of life medicine (a medicine used to treat a condition at a stage  that usually leads to death within 3 years with currently available treatments)?</w:t>
      </w:r>
      <w:r w:rsidRPr="008E4E92">
        <w:rPr>
          <w:rFonts w:cs="Arial"/>
          <w:bCs/>
          <w:iCs/>
          <w:sz w:val="22"/>
          <w:szCs w:val="22"/>
        </w:rPr>
        <w:tab/>
        <w:t xml:space="preserve">    </w:t>
      </w:r>
    </w:p>
    <w:p w14:paraId="4E78333E" w14:textId="77777777" w:rsidR="00C257C6" w:rsidRPr="008E4E92" w:rsidRDefault="00C257C6" w:rsidP="00C257C6">
      <w:pPr>
        <w:pStyle w:val="BodyText"/>
        <w:ind w:right="1561"/>
        <w:jc w:val="both"/>
        <w:rPr>
          <w:rFonts w:cs="Arial"/>
          <w:bCs/>
          <w:iCs/>
          <w:sz w:val="22"/>
          <w:szCs w:val="22"/>
        </w:rPr>
      </w:pPr>
    </w:p>
    <w:p w14:paraId="7452A13F" w14:textId="77777777" w:rsidR="00C257C6" w:rsidRPr="008E4E92" w:rsidRDefault="00E80326" w:rsidP="00E80326">
      <w:pPr>
        <w:pStyle w:val="BodyText"/>
        <w:ind w:left="851" w:right="1561"/>
        <w:jc w:val="both"/>
        <w:rPr>
          <w:rFonts w:cs="Arial"/>
          <w:bCs/>
          <w:iCs/>
          <w:sz w:val="22"/>
          <w:szCs w:val="22"/>
        </w:rPr>
      </w:pPr>
      <w:r>
        <w:rPr>
          <w:rFonts w:cs="Arial"/>
          <w:bCs/>
          <w:iCs/>
          <w:sz w:val="22"/>
          <w:szCs w:val="22"/>
        </w:rPr>
        <w:t>No.</w:t>
      </w:r>
    </w:p>
    <w:p w14:paraId="2100D1EB" w14:textId="77777777" w:rsidR="00C257C6" w:rsidRPr="008E4E92" w:rsidRDefault="00C257C6" w:rsidP="00C257C6">
      <w:pPr>
        <w:pStyle w:val="BodyText"/>
        <w:ind w:left="567" w:right="1561"/>
        <w:jc w:val="both"/>
        <w:rPr>
          <w:rFonts w:cs="Arial"/>
          <w:bCs/>
          <w:iCs/>
          <w:sz w:val="22"/>
          <w:szCs w:val="22"/>
        </w:rPr>
      </w:pPr>
      <w:r w:rsidRPr="008E4E92">
        <w:rPr>
          <w:rFonts w:cs="Arial"/>
          <w:bCs/>
          <w:iCs/>
          <w:sz w:val="22"/>
          <w:szCs w:val="22"/>
        </w:rPr>
        <w:t xml:space="preserve">                      </w:t>
      </w:r>
    </w:p>
    <w:p w14:paraId="3781EABB" w14:textId="77777777" w:rsidR="00C257C6" w:rsidRPr="004945B8" w:rsidRDefault="00C257C6" w:rsidP="00C257C6">
      <w:pPr>
        <w:pStyle w:val="BodyText"/>
        <w:numPr>
          <w:ilvl w:val="0"/>
          <w:numId w:val="2"/>
        </w:numPr>
        <w:tabs>
          <w:tab w:val="left" w:pos="851"/>
        </w:tabs>
        <w:ind w:left="851" w:right="1561" w:hanging="284"/>
        <w:jc w:val="both"/>
        <w:rPr>
          <w:rFonts w:cs="Arial"/>
          <w:bCs/>
          <w:i/>
          <w:iCs/>
          <w:sz w:val="22"/>
          <w:szCs w:val="22"/>
        </w:rPr>
      </w:pPr>
      <w:r w:rsidRPr="004945B8">
        <w:rPr>
          <w:rFonts w:cs="Arial"/>
          <w:bCs/>
          <w:i/>
          <w:iCs/>
          <w:sz w:val="22"/>
          <w:szCs w:val="22"/>
        </w:rPr>
        <w:t>a medicine with EMA designated orphan status or a medicine to treat an equivalent size of population (&lt;5 per 10,000)?</w:t>
      </w:r>
    </w:p>
    <w:p w14:paraId="0E16D0EB" w14:textId="77777777" w:rsidR="00C257C6" w:rsidRPr="008E4E92" w:rsidRDefault="00C257C6" w:rsidP="00C257C6">
      <w:pPr>
        <w:pStyle w:val="BodyText"/>
        <w:tabs>
          <w:tab w:val="left" w:pos="5970"/>
        </w:tabs>
        <w:ind w:right="1561"/>
        <w:jc w:val="both"/>
        <w:rPr>
          <w:rFonts w:cs="Arial"/>
          <w:bCs/>
          <w:iCs/>
          <w:sz w:val="22"/>
          <w:szCs w:val="22"/>
        </w:rPr>
      </w:pPr>
    </w:p>
    <w:p w14:paraId="1C5977B4" w14:textId="77777777" w:rsidR="00C257C6" w:rsidRPr="008E4E92" w:rsidRDefault="00E80326" w:rsidP="00E80326">
      <w:pPr>
        <w:pStyle w:val="BodyText"/>
        <w:tabs>
          <w:tab w:val="left" w:pos="5970"/>
        </w:tabs>
        <w:ind w:left="851" w:right="1561"/>
        <w:jc w:val="both"/>
        <w:rPr>
          <w:rFonts w:cs="Arial"/>
          <w:bCs/>
          <w:iCs/>
          <w:sz w:val="22"/>
          <w:szCs w:val="22"/>
        </w:rPr>
      </w:pPr>
      <w:r>
        <w:rPr>
          <w:rFonts w:cs="Arial"/>
          <w:bCs/>
          <w:iCs/>
          <w:sz w:val="22"/>
          <w:szCs w:val="22"/>
        </w:rPr>
        <w:t>No.</w:t>
      </w:r>
    </w:p>
    <w:p w14:paraId="2F51EDF0" w14:textId="77777777" w:rsidR="00C257C6" w:rsidRPr="008E4E92" w:rsidRDefault="00C257C6" w:rsidP="00C257C6">
      <w:pPr>
        <w:pStyle w:val="BodyText"/>
        <w:tabs>
          <w:tab w:val="left" w:pos="5970"/>
        </w:tabs>
        <w:ind w:right="1561"/>
        <w:jc w:val="both"/>
        <w:rPr>
          <w:rFonts w:cs="Arial"/>
          <w:bCs/>
          <w:iCs/>
          <w:sz w:val="22"/>
          <w:szCs w:val="22"/>
        </w:rPr>
      </w:pPr>
    </w:p>
    <w:p w14:paraId="7521D6D8" w14:textId="77777777" w:rsidR="00C257C6" w:rsidRPr="008E4E92" w:rsidRDefault="00C257C6" w:rsidP="00C257C6">
      <w:pPr>
        <w:pStyle w:val="BodyText"/>
        <w:ind w:left="567" w:right="1561"/>
        <w:jc w:val="both"/>
        <w:rPr>
          <w:rFonts w:cs="Arial"/>
          <w:bCs/>
          <w:iCs/>
          <w:sz w:val="22"/>
          <w:szCs w:val="22"/>
        </w:rPr>
      </w:pPr>
      <w:r w:rsidRPr="008E4E92">
        <w:rPr>
          <w:rFonts w:cs="Arial"/>
          <w:bCs/>
          <w:iCs/>
          <w:sz w:val="22"/>
          <w:szCs w:val="22"/>
        </w:rPr>
        <w:t xml:space="preserve">iii) </w:t>
      </w:r>
      <w:r w:rsidRPr="004945B8">
        <w:rPr>
          <w:rFonts w:cs="Arial"/>
          <w:bCs/>
          <w:i/>
          <w:iCs/>
          <w:sz w:val="22"/>
          <w:szCs w:val="22"/>
        </w:rPr>
        <w:t>a medicine used to treat a condition with prevalence of &lt;1 in 50,000 people i.e. ultra-orphan status?</w:t>
      </w:r>
    </w:p>
    <w:p w14:paraId="2E3C0153" w14:textId="77777777" w:rsidR="00C257C6" w:rsidRPr="008E4E92" w:rsidRDefault="00C257C6" w:rsidP="00C257C6">
      <w:pPr>
        <w:pStyle w:val="BodyText"/>
        <w:ind w:left="567" w:right="1561"/>
        <w:jc w:val="both"/>
        <w:rPr>
          <w:rFonts w:cs="Arial"/>
          <w:bCs/>
          <w:iCs/>
          <w:sz w:val="22"/>
          <w:szCs w:val="22"/>
        </w:rPr>
      </w:pPr>
    </w:p>
    <w:p w14:paraId="4F0B9382" w14:textId="48045540" w:rsidR="00C257C6" w:rsidRPr="008E4E92" w:rsidRDefault="00527A3A" w:rsidP="00C257C6">
      <w:pPr>
        <w:pStyle w:val="BodyText"/>
        <w:ind w:left="567" w:right="1561"/>
        <w:jc w:val="both"/>
        <w:rPr>
          <w:rFonts w:cs="Arial"/>
          <w:bCs/>
          <w:iCs/>
          <w:sz w:val="22"/>
          <w:szCs w:val="22"/>
        </w:rPr>
      </w:pPr>
      <w:r>
        <w:rPr>
          <w:rFonts w:cs="Arial"/>
          <w:bCs/>
          <w:iCs/>
          <w:sz w:val="22"/>
          <w:szCs w:val="22"/>
        </w:rPr>
        <w:tab/>
        <w:t xml:space="preserve"> </w:t>
      </w:r>
      <w:r w:rsidR="00E80326">
        <w:rPr>
          <w:rFonts w:cs="Arial"/>
          <w:bCs/>
          <w:iCs/>
          <w:sz w:val="22"/>
          <w:szCs w:val="22"/>
        </w:rPr>
        <w:t>No.</w:t>
      </w:r>
    </w:p>
    <w:p w14:paraId="0A26D193" w14:textId="77777777" w:rsidR="00C257C6" w:rsidRPr="008E4E92" w:rsidRDefault="00C257C6" w:rsidP="00C257C6">
      <w:pPr>
        <w:pStyle w:val="BodyText"/>
        <w:ind w:left="567" w:right="1561"/>
        <w:jc w:val="both"/>
        <w:rPr>
          <w:rFonts w:cs="Arial"/>
          <w:bCs/>
          <w:iCs/>
          <w:sz w:val="22"/>
          <w:szCs w:val="22"/>
        </w:rPr>
      </w:pPr>
    </w:p>
    <w:p w14:paraId="0E42A4BC" w14:textId="77777777" w:rsidR="00C257C6" w:rsidRPr="004945B8" w:rsidRDefault="00C257C6" w:rsidP="00C257C6">
      <w:pPr>
        <w:pStyle w:val="BodyText"/>
        <w:ind w:left="567"/>
        <w:jc w:val="both"/>
        <w:rPr>
          <w:rFonts w:cs="Arial"/>
          <w:bCs/>
          <w:i/>
          <w:iCs/>
          <w:sz w:val="22"/>
          <w:szCs w:val="22"/>
        </w:rPr>
      </w:pPr>
      <w:r w:rsidRPr="004945B8">
        <w:rPr>
          <w:rFonts w:cs="Arial"/>
          <w:bCs/>
          <w:i/>
          <w:iCs/>
          <w:sz w:val="22"/>
          <w:szCs w:val="22"/>
        </w:rPr>
        <w:t xml:space="preserve">If you have answered Yes to any of the above: </w:t>
      </w:r>
    </w:p>
    <w:p w14:paraId="2DB679D8" w14:textId="77777777" w:rsidR="00C257C6" w:rsidRPr="004945B8" w:rsidRDefault="00C257C6" w:rsidP="00C257C6">
      <w:pPr>
        <w:pStyle w:val="BodyText"/>
        <w:ind w:left="567"/>
        <w:jc w:val="both"/>
        <w:rPr>
          <w:rFonts w:cs="Arial"/>
          <w:bCs/>
          <w:i/>
          <w:iCs/>
          <w:sz w:val="22"/>
          <w:szCs w:val="22"/>
        </w:rPr>
      </w:pPr>
    </w:p>
    <w:p w14:paraId="4C6D1A20" w14:textId="77777777" w:rsidR="00C257C6" w:rsidRPr="004945B8" w:rsidRDefault="00C257C6" w:rsidP="00C257C6">
      <w:pPr>
        <w:pStyle w:val="BodyText"/>
        <w:ind w:left="567"/>
        <w:jc w:val="both"/>
        <w:rPr>
          <w:rFonts w:cs="Arial"/>
          <w:bCs/>
          <w:i/>
          <w:iCs/>
          <w:sz w:val="22"/>
          <w:szCs w:val="22"/>
        </w:rPr>
      </w:pPr>
      <w:r w:rsidRPr="004945B8">
        <w:rPr>
          <w:rFonts w:cs="Arial"/>
          <w:bCs/>
          <w:i/>
          <w:iCs/>
          <w:color w:val="000000"/>
          <w:sz w:val="22"/>
          <w:szCs w:val="22"/>
        </w:rPr>
        <w:t>In the event of NDC ‘not recommended’ advice</w:t>
      </w:r>
      <w:r w:rsidRPr="004945B8">
        <w:rPr>
          <w:rFonts w:cs="Arial"/>
          <w:bCs/>
          <w:i/>
          <w:iCs/>
          <w:sz w:val="22"/>
          <w:szCs w:val="22"/>
        </w:rPr>
        <w:t xml:space="preserve">, do you wish for the submission to be assessed under the end of life/ orphan process (i.e. with the option for a Patient and Clinician Engagement meeting and/or opportunity for new or revised PAS)? </w:t>
      </w:r>
    </w:p>
    <w:p w14:paraId="1090227B" w14:textId="77777777" w:rsidR="00C257C6" w:rsidRPr="008E4E92" w:rsidRDefault="00C257C6" w:rsidP="00C257C6">
      <w:pPr>
        <w:pStyle w:val="BodyText"/>
        <w:ind w:left="567"/>
        <w:jc w:val="both"/>
        <w:rPr>
          <w:rFonts w:cs="Arial"/>
          <w:bCs/>
          <w:iCs/>
          <w:sz w:val="22"/>
          <w:szCs w:val="22"/>
        </w:rPr>
      </w:pPr>
    </w:p>
    <w:p w14:paraId="04878EE5" w14:textId="3A65DAF7" w:rsidR="00C257C6" w:rsidRPr="008E4E92" w:rsidRDefault="00527A3A" w:rsidP="00C257C6">
      <w:pPr>
        <w:pStyle w:val="BodyText"/>
        <w:ind w:left="567"/>
        <w:jc w:val="both"/>
        <w:rPr>
          <w:rFonts w:cs="Arial"/>
          <w:bCs/>
          <w:iCs/>
          <w:sz w:val="22"/>
          <w:szCs w:val="22"/>
        </w:rPr>
      </w:pPr>
      <w:r>
        <w:rPr>
          <w:rFonts w:cs="Arial"/>
          <w:bCs/>
          <w:iCs/>
          <w:sz w:val="22"/>
          <w:szCs w:val="22"/>
        </w:rPr>
        <w:t xml:space="preserve">Not applicable. </w:t>
      </w:r>
    </w:p>
    <w:p w14:paraId="5F81A23C" w14:textId="77777777" w:rsidR="00C257C6" w:rsidRPr="008E4E92" w:rsidRDefault="00C257C6" w:rsidP="00C257C6">
      <w:pPr>
        <w:pStyle w:val="BodyText"/>
        <w:ind w:left="567"/>
        <w:jc w:val="both"/>
        <w:rPr>
          <w:rFonts w:cs="Arial"/>
          <w:bCs/>
          <w:iCs/>
          <w:sz w:val="22"/>
          <w:szCs w:val="22"/>
        </w:rPr>
      </w:pPr>
    </w:p>
    <w:p w14:paraId="11801EDE" w14:textId="77777777" w:rsidR="00C257C6" w:rsidRPr="004945B8"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 xml:space="preserve">Has the product been designated a biosimilar medicine for the indication(s) detailed in the submission? </w:t>
      </w:r>
    </w:p>
    <w:p w14:paraId="7B2CE28B" w14:textId="77777777" w:rsidR="00C257C6" w:rsidRPr="008E4E92" w:rsidRDefault="00C257C6" w:rsidP="00C257C6">
      <w:pPr>
        <w:pStyle w:val="BodyText"/>
        <w:jc w:val="both"/>
        <w:rPr>
          <w:rFonts w:cs="Arial"/>
          <w:bCs/>
          <w:iCs/>
          <w:sz w:val="22"/>
          <w:szCs w:val="22"/>
          <w:lang w:eastAsia="ja-JP"/>
        </w:rPr>
      </w:pPr>
    </w:p>
    <w:p w14:paraId="03FBDBAC" w14:textId="77777777" w:rsidR="00C257C6" w:rsidRPr="008E4E92" w:rsidRDefault="00C257C6" w:rsidP="00C257C6">
      <w:pPr>
        <w:pStyle w:val="BodyText"/>
        <w:jc w:val="both"/>
        <w:rPr>
          <w:rFonts w:cs="Arial"/>
          <w:bCs/>
          <w:iCs/>
          <w:sz w:val="22"/>
          <w:szCs w:val="22"/>
        </w:rPr>
      </w:pPr>
      <w:r w:rsidRPr="008E4E92">
        <w:rPr>
          <w:rFonts w:cs="Arial"/>
          <w:bCs/>
          <w:iCs/>
          <w:sz w:val="22"/>
          <w:szCs w:val="22"/>
          <w:lang w:eastAsia="ja-JP"/>
        </w:rPr>
        <w:t>No.</w:t>
      </w:r>
    </w:p>
    <w:p w14:paraId="7026FB9F" w14:textId="77777777" w:rsidR="00C257C6" w:rsidRPr="008E4E92" w:rsidRDefault="00C257C6" w:rsidP="00C257C6">
      <w:pPr>
        <w:pStyle w:val="BodyText"/>
        <w:jc w:val="both"/>
        <w:rPr>
          <w:rFonts w:cs="Arial"/>
          <w:bCs/>
          <w:iCs/>
          <w:sz w:val="22"/>
          <w:szCs w:val="22"/>
        </w:rPr>
      </w:pPr>
    </w:p>
    <w:p w14:paraId="48DDBE4F" w14:textId="7848D8A0" w:rsidR="00262058" w:rsidRPr="00271459" w:rsidRDefault="00C257C6" w:rsidP="00262058">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 xml:space="preserve">Does the product require a companion diagnostic test in order to identify patients eligible for treatment? </w:t>
      </w:r>
      <w:r w:rsidRPr="00271459">
        <w:rPr>
          <w:rFonts w:cs="Arial"/>
          <w:bCs/>
          <w:i/>
          <w:iCs/>
          <w:sz w:val="22"/>
          <w:szCs w:val="22"/>
        </w:rPr>
        <w:t xml:space="preserve">Companion diagnostics require completion of Appendix B as part of the </w:t>
      </w:r>
      <w:r w:rsidR="00262058">
        <w:rPr>
          <w:rFonts w:cs="Arial"/>
          <w:bCs/>
          <w:i/>
          <w:iCs/>
          <w:sz w:val="22"/>
          <w:szCs w:val="22"/>
        </w:rPr>
        <w:t>pharmaco-</w:t>
      </w:r>
      <w:r w:rsidR="00262058" w:rsidRPr="00271459">
        <w:rPr>
          <w:rFonts w:cs="Arial"/>
          <w:bCs/>
          <w:i/>
          <w:iCs/>
          <w:sz w:val="22"/>
          <w:szCs w:val="22"/>
        </w:rPr>
        <w:t>economic case.</w:t>
      </w:r>
    </w:p>
    <w:p w14:paraId="72B7D9DA" w14:textId="77777777" w:rsidR="00C257C6" w:rsidRPr="008E4E92" w:rsidRDefault="00C257C6" w:rsidP="00C257C6">
      <w:pPr>
        <w:pStyle w:val="BodyText"/>
        <w:jc w:val="both"/>
        <w:rPr>
          <w:rFonts w:cs="Arial"/>
          <w:bCs/>
          <w:i/>
          <w:iCs/>
          <w:sz w:val="22"/>
          <w:szCs w:val="22"/>
          <w:lang w:eastAsia="ja-JP"/>
        </w:rPr>
      </w:pPr>
    </w:p>
    <w:p w14:paraId="122D6367" w14:textId="46CF81E2" w:rsidR="00C257C6" w:rsidRPr="00C224C8" w:rsidRDefault="00E80326" w:rsidP="006232F5">
      <w:pPr>
        <w:pStyle w:val="BodyText"/>
        <w:rPr>
          <w:rFonts w:cs="Arial"/>
          <w:bCs/>
          <w:iCs/>
          <w:sz w:val="22"/>
          <w:szCs w:val="22"/>
          <w:lang w:eastAsia="ja-JP"/>
        </w:rPr>
      </w:pPr>
      <w:r w:rsidRPr="00C224C8">
        <w:rPr>
          <w:rFonts w:cs="Arial"/>
          <w:bCs/>
          <w:iCs/>
          <w:sz w:val="22"/>
          <w:szCs w:val="22"/>
          <w:lang w:eastAsia="ja-JP"/>
        </w:rPr>
        <w:t>No.</w:t>
      </w:r>
      <w:r w:rsidR="00905DE0" w:rsidRPr="00C224C8">
        <w:rPr>
          <w:rFonts w:cs="Arial"/>
          <w:bCs/>
          <w:iCs/>
          <w:sz w:val="22"/>
          <w:szCs w:val="22"/>
          <w:lang w:eastAsia="ja-JP"/>
        </w:rPr>
        <w:t xml:space="preserve"> Although a </w:t>
      </w:r>
      <w:r w:rsidR="00117675" w:rsidRPr="00C224C8">
        <w:rPr>
          <w:rFonts w:cs="Arial"/>
          <w:bCs/>
          <w:iCs/>
          <w:sz w:val="22"/>
          <w:szCs w:val="22"/>
          <w:lang w:eastAsia="ja-JP"/>
        </w:rPr>
        <w:t>sensitivity</w:t>
      </w:r>
      <w:r w:rsidR="00905DE0" w:rsidRPr="00C224C8">
        <w:rPr>
          <w:rFonts w:cs="Arial"/>
          <w:bCs/>
          <w:iCs/>
          <w:sz w:val="22"/>
          <w:szCs w:val="22"/>
          <w:lang w:eastAsia="ja-JP"/>
        </w:rPr>
        <w:t xml:space="preserve"> test will be made available at launch</w:t>
      </w:r>
      <w:r w:rsidR="00BC30DA" w:rsidRPr="00C224C8">
        <w:rPr>
          <w:rFonts w:cs="Arial"/>
          <w:bCs/>
          <w:iCs/>
          <w:sz w:val="22"/>
          <w:szCs w:val="22"/>
          <w:lang w:eastAsia="ja-JP"/>
        </w:rPr>
        <w:t xml:space="preserve"> to assist microbiologists and the NHS</w:t>
      </w:r>
      <w:r w:rsidR="00905DE0" w:rsidRPr="00C224C8">
        <w:rPr>
          <w:rFonts w:cs="Arial"/>
          <w:bCs/>
          <w:iCs/>
          <w:sz w:val="22"/>
          <w:szCs w:val="22"/>
          <w:lang w:eastAsia="ja-JP"/>
        </w:rPr>
        <w:t>, it is not a requirement of the tedizolid phosphate SmPC</w:t>
      </w:r>
      <w:r w:rsidR="00BC30DA" w:rsidRPr="00C224C8">
        <w:rPr>
          <w:rFonts w:cs="Arial"/>
          <w:bCs/>
          <w:iCs/>
          <w:sz w:val="22"/>
          <w:szCs w:val="22"/>
          <w:lang w:eastAsia="ja-JP"/>
        </w:rPr>
        <w:t xml:space="preserve"> or </w:t>
      </w:r>
      <w:r w:rsidR="006232F5" w:rsidRPr="00C224C8">
        <w:rPr>
          <w:rFonts w:cs="Arial"/>
          <w:bCs/>
          <w:iCs/>
          <w:sz w:val="22"/>
          <w:szCs w:val="22"/>
          <w:lang w:eastAsia="ja-JP"/>
        </w:rPr>
        <w:t>a pre-requisi</w:t>
      </w:r>
      <w:r w:rsidR="00905DE0" w:rsidRPr="00C224C8">
        <w:rPr>
          <w:rFonts w:cs="Arial"/>
          <w:bCs/>
          <w:iCs/>
          <w:sz w:val="22"/>
          <w:szCs w:val="22"/>
          <w:lang w:eastAsia="ja-JP"/>
        </w:rPr>
        <w:t xml:space="preserve">te </w:t>
      </w:r>
      <w:r w:rsidR="006232F5" w:rsidRPr="00C224C8">
        <w:rPr>
          <w:rFonts w:cs="Arial"/>
          <w:bCs/>
          <w:iCs/>
          <w:sz w:val="22"/>
          <w:szCs w:val="22"/>
          <w:lang w:eastAsia="ja-JP"/>
        </w:rPr>
        <w:t xml:space="preserve">for identifying eligible patients. </w:t>
      </w:r>
    </w:p>
    <w:p w14:paraId="724B2CC6" w14:textId="77777777" w:rsidR="00C257C6" w:rsidRPr="008E4E92" w:rsidRDefault="00C257C6" w:rsidP="00C257C6">
      <w:pPr>
        <w:pStyle w:val="BodyText"/>
        <w:tabs>
          <w:tab w:val="num" w:pos="567"/>
        </w:tabs>
        <w:ind w:left="567" w:hanging="567"/>
        <w:jc w:val="both"/>
        <w:rPr>
          <w:rFonts w:cs="Arial"/>
          <w:bCs/>
          <w:iCs/>
          <w:sz w:val="22"/>
          <w:szCs w:val="22"/>
        </w:rPr>
      </w:pPr>
    </w:p>
    <w:p w14:paraId="49019746" w14:textId="77777777" w:rsidR="00C257C6" w:rsidRPr="004945B8" w:rsidRDefault="00C257C6" w:rsidP="00C257C6">
      <w:pPr>
        <w:numPr>
          <w:ilvl w:val="0"/>
          <w:numId w:val="1"/>
        </w:numPr>
        <w:tabs>
          <w:tab w:val="clear" w:pos="360"/>
          <w:tab w:val="num" w:pos="567"/>
        </w:tabs>
        <w:ind w:left="567" w:hanging="567"/>
        <w:jc w:val="both"/>
        <w:rPr>
          <w:rFonts w:cs="Arial"/>
          <w:i/>
          <w:sz w:val="22"/>
          <w:szCs w:val="22"/>
        </w:rPr>
      </w:pPr>
      <w:r w:rsidRPr="004945B8">
        <w:rPr>
          <w:rFonts w:cs="Arial"/>
          <w:i/>
          <w:sz w:val="22"/>
          <w:szCs w:val="22"/>
        </w:rPr>
        <w:t xml:space="preserve">Provide details of the estimated or actual UK launch date for the product in the indication(s) detailed in the submission. </w:t>
      </w:r>
    </w:p>
    <w:p w14:paraId="5D152F45" w14:textId="77777777" w:rsidR="00C257C6" w:rsidRPr="008E4E92" w:rsidRDefault="00C257C6" w:rsidP="00C257C6">
      <w:pPr>
        <w:jc w:val="both"/>
        <w:rPr>
          <w:rFonts w:cs="Arial"/>
          <w:sz w:val="22"/>
          <w:szCs w:val="22"/>
          <w:lang w:eastAsia="ja-JP"/>
        </w:rPr>
      </w:pPr>
    </w:p>
    <w:p w14:paraId="10C357EA" w14:textId="051C621E" w:rsidR="00C257C6" w:rsidRPr="00D05C35" w:rsidRDefault="00527A3A" w:rsidP="00271459">
      <w:pPr>
        <w:rPr>
          <w:rFonts w:cs="Arial"/>
          <w:sz w:val="22"/>
          <w:szCs w:val="22"/>
        </w:rPr>
      </w:pPr>
      <w:r w:rsidRPr="00D05C35">
        <w:rPr>
          <w:rFonts w:cs="Arial"/>
          <w:sz w:val="22"/>
          <w:szCs w:val="22"/>
          <w:lang w:eastAsia="ja-JP"/>
        </w:rPr>
        <w:t>It is estimated that tedizolid phosph</w:t>
      </w:r>
      <w:r w:rsidR="00367E54" w:rsidRPr="00D05C35">
        <w:rPr>
          <w:rFonts w:cs="Arial"/>
          <w:sz w:val="22"/>
          <w:szCs w:val="22"/>
          <w:lang w:eastAsia="ja-JP"/>
        </w:rPr>
        <w:t xml:space="preserve">ate will be launched in the UK </w:t>
      </w:r>
      <w:r w:rsidRPr="00D05C35">
        <w:rPr>
          <w:rFonts w:cs="Arial"/>
          <w:sz w:val="22"/>
          <w:szCs w:val="22"/>
          <w:lang w:eastAsia="ja-JP"/>
        </w:rPr>
        <w:t xml:space="preserve">as soon as practicable following </w:t>
      </w:r>
      <w:r w:rsidR="0043587A">
        <w:rPr>
          <w:rFonts w:cs="Arial"/>
          <w:sz w:val="22"/>
          <w:szCs w:val="22"/>
          <w:lang w:eastAsia="ja-JP"/>
        </w:rPr>
        <w:t>EU</w:t>
      </w:r>
      <w:r w:rsidR="00D05C35">
        <w:rPr>
          <w:rFonts w:cs="Arial"/>
          <w:sz w:val="22"/>
          <w:szCs w:val="22"/>
          <w:lang w:eastAsia="ja-JP"/>
        </w:rPr>
        <w:t xml:space="preserve"> </w:t>
      </w:r>
      <w:r w:rsidRPr="00D05C35">
        <w:rPr>
          <w:rFonts w:cs="Arial"/>
          <w:sz w:val="22"/>
          <w:szCs w:val="22"/>
          <w:lang w:eastAsia="ja-JP"/>
        </w:rPr>
        <w:t>marketing authorisation approval, in Q2 2015</w:t>
      </w:r>
      <w:r w:rsidR="00A4092E">
        <w:rPr>
          <w:rFonts w:cs="Arial"/>
          <w:sz w:val="22"/>
          <w:szCs w:val="22"/>
          <w:lang w:eastAsia="ja-JP"/>
        </w:rPr>
        <w:t xml:space="preserve">. </w:t>
      </w:r>
    </w:p>
    <w:p w14:paraId="31106A6D" w14:textId="77777777" w:rsidR="00C257C6" w:rsidRPr="008E4E92" w:rsidRDefault="00C257C6" w:rsidP="00C257C6">
      <w:pPr>
        <w:tabs>
          <w:tab w:val="num" w:pos="567"/>
        </w:tabs>
        <w:ind w:left="567" w:hanging="567"/>
        <w:jc w:val="both"/>
        <w:rPr>
          <w:rFonts w:cs="Arial"/>
          <w:sz w:val="22"/>
          <w:szCs w:val="22"/>
        </w:rPr>
      </w:pPr>
    </w:p>
    <w:p w14:paraId="5DCF96D6" w14:textId="77777777" w:rsidR="00C257C6" w:rsidRPr="004945B8"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Provide details of the formulation(s) of the product that are or will be licensed for the indication(s) detailed in the submission and their actual or anticipated list price(s).</w:t>
      </w:r>
    </w:p>
    <w:p w14:paraId="37399762" w14:textId="77777777" w:rsidR="0091615C" w:rsidRDefault="0091615C" w:rsidP="0091615C">
      <w:pPr>
        <w:widowControl w:val="0"/>
        <w:suppressLineNumbers/>
        <w:rPr>
          <w:bCs/>
          <w:noProof/>
          <w:szCs w:val="22"/>
        </w:rPr>
      </w:pPr>
    </w:p>
    <w:p w14:paraId="37716497" w14:textId="238BDCDA" w:rsidR="0091615C" w:rsidRPr="00D05C35" w:rsidRDefault="0091615C" w:rsidP="0091615C">
      <w:pPr>
        <w:widowControl w:val="0"/>
        <w:suppressLineNumbers/>
        <w:rPr>
          <w:bCs/>
          <w:noProof/>
          <w:sz w:val="22"/>
          <w:szCs w:val="22"/>
        </w:rPr>
      </w:pPr>
      <w:r w:rsidRPr="00D05C35">
        <w:rPr>
          <w:bCs/>
          <w:noProof/>
          <w:sz w:val="22"/>
          <w:szCs w:val="22"/>
        </w:rPr>
        <w:t xml:space="preserve">Tedizolid phosphate is expected to be licensed </w:t>
      </w:r>
      <w:r w:rsidR="00D05C35" w:rsidRPr="00D05C35">
        <w:rPr>
          <w:bCs/>
          <w:noProof/>
          <w:sz w:val="22"/>
          <w:szCs w:val="22"/>
        </w:rPr>
        <w:t>for</w:t>
      </w:r>
      <w:r w:rsidRPr="00D05C35">
        <w:rPr>
          <w:bCs/>
          <w:noProof/>
          <w:sz w:val="22"/>
          <w:szCs w:val="22"/>
        </w:rPr>
        <w:t xml:space="preserve"> two formulations:</w:t>
      </w:r>
    </w:p>
    <w:p w14:paraId="78118361" w14:textId="472C365C" w:rsidR="0091615C" w:rsidRPr="00D05C35" w:rsidRDefault="0091615C" w:rsidP="00C24317">
      <w:pPr>
        <w:pStyle w:val="ListParagraph"/>
        <w:widowControl w:val="0"/>
        <w:numPr>
          <w:ilvl w:val="0"/>
          <w:numId w:val="35"/>
        </w:numPr>
        <w:suppressLineNumbers/>
        <w:rPr>
          <w:bCs/>
          <w:noProof/>
          <w:sz w:val="22"/>
          <w:szCs w:val="22"/>
        </w:rPr>
      </w:pPr>
      <w:r w:rsidRPr="00D05C35">
        <w:rPr>
          <w:bCs/>
          <w:noProof/>
          <w:sz w:val="22"/>
          <w:szCs w:val="22"/>
        </w:rPr>
        <w:t>As a film-coated tablet containing 200mg tedizolid phosphate.</w:t>
      </w:r>
    </w:p>
    <w:p w14:paraId="616A9EBE" w14:textId="42CF694F" w:rsidR="0091615C" w:rsidRPr="00D05C35" w:rsidRDefault="00D05C35" w:rsidP="00C24317">
      <w:pPr>
        <w:pStyle w:val="ListParagraph"/>
        <w:widowControl w:val="0"/>
        <w:numPr>
          <w:ilvl w:val="0"/>
          <w:numId w:val="35"/>
        </w:numPr>
        <w:suppressLineNumbers/>
        <w:rPr>
          <w:bCs/>
          <w:noProof/>
          <w:sz w:val="22"/>
          <w:szCs w:val="22"/>
        </w:rPr>
      </w:pPr>
      <w:r w:rsidRPr="00D05C35">
        <w:rPr>
          <w:bCs/>
          <w:noProof/>
          <w:sz w:val="22"/>
          <w:szCs w:val="22"/>
        </w:rPr>
        <w:lastRenderedPageBreak/>
        <w:t xml:space="preserve">As a powder </w:t>
      </w:r>
      <w:r w:rsidR="0091615C" w:rsidRPr="00D05C35">
        <w:rPr>
          <w:bCs/>
          <w:noProof/>
          <w:sz w:val="22"/>
          <w:szCs w:val="22"/>
        </w:rPr>
        <w:t>concentrate for solution for in</w:t>
      </w:r>
      <w:r w:rsidRPr="00D05C35">
        <w:rPr>
          <w:bCs/>
          <w:noProof/>
          <w:sz w:val="22"/>
          <w:szCs w:val="22"/>
        </w:rPr>
        <w:t>fusion</w:t>
      </w:r>
    </w:p>
    <w:p w14:paraId="3AC71CF0" w14:textId="77777777" w:rsidR="0091615C" w:rsidRPr="00D05C35" w:rsidRDefault="0091615C" w:rsidP="0091615C">
      <w:pPr>
        <w:suppressLineNumbers/>
        <w:rPr>
          <w:noProof/>
          <w:sz w:val="22"/>
          <w:szCs w:val="22"/>
        </w:rPr>
      </w:pPr>
    </w:p>
    <w:p w14:paraId="2825635B" w14:textId="2A07E38D" w:rsidR="0091615C" w:rsidRPr="00D05C35" w:rsidRDefault="0091615C" w:rsidP="0091615C">
      <w:pPr>
        <w:suppressLineNumbers/>
        <w:rPr>
          <w:noProof/>
          <w:sz w:val="22"/>
          <w:szCs w:val="22"/>
        </w:rPr>
      </w:pPr>
      <w:r w:rsidRPr="00D05C35">
        <w:rPr>
          <w:noProof/>
          <w:sz w:val="22"/>
          <w:szCs w:val="22"/>
        </w:rPr>
        <w:t xml:space="preserve">The recommended dose </w:t>
      </w:r>
      <w:r w:rsidR="00D05C35" w:rsidRPr="00D05C35">
        <w:rPr>
          <w:noProof/>
          <w:sz w:val="22"/>
          <w:szCs w:val="22"/>
        </w:rPr>
        <w:t xml:space="preserve">is </w:t>
      </w:r>
      <w:r w:rsidRPr="00D05C35">
        <w:rPr>
          <w:noProof/>
          <w:sz w:val="22"/>
          <w:szCs w:val="22"/>
        </w:rPr>
        <w:t xml:space="preserve">200mg once daily for six days. </w:t>
      </w:r>
    </w:p>
    <w:p w14:paraId="44A685C0" w14:textId="77777777" w:rsidR="00271459" w:rsidRPr="00D05C35" w:rsidRDefault="00271459" w:rsidP="0091615C">
      <w:pPr>
        <w:suppressLineNumbers/>
        <w:rPr>
          <w:rFonts w:cs="Arial"/>
          <w:bCs/>
          <w:iCs/>
          <w:sz w:val="22"/>
          <w:szCs w:val="22"/>
          <w:lang w:eastAsia="ja-JP"/>
        </w:rPr>
      </w:pPr>
    </w:p>
    <w:p w14:paraId="5C2BB5F9" w14:textId="6857C617" w:rsidR="008122E0" w:rsidRPr="00A45560" w:rsidRDefault="008122E0" w:rsidP="00A45560">
      <w:pPr>
        <w:suppressLineNumbers/>
        <w:rPr>
          <w:noProof/>
          <w:sz w:val="22"/>
          <w:szCs w:val="22"/>
        </w:rPr>
      </w:pPr>
      <w:r w:rsidRPr="00D05C35">
        <w:rPr>
          <w:rFonts w:cs="Arial"/>
          <w:bCs/>
          <w:iCs/>
          <w:sz w:val="22"/>
          <w:szCs w:val="22"/>
          <w:lang w:eastAsia="ja-JP"/>
        </w:rPr>
        <w:t xml:space="preserve">The NHS list price is anticipated to be </w:t>
      </w:r>
      <w:r w:rsidR="00271459" w:rsidRPr="00D05C35">
        <w:rPr>
          <w:rFonts w:cs="Arial"/>
          <w:bCs/>
          <w:iCs/>
          <w:sz w:val="22"/>
          <w:szCs w:val="22"/>
          <w:lang w:eastAsia="ja-JP"/>
        </w:rPr>
        <w:t>approximately</w:t>
      </w:r>
      <w:r w:rsidRPr="00D05C35">
        <w:rPr>
          <w:rFonts w:cs="Arial"/>
          <w:bCs/>
          <w:iCs/>
          <w:sz w:val="22"/>
          <w:szCs w:val="22"/>
          <w:lang w:eastAsia="ja-JP"/>
        </w:rPr>
        <w:t xml:space="preserve"> </w:t>
      </w:r>
      <w:r w:rsidRPr="00D05C35">
        <w:rPr>
          <w:rFonts w:cs="Arial"/>
          <w:bCs/>
          <w:iCs/>
          <w:sz w:val="22"/>
          <w:szCs w:val="22"/>
          <w:u w:val="single"/>
          <w:lang w:eastAsia="ja-JP"/>
        </w:rPr>
        <w:t xml:space="preserve">(confidential) £150 per </w:t>
      </w:r>
      <w:r w:rsidR="0091615C" w:rsidRPr="00D05C35">
        <w:rPr>
          <w:rFonts w:cs="Arial"/>
          <w:bCs/>
          <w:iCs/>
          <w:sz w:val="22"/>
          <w:szCs w:val="22"/>
          <w:u w:val="single"/>
          <w:lang w:eastAsia="ja-JP"/>
        </w:rPr>
        <w:t>200mg tablet/</w:t>
      </w:r>
      <w:r w:rsidR="002921CB">
        <w:rPr>
          <w:rFonts w:cs="Arial"/>
          <w:bCs/>
          <w:iCs/>
          <w:sz w:val="22"/>
          <w:szCs w:val="22"/>
          <w:u w:val="single"/>
          <w:lang w:eastAsia="ja-JP"/>
        </w:rPr>
        <w:t>intravenous (</w:t>
      </w:r>
      <w:r w:rsidR="00D62CBD">
        <w:rPr>
          <w:rFonts w:cs="Arial"/>
          <w:bCs/>
          <w:iCs/>
          <w:sz w:val="22"/>
          <w:szCs w:val="22"/>
          <w:u w:val="single"/>
          <w:lang w:eastAsia="ja-JP"/>
        </w:rPr>
        <w:t>IV</w:t>
      </w:r>
      <w:r w:rsidR="002921CB">
        <w:rPr>
          <w:rFonts w:cs="Arial"/>
          <w:bCs/>
          <w:iCs/>
          <w:sz w:val="22"/>
          <w:szCs w:val="22"/>
          <w:u w:val="single"/>
          <w:lang w:eastAsia="ja-JP"/>
        </w:rPr>
        <w:t>)</w:t>
      </w:r>
      <w:r w:rsidR="00D62CBD">
        <w:rPr>
          <w:rFonts w:cs="Arial"/>
          <w:bCs/>
          <w:iCs/>
          <w:sz w:val="22"/>
          <w:szCs w:val="22"/>
          <w:u w:val="single"/>
          <w:lang w:eastAsia="ja-JP"/>
        </w:rPr>
        <w:t xml:space="preserve"> </w:t>
      </w:r>
      <w:r w:rsidR="0091615C" w:rsidRPr="00D05C35">
        <w:rPr>
          <w:rFonts w:cs="Arial"/>
          <w:bCs/>
          <w:iCs/>
          <w:sz w:val="22"/>
          <w:szCs w:val="22"/>
          <w:u w:val="single"/>
          <w:lang w:eastAsia="ja-JP"/>
        </w:rPr>
        <w:t>daily dose</w:t>
      </w:r>
      <w:r w:rsidRPr="00D05C35">
        <w:rPr>
          <w:rFonts w:cs="Arial"/>
          <w:bCs/>
          <w:iCs/>
          <w:sz w:val="22"/>
          <w:szCs w:val="22"/>
          <w:u w:val="single"/>
          <w:lang w:eastAsia="ja-JP"/>
        </w:rPr>
        <w:t>, equivalent to £900 for</w:t>
      </w:r>
      <w:r w:rsidR="00A45560">
        <w:rPr>
          <w:rFonts w:cs="Arial"/>
          <w:bCs/>
          <w:iCs/>
          <w:sz w:val="22"/>
          <w:szCs w:val="22"/>
          <w:u w:val="single"/>
          <w:lang w:eastAsia="ja-JP"/>
        </w:rPr>
        <w:t xml:space="preserve"> a </w:t>
      </w:r>
      <w:r w:rsidR="0077648D">
        <w:rPr>
          <w:rFonts w:cs="Arial"/>
          <w:bCs/>
          <w:iCs/>
          <w:sz w:val="22"/>
          <w:szCs w:val="22"/>
          <w:u w:val="single"/>
          <w:lang w:eastAsia="ja-JP"/>
        </w:rPr>
        <w:t xml:space="preserve">once-daily </w:t>
      </w:r>
      <w:r w:rsidR="00A45560">
        <w:rPr>
          <w:rFonts w:cs="Arial"/>
          <w:bCs/>
          <w:iCs/>
          <w:sz w:val="22"/>
          <w:szCs w:val="22"/>
          <w:u w:val="single"/>
          <w:lang w:eastAsia="ja-JP"/>
        </w:rPr>
        <w:t>six-day course of treatment.</w:t>
      </w:r>
    </w:p>
    <w:p w14:paraId="13F0FAF6" w14:textId="77777777" w:rsidR="008122E0" w:rsidRPr="008E4E92" w:rsidRDefault="008122E0" w:rsidP="00C257C6">
      <w:pPr>
        <w:pStyle w:val="BodyText"/>
        <w:tabs>
          <w:tab w:val="num" w:pos="567"/>
        </w:tabs>
        <w:ind w:left="567" w:hanging="567"/>
        <w:jc w:val="both"/>
        <w:rPr>
          <w:rFonts w:cs="Arial"/>
          <w:bCs/>
          <w:iCs/>
          <w:sz w:val="22"/>
          <w:szCs w:val="22"/>
        </w:rPr>
      </w:pPr>
    </w:p>
    <w:p w14:paraId="7C4352F4" w14:textId="77777777" w:rsidR="00C257C6" w:rsidRPr="004945B8"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Has a Patient Access Scheme (PAS) been included within the submission?</w:t>
      </w:r>
    </w:p>
    <w:p w14:paraId="3DD2658F" w14:textId="77777777" w:rsidR="00C257C6" w:rsidRPr="008E4E92" w:rsidRDefault="00C257C6" w:rsidP="00C257C6">
      <w:pPr>
        <w:pStyle w:val="BodyText"/>
        <w:jc w:val="both"/>
        <w:rPr>
          <w:rFonts w:cs="Arial"/>
          <w:bCs/>
          <w:iCs/>
          <w:sz w:val="22"/>
          <w:szCs w:val="22"/>
          <w:lang w:eastAsia="ja-JP"/>
        </w:rPr>
      </w:pPr>
    </w:p>
    <w:p w14:paraId="16776299" w14:textId="415A5CFB" w:rsidR="00527A3A" w:rsidRPr="00527A3A" w:rsidRDefault="00C257C6" w:rsidP="00527A3A">
      <w:pPr>
        <w:pStyle w:val="BodyText"/>
        <w:jc w:val="both"/>
        <w:rPr>
          <w:rFonts w:cs="Arial"/>
          <w:bCs/>
          <w:iCs/>
          <w:sz w:val="22"/>
          <w:szCs w:val="22"/>
        </w:rPr>
      </w:pPr>
      <w:r w:rsidRPr="008E4E92">
        <w:rPr>
          <w:rFonts w:cs="Arial"/>
          <w:bCs/>
          <w:iCs/>
          <w:sz w:val="22"/>
          <w:szCs w:val="22"/>
          <w:lang w:eastAsia="ja-JP"/>
        </w:rPr>
        <w:t>No.</w:t>
      </w:r>
    </w:p>
    <w:p w14:paraId="42C94351" w14:textId="7B89D4BC" w:rsidR="00C257C6" w:rsidRPr="00C14CE3" w:rsidRDefault="00C257C6" w:rsidP="00C14CE3">
      <w:pPr>
        <w:pStyle w:val="BodyText"/>
        <w:tabs>
          <w:tab w:val="num" w:pos="567"/>
        </w:tabs>
        <w:ind w:left="567"/>
        <w:jc w:val="both"/>
        <w:rPr>
          <w:rFonts w:cs="Arial"/>
          <w:bCs/>
          <w:i/>
          <w:iCs/>
          <w:sz w:val="22"/>
          <w:szCs w:val="22"/>
        </w:rPr>
      </w:pPr>
    </w:p>
    <w:p w14:paraId="3E28414F" w14:textId="77777777" w:rsidR="00C257C6" w:rsidRPr="004945B8" w:rsidRDefault="00C257C6" w:rsidP="00C257C6">
      <w:pPr>
        <w:pStyle w:val="BodyText"/>
        <w:numPr>
          <w:ilvl w:val="0"/>
          <w:numId w:val="1"/>
        </w:numPr>
        <w:tabs>
          <w:tab w:val="clear" w:pos="360"/>
          <w:tab w:val="num" w:pos="567"/>
        </w:tabs>
        <w:ind w:left="567" w:hanging="567"/>
        <w:jc w:val="both"/>
        <w:rPr>
          <w:rFonts w:cs="Arial"/>
          <w:bCs/>
          <w:i/>
          <w:iCs/>
          <w:sz w:val="22"/>
          <w:szCs w:val="22"/>
        </w:rPr>
      </w:pPr>
      <w:r w:rsidRPr="004945B8">
        <w:rPr>
          <w:rFonts w:cs="Arial"/>
          <w:bCs/>
          <w:i/>
          <w:iCs/>
          <w:sz w:val="22"/>
          <w:szCs w:val="22"/>
        </w:rPr>
        <w:t>Provide details of any relevant active comparator(s) for the product in the indication(s) (with respect to any positioning, if relevant) detailed in the submission.</w:t>
      </w:r>
    </w:p>
    <w:p w14:paraId="295E4719" w14:textId="77777777" w:rsidR="00C257C6" w:rsidRPr="008E4E92" w:rsidRDefault="00C257C6" w:rsidP="00C257C6">
      <w:pPr>
        <w:pStyle w:val="BodyText"/>
        <w:jc w:val="both"/>
        <w:rPr>
          <w:rFonts w:cs="Arial"/>
          <w:bCs/>
          <w:iCs/>
          <w:sz w:val="22"/>
          <w:szCs w:val="22"/>
          <w:lang w:eastAsia="ja-JP"/>
        </w:rPr>
      </w:pPr>
    </w:p>
    <w:p w14:paraId="5D6C7E1A" w14:textId="31DC52AA" w:rsidR="002E51F2" w:rsidRPr="00F91ABA" w:rsidRDefault="008B134E" w:rsidP="002E51F2">
      <w:pPr>
        <w:rPr>
          <w:sz w:val="22"/>
          <w:szCs w:val="22"/>
        </w:rPr>
      </w:pPr>
      <w:r>
        <w:rPr>
          <w:sz w:val="22"/>
          <w:szCs w:val="22"/>
        </w:rPr>
        <w:t xml:space="preserve">A number of antibiotics </w:t>
      </w:r>
      <w:r w:rsidRPr="00A4092E">
        <w:rPr>
          <w:sz w:val="22"/>
          <w:szCs w:val="22"/>
        </w:rPr>
        <w:t xml:space="preserve">are </w:t>
      </w:r>
      <w:r w:rsidR="00452E81" w:rsidRPr="00A4092E">
        <w:rPr>
          <w:sz w:val="22"/>
          <w:szCs w:val="22"/>
        </w:rPr>
        <w:t>licensed for use</w:t>
      </w:r>
      <w:r w:rsidRPr="00A4092E">
        <w:rPr>
          <w:sz w:val="22"/>
          <w:szCs w:val="22"/>
        </w:rPr>
        <w:t xml:space="preserve"> in NHS</w:t>
      </w:r>
      <w:r>
        <w:rPr>
          <w:sz w:val="22"/>
          <w:szCs w:val="22"/>
        </w:rPr>
        <w:t xml:space="preserve"> Scotland to treat a variety of complicated skin and skin tissue infections (cSSTIs), including ABSSSIs, such as vancomycin, daptomycin, </w:t>
      </w:r>
      <w:r w:rsidR="004C3ED5">
        <w:rPr>
          <w:sz w:val="22"/>
          <w:szCs w:val="22"/>
        </w:rPr>
        <w:t xml:space="preserve">ceftaroline, </w:t>
      </w:r>
      <w:r>
        <w:rPr>
          <w:sz w:val="22"/>
          <w:szCs w:val="22"/>
        </w:rPr>
        <w:t xml:space="preserve">teicoplanin, tigecycline and linezolid. These are discussed in more detail in section 5d). </w:t>
      </w:r>
      <w:r w:rsidR="002E51F2" w:rsidRPr="00F91ABA">
        <w:rPr>
          <w:sz w:val="22"/>
          <w:szCs w:val="22"/>
        </w:rPr>
        <w:t>The relevant active comparator for tedizolid phosphate in the clinical situation/sub-population described in sub-section 1b) above is linezolid (Zyvox</w:t>
      </w:r>
      <w:r w:rsidR="002E51F2" w:rsidRPr="00F91ABA">
        <w:rPr>
          <w:sz w:val="22"/>
          <w:szCs w:val="22"/>
          <w:vertAlign w:val="superscript"/>
        </w:rPr>
        <w:t>R</w:t>
      </w:r>
      <w:r w:rsidR="002E51F2" w:rsidRPr="00F91ABA">
        <w:rPr>
          <w:sz w:val="22"/>
          <w:szCs w:val="22"/>
        </w:rPr>
        <w:t xml:space="preserve">). </w:t>
      </w:r>
    </w:p>
    <w:p w14:paraId="262E89DB" w14:textId="77777777" w:rsidR="002E51F2" w:rsidRPr="00F91ABA" w:rsidRDefault="002E51F2" w:rsidP="002E51F2">
      <w:pPr>
        <w:rPr>
          <w:rFonts w:cs="Arial"/>
          <w:sz w:val="22"/>
          <w:szCs w:val="22"/>
        </w:rPr>
      </w:pPr>
    </w:p>
    <w:p w14:paraId="4BC9B7C9" w14:textId="2AF36384" w:rsidR="00452E81" w:rsidRPr="00F91ABA" w:rsidRDefault="00515977" w:rsidP="00452E81">
      <w:pPr>
        <w:rPr>
          <w:rFonts w:cs="Arial"/>
          <w:sz w:val="22"/>
          <w:szCs w:val="22"/>
        </w:rPr>
      </w:pPr>
      <w:r w:rsidRPr="00ED3510">
        <w:rPr>
          <w:rFonts w:cs="Arial"/>
          <w:sz w:val="22"/>
          <w:szCs w:val="22"/>
          <w:lang w:val="en-US" w:eastAsia="ja-JP"/>
        </w:rPr>
        <w:t xml:space="preserve">The British Society for Antimicrobial Chemotherapy (BSAC) has published evidence-based guidelines for the prevention and treatment of </w:t>
      </w:r>
      <w:r>
        <w:rPr>
          <w:rFonts w:cs="Arial"/>
          <w:sz w:val="22"/>
          <w:szCs w:val="22"/>
          <w:lang w:val="en-US" w:eastAsia="ja-JP"/>
        </w:rPr>
        <w:t xml:space="preserve">a variety of </w:t>
      </w:r>
      <w:r w:rsidRPr="00ED3510">
        <w:rPr>
          <w:rFonts w:cs="Arial"/>
          <w:sz w:val="22"/>
          <w:szCs w:val="22"/>
          <w:lang w:val="en-US" w:eastAsia="ja-JP"/>
        </w:rPr>
        <w:t>MRSA</w:t>
      </w:r>
      <w:r>
        <w:rPr>
          <w:rFonts w:cs="Arial"/>
          <w:sz w:val="22"/>
          <w:szCs w:val="22"/>
          <w:lang w:val="en-US" w:eastAsia="ja-JP"/>
        </w:rPr>
        <w:t>-caused</w:t>
      </w:r>
      <w:r w:rsidRPr="00ED3510">
        <w:rPr>
          <w:rFonts w:cs="Arial"/>
          <w:sz w:val="22"/>
          <w:szCs w:val="22"/>
          <w:lang w:val="en-US" w:eastAsia="ja-JP"/>
        </w:rPr>
        <w:t xml:space="preserve"> infections (</w:t>
      </w:r>
      <w:r w:rsidR="00975FFA">
        <w:rPr>
          <w:rFonts w:cs="Arial"/>
          <w:sz w:val="22"/>
          <w:szCs w:val="22"/>
          <w:lang w:val="en-US" w:eastAsia="ja-JP"/>
        </w:rPr>
        <w:fldChar w:fldCharType="begin"/>
      </w:r>
      <w:r w:rsidR="00975FFA">
        <w:rPr>
          <w:rFonts w:cs="Arial"/>
          <w:sz w:val="22"/>
          <w:szCs w:val="22"/>
          <w:lang w:val="en-US" w:eastAsia="ja-JP"/>
        </w:rPr>
        <w:instrText xml:space="preserve"> REF _Ref284168416 \r \h </w:instrText>
      </w:r>
      <w:r w:rsidR="00975FFA">
        <w:rPr>
          <w:rFonts w:cs="Arial"/>
          <w:sz w:val="22"/>
          <w:szCs w:val="22"/>
          <w:lang w:val="en-US" w:eastAsia="ja-JP"/>
        </w:rPr>
      </w:r>
      <w:r w:rsidR="00975FFA">
        <w:rPr>
          <w:rFonts w:cs="Arial"/>
          <w:sz w:val="22"/>
          <w:szCs w:val="22"/>
          <w:lang w:val="en-US" w:eastAsia="ja-JP"/>
        </w:rPr>
        <w:fldChar w:fldCharType="separate"/>
      </w:r>
      <w:r w:rsidR="00151A1C">
        <w:rPr>
          <w:rFonts w:cs="Arial"/>
          <w:sz w:val="22"/>
          <w:szCs w:val="22"/>
          <w:lang w:val="en-US" w:eastAsia="ja-JP"/>
        </w:rPr>
        <w:t>2</w:t>
      </w:r>
      <w:r w:rsidR="00975FFA">
        <w:rPr>
          <w:rFonts w:cs="Arial"/>
          <w:sz w:val="22"/>
          <w:szCs w:val="22"/>
          <w:lang w:val="en-US" w:eastAsia="ja-JP"/>
        </w:rPr>
        <w:fldChar w:fldCharType="end"/>
      </w:r>
      <w:r w:rsidRPr="00ED3510">
        <w:rPr>
          <w:rFonts w:cs="Arial"/>
          <w:sz w:val="22"/>
          <w:szCs w:val="22"/>
          <w:lang w:val="en-US" w:eastAsia="ja-JP"/>
        </w:rPr>
        <w:t xml:space="preserve">). </w:t>
      </w:r>
      <w:r>
        <w:rPr>
          <w:rFonts w:cs="Arial"/>
          <w:sz w:val="22"/>
          <w:szCs w:val="22"/>
          <w:lang w:val="en-US" w:eastAsia="ja-JP"/>
        </w:rPr>
        <w:t>There is currently no Scottish guidance specifically for managing ABSSSIs caused by MRSA although</w:t>
      </w:r>
      <w:r w:rsidR="00452E81" w:rsidRPr="00F91ABA">
        <w:rPr>
          <w:rFonts w:cs="Arial"/>
          <w:sz w:val="22"/>
          <w:szCs w:val="22"/>
        </w:rPr>
        <w:t xml:space="preserve"> Scottish </w:t>
      </w:r>
      <w:r>
        <w:rPr>
          <w:rFonts w:cs="Arial"/>
          <w:sz w:val="22"/>
          <w:szCs w:val="22"/>
        </w:rPr>
        <w:t xml:space="preserve">Antimicrobial Prescribing Group </w:t>
      </w:r>
      <w:r w:rsidR="00452E81" w:rsidRPr="00F91ABA">
        <w:rPr>
          <w:rFonts w:cs="Arial"/>
          <w:sz w:val="22"/>
          <w:szCs w:val="22"/>
        </w:rPr>
        <w:t xml:space="preserve">guidance </w:t>
      </w:r>
      <w:r>
        <w:rPr>
          <w:rFonts w:cs="Arial"/>
          <w:sz w:val="22"/>
          <w:szCs w:val="22"/>
        </w:rPr>
        <w:t>recommends treating</w:t>
      </w:r>
      <w:r w:rsidR="00452E81" w:rsidRPr="00F91ABA">
        <w:rPr>
          <w:rFonts w:cs="Arial"/>
          <w:sz w:val="22"/>
          <w:szCs w:val="22"/>
        </w:rPr>
        <w:t xml:space="preserve"> </w:t>
      </w:r>
      <w:r w:rsidR="00A4092E">
        <w:rPr>
          <w:rFonts w:cs="Arial"/>
          <w:sz w:val="22"/>
          <w:szCs w:val="22"/>
        </w:rPr>
        <w:t xml:space="preserve">all </w:t>
      </w:r>
      <w:r w:rsidR="00452E81" w:rsidRPr="00515977">
        <w:rPr>
          <w:rFonts w:cs="Arial"/>
          <w:i/>
          <w:sz w:val="22"/>
          <w:szCs w:val="22"/>
        </w:rPr>
        <w:t>Staph. aureus</w:t>
      </w:r>
      <w:r w:rsidR="00452E81" w:rsidRPr="00F91ABA">
        <w:rPr>
          <w:rFonts w:cs="Arial"/>
          <w:sz w:val="22"/>
          <w:szCs w:val="22"/>
        </w:rPr>
        <w:t xml:space="preserve"> bacteraemia (SAB) infections empirically, initiating intravenous vancomycin </w:t>
      </w:r>
      <w:r w:rsidR="00A4092E">
        <w:rPr>
          <w:rFonts w:cs="Arial"/>
          <w:sz w:val="22"/>
          <w:szCs w:val="22"/>
        </w:rPr>
        <w:t xml:space="preserve">specifically </w:t>
      </w:r>
      <w:r w:rsidR="00452E81" w:rsidRPr="00F91ABA">
        <w:rPr>
          <w:rFonts w:cs="Arial"/>
          <w:sz w:val="22"/>
          <w:szCs w:val="22"/>
        </w:rPr>
        <w:t xml:space="preserve">where </w:t>
      </w:r>
      <w:r w:rsidR="00A4092E">
        <w:rPr>
          <w:rFonts w:cs="Arial"/>
          <w:sz w:val="22"/>
          <w:szCs w:val="22"/>
        </w:rPr>
        <w:t xml:space="preserve">a </w:t>
      </w:r>
      <w:r w:rsidR="00452E81" w:rsidRPr="00F91ABA">
        <w:rPr>
          <w:rFonts w:cs="Arial"/>
          <w:sz w:val="22"/>
          <w:szCs w:val="22"/>
        </w:rPr>
        <w:t>Gram-positive MRSA infection is either suspected or proven (</w:t>
      </w:r>
      <w:r w:rsidR="00975FFA">
        <w:rPr>
          <w:rFonts w:cs="Arial"/>
          <w:sz w:val="22"/>
          <w:szCs w:val="22"/>
        </w:rPr>
        <w:fldChar w:fldCharType="begin"/>
      </w:r>
      <w:r w:rsidR="00975FFA">
        <w:rPr>
          <w:rFonts w:cs="Arial"/>
          <w:sz w:val="22"/>
          <w:szCs w:val="22"/>
        </w:rPr>
        <w:instrText xml:space="preserve"> REF _Ref284168509 \r \h </w:instrText>
      </w:r>
      <w:r w:rsidR="00975FFA">
        <w:rPr>
          <w:rFonts w:cs="Arial"/>
          <w:sz w:val="22"/>
          <w:szCs w:val="22"/>
        </w:rPr>
      </w:r>
      <w:r w:rsidR="00975FFA">
        <w:rPr>
          <w:rFonts w:cs="Arial"/>
          <w:sz w:val="22"/>
          <w:szCs w:val="22"/>
        </w:rPr>
        <w:fldChar w:fldCharType="separate"/>
      </w:r>
      <w:r w:rsidR="00151A1C">
        <w:rPr>
          <w:rFonts w:cs="Arial"/>
          <w:sz w:val="22"/>
          <w:szCs w:val="22"/>
        </w:rPr>
        <w:t>3</w:t>
      </w:r>
      <w:r w:rsidR="00975FFA">
        <w:rPr>
          <w:rFonts w:cs="Arial"/>
          <w:sz w:val="22"/>
          <w:szCs w:val="22"/>
        </w:rPr>
        <w:fldChar w:fldCharType="end"/>
      </w:r>
      <w:r w:rsidR="00452E81" w:rsidRPr="00F91ABA">
        <w:rPr>
          <w:rFonts w:cs="Arial"/>
          <w:sz w:val="22"/>
          <w:szCs w:val="22"/>
        </w:rPr>
        <w:t xml:space="preserve">). In patients who are intolerant to vancomycin, have a vancomycin allergy, treatment failure or if there is clinical concern regarding response, </w:t>
      </w:r>
      <w:r>
        <w:rPr>
          <w:rFonts w:cs="Arial"/>
          <w:sz w:val="22"/>
          <w:szCs w:val="22"/>
        </w:rPr>
        <w:t xml:space="preserve">an </w:t>
      </w:r>
      <w:r w:rsidR="00452E81" w:rsidRPr="00F91ABA">
        <w:rPr>
          <w:rFonts w:cs="Arial"/>
          <w:sz w:val="22"/>
          <w:szCs w:val="22"/>
        </w:rPr>
        <w:t>alternative therapy should be discussed</w:t>
      </w:r>
      <w:r w:rsidR="00A4092E">
        <w:rPr>
          <w:rFonts w:cs="Arial"/>
          <w:sz w:val="22"/>
          <w:szCs w:val="22"/>
        </w:rPr>
        <w:t xml:space="preserve"> (</w:t>
      </w:r>
      <w:r w:rsidR="00975FFA">
        <w:rPr>
          <w:rFonts w:cs="Arial"/>
          <w:sz w:val="22"/>
          <w:szCs w:val="22"/>
        </w:rPr>
        <w:fldChar w:fldCharType="begin"/>
      </w:r>
      <w:r w:rsidR="00975FFA">
        <w:rPr>
          <w:rFonts w:cs="Arial"/>
          <w:sz w:val="22"/>
          <w:szCs w:val="22"/>
        </w:rPr>
        <w:instrText xml:space="preserve"> REF _Ref284168509 \r \h </w:instrText>
      </w:r>
      <w:r w:rsidR="00975FFA">
        <w:rPr>
          <w:rFonts w:cs="Arial"/>
          <w:sz w:val="22"/>
          <w:szCs w:val="22"/>
        </w:rPr>
      </w:r>
      <w:r w:rsidR="00975FFA">
        <w:rPr>
          <w:rFonts w:cs="Arial"/>
          <w:sz w:val="22"/>
          <w:szCs w:val="22"/>
        </w:rPr>
        <w:fldChar w:fldCharType="separate"/>
      </w:r>
      <w:r w:rsidR="00151A1C">
        <w:rPr>
          <w:rFonts w:cs="Arial"/>
          <w:sz w:val="22"/>
          <w:szCs w:val="22"/>
        </w:rPr>
        <w:t>3</w:t>
      </w:r>
      <w:r w:rsidR="00975FFA">
        <w:rPr>
          <w:rFonts w:cs="Arial"/>
          <w:sz w:val="22"/>
          <w:szCs w:val="22"/>
        </w:rPr>
        <w:fldChar w:fldCharType="end"/>
      </w:r>
      <w:r w:rsidR="0064685A">
        <w:rPr>
          <w:rFonts w:cs="Arial"/>
          <w:sz w:val="22"/>
          <w:szCs w:val="22"/>
        </w:rPr>
        <w:t>)</w:t>
      </w:r>
      <w:r w:rsidR="00452E81" w:rsidRPr="00F91ABA">
        <w:rPr>
          <w:rFonts w:cs="Arial"/>
          <w:sz w:val="22"/>
          <w:szCs w:val="22"/>
        </w:rPr>
        <w:t>.</w:t>
      </w:r>
    </w:p>
    <w:p w14:paraId="149C803A" w14:textId="77777777" w:rsidR="00452E81" w:rsidRPr="00F91ABA" w:rsidRDefault="00452E81" w:rsidP="00452E81">
      <w:pPr>
        <w:rPr>
          <w:rFonts w:cs="Arial"/>
          <w:sz w:val="22"/>
          <w:szCs w:val="22"/>
        </w:rPr>
      </w:pPr>
    </w:p>
    <w:p w14:paraId="1727AD51" w14:textId="6B7D0BC3" w:rsidR="00F91ABA" w:rsidRPr="00F91ABA" w:rsidRDefault="00452E81" w:rsidP="00452E81">
      <w:pPr>
        <w:rPr>
          <w:rFonts w:cs="Arial"/>
          <w:sz w:val="22"/>
          <w:szCs w:val="22"/>
        </w:rPr>
      </w:pPr>
      <w:r w:rsidRPr="00F91ABA">
        <w:rPr>
          <w:rFonts w:cs="Arial"/>
          <w:sz w:val="22"/>
          <w:szCs w:val="22"/>
        </w:rPr>
        <w:t>Linezolid</w:t>
      </w:r>
      <w:r w:rsidR="00DA277A">
        <w:rPr>
          <w:rFonts w:cs="Arial"/>
          <w:sz w:val="22"/>
          <w:szCs w:val="22"/>
        </w:rPr>
        <w:t xml:space="preserve"> is</w:t>
      </w:r>
      <w:r w:rsidR="00F91ABA" w:rsidRPr="00F91ABA">
        <w:rPr>
          <w:rFonts w:cs="Arial"/>
          <w:sz w:val="22"/>
          <w:szCs w:val="22"/>
        </w:rPr>
        <w:t xml:space="preserve"> a recommended treatment option for </w:t>
      </w:r>
      <w:r w:rsidR="00173273">
        <w:rPr>
          <w:rFonts w:cs="Arial"/>
          <w:sz w:val="22"/>
          <w:szCs w:val="22"/>
        </w:rPr>
        <w:t>cSSTIs</w:t>
      </w:r>
      <w:r w:rsidR="00F91ABA" w:rsidRPr="00F91ABA">
        <w:rPr>
          <w:rFonts w:cs="Arial"/>
          <w:sz w:val="22"/>
          <w:szCs w:val="22"/>
        </w:rPr>
        <w:t xml:space="preserve"> caused by a Gram-positive organism such as MRSA where a glycopeptide, such as vancomycin, is unsuitable (</w:t>
      </w:r>
      <w:r w:rsidR="00975FFA">
        <w:rPr>
          <w:rFonts w:cs="Arial"/>
          <w:sz w:val="22"/>
          <w:szCs w:val="22"/>
        </w:rPr>
        <w:fldChar w:fldCharType="begin"/>
      </w:r>
      <w:r w:rsidR="00975FFA">
        <w:rPr>
          <w:rFonts w:cs="Arial"/>
          <w:sz w:val="22"/>
          <w:szCs w:val="22"/>
        </w:rPr>
        <w:instrText xml:space="preserve"> REF _Ref284168565 \r \h </w:instrText>
      </w:r>
      <w:r w:rsidR="00975FFA">
        <w:rPr>
          <w:rFonts w:cs="Arial"/>
          <w:sz w:val="22"/>
          <w:szCs w:val="22"/>
        </w:rPr>
      </w:r>
      <w:r w:rsidR="00975FFA">
        <w:rPr>
          <w:rFonts w:cs="Arial"/>
          <w:sz w:val="22"/>
          <w:szCs w:val="22"/>
        </w:rPr>
        <w:fldChar w:fldCharType="separate"/>
      </w:r>
      <w:r w:rsidR="00151A1C">
        <w:rPr>
          <w:rFonts w:cs="Arial"/>
          <w:sz w:val="22"/>
          <w:szCs w:val="22"/>
        </w:rPr>
        <w:t>4</w:t>
      </w:r>
      <w:r w:rsidR="00975FFA">
        <w:rPr>
          <w:rFonts w:cs="Arial"/>
          <w:sz w:val="22"/>
          <w:szCs w:val="22"/>
        </w:rPr>
        <w:fldChar w:fldCharType="end"/>
      </w:r>
      <w:r w:rsidR="00F91ABA" w:rsidRPr="00F91ABA">
        <w:rPr>
          <w:rFonts w:cs="Arial"/>
          <w:sz w:val="22"/>
          <w:szCs w:val="22"/>
        </w:rPr>
        <w:t xml:space="preserve">) or is otherwise inappropriate, has not been tolerated or where treatment modification is required. </w:t>
      </w:r>
    </w:p>
    <w:p w14:paraId="3A19BE0F" w14:textId="77777777" w:rsidR="00F91ABA" w:rsidRPr="00F91ABA" w:rsidRDefault="00F91ABA" w:rsidP="00F91ABA">
      <w:pPr>
        <w:rPr>
          <w:rFonts w:cs="Arial"/>
          <w:sz w:val="22"/>
          <w:szCs w:val="22"/>
        </w:rPr>
      </w:pPr>
    </w:p>
    <w:p w14:paraId="0C89F43D" w14:textId="6328CEE4" w:rsidR="00F91ABA" w:rsidRPr="00F91ABA" w:rsidRDefault="00F91ABA" w:rsidP="00F91ABA">
      <w:pPr>
        <w:widowControl w:val="0"/>
        <w:autoSpaceDE w:val="0"/>
        <w:autoSpaceDN w:val="0"/>
        <w:adjustRightInd w:val="0"/>
        <w:rPr>
          <w:rFonts w:cs="Arial"/>
          <w:sz w:val="22"/>
          <w:szCs w:val="22"/>
        </w:rPr>
      </w:pPr>
      <w:r w:rsidRPr="00C224C8">
        <w:rPr>
          <w:rFonts w:cs="Arial"/>
          <w:sz w:val="22"/>
          <w:szCs w:val="22"/>
        </w:rPr>
        <w:t xml:space="preserve">Tedizolid phosphate and linezolid are both from the oxazolidinone class of antibiotics, </w:t>
      </w:r>
      <w:r w:rsidR="00DA277A" w:rsidRPr="00C224C8">
        <w:rPr>
          <w:rFonts w:cs="Arial"/>
          <w:sz w:val="22"/>
          <w:szCs w:val="22"/>
        </w:rPr>
        <w:t xml:space="preserve">and are the only two agents licensed (or anticipated to be licensed) </w:t>
      </w:r>
      <w:r w:rsidR="00905DE0" w:rsidRPr="00C224C8">
        <w:rPr>
          <w:rFonts w:cs="Arial"/>
          <w:sz w:val="22"/>
          <w:szCs w:val="22"/>
        </w:rPr>
        <w:t xml:space="preserve">and used in NHS Scotland </w:t>
      </w:r>
      <w:r w:rsidR="00DA277A" w:rsidRPr="00C224C8">
        <w:rPr>
          <w:rFonts w:cs="Arial"/>
          <w:sz w:val="22"/>
          <w:szCs w:val="22"/>
        </w:rPr>
        <w:t>t</w:t>
      </w:r>
      <w:r w:rsidR="0064685A" w:rsidRPr="00C224C8">
        <w:rPr>
          <w:rFonts w:cs="Arial"/>
          <w:sz w:val="22"/>
          <w:szCs w:val="22"/>
        </w:rPr>
        <w:t xml:space="preserve">o treat </w:t>
      </w:r>
      <w:r w:rsidR="00905DE0" w:rsidRPr="00C224C8">
        <w:rPr>
          <w:rFonts w:cs="Arial"/>
          <w:sz w:val="22"/>
          <w:szCs w:val="22"/>
        </w:rPr>
        <w:t>MRSA-</w:t>
      </w:r>
      <w:r w:rsidR="0064685A" w:rsidRPr="00C224C8">
        <w:rPr>
          <w:rFonts w:cs="Arial"/>
          <w:sz w:val="22"/>
          <w:szCs w:val="22"/>
        </w:rPr>
        <w:t xml:space="preserve">caused </w:t>
      </w:r>
      <w:r w:rsidR="00340FF4" w:rsidRPr="00C224C8">
        <w:rPr>
          <w:rFonts w:cs="Arial"/>
          <w:sz w:val="22"/>
          <w:szCs w:val="22"/>
        </w:rPr>
        <w:t>infections</w:t>
      </w:r>
      <w:r w:rsidR="00905DE0" w:rsidRPr="00C224C8">
        <w:rPr>
          <w:rFonts w:cs="Arial"/>
          <w:sz w:val="22"/>
          <w:szCs w:val="22"/>
        </w:rPr>
        <w:t xml:space="preserve"> </w:t>
      </w:r>
      <w:r w:rsidR="00DA277A" w:rsidRPr="00C224C8">
        <w:rPr>
          <w:rFonts w:cs="Arial"/>
          <w:sz w:val="22"/>
          <w:szCs w:val="22"/>
        </w:rPr>
        <w:t xml:space="preserve">that are available in both oral and intravenous formulations. </w:t>
      </w:r>
      <w:r w:rsidRPr="00C224C8">
        <w:rPr>
          <w:rFonts w:cs="Arial"/>
          <w:sz w:val="22"/>
          <w:szCs w:val="22"/>
        </w:rPr>
        <w:t xml:space="preserve"> Currently, the only approved agent for the treatment of cSSTI allowing an IV-to-oral switch treatment scheme without necessitating</w:t>
      </w:r>
      <w:r w:rsidRPr="00F91ABA">
        <w:rPr>
          <w:rFonts w:cs="Arial"/>
          <w:sz w:val="22"/>
          <w:szCs w:val="22"/>
        </w:rPr>
        <w:t xml:space="preserve"> a change in antibiotic and/or dose is linezolid. Linezolid is increasingly used in the NHS in Scotland </w:t>
      </w:r>
      <w:r w:rsidR="008B7201">
        <w:rPr>
          <w:rFonts w:cs="Arial"/>
          <w:sz w:val="22"/>
          <w:szCs w:val="22"/>
        </w:rPr>
        <w:t xml:space="preserve">for </w:t>
      </w:r>
      <w:r w:rsidRPr="00F91ABA">
        <w:rPr>
          <w:rFonts w:cs="Arial"/>
          <w:sz w:val="22"/>
          <w:szCs w:val="22"/>
        </w:rPr>
        <w:t>the treatment of cSSTI, particularly if MRSA is considered a likely pathogen (</w:t>
      </w:r>
      <w:r w:rsidR="003827D1">
        <w:rPr>
          <w:rFonts w:cs="Arial"/>
          <w:sz w:val="22"/>
          <w:szCs w:val="22"/>
        </w:rPr>
        <w:fldChar w:fldCharType="begin"/>
      </w:r>
      <w:r w:rsidR="003827D1">
        <w:rPr>
          <w:rFonts w:cs="Arial"/>
          <w:sz w:val="22"/>
          <w:szCs w:val="22"/>
        </w:rPr>
        <w:instrText xml:space="preserve"> REF _Ref284168804 \r \h </w:instrText>
      </w:r>
      <w:r w:rsidR="003827D1">
        <w:rPr>
          <w:rFonts w:cs="Arial"/>
          <w:sz w:val="22"/>
          <w:szCs w:val="22"/>
        </w:rPr>
      </w:r>
      <w:r w:rsidR="003827D1">
        <w:rPr>
          <w:rFonts w:cs="Arial"/>
          <w:sz w:val="22"/>
          <w:szCs w:val="22"/>
        </w:rPr>
        <w:fldChar w:fldCharType="separate"/>
      </w:r>
      <w:r w:rsidR="00151A1C">
        <w:rPr>
          <w:rFonts w:cs="Arial"/>
          <w:sz w:val="22"/>
          <w:szCs w:val="22"/>
        </w:rPr>
        <w:t>5</w:t>
      </w:r>
      <w:r w:rsidR="003827D1">
        <w:rPr>
          <w:rFonts w:cs="Arial"/>
          <w:sz w:val="22"/>
          <w:szCs w:val="22"/>
        </w:rPr>
        <w:fldChar w:fldCharType="end"/>
      </w:r>
      <w:r w:rsidR="00CA138B">
        <w:rPr>
          <w:rFonts w:cs="Arial"/>
          <w:sz w:val="22"/>
          <w:szCs w:val="22"/>
        </w:rPr>
        <w:t>;</w:t>
      </w:r>
      <w:r w:rsidR="003827D1">
        <w:rPr>
          <w:rFonts w:cs="Arial"/>
          <w:sz w:val="22"/>
          <w:szCs w:val="22"/>
        </w:rPr>
        <w:fldChar w:fldCharType="begin"/>
      </w:r>
      <w:r w:rsidR="003827D1">
        <w:rPr>
          <w:rFonts w:cs="Arial"/>
          <w:sz w:val="22"/>
          <w:szCs w:val="22"/>
        </w:rPr>
        <w:instrText xml:space="preserve"> REF _Ref284168824 \r \h </w:instrText>
      </w:r>
      <w:r w:rsidR="003827D1">
        <w:rPr>
          <w:rFonts w:cs="Arial"/>
          <w:sz w:val="22"/>
          <w:szCs w:val="22"/>
        </w:rPr>
      </w:r>
      <w:r w:rsidR="003827D1">
        <w:rPr>
          <w:rFonts w:cs="Arial"/>
          <w:sz w:val="22"/>
          <w:szCs w:val="22"/>
        </w:rPr>
        <w:fldChar w:fldCharType="separate"/>
      </w:r>
      <w:r w:rsidR="00151A1C">
        <w:rPr>
          <w:rFonts w:cs="Arial"/>
          <w:sz w:val="22"/>
          <w:szCs w:val="22"/>
        </w:rPr>
        <w:t>6</w:t>
      </w:r>
      <w:r w:rsidR="003827D1">
        <w:rPr>
          <w:rFonts w:cs="Arial"/>
          <w:sz w:val="22"/>
          <w:szCs w:val="22"/>
        </w:rPr>
        <w:fldChar w:fldCharType="end"/>
      </w:r>
      <w:r w:rsidRPr="00F91ABA">
        <w:rPr>
          <w:rFonts w:cs="Arial"/>
          <w:sz w:val="22"/>
          <w:szCs w:val="22"/>
        </w:rPr>
        <w:t>).</w:t>
      </w:r>
    </w:p>
    <w:p w14:paraId="00D92D9B" w14:textId="4514AECF" w:rsidR="00F91ABA" w:rsidRPr="00F91ABA" w:rsidRDefault="00F91ABA" w:rsidP="00F91ABA">
      <w:pPr>
        <w:rPr>
          <w:rFonts w:cs="Arial"/>
          <w:sz w:val="22"/>
          <w:szCs w:val="22"/>
        </w:rPr>
      </w:pPr>
      <w:r w:rsidRPr="00F91ABA">
        <w:rPr>
          <w:rFonts w:cs="Arial"/>
          <w:sz w:val="22"/>
          <w:szCs w:val="22"/>
        </w:rPr>
        <w:t xml:space="preserve"> </w:t>
      </w:r>
    </w:p>
    <w:p w14:paraId="30C48EF6" w14:textId="240ED123" w:rsidR="002E51F2" w:rsidRPr="002467EA" w:rsidRDefault="00F91ABA" w:rsidP="002467EA">
      <w:pPr>
        <w:rPr>
          <w:rFonts w:cs="Arial"/>
          <w:sz w:val="22"/>
          <w:szCs w:val="22"/>
        </w:rPr>
      </w:pPr>
      <w:r w:rsidRPr="00F91ABA">
        <w:rPr>
          <w:rFonts w:cs="Arial"/>
          <w:sz w:val="22"/>
          <w:szCs w:val="22"/>
        </w:rPr>
        <w:t>For all of these reasons, linezolid is the relevant active comparator for tedizolid phosphate and is the agent that would be displaced by tedizolid</w:t>
      </w:r>
      <w:r w:rsidR="002C3FB7">
        <w:rPr>
          <w:rFonts w:cs="Arial"/>
          <w:sz w:val="22"/>
          <w:szCs w:val="22"/>
        </w:rPr>
        <w:t xml:space="preserve"> phosphate</w:t>
      </w:r>
      <w:r w:rsidRPr="00F91ABA">
        <w:rPr>
          <w:rFonts w:cs="Arial"/>
          <w:sz w:val="22"/>
          <w:szCs w:val="22"/>
        </w:rPr>
        <w:t xml:space="preserve"> in this treatment setting in the NHS in Scotland. This assumption has been confirmed by Scottish expert clinical opinion.</w:t>
      </w:r>
    </w:p>
    <w:p w14:paraId="706CBDA0" w14:textId="77777777" w:rsidR="00C257C6" w:rsidRPr="008E4E92" w:rsidRDefault="00C257C6" w:rsidP="00C257C6">
      <w:pPr>
        <w:tabs>
          <w:tab w:val="num" w:pos="567"/>
        </w:tabs>
        <w:ind w:left="567" w:hanging="567"/>
        <w:jc w:val="both"/>
        <w:rPr>
          <w:rFonts w:cs="Arial"/>
          <w:sz w:val="22"/>
          <w:szCs w:val="22"/>
        </w:rPr>
      </w:pPr>
    </w:p>
    <w:p w14:paraId="16B39DDC" w14:textId="77777777" w:rsidR="00C257C6" w:rsidRPr="004945B8" w:rsidRDefault="00C257C6" w:rsidP="00C257C6">
      <w:pPr>
        <w:numPr>
          <w:ilvl w:val="0"/>
          <w:numId w:val="1"/>
        </w:numPr>
        <w:tabs>
          <w:tab w:val="clear" w:pos="360"/>
          <w:tab w:val="num" w:pos="567"/>
        </w:tabs>
        <w:ind w:left="567" w:hanging="567"/>
        <w:jc w:val="both"/>
        <w:rPr>
          <w:rFonts w:cs="Arial"/>
          <w:i/>
          <w:iCs/>
          <w:sz w:val="22"/>
          <w:szCs w:val="22"/>
        </w:rPr>
      </w:pPr>
      <w:r w:rsidRPr="004945B8">
        <w:rPr>
          <w:rFonts w:cs="Arial"/>
          <w:i/>
          <w:iCs/>
          <w:sz w:val="22"/>
          <w:szCs w:val="22"/>
        </w:rPr>
        <w:t>Advise if the product or relevant active comparator(s) is currently subject to or scheduled for any other health technology assessment in the UK and provide details of these.</w:t>
      </w:r>
    </w:p>
    <w:p w14:paraId="03BBC8C8" w14:textId="77777777" w:rsidR="00C257C6" w:rsidRPr="008E4E92" w:rsidRDefault="00C257C6" w:rsidP="00C257C6">
      <w:pPr>
        <w:jc w:val="both"/>
        <w:rPr>
          <w:rFonts w:cs="Arial"/>
          <w:iCs/>
          <w:sz w:val="22"/>
          <w:szCs w:val="22"/>
          <w:lang w:eastAsia="ja-JP"/>
        </w:rPr>
      </w:pPr>
    </w:p>
    <w:p w14:paraId="7ACAA006" w14:textId="283438CD" w:rsidR="008E4E92" w:rsidRPr="002467EA" w:rsidRDefault="00367E54" w:rsidP="00050B8B">
      <w:pPr>
        <w:rPr>
          <w:rFonts w:cs="Arial"/>
          <w:iCs/>
          <w:sz w:val="22"/>
          <w:szCs w:val="22"/>
        </w:rPr>
      </w:pPr>
      <w:r w:rsidRPr="002467EA">
        <w:rPr>
          <w:rFonts w:cs="Arial"/>
          <w:iCs/>
          <w:sz w:val="22"/>
          <w:szCs w:val="22"/>
          <w:lang w:eastAsia="ja-JP"/>
        </w:rPr>
        <w:t>Tedizolid phosphate is expected to be subject to an assessment in Wales by the All Wales Medicines Strategy Group (AWMSG). Subject to receiving the EU marketing authorisation, the manufacturer anticipates making a submission to the AWMSG in the first quarter of 2015.</w:t>
      </w:r>
    </w:p>
    <w:p w14:paraId="4A69FE70" w14:textId="77777777" w:rsidR="008E4E92" w:rsidRDefault="008E4E92" w:rsidP="00C257C6">
      <w:pPr>
        <w:rPr>
          <w:rFonts w:cs="Arial"/>
          <w:sz w:val="22"/>
          <w:szCs w:val="22"/>
          <w:lang w:eastAsia="ja-JP"/>
        </w:rPr>
      </w:pPr>
    </w:p>
    <w:p w14:paraId="567561CE" w14:textId="5C651F7D" w:rsidR="008E4E92" w:rsidRDefault="00BA2319" w:rsidP="00604212">
      <w:pPr>
        <w:ind w:left="357" w:hanging="357"/>
        <w:jc w:val="both"/>
        <w:rPr>
          <w:rFonts w:cs="Arial"/>
          <w:sz w:val="22"/>
          <w:szCs w:val="22"/>
          <w:lang w:eastAsia="ja-JP"/>
        </w:rPr>
      </w:pPr>
      <w:r>
        <w:rPr>
          <w:rFonts w:cs="Arial"/>
          <w:sz w:val="22"/>
          <w:szCs w:val="22"/>
          <w:lang w:eastAsia="ja-JP"/>
        </w:rPr>
        <w:br w:type="page"/>
      </w:r>
    </w:p>
    <w:p w14:paraId="7B6815CB" w14:textId="77777777" w:rsidR="008E4E92" w:rsidRPr="007C1AF6" w:rsidRDefault="008E4E92" w:rsidP="008E4E92">
      <w:pPr>
        <w:pBdr>
          <w:top w:val="single" w:sz="4" w:space="0" w:color="auto"/>
          <w:bottom w:val="single" w:sz="4" w:space="1" w:color="auto"/>
        </w:pBdr>
        <w:tabs>
          <w:tab w:val="left" w:pos="567"/>
        </w:tabs>
        <w:spacing w:line="360" w:lineRule="auto"/>
        <w:rPr>
          <w:rFonts w:cs="Arial"/>
          <w:b/>
          <w:sz w:val="28"/>
          <w:szCs w:val="28"/>
        </w:rPr>
      </w:pPr>
      <w:r w:rsidRPr="007C1AF6">
        <w:rPr>
          <w:rFonts w:cs="Arial"/>
          <w:b/>
          <w:sz w:val="28"/>
          <w:szCs w:val="28"/>
        </w:rPr>
        <w:lastRenderedPageBreak/>
        <w:t>2.</w:t>
      </w:r>
      <w:r w:rsidRPr="007C1AF6">
        <w:rPr>
          <w:rFonts w:cs="Arial"/>
          <w:b/>
          <w:sz w:val="28"/>
          <w:szCs w:val="28"/>
        </w:rPr>
        <w:tab/>
      </w:r>
      <w:bookmarkStart w:id="48" w:name="Overview_and_Positioning"/>
      <w:r w:rsidRPr="007C1AF6">
        <w:rPr>
          <w:rFonts w:cs="Arial"/>
          <w:b/>
          <w:sz w:val="28"/>
          <w:szCs w:val="28"/>
        </w:rPr>
        <w:t>Overview and Positioning</w:t>
      </w:r>
      <w:bookmarkEnd w:id="48"/>
    </w:p>
    <w:p w14:paraId="6318F904" w14:textId="77777777" w:rsidR="008E4E92" w:rsidRPr="008E4E92" w:rsidRDefault="008E4E92" w:rsidP="008E4E92">
      <w:pPr>
        <w:jc w:val="both"/>
        <w:rPr>
          <w:rFonts w:cs="Arial"/>
          <w:i/>
          <w:sz w:val="22"/>
          <w:szCs w:val="22"/>
        </w:rPr>
      </w:pPr>
    </w:p>
    <w:p w14:paraId="6337C1AB" w14:textId="77777777" w:rsidR="00550011" w:rsidRPr="0044781C" w:rsidRDefault="00550011" w:rsidP="00550011">
      <w:pPr>
        <w:pStyle w:val="BodyText3"/>
        <w:spacing w:after="0"/>
        <w:jc w:val="both"/>
        <w:rPr>
          <w:rFonts w:cs="Arial"/>
          <w:b/>
          <w:sz w:val="22"/>
          <w:szCs w:val="22"/>
        </w:rPr>
      </w:pPr>
      <w:r w:rsidRPr="0044781C">
        <w:rPr>
          <w:rFonts w:cs="Arial"/>
          <w:b/>
          <w:sz w:val="22"/>
          <w:szCs w:val="22"/>
        </w:rPr>
        <w:t xml:space="preserve">1. Brief overview of disease </w:t>
      </w:r>
    </w:p>
    <w:p w14:paraId="62B6A14C" w14:textId="7FCB5B70" w:rsidR="00FC5E4F" w:rsidRPr="007C68B4" w:rsidRDefault="00101997" w:rsidP="00101997">
      <w:pPr>
        <w:pStyle w:val="BodyText3"/>
        <w:spacing w:after="0"/>
        <w:rPr>
          <w:rFonts w:cs="Arial"/>
          <w:sz w:val="22"/>
          <w:szCs w:val="22"/>
        </w:rPr>
      </w:pPr>
      <w:r w:rsidRPr="007C68B4">
        <w:rPr>
          <w:rFonts w:cs="Arial"/>
          <w:sz w:val="22"/>
          <w:szCs w:val="22"/>
        </w:rPr>
        <w:t xml:space="preserve">Acute bacterial skin and skin structure infections (ABSSSI) </w:t>
      </w:r>
      <w:r w:rsidR="00FC5E4F" w:rsidRPr="007C68B4">
        <w:rPr>
          <w:rFonts w:cs="Arial"/>
          <w:sz w:val="22"/>
          <w:szCs w:val="22"/>
        </w:rPr>
        <w:t xml:space="preserve">comprise a subset of complicated skin and soft tissue infections (cSSTIs), </w:t>
      </w:r>
      <w:r w:rsidR="005B4D4A" w:rsidRPr="007C68B4">
        <w:rPr>
          <w:rFonts w:cs="Arial"/>
          <w:sz w:val="22"/>
          <w:szCs w:val="22"/>
        </w:rPr>
        <w:t xml:space="preserve">a heterogeneous group of disorders </w:t>
      </w:r>
      <w:r w:rsidR="00340FF4" w:rsidRPr="007C68B4">
        <w:rPr>
          <w:rFonts w:cs="Arial"/>
          <w:sz w:val="22"/>
          <w:szCs w:val="22"/>
        </w:rPr>
        <w:t>that</w:t>
      </w:r>
      <w:r w:rsidR="005B4D4A" w:rsidRPr="007C68B4">
        <w:rPr>
          <w:rFonts w:cs="Arial"/>
          <w:sz w:val="22"/>
          <w:szCs w:val="22"/>
        </w:rPr>
        <w:t xml:space="preserve"> </w:t>
      </w:r>
      <w:r w:rsidR="00FC5E4F" w:rsidRPr="007C68B4">
        <w:rPr>
          <w:rFonts w:cs="Arial"/>
          <w:sz w:val="22"/>
          <w:szCs w:val="22"/>
        </w:rPr>
        <w:t xml:space="preserve">represent the more severe presentations of </w:t>
      </w:r>
      <w:r w:rsidRPr="007C68B4">
        <w:rPr>
          <w:rFonts w:cs="Arial"/>
          <w:sz w:val="22"/>
          <w:szCs w:val="22"/>
        </w:rPr>
        <w:t>inflammatory microbial invasion of the</w:t>
      </w:r>
      <w:r w:rsidRPr="007C68B4">
        <w:rPr>
          <w:rFonts w:cs="Arial"/>
          <w:b/>
          <w:sz w:val="22"/>
          <w:szCs w:val="22"/>
        </w:rPr>
        <w:t xml:space="preserve"> </w:t>
      </w:r>
      <w:r w:rsidRPr="007C68B4">
        <w:rPr>
          <w:rFonts w:cs="Arial"/>
          <w:sz w:val="22"/>
          <w:szCs w:val="22"/>
        </w:rPr>
        <w:t>epidermis, d</w:t>
      </w:r>
      <w:r w:rsidR="00FC5E4F" w:rsidRPr="007C68B4">
        <w:rPr>
          <w:rFonts w:cs="Arial"/>
          <w:sz w:val="22"/>
          <w:szCs w:val="22"/>
        </w:rPr>
        <w:t xml:space="preserve">ermis and subcutaneous tissues. </w:t>
      </w:r>
    </w:p>
    <w:p w14:paraId="01192101" w14:textId="77777777" w:rsidR="00FC5E4F" w:rsidRDefault="00FC5E4F" w:rsidP="00101997">
      <w:pPr>
        <w:pStyle w:val="BodyText3"/>
        <w:spacing w:after="0"/>
        <w:rPr>
          <w:rFonts w:cs="Arial"/>
          <w:sz w:val="22"/>
          <w:szCs w:val="22"/>
        </w:rPr>
      </w:pPr>
    </w:p>
    <w:p w14:paraId="6CE32B1F" w14:textId="23807352" w:rsidR="00101997" w:rsidRPr="00FC5E4F" w:rsidRDefault="00FC5E4F" w:rsidP="00101997">
      <w:pPr>
        <w:pStyle w:val="BodyText3"/>
        <w:spacing w:after="0"/>
        <w:rPr>
          <w:rFonts w:cs="Arial"/>
          <w:sz w:val="22"/>
          <w:szCs w:val="22"/>
        </w:rPr>
      </w:pPr>
      <w:r>
        <w:rPr>
          <w:rFonts w:cs="Arial"/>
          <w:sz w:val="22"/>
          <w:szCs w:val="22"/>
        </w:rPr>
        <w:t xml:space="preserve">ABSSSI is </w:t>
      </w:r>
      <w:r w:rsidR="00101997" w:rsidRPr="00DA3FF9">
        <w:rPr>
          <w:rFonts w:cs="Arial"/>
          <w:sz w:val="22"/>
          <w:szCs w:val="22"/>
        </w:rPr>
        <w:t>defined as extensive cellulitis/erysipelas, wound infections, or major cutaneous abscesses, accompanied by redness, oedema, or induration, each with a minimum lesion surface area of approximately 75 cm</w:t>
      </w:r>
      <w:r w:rsidR="00101997" w:rsidRPr="00DA3FF9">
        <w:rPr>
          <w:rFonts w:cs="Arial"/>
          <w:sz w:val="22"/>
          <w:szCs w:val="22"/>
          <w:vertAlign w:val="superscript"/>
        </w:rPr>
        <w:t>2</w:t>
      </w:r>
      <w:r w:rsidR="00101997" w:rsidRPr="00DA3FF9">
        <w:rPr>
          <w:rFonts w:cs="Arial"/>
          <w:sz w:val="22"/>
          <w:szCs w:val="22"/>
        </w:rPr>
        <w:t xml:space="preserve"> (</w:t>
      </w:r>
      <w:r w:rsidR="003827D1">
        <w:rPr>
          <w:rFonts w:cs="Arial"/>
          <w:sz w:val="22"/>
          <w:szCs w:val="22"/>
        </w:rPr>
        <w:fldChar w:fldCharType="begin"/>
      </w:r>
      <w:r w:rsidR="003827D1">
        <w:rPr>
          <w:rFonts w:cs="Arial"/>
          <w:sz w:val="22"/>
          <w:szCs w:val="22"/>
        </w:rPr>
        <w:instrText xml:space="preserve"> REF _Ref284168857 \r \h </w:instrText>
      </w:r>
      <w:r w:rsidR="003827D1">
        <w:rPr>
          <w:rFonts w:cs="Arial"/>
          <w:sz w:val="22"/>
          <w:szCs w:val="22"/>
        </w:rPr>
      </w:r>
      <w:r w:rsidR="003827D1">
        <w:rPr>
          <w:rFonts w:cs="Arial"/>
          <w:sz w:val="22"/>
          <w:szCs w:val="22"/>
        </w:rPr>
        <w:fldChar w:fldCharType="separate"/>
      </w:r>
      <w:r w:rsidR="00151A1C">
        <w:rPr>
          <w:rFonts w:cs="Arial"/>
          <w:sz w:val="22"/>
          <w:szCs w:val="22"/>
        </w:rPr>
        <w:t>7</w:t>
      </w:r>
      <w:r w:rsidR="003827D1">
        <w:rPr>
          <w:rFonts w:cs="Arial"/>
          <w:sz w:val="22"/>
          <w:szCs w:val="22"/>
        </w:rPr>
        <w:fldChar w:fldCharType="end"/>
      </w:r>
      <w:r w:rsidR="00101997" w:rsidRPr="00DA3FF9">
        <w:rPr>
          <w:rFonts w:cs="Arial"/>
          <w:sz w:val="22"/>
          <w:szCs w:val="22"/>
        </w:rPr>
        <w:t>).</w:t>
      </w:r>
      <w:r w:rsidR="002E5ABF">
        <w:rPr>
          <w:rFonts w:cs="Arial"/>
          <w:sz w:val="22"/>
          <w:szCs w:val="22"/>
        </w:rPr>
        <w:t xml:space="preserve"> Th</w:t>
      </w:r>
      <w:r w:rsidR="007C68B4">
        <w:rPr>
          <w:rFonts w:cs="Arial"/>
          <w:sz w:val="22"/>
          <w:szCs w:val="22"/>
        </w:rPr>
        <w:t xml:space="preserve">is </w:t>
      </w:r>
      <w:r w:rsidR="00101997">
        <w:rPr>
          <w:rFonts w:cs="Arial"/>
          <w:sz w:val="22"/>
          <w:szCs w:val="22"/>
        </w:rPr>
        <w:t xml:space="preserve">definition has </w:t>
      </w:r>
      <w:r w:rsidR="002E5ABF">
        <w:rPr>
          <w:rFonts w:cs="Arial"/>
          <w:sz w:val="22"/>
          <w:szCs w:val="22"/>
        </w:rPr>
        <w:t>recently</w:t>
      </w:r>
      <w:r w:rsidR="007C68B4">
        <w:rPr>
          <w:rFonts w:cs="Arial"/>
          <w:sz w:val="22"/>
          <w:szCs w:val="22"/>
        </w:rPr>
        <w:t xml:space="preserve"> been </w:t>
      </w:r>
      <w:r w:rsidR="00101997">
        <w:rPr>
          <w:rFonts w:cs="Arial"/>
          <w:sz w:val="22"/>
          <w:szCs w:val="22"/>
        </w:rPr>
        <w:t>adopted by the European Medicines Agency (EMA).</w:t>
      </w:r>
      <w:r w:rsidR="00101997" w:rsidRPr="00DA3FF9">
        <w:rPr>
          <w:rFonts w:cs="Arial"/>
          <w:sz w:val="22"/>
          <w:szCs w:val="22"/>
          <w:highlight w:val="yellow"/>
        </w:rPr>
        <w:t xml:space="preserve"> </w:t>
      </w:r>
    </w:p>
    <w:p w14:paraId="582A2619" w14:textId="77777777" w:rsidR="00101997" w:rsidRDefault="00101997" w:rsidP="00101997">
      <w:pPr>
        <w:pStyle w:val="BodyText3"/>
        <w:spacing w:after="0"/>
        <w:rPr>
          <w:rFonts w:cs="Arial"/>
          <w:sz w:val="22"/>
          <w:szCs w:val="22"/>
        </w:rPr>
      </w:pPr>
    </w:p>
    <w:p w14:paraId="6D2E33A8" w14:textId="1278CE73" w:rsidR="00E806A9" w:rsidRDefault="003862A5" w:rsidP="00BF017F">
      <w:pPr>
        <w:widowControl w:val="0"/>
        <w:autoSpaceDE w:val="0"/>
        <w:autoSpaceDN w:val="0"/>
        <w:adjustRightInd w:val="0"/>
        <w:rPr>
          <w:rFonts w:cs="Arial"/>
          <w:sz w:val="22"/>
          <w:szCs w:val="22"/>
        </w:rPr>
      </w:pPr>
      <w:r w:rsidRPr="0044781C">
        <w:rPr>
          <w:rFonts w:cs="Arial"/>
          <w:sz w:val="22"/>
          <w:szCs w:val="22"/>
        </w:rPr>
        <w:t>The</w:t>
      </w:r>
      <w:r>
        <w:rPr>
          <w:rFonts w:cs="Arial"/>
          <w:sz w:val="22"/>
          <w:szCs w:val="22"/>
        </w:rPr>
        <w:t xml:space="preserve"> predominant pathogens </w:t>
      </w:r>
      <w:r w:rsidR="00550011" w:rsidRPr="0044781C">
        <w:rPr>
          <w:rFonts w:cs="Arial"/>
          <w:sz w:val="22"/>
          <w:szCs w:val="22"/>
        </w:rPr>
        <w:t xml:space="preserve">causing ABSSSI are Gram-positive bacteria, particularly </w:t>
      </w:r>
      <w:r w:rsidR="00550011" w:rsidRPr="0044781C">
        <w:rPr>
          <w:rFonts w:cs="Arial"/>
          <w:i/>
          <w:iCs/>
          <w:sz w:val="22"/>
          <w:szCs w:val="22"/>
        </w:rPr>
        <w:t xml:space="preserve">Streptococcus pyogenes </w:t>
      </w:r>
      <w:r w:rsidR="00550011" w:rsidRPr="0044781C">
        <w:rPr>
          <w:rFonts w:cs="Arial"/>
          <w:sz w:val="22"/>
          <w:szCs w:val="22"/>
        </w:rPr>
        <w:t xml:space="preserve">and </w:t>
      </w:r>
      <w:r w:rsidR="00550011" w:rsidRPr="0044781C">
        <w:rPr>
          <w:rFonts w:cs="Arial"/>
          <w:i/>
          <w:iCs/>
          <w:sz w:val="22"/>
          <w:szCs w:val="22"/>
        </w:rPr>
        <w:t>Staph</w:t>
      </w:r>
      <w:r w:rsidR="00566611">
        <w:rPr>
          <w:rFonts w:cs="Arial"/>
          <w:i/>
          <w:iCs/>
          <w:sz w:val="22"/>
          <w:szCs w:val="22"/>
        </w:rPr>
        <w:t>.</w:t>
      </w:r>
      <w:r w:rsidR="00550011" w:rsidRPr="0044781C">
        <w:rPr>
          <w:rFonts w:cs="Arial"/>
          <w:i/>
          <w:iCs/>
          <w:sz w:val="22"/>
          <w:szCs w:val="22"/>
        </w:rPr>
        <w:t xml:space="preserve"> </w:t>
      </w:r>
      <w:r w:rsidR="00550011" w:rsidRPr="00402542">
        <w:rPr>
          <w:rFonts w:cs="Arial"/>
          <w:i/>
          <w:iCs/>
          <w:sz w:val="22"/>
          <w:szCs w:val="22"/>
        </w:rPr>
        <w:t>aureus</w:t>
      </w:r>
      <w:r w:rsidR="00550011" w:rsidRPr="0044781C">
        <w:rPr>
          <w:rFonts w:cs="Arial"/>
          <w:i/>
          <w:iCs/>
          <w:sz w:val="22"/>
          <w:szCs w:val="22"/>
        </w:rPr>
        <w:t xml:space="preserve"> </w:t>
      </w:r>
      <w:r w:rsidR="00550011" w:rsidRPr="0044781C">
        <w:rPr>
          <w:rFonts w:cs="Arial"/>
          <w:sz w:val="22"/>
          <w:szCs w:val="22"/>
        </w:rPr>
        <w:t xml:space="preserve">including methicillin-resistant </w:t>
      </w:r>
      <w:r w:rsidR="00550011" w:rsidRPr="0044781C">
        <w:rPr>
          <w:rFonts w:cs="Arial"/>
          <w:i/>
          <w:iCs/>
          <w:sz w:val="22"/>
          <w:szCs w:val="22"/>
        </w:rPr>
        <w:t>S. aureus</w:t>
      </w:r>
      <w:r w:rsidR="00550011" w:rsidRPr="0044781C">
        <w:rPr>
          <w:rFonts w:cs="Arial"/>
          <w:sz w:val="22"/>
          <w:szCs w:val="22"/>
        </w:rPr>
        <w:t xml:space="preserve">. (MRSA) </w:t>
      </w:r>
      <w:r w:rsidR="0043587A" w:rsidRPr="0044781C">
        <w:rPr>
          <w:rFonts w:cs="Arial"/>
          <w:sz w:val="22"/>
          <w:szCs w:val="22"/>
        </w:rPr>
        <w:t>(</w:t>
      </w:r>
      <w:r w:rsidR="003827D1">
        <w:rPr>
          <w:rFonts w:cs="Arial"/>
          <w:sz w:val="22"/>
          <w:szCs w:val="22"/>
        </w:rPr>
        <w:fldChar w:fldCharType="begin"/>
      </w:r>
      <w:r w:rsidR="003827D1">
        <w:rPr>
          <w:rFonts w:cs="Arial"/>
          <w:sz w:val="22"/>
          <w:szCs w:val="22"/>
        </w:rPr>
        <w:instrText xml:space="preserve"> REF _Ref284168910 \r \h </w:instrText>
      </w:r>
      <w:r w:rsidR="003827D1">
        <w:rPr>
          <w:rFonts w:cs="Arial"/>
          <w:sz w:val="22"/>
          <w:szCs w:val="22"/>
        </w:rPr>
      </w:r>
      <w:r w:rsidR="003827D1">
        <w:rPr>
          <w:rFonts w:cs="Arial"/>
          <w:sz w:val="22"/>
          <w:szCs w:val="22"/>
        </w:rPr>
        <w:fldChar w:fldCharType="separate"/>
      </w:r>
      <w:r w:rsidR="00151A1C">
        <w:rPr>
          <w:rFonts w:cs="Arial"/>
          <w:sz w:val="22"/>
          <w:szCs w:val="22"/>
        </w:rPr>
        <w:t>8</w:t>
      </w:r>
      <w:r w:rsidR="003827D1">
        <w:rPr>
          <w:rFonts w:cs="Arial"/>
          <w:sz w:val="22"/>
          <w:szCs w:val="22"/>
        </w:rPr>
        <w:fldChar w:fldCharType="end"/>
      </w:r>
      <w:r w:rsidR="00550011" w:rsidRPr="0044781C">
        <w:rPr>
          <w:rFonts w:cs="Arial"/>
          <w:sz w:val="22"/>
          <w:szCs w:val="22"/>
        </w:rPr>
        <w:t>;</w:t>
      </w:r>
      <w:r w:rsidR="003827D1">
        <w:rPr>
          <w:rFonts w:cs="Arial"/>
          <w:sz w:val="22"/>
          <w:szCs w:val="22"/>
        </w:rPr>
        <w:fldChar w:fldCharType="begin"/>
      </w:r>
      <w:r w:rsidR="003827D1">
        <w:rPr>
          <w:rFonts w:cs="Arial"/>
          <w:sz w:val="22"/>
          <w:szCs w:val="22"/>
        </w:rPr>
        <w:instrText xml:space="preserve"> REF _Ref284168938 \r \h </w:instrText>
      </w:r>
      <w:r w:rsidR="003827D1">
        <w:rPr>
          <w:rFonts w:cs="Arial"/>
          <w:sz w:val="22"/>
          <w:szCs w:val="22"/>
        </w:rPr>
      </w:r>
      <w:r w:rsidR="003827D1">
        <w:rPr>
          <w:rFonts w:cs="Arial"/>
          <w:sz w:val="22"/>
          <w:szCs w:val="22"/>
        </w:rPr>
        <w:fldChar w:fldCharType="separate"/>
      </w:r>
      <w:r w:rsidR="00151A1C">
        <w:rPr>
          <w:rFonts w:cs="Arial"/>
          <w:sz w:val="22"/>
          <w:szCs w:val="22"/>
        </w:rPr>
        <w:t>9</w:t>
      </w:r>
      <w:r w:rsidR="003827D1">
        <w:rPr>
          <w:rFonts w:cs="Arial"/>
          <w:sz w:val="22"/>
          <w:szCs w:val="22"/>
        </w:rPr>
        <w:fldChar w:fldCharType="end"/>
      </w:r>
      <w:r w:rsidR="00550011" w:rsidRPr="0044781C">
        <w:rPr>
          <w:rFonts w:cs="Arial"/>
          <w:sz w:val="22"/>
          <w:szCs w:val="22"/>
        </w:rPr>
        <w:t>;</w:t>
      </w:r>
      <w:r w:rsidR="003827D1">
        <w:rPr>
          <w:rFonts w:cs="Arial"/>
          <w:sz w:val="22"/>
          <w:szCs w:val="22"/>
        </w:rPr>
        <w:fldChar w:fldCharType="begin"/>
      </w:r>
      <w:r w:rsidR="003827D1">
        <w:rPr>
          <w:rFonts w:cs="Arial"/>
          <w:sz w:val="22"/>
          <w:szCs w:val="22"/>
        </w:rPr>
        <w:instrText xml:space="preserve"> REF _Ref284168956 \r \h </w:instrText>
      </w:r>
      <w:r w:rsidR="003827D1">
        <w:rPr>
          <w:rFonts w:cs="Arial"/>
          <w:sz w:val="22"/>
          <w:szCs w:val="22"/>
        </w:rPr>
      </w:r>
      <w:r w:rsidR="003827D1">
        <w:rPr>
          <w:rFonts w:cs="Arial"/>
          <w:sz w:val="22"/>
          <w:szCs w:val="22"/>
        </w:rPr>
        <w:fldChar w:fldCharType="separate"/>
      </w:r>
      <w:r w:rsidR="00151A1C">
        <w:rPr>
          <w:rFonts w:cs="Arial"/>
          <w:sz w:val="22"/>
          <w:szCs w:val="22"/>
        </w:rPr>
        <w:t>10</w:t>
      </w:r>
      <w:r w:rsidR="003827D1">
        <w:rPr>
          <w:rFonts w:cs="Arial"/>
          <w:sz w:val="22"/>
          <w:szCs w:val="22"/>
        </w:rPr>
        <w:fldChar w:fldCharType="end"/>
      </w:r>
      <w:r w:rsidR="00550011" w:rsidRPr="0044781C">
        <w:rPr>
          <w:rFonts w:cs="Arial"/>
          <w:sz w:val="22"/>
          <w:szCs w:val="22"/>
        </w:rPr>
        <w:t>).</w:t>
      </w:r>
      <w:r w:rsidR="00550011" w:rsidRPr="0044781C">
        <w:rPr>
          <w:rFonts w:cs="Arial"/>
          <w:b/>
          <w:sz w:val="22"/>
          <w:szCs w:val="22"/>
          <w:lang w:val="en-US"/>
        </w:rPr>
        <w:t xml:space="preserve"> </w:t>
      </w:r>
      <w:r w:rsidR="00550011" w:rsidRPr="0044781C">
        <w:rPr>
          <w:rFonts w:cs="Arial"/>
          <w:sz w:val="22"/>
          <w:szCs w:val="22"/>
          <w:lang w:val="en-US"/>
        </w:rPr>
        <w:t xml:space="preserve">Some 40% of ABSSSI are caused by </w:t>
      </w:r>
      <w:r w:rsidR="000C5789" w:rsidRPr="000C5789">
        <w:rPr>
          <w:rStyle w:val="BodyText-italic-H12"/>
          <w:rFonts w:cs="Arial"/>
          <w:sz w:val="22"/>
          <w:szCs w:val="22"/>
          <w:lang w:val="en-US"/>
        </w:rPr>
        <w:t>Staph. aureus</w:t>
      </w:r>
      <w:r w:rsidR="00550011" w:rsidRPr="00402542">
        <w:rPr>
          <w:rFonts w:cs="Arial"/>
          <w:i/>
          <w:sz w:val="22"/>
          <w:szCs w:val="22"/>
          <w:lang w:val="en-US"/>
        </w:rPr>
        <w:t>,</w:t>
      </w:r>
      <w:r w:rsidR="00550011" w:rsidRPr="0044781C">
        <w:rPr>
          <w:rFonts w:cs="Arial"/>
          <w:sz w:val="22"/>
          <w:szCs w:val="22"/>
          <w:lang w:val="en-US"/>
        </w:rPr>
        <w:t xml:space="preserve"> with a significant proportion by MRSA </w:t>
      </w:r>
      <w:r w:rsidR="00550011" w:rsidRPr="0044781C">
        <w:rPr>
          <w:rFonts w:cs="Arial"/>
          <w:sz w:val="22"/>
          <w:szCs w:val="22"/>
        </w:rPr>
        <w:t>(</w:t>
      </w:r>
      <w:r w:rsidR="003827D1">
        <w:rPr>
          <w:rFonts w:cs="Arial"/>
          <w:sz w:val="22"/>
          <w:szCs w:val="22"/>
        </w:rPr>
        <w:fldChar w:fldCharType="begin"/>
      </w:r>
      <w:r w:rsidR="003827D1">
        <w:rPr>
          <w:rFonts w:cs="Arial"/>
          <w:sz w:val="22"/>
          <w:szCs w:val="22"/>
        </w:rPr>
        <w:instrText xml:space="preserve"> REF _Ref284169005 \r \h </w:instrText>
      </w:r>
      <w:r w:rsidR="003827D1">
        <w:rPr>
          <w:rFonts w:cs="Arial"/>
          <w:sz w:val="22"/>
          <w:szCs w:val="22"/>
        </w:rPr>
      </w:r>
      <w:r w:rsidR="003827D1">
        <w:rPr>
          <w:rFonts w:cs="Arial"/>
          <w:sz w:val="22"/>
          <w:szCs w:val="22"/>
        </w:rPr>
        <w:fldChar w:fldCharType="separate"/>
      </w:r>
      <w:r w:rsidR="00151A1C">
        <w:rPr>
          <w:rFonts w:cs="Arial"/>
          <w:sz w:val="22"/>
          <w:szCs w:val="22"/>
        </w:rPr>
        <w:t>11</w:t>
      </w:r>
      <w:r w:rsidR="003827D1">
        <w:rPr>
          <w:rFonts w:cs="Arial"/>
          <w:sz w:val="22"/>
          <w:szCs w:val="22"/>
        </w:rPr>
        <w:fldChar w:fldCharType="end"/>
      </w:r>
      <w:r w:rsidR="00CC33EC">
        <w:rPr>
          <w:rFonts w:cs="Arial"/>
          <w:sz w:val="22"/>
          <w:szCs w:val="22"/>
        </w:rPr>
        <w:t>;</w:t>
      </w:r>
      <w:r w:rsidR="003827D1">
        <w:rPr>
          <w:rFonts w:cs="Arial"/>
          <w:sz w:val="22"/>
          <w:szCs w:val="22"/>
        </w:rPr>
        <w:fldChar w:fldCharType="begin"/>
      </w:r>
      <w:r w:rsidR="003827D1">
        <w:rPr>
          <w:rFonts w:cs="Arial"/>
          <w:sz w:val="22"/>
          <w:szCs w:val="22"/>
        </w:rPr>
        <w:instrText xml:space="preserve"> REF _Ref284169024 \r \h </w:instrText>
      </w:r>
      <w:r w:rsidR="003827D1">
        <w:rPr>
          <w:rFonts w:cs="Arial"/>
          <w:sz w:val="22"/>
          <w:szCs w:val="22"/>
        </w:rPr>
      </w:r>
      <w:r w:rsidR="003827D1">
        <w:rPr>
          <w:rFonts w:cs="Arial"/>
          <w:sz w:val="22"/>
          <w:szCs w:val="22"/>
        </w:rPr>
        <w:fldChar w:fldCharType="separate"/>
      </w:r>
      <w:r w:rsidR="00151A1C">
        <w:rPr>
          <w:rFonts w:cs="Arial"/>
          <w:sz w:val="22"/>
          <w:szCs w:val="22"/>
        </w:rPr>
        <w:t>12</w:t>
      </w:r>
      <w:r w:rsidR="003827D1">
        <w:rPr>
          <w:rFonts w:cs="Arial"/>
          <w:sz w:val="22"/>
          <w:szCs w:val="22"/>
        </w:rPr>
        <w:fldChar w:fldCharType="end"/>
      </w:r>
      <w:r w:rsidR="00550011" w:rsidRPr="0044781C">
        <w:rPr>
          <w:rFonts w:cs="Arial"/>
          <w:sz w:val="22"/>
          <w:szCs w:val="22"/>
        </w:rPr>
        <w:t>).</w:t>
      </w:r>
      <w:r w:rsidR="00BF017F">
        <w:rPr>
          <w:rFonts w:eastAsia="Times New Roman" w:cs="Arial"/>
          <w:sz w:val="22"/>
          <w:szCs w:val="22"/>
        </w:rPr>
        <w:t xml:space="preserve"> </w:t>
      </w:r>
      <w:r w:rsidR="00550011" w:rsidRPr="00177145">
        <w:rPr>
          <w:rFonts w:cs="Arial"/>
          <w:sz w:val="22"/>
          <w:szCs w:val="22"/>
        </w:rPr>
        <w:t xml:space="preserve">MRSA is a significant cause of </w:t>
      </w:r>
      <w:r w:rsidR="00854FA1" w:rsidRPr="00177145">
        <w:rPr>
          <w:rFonts w:cs="Arial"/>
          <w:sz w:val="22"/>
          <w:szCs w:val="22"/>
        </w:rPr>
        <w:t>antibiotic-resistant healthcare-</w:t>
      </w:r>
      <w:r w:rsidR="00550011" w:rsidRPr="00177145">
        <w:rPr>
          <w:rFonts w:cs="Arial"/>
          <w:sz w:val="22"/>
          <w:szCs w:val="22"/>
        </w:rPr>
        <w:t>associated and community-acquired infections worldwide (</w:t>
      </w:r>
      <w:r w:rsidR="003827D1">
        <w:rPr>
          <w:rFonts w:cs="Arial"/>
          <w:sz w:val="22"/>
          <w:szCs w:val="22"/>
        </w:rPr>
        <w:fldChar w:fldCharType="begin"/>
      </w:r>
      <w:r w:rsidR="003827D1">
        <w:rPr>
          <w:rFonts w:cs="Arial"/>
          <w:sz w:val="22"/>
          <w:szCs w:val="22"/>
        </w:rPr>
        <w:instrText xml:space="preserve"> REF _Ref284169005 \r \h </w:instrText>
      </w:r>
      <w:r w:rsidR="003827D1">
        <w:rPr>
          <w:rFonts w:cs="Arial"/>
          <w:sz w:val="22"/>
          <w:szCs w:val="22"/>
        </w:rPr>
      </w:r>
      <w:r w:rsidR="003827D1">
        <w:rPr>
          <w:rFonts w:cs="Arial"/>
          <w:sz w:val="22"/>
          <w:szCs w:val="22"/>
        </w:rPr>
        <w:fldChar w:fldCharType="separate"/>
      </w:r>
      <w:r w:rsidR="00151A1C">
        <w:rPr>
          <w:rFonts w:cs="Arial"/>
          <w:sz w:val="22"/>
          <w:szCs w:val="22"/>
        </w:rPr>
        <w:t>11</w:t>
      </w:r>
      <w:r w:rsidR="003827D1">
        <w:rPr>
          <w:rFonts w:cs="Arial"/>
          <w:sz w:val="22"/>
          <w:szCs w:val="22"/>
        </w:rPr>
        <w:fldChar w:fldCharType="end"/>
      </w:r>
      <w:r w:rsidR="00CC33EC">
        <w:rPr>
          <w:rFonts w:cs="Arial"/>
          <w:sz w:val="22"/>
          <w:szCs w:val="22"/>
        </w:rPr>
        <w:t>;</w:t>
      </w:r>
      <w:r w:rsidR="003827D1">
        <w:rPr>
          <w:rFonts w:cs="Arial"/>
          <w:sz w:val="22"/>
          <w:szCs w:val="22"/>
        </w:rPr>
        <w:fldChar w:fldCharType="begin"/>
      </w:r>
      <w:r w:rsidR="003827D1">
        <w:rPr>
          <w:rFonts w:cs="Arial"/>
          <w:sz w:val="22"/>
          <w:szCs w:val="22"/>
        </w:rPr>
        <w:instrText xml:space="preserve"> REF _Ref284169079 \r \h </w:instrText>
      </w:r>
      <w:r w:rsidR="003827D1">
        <w:rPr>
          <w:rFonts w:cs="Arial"/>
          <w:sz w:val="22"/>
          <w:szCs w:val="22"/>
        </w:rPr>
      </w:r>
      <w:r w:rsidR="003827D1">
        <w:rPr>
          <w:rFonts w:cs="Arial"/>
          <w:sz w:val="22"/>
          <w:szCs w:val="22"/>
        </w:rPr>
        <w:fldChar w:fldCharType="separate"/>
      </w:r>
      <w:r w:rsidR="00151A1C">
        <w:rPr>
          <w:rFonts w:cs="Arial"/>
          <w:sz w:val="22"/>
          <w:szCs w:val="22"/>
        </w:rPr>
        <w:t>13</w:t>
      </w:r>
      <w:r w:rsidR="003827D1">
        <w:rPr>
          <w:rFonts w:cs="Arial"/>
          <w:sz w:val="22"/>
          <w:szCs w:val="22"/>
        </w:rPr>
        <w:fldChar w:fldCharType="end"/>
      </w:r>
      <w:r w:rsidR="00550011" w:rsidRPr="00177145">
        <w:rPr>
          <w:rFonts w:cs="Arial"/>
          <w:sz w:val="22"/>
          <w:szCs w:val="22"/>
        </w:rPr>
        <w:t xml:space="preserve">; </w:t>
      </w:r>
      <w:r w:rsidR="003827D1">
        <w:rPr>
          <w:rFonts w:cs="Arial"/>
          <w:sz w:val="22"/>
          <w:szCs w:val="22"/>
        </w:rPr>
        <w:fldChar w:fldCharType="begin"/>
      </w:r>
      <w:r w:rsidR="003827D1">
        <w:rPr>
          <w:rFonts w:cs="Arial"/>
          <w:sz w:val="22"/>
          <w:szCs w:val="22"/>
        </w:rPr>
        <w:instrText xml:space="preserve"> REF _Ref284169110 \r \h </w:instrText>
      </w:r>
      <w:r w:rsidR="003827D1">
        <w:rPr>
          <w:rFonts w:cs="Arial"/>
          <w:sz w:val="22"/>
          <w:szCs w:val="22"/>
        </w:rPr>
      </w:r>
      <w:r w:rsidR="003827D1">
        <w:rPr>
          <w:rFonts w:cs="Arial"/>
          <w:sz w:val="22"/>
          <w:szCs w:val="22"/>
        </w:rPr>
        <w:fldChar w:fldCharType="separate"/>
      </w:r>
      <w:r w:rsidR="00151A1C">
        <w:rPr>
          <w:rFonts w:cs="Arial"/>
          <w:sz w:val="22"/>
          <w:szCs w:val="22"/>
        </w:rPr>
        <w:t>14</w:t>
      </w:r>
      <w:r w:rsidR="003827D1">
        <w:rPr>
          <w:rFonts w:cs="Arial"/>
          <w:sz w:val="22"/>
          <w:szCs w:val="22"/>
        </w:rPr>
        <w:fldChar w:fldCharType="end"/>
      </w:r>
      <w:r w:rsidR="00550011" w:rsidRPr="00177145">
        <w:rPr>
          <w:rFonts w:cs="Arial"/>
          <w:sz w:val="22"/>
          <w:szCs w:val="22"/>
        </w:rPr>
        <w:t>). MRSA is associated with longer hospital stays, poorer outcomes and higher cos</w:t>
      </w:r>
      <w:r w:rsidR="005C73A6" w:rsidRPr="00177145">
        <w:rPr>
          <w:rFonts w:cs="Arial"/>
          <w:sz w:val="22"/>
          <w:szCs w:val="22"/>
        </w:rPr>
        <w:t xml:space="preserve">ts of care </w:t>
      </w:r>
      <w:r w:rsidR="007C68B4">
        <w:rPr>
          <w:rFonts w:cs="Arial"/>
          <w:sz w:val="22"/>
          <w:szCs w:val="22"/>
        </w:rPr>
        <w:t>compared to</w:t>
      </w:r>
      <w:r w:rsidR="005C73A6" w:rsidRPr="00177145">
        <w:rPr>
          <w:rFonts w:cs="Arial"/>
          <w:sz w:val="22"/>
          <w:szCs w:val="22"/>
        </w:rPr>
        <w:t xml:space="preserve"> other pathogens</w:t>
      </w:r>
      <w:r w:rsidR="00550011" w:rsidRPr="00177145">
        <w:rPr>
          <w:rFonts w:cs="Arial"/>
          <w:sz w:val="22"/>
          <w:szCs w:val="22"/>
        </w:rPr>
        <w:t xml:space="preserve"> (</w:t>
      </w:r>
      <w:r w:rsidR="003827D1">
        <w:rPr>
          <w:rFonts w:cs="Arial"/>
          <w:sz w:val="22"/>
          <w:szCs w:val="22"/>
        </w:rPr>
        <w:fldChar w:fldCharType="begin"/>
      </w:r>
      <w:r w:rsidR="003827D1">
        <w:rPr>
          <w:rFonts w:cs="Arial"/>
          <w:sz w:val="22"/>
          <w:szCs w:val="22"/>
        </w:rPr>
        <w:instrText xml:space="preserve"> REF _Ref284169005 \r \h </w:instrText>
      </w:r>
      <w:r w:rsidR="003827D1">
        <w:rPr>
          <w:rFonts w:cs="Arial"/>
          <w:sz w:val="22"/>
          <w:szCs w:val="22"/>
        </w:rPr>
      </w:r>
      <w:r w:rsidR="003827D1">
        <w:rPr>
          <w:rFonts w:cs="Arial"/>
          <w:sz w:val="22"/>
          <w:szCs w:val="22"/>
        </w:rPr>
        <w:fldChar w:fldCharType="separate"/>
      </w:r>
      <w:r w:rsidR="00151A1C">
        <w:rPr>
          <w:rFonts w:cs="Arial"/>
          <w:sz w:val="22"/>
          <w:szCs w:val="22"/>
        </w:rPr>
        <w:t>11</w:t>
      </w:r>
      <w:r w:rsidR="003827D1">
        <w:rPr>
          <w:rFonts w:cs="Arial"/>
          <w:sz w:val="22"/>
          <w:szCs w:val="22"/>
        </w:rPr>
        <w:fldChar w:fldCharType="end"/>
      </w:r>
      <w:r w:rsidR="003827D1">
        <w:rPr>
          <w:rFonts w:cs="Arial"/>
          <w:sz w:val="22"/>
          <w:szCs w:val="22"/>
        </w:rPr>
        <w:t>;</w:t>
      </w:r>
      <w:r w:rsidR="003827D1">
        <w:rPr>
          <w:rFonts w:cs="Arial"/>
          <w:sz w:val="22"/>
          <w:szCs w:val="22"/>
        </w:rPr>
        <w:fldChar w:fldCharType="begin"/>
      </w:r>
      <w:r w:rsidR="003827D1">
        <w:rPr>
          <w:rFonts w:cs="Arial"/>
          <w:sz w:val="22"/>
          <w:szCs w:val="22"/>
        </w:rPr>
        <w:instrText xml:space="preserve"> REF _Ref284169217 \r \h </w:instrText>
      </w:r>
      <w:r w:rsidR="003827D1">
        <w:rPr>
          <w:rFonts w:cs="Arial"/>
          <w:sz w:val="22"/>
          <w:szCs w:val="22"/>
        </w:rPr>
      </w:r>
      <w:r w:rsidR="003827D1">
        <w:rPr>
          <w:rFonts w:cs="Arial"/>
          <w:sz w:val="22"/>
          <w:szCs w:val="22"/>
        </w:rPr>
        <w:fldChar w:fldCharType="separate"/>
      </w:r>
      <w:r w:rsidR="00151A1C">
        <w:rPr>
          <w:rFonts w:cs="Arial"/>
          <w:sz w:val="22"/>
          <w:szCs w:val="22"/>
        </w:rPr>
        <w:t>15</w:t>
      </w:r>
      <w:r w:rsidR="003827D1">
        <w:rPr>
          <w:rFonts w:cs="Arial"/>
          <w:sz w:val="22"/>
          <w:szCs w:val="22"/>
        </w:rPr>
        <w:fldChar w:fldCharType="end"/>
      </w:r>
      <w:r w:rsidR="003827D1">
        <w:rPr>
          <w:rFonts w:cs="Arial"/>
          <w:sz w:val="22"/>
          <w:szCs w:val="22"/>
        </w:rPr>
        <w:t>;</w:t>
      </w:r>
      <w:r w:rsidR="003827D1">
        <w:rPr>
          <w:rFonts w:cs="Arial"/>
          <w:sz w:val="22"/>
          <w:szCs w:val="22"/>
        </w:rPr>
        <w:fldChar w:fldCharType="begin"/>
      </w:r>
      <w:r w:rsidR="003827D1">
        <w:rPr>
          <w:rFonts w:cs="Arial"/>
          <w:sz w:val="22"/>
          <w:szCs w:val="22"/>
        </w:rPr>
        <w:instrText xml:space="preserve"> REF _Ref284169257 \r \h </w:instrText>
      </w:r>
      <w:r w:rsidR="003827D1">
        <w:rPr>
          <w:rFonts w:cs="Arial"/>
          <w:sz w:val="22"/>
          <w:szCs w:val="22"/>
        </w:rPr>
      </w:r>
      <w:r w:rsidR="003827D1">
        <w:rPr>
          <w:rFonts w:cs="Arial"/>
          <w:sz w:val="22"/>
          <w:szCs w:val="22"/>
        </w:rPr>
        <w:fldChar w:fldCharType="separate"/>
      </w:r>
      <w:r w:rsidR="00151A1C">
        <w:rPr>
          <w:rFonts w:cs="Arial"/>
          <w:sz w:val="22"/>
          <w:szCs w:val="22"/>
        </w:rPr>
        <w:t>16</w:t>
      </w:r>
      <w:r w:rsidR="003827D1">
        <w:rPr>
          <w:rFonts w:cs="Arial"/>
          <w:sz w:val="22"/>
          <w:szCs w:val="22"/>
        </w:rPr>
        <w:fldChar w:fldCharType="end"/>
      </w:r>
      <w:r w:rsidR="00550011" w:rsidRPr="00177145">
        <w:rPr>
          <w:rFonts w:cs="Arial"/>
          <w:sz w:val="22"/>
          <w:szCs w:val="22"/>
        </w:rPr>
        <w:t>;</w:t>
      </w:r>
      <w:r w:rsidR="003827D1">
        <w:rPr>
          <w:rFonts w:cs="Arial"/>
          <w:sz w:val="22"/>
          <w:szCs w:val="22"/>
        </w:rPr>
        <w:fldChar w:fldCharType="begin"/>
      </w:r>
      <w:r w:rsidR="003827D1">
        <w:rPr>
          <w:rFonts w:cs="Arial"/>
          <w:sz w:val="22"/>
          <w:szCs w:val="22"/>
        </w:rPr>
        <w:instrText xml:space="preserve"> REF _Ref284169279 \r \h </w:instrText>
      </w:r>
      <w:r w:rsidR="003827D1">
        <w:rPr>
          <w:rFonts w:cs="Arial"/>
          <w:sz w:val="22"/>
          <w:szCs w:val="22"/>
        </w:rPr>
      </w:r>
      <w:r w:rsidR="003827D1">
        <w:rPr>
          <w:rFonts w:cs="Arial"/>
          <w:sz w:val="22"/>
          <w:szCs w:val="22"/>
        </w:rPr>
        <w:fldChar w:fldCharType="separate"/>
      </w:r>
      <w:r w:rsidR="00151A1C">
        <w:rPr>
          <w:rFonts w:cs="Arial"/>
          <w:sz w:val="22"/>
          <w:szCs w:val="22"/>
        </w:rPr>
        <w:t>17</w:t>
      </w:r>
      <w:r w:rsidR="003827D1">
        <w:rPr>
          <w:rFonts w:cs="Arial"/>
          <w:sz w:val="22"/>
          <w:szCs w:val="22"/>
        </w:rPr>
        <w:fldChar w:fldCharType="end"/>
      </w:r>
      <w:r w:rsidR="00550011" w:rsidRPr="00177145">
        <w:rPr>
          <w:rFonts w:cs="Arial"/>
          <w:sz w:val="22"/>
          <w:szCs w:val="22"/>
        </w:rPr>
        <w:t>;</w:t>
      </w:r>
      <w:r w:rsidR="003827D1">
        <w:rPr>
          <w:rFonts w:cs="Arial"/>
          <w:sz w:val="22"/>
          <w:szCs w:val="22"/>
        </w:rPr>
        <w:fldChar w:fldCharType="begin"/>
      </w:r>
      <w:r w:rsidR="003827D1">
        <w:rPr>
          <w:rFonts w:cs="Arial"/>
          <w:sz w:val="22"/>
          <w:szCs w:val="22"/>
        </w:rPr>
        <w:instrText xml:space="preserve"> REF _Ref284169300 \r \h </w:instrText>
      </w:r>
      <w:r w:rsidR="003827D1">
        <w:rPr>
          <w:rFonts w:cs="Arial"/>
          <w:sz w:val="22"/>
          <w:szCs w:val="22"/>
        </w:rPr>
      </w:r>
      <w:r w:rsidR="003827D1">
        <w:rPr>
          <w:rFonts w:cs="Arial"/>
          <w:sz w:val="22"/>
          <w:szCs w:val="22"/>
        </w:rPr>
        <w:fldChar w:fldCharType="separate"/>
      </w:r>
      <w:r w:rsidR="00151A1C">
        <w:rPr>
          <w:rFonts w:cs="Arial"/>
          <w:sz w:val="22"/>
          <w:szCs w:val="22"/>
        </w:rPr>
        <w:t>18</w:t>
      </w:r>
      <w:r w:rsidR="003827D1">
        <w:rPr>
          <w:rFonts w:cs="Arial"/>
          <w:sz w:val="22"/>
          <w:szCs w:val="22"/>
        </w:rPr>
        <w:fldChar w:fldCharType="end"/>
      </w:r>
      <w:r w:rsidR="00550011" w:rsidRPr="00177145">
        <w:rPr>
          <w:rFonts w:cs="Arial"/>
          <w:sz w:val="22"/>
          <w:szCs w:val="22"/>
        </w:rPr>
        <w:t>)</w:t>
      </w:r>
      <w:r w:rsidR="005C73A6" w:rsidRPr="00177145">
        <w:rPr>
          <w:rFonts w:cs="Arial"/>
          <w:sz w:val="22"/>
          <w:szCs w:val="22"/>
        </w:rPr>
        <w:t>, with hospitalisation costs accounting for approximately 81% of total healthcare costs (</w:t>
      </w:r>
      <w:r w:rsidR="003827D1">
        <w:rPr>
          <w:rFonts w:cs="Arial"/>
          <w:sz w:val="22"/>
          <w:szCs w:val="22"/>
        </w:rPr>
        <w:fldChar w:fldCharType="begin"/>
      </w:r>
      <w:r w:rsidR="003827D1">
        <w:rPr>
          <w:rFonts w:cs="Arial"/>
          <w:sz w:val="22"/>
          <w:szCs w:val="22"/>
        </w:rPr>
        <w:instrText xml:space="preserve"> REF _Ref284169344 \r \h </w:instrText>
      </w:r>
      <w:r w:rsidR="003827D1">
        <w:rPr>
          <w:rFonts w:cs="Arial"/>
          <w:sz w:val="22"/>
          <w:szCs w:val="22"/>
        </w:rPr>
      </w:r>
      <w:r w:rsidR="003827D1">
        <w:rPr>
          <w:rFonts w:cs="Arial"/>
          <w:sz w:val="22"/>
          <w:szCs w:val="22"/>
        </w:rPr>
        <w:fldChar w:fldCharType="separate"/>
      </w:r>
      <w:r w:rsidR="00151A1C">
        <w:rPr>
          <w:rFonts w:cs="Arial"/>
          <w:sz w:val="22"/>
          <w:szCs w:val="22"/>
        </w:rPr>
        <w:t>19</w:t>
      </w:r>
      <w:r w:rsidR="003827D1">
        <w:rPr>
          <w:rFonts w:cs="Arial"/>
          <w:sz w:val="22"/>
          <w:szCs w:val="22"/>
        </w:rPr>
        <w:fldChar w:fldCharType="end"/>
      </w:r>
      <w:r w:rsidR="0039063B" w:rsidRPr="00177145">
        <w:rPr>
          <w:rFonts w:cs="Arial"/>
          <w:sz w:val="22"/>
          <w:szCs w:val="22"/>
        </w:rPr>
        <w:t>;</w:t>
      </w:r>
      <w:r w:rsidR="003827D1">
        <w:rPr>
          <w:rFonts w:cs="Arial"/>
          <w:sz w:val="22"/>
          <w:szCs w:val="22"/>
        </w:rPr>
        <w:fldChar w:fldCharType="begin"/>
      </w:r>
      <w:r w:rsidR="003827D1">
        <w:rPr>
          <w:rFonts w:cs="Arial"/>
          <w:sz w:val="22"/>
          <w:szCs w:val="22"/>
        </w:rPr>
        <w:instrText xml:space="preserve"> REF _Ref284169362 \r \h </w:instrText>
      </w:r>
      <w:r w:rsidR="003827D1">
        <w:rPr>
          <w:rFonts w:cs="Arial"/>
          <w:sz w:val="22"/>
          <w:szCs w:val="22"/>
        </w:rPr>
      </w:r>
      <w:r w:rsidR="003827D1">
        <w:rPr>
          <w:rFonts w:cs="Arial"/>
          <w:sz w:val="22"/>
          <w:szCs w:val="22"/>
        </w:rPr>
        <w:fldChar w:fldCharType="separate"/>
      </w:r>
      <w:r w:rsidR="00151A1C">
        <w:rPr>
          <w:rFonts w:cs="Arial"/>
          <w:sz w:val="22"/>
          <w:szCs w:val="22"/>
        </w:rPr>
        <w:t>20</w:t>
      </w:r>
      <w:r w:rsidR="003827D1">
        <w:rPr>
          <w:rFonts w:cs="Arial"/>
          <w:sz w:val="22"/>
          <w:szCs w:val="22"/>
        </w:rPr>
        <w:fldChar w:fldCharType="end"/>
      </w:r>
      <w:r w:rsidR="005C73A6" w:rsidRPr="00177145">
        <w:rPr>
          <w:rFonts w:cs="Arial"/>
          <w:sz w:val="22"/>
          <w:szCs w:val="22"/>
        </w:rPr>
        <w:t>)</w:t>
      </w:r>
      <w:r w:rsidR="00550011" w:rsidRPr="00177145">
        <w:rPr>
          <w:rFonts w:cs="Arial"/>
          <w:sz w:val="22"/>
          <w:szCs w:val="22"/>
        </w:rPr>
        <w:t xml:space="preserve">. </w:t>
      </w:r>
    </w:p>
    <w:p w14:paraId="78085AD7" w14:textId="6B6D8DC1" w:rsidR="00550011" w:rsidRPr="00E806A9" w:rsidRDefault="00E806A9" w:rsidP="00E806A9">
      <w:pPr>
        <w:spacing w:before="100" w:beforeAutospacing="1" w:after="100" w:afterAutospacing="1"/>
        <w:rPr>
          <w:rFonts w:eastAsia="Times New Roman" w:cs="Arial"/>
          <w:sz w:val="22"/>
          <w:szCs w:val="22"/>
        </w:rPr>
      </w:pPr>
      <w:r w:rsidRPr="0044781C">
        <w:rPr>
          <w:rFonts w:eastAsia="Times New Roman" w:cs="Arial"/>
          <w:sz w:val="22"/>
          <w:szCs w:val="22"/>
        </w:rPr>
        <w:t xml:space="preserve">Healthcare-associated infections </w:t>
      </w:r>
      <w:r>
        <w:rPr>
          <w:rFonts w:eastAsia="Times New Roman" w:cs="Arial"/>
          <w:sz w:val="22"/>
          <w:szCs w:val="22"/>
        </w:rPr>
        <w:t xml:space="preserve">(HAIs) </w:t>
      </w:r>
      <w:r w:rsidRPr="0044781C">
        <w:rPr>
          <w:rFonts w:eastAsia="Times New Roman" w:cs="Arial"/>
          <w:sz w:val="22"/>
          <w:szCs w:val="22"/>
        </w:rPr>
        <w:t>and antimicrobial resistance (AMR) remain key priorities for the Scottish Government (</w:t>
      </w:r>
      <w:r w:rsidR="00E537FC">
        <w:rPr>
          <w:rFonts w:eastAsia="Times New Roman" w:cs="Arial"/>
          <w:sz w:val="22"/>
          <w:szCs w:val="22"/>
        </w:rPr>
        <w:fldChar w:fldCharType="begin"/>
      </w:r>
      <w:r w:rsidR="00E537FC">
        <w:rPr>
          <w:rFonts w:eastAsia="Times New Roman" w:cs="Arial"/>
          <w:sz w:val="22"/>
          <w:szCs w:val="22"/>
        </w:rPr>
        <w:instrText xml:space="preserve"> REF _Ref284169586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21</w:t>
      </w:r>
      <w:r w:rsidR="00E537FC">
        <w:rPr>
          <w:rFonts w:eastAsia="Times New Roman" w:cs="Arial"/>
          <w:sz w:val="22"/>
          <w:szCs w:val="22"/>
        </w:rPr>
        <w:fldChar w:fldCharType="end"/>
      </w:r>
      <w:r w:rsidRPr="0044781C">
        <w:rPr>
          <w:rFonts w:eastAsia="Times New Roman" w:cs="Arial"/>
          <w:sz w:val="22"/>
          <w:szCs w:val="22"/>
        </w:rPr>
        <w:t>;</w:t>
      </w:r>
      <w:r w:rsidR="00E537FC">
        <w:rPr>
          <w:rFonts w:eastAsia="Times New Roman" w:cs="Arial"/>
          <w:sz w:val="22"/>
          <w:szCs w:val="22"/>
        </w:rPr>
        <w:fldChar w:fldCharType="begin"/>
      </w:r>
      <w:r w:rsidR="00E537FC">
        <w:rPr>
          <w:rFonts w:eastAsia="Times New Roman" w:cs="Arial"/>
          <w:sz w:val="22"/>
          <w:szCs w:val="22"/>
        </w:rPr>
        <w:instrText xml:space="preserve"> REF _Ref284169604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22</w:t>
      </w:r>
      <w:r w:rsidR="00E537FC">
        <w:rPr>
          <w:rFonts w:eastAsia="Times New Roman" w:cs="Arial"/>
          <w:sz w:val="22"/>
          <w:szCs w:val="22"/>
        </w:rPr>
        <w:fldChar w:fldCharType="end"/>
      </w:r>
      <w:r w:rsidRPr="00D03E85">
        <w:rPr>
          <w:rFonts w:eastAsia="Times New Roman" w:cs="Arial"/>
          <w:sz w:val="22"/>
          <w:szCs w:val="22"/>
        </w:rPr>
        <w:t>)</w:t>
      </w:r>
      <w:r w:rsidRPr="00D03E85">
        <w:rPr>
          <w:rFonts w:cs="Arial"/>
          <w:sz w:val="22"/>
          <w:szCs w:val="22"/>
          <w:lang w:val="en-US" w:eastAsia="ja-JP"/>
        </w:rPr>
        <w:t xml:space="preserve">, with </w:t>
      </w:r>
      <w:r w:rsidRPr="00D03E85">
        <w:rPr>
          <w:rFonts w:cs="Arial"/>
          <w:sz w:val="22"/>
          <w:szCs w:val="22"/>
          <w:lang w:val="en-US"/>
        </w:rPr>
        <w:t>MRSA one of the two major antibiotic resistance issues confronting Scottish hospitals today (</w:t>
      </w:r>
      <w:r w:rsidR="00E537FC">
        <w:rPr>
          <w:rFonts w:cs="Arial"/>
          <w:sz w:val="22"/>
          <w:szCs w:val="22"/>
          <w:lang w:val="en-US"/>
        </w:rPr>
        <w:fldChar w:fldCharType="begin"/>
      </w:r>
      <w:r w:rsidR="00E537FC">
        <w:rPr>
          <w:rFonts w:cs="Arial"/>
          <w:sz w:val="22"/>
          <w:szCs w:val="22"/>
          <w:lang w:val="en-US"/>
        </w:rPr>
        <w:instrText xml:space="preserve"> REF _Ref284169623 \r \h </w:instrText>
      </w:r>
      <w:r w:rsidR="00E537FC">
        <w:rPr>
          <w:rFonts w:cs="Arial"/>
          <w:sz w:val="22"/>
          <w:szCs w:val="22"/>
          <w:lang w:val="en-US"/>
        </w:rPr>
      </w:r>
      <w:r w:rsidR="00E537FC">
        <w:rPr>
          <w:rFonts w:cs="Arial"/>
          <w:sz w:val="22"/>
          <w:szCs w:val="22"/>
          <w:lang w:val="en-US"/>
        </w:rPr>
        <w:fldChar w:fldCharType="separate"/>
      </w:r>
      <w:r w:rsidR="00151A1C">
        <w:rPr>
          <w:rFonts w:cs="Arial"/>
          <w:sz w:val="22"/>
          <w:szCs w:val="22"/>
          <w:lang w:val="en-US"/>
        </w:rPr>
        <w:t>23</w:t>
      </w:r>
      <w:r w:rsidR="00E537FC">
        <w:rPr>
          <w:rFonts w:cs="Arial"/>
          <w:sz w:val="22"/>
          <w:szCs w:val="22"/>
          <w:lang w:val="en-US"/>
        </w:rPr>
        <w:fldChar w:fldCharType="end"/>
      </w:r>
      <w:r w:rsidRPr="00D03E85">
        <w:rPr>
          <w:rFonts w:cs="Arial"/>
          <w:sz w:val="22"/>
          <w:szCs w:val="22"/>
          <w:lang w:val="en-US"/>
        </w:rPr>
        <w:t xml:space="preserve">). </w:t>
      </w:r>
      <w:r w:rsidR="00550011" w:rsidRPr="00177145">
        <w:rPr>
          <w:rFonts w:eastAsia="Times New Roman" w:cs="Arial"/>
          <w:sz w:val="22"/>
          <w:szCs w:val="22"/>
        </w:rPr>
        <w:t>MRSA was cited as the primary cause of or a contributory factor in 36 deaths in Scotland in 2013 (</w:t>
      </w:r>
      <w:r w:rsidR="00E537FC">
        <w:rPr>
          <w:rFonts w:eastAsia="Times New Roman" w:cs="Arial"/>
          <w:sz w:val="22"/>
          <w:szCs w:val="22"/>
        </w:rPr>
        <w:fldChar w:fldCharType="begin"/>
      </w:r>
      <w:r w:rsidR="00E537FC">
        <w:rPr>
          <w:rFonts w:eastAsia="Times New Roman" w:cs="Arial"/>
          <w:sz w:val="22"/>
          <w:szCs w:val="22"/>
        </w:rPr>
        <w:instrText xml:space="preserve"> REF _Ref284169702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24</w:t>
      </w:r>
      <w:r w:rsidR="00E537FC">
        <w:rPr>
          <w:rFonts w:eastAsia="Times New Roman" w:cs="Arial"/>
          <w:sz w:val="22"/>
          <w:szCs w:val="22"/>
        </w:rPr>
        <w:fldChar w:fldCharType="end"/>
      </w:r>
      <w:r w:rsidR="00550011" w:rsidRPr="00177145">
        <w:rPr>
          <w:rFonts w:eastAsia="Times New Roman" w:cs="Arial"/>
          <w:sz w:val="22"/>
          <w:szCs w:val="22"/>
        </w:rPr>
        <w:t>)</w:t>
      </w:r>
      <w:r w:rsidR="00177145" w:rsidRPr="00177145">
        <w:rPr>
          <w:rFonts w:eastAsia="Times New Roman" w:cs="Arial"/>
          <w:sz w:val="22"/>
          <w:szCs w:val="22"/>
        </w:rPr>
        <w:t xml:space="preserve"> and quarterly Scottish Staphylococcus aureus bacteraemia </w:t>
      </w:r>
      <w:r w:rsidR="000C5789">
        <w:rPr>
          <w:rFonts w:eastAsia="Times New Roman" w:cs="Arial"/>
          <w:sz w:val="22"/>
          <w:szCs w:val="22"/>
        </w:rPr>
        <w:t xml:space="preserve">(SAB) </w:t>
      </w:r>
      <w:r w:rsidR="00177145" w:rsidRPr="00177145">
        <w:rPr>
          <w:rFonts w:eastAsia="Times New Roman" w:cs="Arial"/>
          <w:sz w:val="22"/>
          <w:szCs w:val="22"/>
        </w:rPr>
        <w:t>surveillance report</w:t>
      </w:r>
      <w:r w:rsidR="006E48DC">
        <w:rPr>
          <w:rFonts w:eastAsia="Times New Roman" w:cs="Arial"/>
          <w:sz w:val="22"/>
          <w:szCs w:val="22"/>
        </w:rPr>
        <w:t>s</w:t>
      </w:r>
      <w:r w:rsidR="00177145" w:rsidRPr="00177145">
        <w:rPr>
          <w:rFonts w:eastAsia="Times New Roman" w:cs="Arial"/>
          <w:sz w:val="22"/>
          <w:szCs w:val="22"/>
        </w:rPr>
        <w:t xml:space="preserve"> confirms that </w:t>
      </w:r>
      <w:r w:rsidR="000C5789" w:rsidRPr="00177145">
        <w:rPr>
          <w:rFonts w:eastAsia="Times New Roman" w:cs="Arial"/>
          <w:sz w:val="22"/>
          <w:szCs w:val="22"/>
        </w:rPr>
        <w:t xml:space="preserve">1581 episodes </w:t>
      </w:r>
      <w:r w:rsidR="000C5789" w:rsidRPr="000C5789">
        <w:rPr>
          <w:rFonts w:eastAsia="Times New Roman" w:cs="Arial"/>
          <w:sz w:val="22"/>
          <w:szCs w:val="22"/>
        </w:rPr>
        <w:t xml:space="preserve">of </w:t>
      </w:r>
      <w:r w:rsidR="000C5789" w:rsidRPr="000C5789">
        <w:rPr>
          <w:rFonts w:eastAsia="Times New Roman" w:cs="Arial"/>
          <w:iCs/>
          <w:sz w:val="22"/>
          <w:szCs w:val="22"/>
        </w:rPr>
        <w:t>SAB</w:t>
      </w:r>
      <w:r w:rsidR="000C5789" w:rsidRPr="000C5789">
        <w:rPr>
          <w:rFonts w:eastAsia="Times New Roman" w:cs="Arial"/>
          <w:sz w:val="22"/>
          <w:szCs w:val="22"/>
        </w:rPr>
        <w:t xml:space="preserve"> were</w:t>
      </w:r>
      <w:r w:rsidR="000C5789" w:rsidRPr="00177145">
        <w:rPr>
          <w:rFonts w:eastAsia="Times New Roman" w:cs="Arial"/>
          <w:sz w:val="22"/>
          <w:szCs w:val="22"/>
        </w:rPr>
        <w:t xml:space="preserve"> reported to </w:t>
      </w:r>
      <w:r w:rsidR="00E537FC" w:rsidRPr="00177145">
        <w:rPr>
          <w:rFonts w:eastAsia="Times New Roman" w:cs="Arial"/>
          <w:sz w:val="22"/>
          <w:szCs w:val="22"/>
        </w:rPr>
        <w:t xml:space="preserve">Health Protection Scotland </w:t>
      </w:r>
      <w:r w:rsidR="00E537FC">
        <w:rPr>
          <w:rFonts w:eastAsia="Times New Roman" w:cs="Arial"/>
          <w:sz w:val="22"/>
          <w:szCs w:val="22"/>
        </w:rPr>
        <w:t>(</w:t>
      </w:r>
      <w:r w:rsidR="000C5789" w:rsidRPr="00177145">
        <w:rPr>
          <w:rFonts w:eastAsia="Times New Roman" w:cs="Arial"/>
          <w:sz w:val="22"/>
          <w:szCs w:val="22"/>
        </w:rPr>
        <w:t>HPS</w:t>
      </w:r>
      <w:r w:rsidR="00E537FC">
        <w:rPr>
          <w:rFonts w:eastAsia="Times New Roman" w:cs="Arial"/>
          <w:sz w:val="22"/>
          <w:szCs w:val="22"/>
        </w:rPr>
        <w:t>)</w:t>
      </w:r>
      <w:r w:rsidR="000C5789" w:rsidRPr="00177145">
        <w:rPr>
          <w:rFonts w:eastAsia="Times New Roman" w:cs="Arial"/>
          <w:sz w:val="22"/>
          <w:szCs w:val="22"/>
        </w:rPr>
        <w:t xml:space="preserve"> </w:t>
      </w:r>
      <w:r w:rsidR="00177145" w:rsidRPr="00177145">
        <w:rPr>
          <w:rFonts w:eastAsia="Times New Roman" w:cs="Arial"/>
          <w:sz w:val="22"/>
          <w:szCs w:val="22"/>
        </w:rPr>
        <w:t xml:space="preserve">in the year </w:t>
      </w:r>
      <w:r w:rsidR="000C5789">
        <w:rPr>
          <w:rFonts w:eastAsia="Times New Roman" w:cs="Arial"/>
          <w:sz w:val="22"/>
          <w:szCs w:val="22"/>
        </w:rPr>
        <w:t>July 2013 -</w:t>
      </w:r>
      <w:r w:rsidR="00177145" w:rsidRPr="00177145">
        <w:rPr>
          <w:rFonts w:eastAsia="Times New Roman" w:cs="Arial"/>
          <w:sz w:val="22"/>
          <w:szCs w:val="22"/>
        </w:rPr>
        <w:t xml:space="preserve"> June 2014, of which 141 (8.9%) were met</w:t>
      </w:r>
      <w:r w:rsidR="00CB002A">
        <w:rPr>
          <w:rFonts w:eastAsia="Times New Roman" w:cs="Arial"/>
          <w:sz w:val="22"/>
          <w:szCs w:val="22"/>
        </w:rPr>
        <w:t>h</w:t>
      </w:r>
      <w:r w:rsidR="00177145" w:rsidRPr="00177145">
        <w:rPr>
          <w:rFonts w:eastAsia="Times New Roman" w:cs="Arial"/>
          <w:sz w:val="22"/>
          <w:szCs w:val="22"/>
        </w:rPr>
        <w:t>icillin-resistant</w:t>
      </w:r>
      <w:r w:rsidR="00E537FC">
        <w:rPr>
          <w:rFonts w:eastAsia="Times New Roman" w:cs="Arial"/>
          <w:sz w:val="22"/>
          <w:szCs w:val="22"/>
        </w:rPr>
        <w:t xml:space="preserve"> (</w:t>
      </w:r>
      <w:r w:rsidR="00E537FC">
        <w:rPr>
          <w:rFonts w:eastAsia="Times New Roman" w:cs="Arial"/>
          <w:sz w:val="22"/>
          <w:szCs w:val="22"/>
        </w:rPr>
        <w:fldChar w:fldCharType="begin"/>
      </w:r>
      <w:r w:rsidR="00E537FC">
        <w:rPr>
          <w:rFonts w:eastAsia="Times New Roman" w:cs="Arial"/>
          <w:sz w:val="22"/>
          <w:szCs w:val="22"/>
        </w:rPr>
        <w:instrText xml:space="preserve"> REF _Ref284169749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25</w:t>
      </w:r>
      <w:r w:rsidR="00E537FC">
        <w:rPr>
          <w:rFonts w:eastAsia="Times New Roman" w:cs="Arial"/>
          <w:sz w:val="22"/>
          <w:szCs w:val="22"/>
        </w:rPr>
        <w:fldChar w:fldCharType="end"/>
      </w:r>
      <w:r w:rsidR="00E537FC">
        <w:rPr>
          <w:rFonts w:eastAsia="Times New Roman" w:cs="Arial"/>
          <w:sz w:val="22"/>
          <w:szCs w:val="22"/>
        </w:rPr>
        <w:t>)</w:t>
      </w:r>
      <w:r w:rsidR="00177145" w:rsidRPr="00177145">
        <w:rPr>
          <w:rFonts w:eastAsia="Times New Roman" w:cs="Arial"/>
          <w:sz w:val="22"/>
          <w:szCs w:val="22"/>
        </w:rPr>
        <w:t xml:space="preserve">. </w:t>
      </w:r>
      <w:r>
        <w:rPr>
          <w:rFonts w:cs="Arial"/>
          <w:sz w:val="22"/>
          <w:szCs w:val="22"/>
          <w:lang w:val="en-US"/>
        </w:rPr>
        <w:t>The</w:t>
      </w:r>
      <w:r w:rsidR="00550011" w:rsidRPr="00D03E85">
        <w:rPr>
          <w:rFonts w:cs="Arial"/>
          <w:sz w:val="22"/>
          <w:szCs w:val="22"/>
          <w:lang w:val="en-US"/>
        </w:rPr>
        <w:t xml:space="preserve"> priority </w:t>
      </w:r>
      <w:r w:rsidR="00C56F8E">
        <w:rPr>
          <w:rFonts w:cs="Arial"/>
          <w:sz w:val="22"/>
          <w:szCs w:val="22"/>
          <w:lang w:val="en-US"/>
        </w:rPr>
        <w:t>to further reduce the number of HAIs</w:t>
      </w:r>
      <w:r>
        <w:rPr>
          <w:rFonts w:cs="Arial"/>
          <w:sz w:val="22"/>
          <w:szCs w:val="22"/>
          <w:lang w:val="en-US"/>
        </w:rPr>
        <w:t xml:space="preserve"> in Scotland</w:t>
      </w:r>
      <w:r w:rsidR="00C56F8E">
        <w:rPr>
          <w:rFonts w:cs="Arial"/>
          <w:sz w:val="22"/>
          <w:szCs w:val="22"/>
          <w:lang w:val="en-US"/>
        </w:rPr>
        <w:t xml:space="preserve"> </w:t>
      </w:r>
      <w:r w:rsidR="00550011" w:rsidRPr="00D03E85">
        <w:rPr>
          <w:rFonts w:cs="Arial"/>
          <w:sz w:val="22"/>
          <w:szCs w:val="22"/>
          <w:lang w:val="en-US"/>
        </w:rPr>
        <w:t xml:space="preserve">is reflected in the </w:t>
      </w:r>
      <w:r w:rsidR="00550011" w:rsidRPr="00D03E85">
        <w:rPr>
          <w:rFonts w:eastAsia="Times New Roman" w:cs="Arial"/>
          <w:sz w:val="22"/>
          <w:szCs w:val="22"/>
        </w:rPr>
        <w:t>national HEAT target for NHS Boards so that</w:t>
      </w:r>
      <w:r w:rsidR="00C56F8E">
        <w:rPr>
          <w:rFonts w:eastAsia="Times New Roman" w:cs="Arial"/>
          <w:sz w:val="22"/>
          <w:szCs w:val="22"/>
        </w:rPr>
        <w:t>,</w:t>
      </w:r>
      <w:r w:rsidR="00550011" w:rsidRPr="00D03E85">
        <w:rPr>
          <w:rFonts w:eastAsia="Times New Roman" w:cs="Arial"/>
          <w:sz w:val="22"/>
          <w:szCs w:val="22"/>
        </w:rPr>
        <w:t xml:space="preserve"> by March 2015</w:t>
      </w:r>
      <w:r w:rsidR="00C56F8E">
        <w:rPr>
          <w:rFonts w:eastAsia="Times New Roman" w:cs="Arial"/>
          <w:sz w:val="22"/>
          <w:szCs w:val="22"/>
        </w:rPr>
        <w:t>,</w:t>
      </w:r>
      <w:r w:rsidR="00550011" w:rsidRPr="00D03E85">
        <w:rPr>
          <w:rFonts w:eastAsia="Times New Roman" w:cs="Arial"/>
          <w:sz w:val="22"/>
          <w:szCs w:val="22"/>
        </w:rPr>
        <w:t xml:space="preserve"> SAB cases (including MRSA) cases </w:t>
      </w:r>
      <w:r>
        <w:rPr>
          <w:rFonts w:eastAsia="Times New Roman" w:cs="Arial"/>
          <w:sz w:val="22"/>
          <w:szCs w:val="22"/>
        </w:rPr>
        <w:t xml:space="preserve">represent </w:t>
      </w:r>
      <w:r w:rsidRPr="00E806A9">
        <w:rPr>
          <w:rFonts w:eastAsia="MS Gothic" w:cs="Arial"/>
          <w:color w:val="000000"/>
          <w:sz w:val="22"/>
          <w:szCs w:val="22"/>
        </w:rPr>
        <w:t>≤</w:t>
      </w:r>
      <w:r w:rsidR="00550011" w:rsidRPr="00E806A9">
        <w:rPr>
          <w:rFonts w:eastAsia="Times New Roman" w:cs="Arial"/>
          <w:sz w:val="22"/>
          <w:szCs w:val="22"/>
        </w:rPr>
        <w:t>0.24 per 1000 acute occupied bed days</w:t>
      </w:r>
      <w:r w:rsidR="000C5789">
        <w:rPr>
          <w:rFonts w:eastAsia="Times New Roman" w:cs="Arial"/>
          <w:sz w:val="22"/>
          <w:szCs w:val="22"/>
        </w:rPr>
        <w:t xml:space="preserve"> (AOBD)</w:t>
      </w:r>
      <w:r w:rsidR="00550011" w:rsidRPr="00E806A9">
        <w:rPr>
          <w:rFonts w:eastAsia="Times New Roman" w:cs="Arial"/>
          <w:sz w:val="22"/>
          <w:szCs w:val="22"/>
        </w:rPr>
        <w:t xml:space="preserve">. </w:t>
      </w:r>
    </w:p>
    <w:p w14:paraId="7391F060" w14:textId="77777777" w:rsidR="00550011" w:rsidRPr="00D03E85" w:rsidRDefault="00550011" w:rsidP="00550011">
      <w:pPr>
        <w:rPr>
          <w:rFonts w:eastAsia="Times New Roman" w:cs="Arial"/>
          <w:sz w:val="22"/>
          <w:szCs w:val="22"/>
        </w:rPr>
      </w:pPr>
      <w:r w:rsidRPr="00D03E85">
        <w:rPr>
          <w:rFonts w:cs="Arial"/>
          <w:b/>
          <w:sz w:val="22"/>
          <w:szCs w:val="22"/>
        </w:rPr>
        <w:lastRenderedPageBreak/>
        <w:t>2. Brief overview of current treatment options in Scotland</w:t>
      </w:r>
      <w:r w:rsidRPr="00D03E85">
        <w:rPr>
          <w:rFonts w:eastAsia="Times New Roman" w:cs="Arial"/>
          <w:sz w:val="22"/>
          <w:szCs w:val="22"/>
        </w:rPr>
        <w:t xml:space="preserve"> </w:t>
      </w:r>
    </w:p>
    <w:p w14:paraId="40BF7FE5" w14:textId="3E50AC37" w:rsidR="00550011" w:rsidRPr="00D03E85" w:rsidRDefault="00550011" w:rsidP="00550011">
      <w:pPr>
        <w:rPr>
          <w:rFonts w:eastAsia="Times New Roman" w:cs="Arial"/>
          <w:sz w:val="22"/>
          <w:szCs w:val="22"/>
        </w:rPr>
      </w:pPr>
      <w:r w:rsidRPr="00D03E85">
        <w:rPr>
          <w:rFonts w:eastAsia="Times New Roman" w:cs="Arial"/>
          <w:sz w:val="22"/>
          <w:szCs w:val="22"/>
        </w:rPr>
        <w:t xml:space="preserve">Antimicrobials </w:t>
      </w:r>
      <w:r w:rsidR="00C044BE">
        <w:rPr>
          <w:rFonts w:eastAsia="Times New Roman" w:cs="Arial"/>
          <w:sz w:val="22"/>
          <w:szCs w:val="22"/>
        </w:rPr>
        <w:t xml:space="preserve">licensed </w:t>
      </w:r>
      <w:r w:rsidRPr="00D03E85">
        <w:rPr>
          <w:rFonts w:eastAsia="Times New Roman" w:cs="Arial"/>
          <w:sz w:val="22"/>
          <w:szCs w:val="22"/>
        </w:rPr>
        <w:t xml:space="preserve">for the treatment of </w:t>
      </w:r>
      <w:r w:rsidR="00C044BE">
        <w:rPr>
          <w:rFonts w:eastAsia="Times New Roman" w:cs="Arial"/>
          <w:sz w:val="22"/>
          <w:szCs w:val="22"/>
        </w:rPr>
        <w:t>cSSTIs/</w:t>
      </w:r>
      <w:r w:rsidRPr="00D03E85">
        <w:rPr>
          <w:rFonts w:eastAsia="Times New Roman" w:cs="Arial"/>
          <w:sz w:val="22"/>
          <w:szCs w:val="22"/>
        </w:rPr>
        <w:t xml:space="preserve">ABSSSI in Scotland and elsewhere </w:t>
      </w:r>
      <w:r w:rsidR="004C3ED5">
        <w:rPr>
          <w:rFonts w:eastAsia="Times New Roman" w:cs="Arial"/>
          <w:sz w:val="22"/>
          <w:szCs w:val="22"/>
        </w:rPr>
        <w:t xml:space="preserve">in the UK </w:t>
      </w:r>
      <w:r>
        <w:rPr>
          <w:rFonts w:cs="Arial"/>
          <w:sz w:val="22"/>
          <w:szCs w:val="22"/>
        </w:rPr>
        <w:t>include vanco</w:t>
      </w:r>
      <w:r w:rsidRPr="00D03E85">
        <w:rPr>
          <w:rFonts w:cs="Arial"/>
          <w:sz w:val="22"/>
          <w:szCs w:val="22"/>
        </w:rPr>
        <w:t>m</w:t>
      </w:r>
      <w:r>
        <w:rPr>
          <w:rFonts w:cs="Arial"/>
          <w:sz w:val="22"/>
          <w:szCs w:val="22"/>
        </w:rPr>
        <w:t>y</w:t>
      </w:r>
      <w:r w:rsidRPr="00D03E85">
        <w:rPr>
          <w:rFonts w:cs="Arial"/>
          <w:sz w:val="22"/>
          <w:szCs w:val="22"/>
        </w:rPr>
        <w:t xml:space="preserve">cin, teicoplanin, tigecycline, ceftaroline, daptomycin, telavancin, and linezolid. </w:t>
      </w:r>
      <w:r w:rsidR="003136B5" w:rsidRPr="00D03E85">
        <w:rPr>
          <w:rFonts w:cs="Arial"/>
          <w:sz w:val="22"/>
          <w:szCs w:val="22"/>
        </w:rPr>
        <w:t xml:space="preserve">They </w:t>
      </w:r>
      <w:r w:rsidR="003136B5" w:rsidRPr="00D03E85">
        <w:rPr>
          <w:rFonts w:eastAsia="Times New Roman" w:cs="Arial"/>
          <w:sz w:val="22"/>
          <w:szCs w:val="22"/>
        </w:rPr>
        <w:t xml:space="preserve">are generally efficacious, but </w:t>
      </w:r>
      <w:r w:rsidR="003136B5">
        <w:rPr>
          <w:rFonts w:eastAsia="Times New Roman" w:cs="Arial"/>
          <w:sz w:val="22"/>
          <w:szCs w:val="22"/>
        </w:rPr>
        <w:t>have several limitation</w:t>
      </w:r>
      <w:r w:rsidR="000C5789">
        <w:rPr>
          <w:rFonts w:eastAsia="Times New Roman" w:cs="Arial"/>
          <w:sz w:val="22"/>
          <w:szCs w:val="22"/>
        </w:rPr>
        <w:t>s</w:t>
      </w:r>
      <w:r w:rsidR="003136B5">
        <w:rPr>
          <w:rFonts w:eastAsia="Times New Roman" w:cs="Arial"/>
          <w:sz w:val="22"/>
          <w:szCs w:val="22"/>
        </w:rPr>
        <w:t xml:space="preserve"> related to increased </w:t>
      </w:r>
      <w:r w:rsidR="003136B5" w:rsidRPr="00D03E85">
        <w:rPr>
          <w:rFonts w:eastAsia="Times New Roman" w:cs="Arial"/>
          <w:sz w:val="22"/>
          <w:szCs w:val="22"/>
        </w:rPr>
        <w:t>antimicrobial resistance</w:t>
      </w:r>
      <w:r w:rsidR="003136B5">
        <w:rPr>
          <w:rFonts w:eastAsia="Times New Roman" w:cs="Arial"/>
          <w:sz w:val="22"/>
          <w:szCs w:val="22"/>
        </w:rPr>
        <w:t>, safety,</w:t>
      </w:r>
      <w:r w:rsidR="003136B5" w:rsidRPr="00D03E85">
        <w:rPr>
          <w:rFonts w:eastAsia="Times New Roman" w:cs="Arial"/>
          <w:sz w:val="22"/>
          <w:szCs w:val="22"/>
        </w:rPr>
        <w:t xml:space="preserve"> adverse</w:t>
      </w:r>
      <w:r w:rsidR="003136B5">
        <w:rPr>
          <w:rFonts w:eastAsia="Times New Roman" w:cs="Arial"/>
          <w:sz w:val="22"/>
          <w:szCs w:val="22"/>
        </w:rPr>
        <w:t xml:space="preserve"> events</w:t>
      </w:r>
      <w:r w:rsidR="003136B5" w:rsidRPr="00D03E85">
        <w:rPr>
          <w:rFonts w:eastAsia="Times New Roman" w:cs="Arial"/>
          <w:sz w:val="22"/>
          <w:szCs w:val="22"/>
        </w:rPr>
        <w:t xml:space="preserve"> </w:t>
      </w:r>
      <w:r w:rsidR="003136B5" w:rsidRPr="00D03E85">
        <w:rPr>
          <w:rFonts w:cs="Arial"/>
          <w:sz w:val="22"/>
          <w:szCs w:val="22"/>
          <w:lang w:val="en-US"/>
        </w:rPr>
        <w:t>(specifically nephrotoxicity with vancomycin and myelosuppression with linezolid), drug-drug interactions</w:t>
      </w:r>
      <w:r w:rsidR="00BF017F">
        <w:rPr>
          <w:rFonts w:cs="Arial"/>
          <w:sz w:val="22"/>
          <w:szCs w:val="22"/>
          <w:lang w:val="en-US"/>
        </w:rPr>
        <w:t xml:space="preserve"> (DDIs)</w:t>
      </w:r>
      <w:r w:rsidR="003136B5" w:rsidRPr="00D03E85">
        <w:rPr>
          <w:rFonts w:cs="Arial"/>
          <w:sz w:val="22"/>
          <w:szCs w:val="22"/>
          <w:lang w:val="en-US"/>
        </w:rPr>
        <w:t xml:space="preserve"> (MAOIs and serotonergic agents with linezolid), and dose-related complexities in</w:t>
      </w:r>
      <w:r w:rsidR="003136B5">
        <w:rPr>
          <w:rFonts w:cs="Arial"/>
          <w:sz w:val="22"/>
          <w:szCs w:val="22"/>
          <w:lang w:val="en-US"/>
        </w:rPr>
        <w:t xml:space="preserve"> patients with renal impairment</w:t>
      </w:r>
      <w:r w:rsidR="003136B5" w:rsidRPr="00D03E85">
        <w:rPr>
          <w:rFonts w:eastAsia="Times New Roman" w:cs="Arial"/>
          <w:sz w:val="22"/>
          <w:szCs w:val="22"/>
        </w:rPr>
        <w:t>.</w:t>
      </w:r>
      <w:r w:rsidR="003136B5">
        <w:rPr>
          <w:rFonts w:eastAsia="Times New Roman" w:cs="Arial"/>
          <w:sz w:val="22"/>
          <w:szCs w:val="22"/>
        </w:rPr>
        <w:t xml:space="preserve"> </w:t>
      </w:r>
      <w:r w:rsidR="000C5789">
        <w:rPr>
          <w:rFonts w:eastAsia="Times New Roman" w:cs="Arial"/>
          <w:sz w:val="22"/>
          <w:szCs w:val="22"/>
        </w:rPr>
        <w:t>These</w:t>
      </w:r>
      <w:r w:rsidR="003136B5">
        <w:rPr>
          <w:rFonts w:eastAsia="Times New Roman" w:cs="Arial"/>
          <w:sz w:val="22"/>
          <w:szCs w:val="22"/>
        </w:rPr>
        <w:t xml:space="preserve"> concerns and limitations become even more challenging when dealing with patients with associated comorbidities</w:t>
      </w:r>
      <w:r w:rsidRPr="00D03E85">
        <w:rPr>
          <w:rFonts w:eastAsia="Times New Roman" w:cs="Arial"/>
          <w:sz w:val="22"/>
          <w:szCs w:val="22"/>
        </w:rPr>
        <w:t>.</w:t>
      </w:r>
    </w:p>
    <w:p w14:paraId="0D9A5920" w14:textId="77777777" w:rsidR="00550011" w:rsidRPr="00D03E85" w:rsidRDefault="00550011" w:rsidP="00550011">
      <w:pPr>
        <w:rPr>
          <w:rFonts w:eastAsia="Times New Roman" w:cs="Arial"/>
          <w:sz w:val="22"/>
          <w:szCs w:val="22"/>
        </w:rPr>
      </w:pPr>
    </w:p>
    <w:p w14:paraId="7559C76F" w14:textId="7091C4CE" w:rsidR="00550011" w:rsidRPr="00D03E85" w:rsidRDefault="00550011" w:rsidP="00550011">
      <w:pPr>
        <w:widowControl w:val="0"/>
        <w:autoSpaceDE w:val="0"/>
        <w:autoSpaceDN w:val="0"/>
        <w:adjustRightInd w:val="0"/>
        <w:rPr>
          <w:rFonts w:cs="Arial"/>
          <w:sz w:val="22"/>
          <w:szCs w:val="22"/>
        </w:rPr>
      </w:pPr>
      <w:r w:rsidRPr="00D03E85">
        <w:rPr>
          <w:rFonts w:cs="Arial"/>
          <w:sz w:val="22"/>
          <w:szCs w:val="22"/>
          <w:lang w:val="en-US"/>
        </w:rPr>
        <w:t>Current standard practice in NHS Scotland is to treat all proven or suspected MRSA-caused ABSSSIs empirically with vancomycin (</w:t>
      </w:r>
      <w:r w:rsidR="00E537FC">
        <w:rPr>
          <w:rFonts w:cs="Arial"/>
          <w:sz w:val="22"/>
          <w:szCs w:val="22"/>
          <w:lang w:val="en-US"/>
        </w:rPr>
        <w:fldChar w:fldCharType="begin"/>
      </w:r>
      <w:r w:rsidR="00E537FC">
        <w:rPr>
          <w:rFonts w:cs="Arial"/>
          <w:sz w:val="22"/>
          <w:szCs w:val="22"/>
          <w:lang w:val="en-US"/>
        </w:rPr>
        <w:instrText xml:space="preserve"> REF _Ref284168509 \r \h </w:instrText>
      </w:r>
      <w:r w:rsidR="00E537FC">
        <w:rPr>
          <w:rFonts w:cs="Arial"/>
          <w:sz w:val="22"/>
          <w:szCs w:val="22"/>
          <w:lang w:val="en-US"/>
        </w:rPr>
      </w:r>
      <w:r w:rsidR="00E537FC">
        <w:rPr>
          <w:rFonts w:cs="Arial"/>
          <w:sz w:val="22"/>
          <w:szCs w:val="22"/>
          <w:lang w:val="en-US"/>
        </w:rPr>
        <w:fldChar w:fldCharType="separate"/>
      </w:r>
      <w:r w:rsidR="00151A1C">
        <w:rPr>
          <w:rFonts w:cs="Arial"/>
          <w:sz w:val="22"/>
          <w:szCs w:val="22"/>
          <w:lang w:val="en-US"/>
        </w:rPr>
        <w:t>3</w:t>
      </w:r>
      <w:r w:rsidR="00E537FC">
        <w:rPr>
          <w:rFonts w:cs="Arial"/>
          <w:sz w:val="22"/>
          <w:szCs w:val="22"/>
          <w:lang w:val="en-US"/>
        </w:rPr>
        <w:fldChar w:fldCharType="end"/>
      </w:r>
      <w:r w:rsidRPr="00D03E85">
        <w:rPr>
          <w:rFonts w:cs="Arial"/>
          <w:sz w:val="22"/>
          <w:szCs w:val="22"/>
          <w:lang w:val="en-US"/>
        </w:rPr>
        <w:t>)</w:t>
      </w:r>
      <w:r>
        <w:rPr>
          <w:rFonts w:cs="Arial"/>
          <w:sz w:val="22"/>
          <w:szCs w:val="22"/>
          <w:lang w:val="en-US"/>
        </w:rPr>
        <w:t xml:space="preserve"> initially</w:t>
      </w:r>
      <w:r w:rsidRPr="00D03E85">
        <w:rPr>
          <w:rFonts w:cs="Arial"/>
          <w:sz w:val="22"/>
          <w:szCs w:val="22"/>
          <w:lang w:val="en-US"/>
        </w:rPr>
        <w:t>, using an alternative agent where appropriate. However</w:t>
      </w:r>
      <w:r w:rsidRPr="00D03E85">
        <w:rPr>
          <w:rFonts w:cs="Arial"/>
          <w:sz w:val="22"/>
          <w:szCs w:val="22"/>
        </w:rPr>
        <w:t xml:space="preserve">, vancomycin </w:t>
      </w:r>
      <w:r w:rsidR="000C5789">
        <w:rPr>
          <w:rFonts w:cs="Arial"/>
          <w:sz w:val="22"/>
          <w:szCs w:val="22"/>
        </w:rPr>
        <w:t xml:space="preserve">efficacy </w:t>
      </w:r>
      <w:r w:rsidRPr="00D03E85">
        <w:rPr>
          <w:rFonts w:cs="Arial"/>
          <w:sz w:val="22"/>
          <w:szCs w:val="22"/>
        </w:rPr>
        <w:t>has come into question, with concerns over its slow bactericidal activity and the emergence of resistant strains (</w:t>
      </w:r>
      <w:r w:rsidR="00E537FC">
        <w:rPr>
          <w:rFonts w:cs="Arial"/>
          <w:sz w:val="22"/>
          <w:szCs w:val="22"/>
        </w:rPr>
        <w:fldChar w:fldCharType="begin"/>
      </w:r>
      <w:r w:rsidR="00E537FC">
        <w:rPr>
          <w:rFonts w:cs="Arial"/>
          <w:sz w:val="22"/>
          <w:szCs w:val="22"/>
        </w:rPr>
        <w:instrText xml:space="preserve"> REF _Ref284169887 \r \h </w:instrText>
      </w:r>
      <w:r w:rsidR="00E537FC">
        <w:rPr>
          <w:rFonts w:cs="Arial"/>
          <w:sz w:val="22"/>
          <w:szCs w:val="22"/>
        </w:rPr>
      </w:r>
      <w:r w:rsidR="00E537FC">
        <w:rPr>
          <w:rFonts w:cs="Arial"/>
          <w:sz w:val="22"/>
          <w:szCs w:val="22"/>
        </w:rPr>
        <w:fldChar w:fldCharType="separate"/>
      </w:r>
      <w:r w:rsidR="00151A1C">
        <w:rPr>
          <w:rFonts w:cs="Arial"/>
          <w:sz w:val="22"/>
          <w:szCs w:val="22"/>
        </w:rPr>
        <w:t>26</w:t>
      </w:r>
      <w:r w:rsidR="00E537FC">
        <w:rPr>
          <w:rFonts w:cs="Arial"/>
          <w:sz w:val="22"/>
          <w:szCs w:val="22"/>
        </w:rPr>
        <w:fldChar w:fldCharType="end"/>
      </w:r>
      <w:r w:rsidRPr="00D03E85">
        <w:rPr>
          <w:rFonts w:cs="Arial"/>
          <w:sz w:val="22"/>
          <w:szCs w:val="22"/>
        </w:rPr>
        <w:t xml:space="preserve">). </w:t>
      </w:r>
      <w:r w:rsidRPr="00D03E85">
        <w:rPr>
          <w:rFonts w:eastAsia="Times New Roman" w:cs="Arial"/>
          <w:sz w:val="22"/>
          <w:szCs w:val="22"/>
        </w:rPr>
        <w:t>Glycopeptide standard therapy has been associated with clinical failures (</w:t>
      </w:r>
      <w:r w:rsidR="00E537FC">
        <w:rPr>
          <w:rFonts w:eastAsia="Times New Roman" w:cs="Arial"/>
          <w:sz w:val="22"/>
          <w:szCs w:val="22"/>
        </w:rPr>
        <w:fldChar w:fldCharType="begin"/>
      </w:r>
      <w:r w:rsidR="00E537FC">
        <w:rPr>
          <w:rFonts w:eastAsia="Times New Roman" w:cs="Arial"/>
          <w:sz w:val="22"/>
          <w:szCs w:val="22"/>
        </w:rPr>
        <w:instrText xml:space="preserve"> REF _Ref284169913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27</w:t>
      </w:r>
      <w:r w:rsidR="00E537FC">
        <w:rPr>
          <w:rFonts w:eastAsia="Times New Roman" w:cs="Arial"/>
          <w:sz w:val="22"/>
          <w:szCs w:val="22"/>
        </w:rPr>
        <w:fldChar w:fldCharType="end"/>
      </w:r>
      <w:r w:rsidR="00E537FC">
        <w:rPr>
          <w:rFonts w:eastAsia="Times New Roman" w:cs="Arial"/>
          <w:sz w:val="22"/>
          <w:szCs w:val="22"/>
        </w:rPr>
        <w:t>;</w:t>
      </w:r>
      <w:r w:rsidR="006621B2">
        <w:rPr>
          <w:rFonts w:eastAsia="Times New Roman" w:cs="Arial"/>
          <w:sz w:val="22"/>
          <w:szCs w:val="22"/>
        </w:rPr>
        <w:fldChar w:fldCharType="begin"/>
      </w:r>
      <w:r w:rsidR="006621B2">
        <w:rPr>
          <w:rFonts w:eastAsia="Times New Roman" w:cs="Arial"/>
          <w:sz w:val="22"/>
          <w:szCs w:val="22"/>
        </w:rPr>
        <w:instrText xml:space="preserve"> REF _Ref284434345 \r \h </w:instrText>
      </w:r>
      <w:r w:rsidR="006621B2">
        <w:rPr>
          <w:rFonts w:eastAsia="Times New Roman" w:cs="Arial"/>
          <w:sz w:val="22"/>
          <w:szCs w:val="22"/>
        </w:rPr>
      </w:r>
      <w:r w:rsidR="006621B2">
        <w:rPr>
          <w:rFonts w:eastAsia="Times New Roman" w:cs="Arial"/>
          <w:sz w:val="22"/>
          <w:szCs w:val="22"/>
        </w:rPr>
        <w:fldChar w:fldCharType="separate"/>
      </w:r>
      <w:r w:rsidR="00151A1C">
        <w:rPr>
          <w:rFonts w:eastAsia="Times New Roman" w:cs="Arial"/>
          <w:sz w:val="22"/>
          <w:szCs w:val="22"/>
        </w:rPr>
        <w:t>28</w:t>
      </w:r>
      <w:r w:rsidR="006621B2">
        <w:rPr>
          <w:rFonts w:eastAsia="Times New Roman" w:cs="Arial"/>
          <w:sz w:val="22"/>
          <w:szCs w:val="22"/>
        </w:rPr>
        <w:fldChar w:fldCharType="end"/>
      </w:r>
      <w:r w:rsidRPr="00D03E85">
        <w:rPr>
          <w:rFonts w:eastAsia="Times New Roman" w:cs="Arial"/>
          <w:sz w:val="22"/>
          <w:szCs w:val="22"/>
        </w:rPr>
        <w:t>) and resistance to the newer therapies (linezolid, daptomycin, tigecycline) has also been reported (</w:t>
      </w:r>
      <w:r w:rsidR="00E537FC">
        <w:rPr>
          <w:rFonts w:eastAsia="Times New Roman" w:cs="Arial"/>
          <w:sz w:val="22"/>
          <w:szCs w:val="22"/>
        </w:rPr>
        <w:fldChar w:fldCharType="begin"/>
      </w:r>
      <w:r w:rsidR="00E537FC">
        <w:rPr>
          <w:rFonts w:eastAsia="Times New Roman" w:cs="Arial"/>
          <w:sz w:val="22"/>
          <w:szCs w:val="22"/>
        </w:rPr>
        <w:instrText xml:space="preserve"> REF _Ref284169959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29</w:t>
      </w:r>
      <w:r w:rsidR="00E537FC">
        <w:rPr>
          <w:rFonts w:eastAsia="Times New Roman" w:cs="Arial"/>
          <w:sz w:val="22"/>
          <w:szCs w:val="22"/>
        </w:rPr>
        <w:fldChar w:fldCharType="end"/>
      </w:r>
      <w:r w:rsidRPr="00D03E85">
        <w:rPr>
          <w:rFonts w:eastAsia="Times New Roman" w:cs="Arial"/>
          <w:sz w:val="22"/>
          <w:szCs w:val="22"/>
        </w:rPr>
        <w:t>).</w:t>
      </w:r>
      <w:r w:rsidR="0077648D">
        <w:rPr>
          <w:rFonts w:eastAsia="Times New Roman" w:cs="Arial"/>
          <w:sz w:val="22"/>
          <w:szCs w:val="22"/>
        </w:rPr>
        <w:t xml:space="preserve"> Linezolid resistance in SAB first emerged in the US as early as 2001 (</w:t>
      </w:r>
      <w:r w:rsidR="00E537FC">
        <w:rPr>
          <w:rFonts w:eastAsia="Times New Roman" w:cs="Arial"/>
          <w:sz w:val="22"/>
          <w:szCs w:val="22"/>
        </w:rPr>
        <w:fldChar w:fldCharType="begin"/>
      </w:r>
      <w:r w:rsidR="00E537FC">
        <w:rPr>
          <w:rFonts w:eastAsia="Times New Roman" w:cs="Arial"/>
          <w:sz w:val="22"/>
          <w:szCs w:val="22"/>
        </w:rPr>
        <w:instrText xml:space="preserve"> REF _Ref284169973 \r \h </w:instrText>
      </w:r>
      <w:r w:rsidR="00E537FC">
        <w:rPr>
          <w:rFonts w:eastAsia="Times New Roman" w:cs="Arial"/>
          <w:sz w:val="22"/>
          <w:szCs w:val="22"/>
        </w:rPr>
      </w:r>
      <w:r w:rsidR="00E537FC">
        <w:rPr>
          <w:rFonts w:eastAsia="Times New Roman" w:cs="Arial"/>
          <w:sz w:val="22"/>
          <w:szCs w:val="22"/>
        </w:rPr>
        <w:fldChar w:fldCharType="separate"/>
      </w:r>
      <w:r w:rsidR="00151A1C">
        <w:rPr>
          <w:rFonts w:eastAsia="Times New Roman" w:cs="Arial"/>
          <w:sz w:val="22"/>
          <w:szCs w:val="22"/>
        </w:rPr>
        <w:t>30</w:t>
      </w:r>
      <w:r w:rsidR="00E537FC">
        <w:rPr>
          <w:rFonts w:eastAsia="Times New Roman" w:cs="Arial"/>
          <w:sz w:val="22"/>
          <w:szCs w:val="22"/>
        </w:rPr>
        <w:fldChar w:fldCharType="end"/>
      </w:r>
      <w:r w:rsidR="0077648D">
        <w:rPr>
          <w:rFonts w:eastAsia="Times New Roman" w:cs="Arial"/>
          <w:sz w:val="22"/>
          <w:szCs w:val="22"/>
        </w:rPr>
        <w:t>).</w:t>
      </w:r>
    </w:p>
    <w:p w14:paraId="1044F0FA" w14:textId="77777777" w:rsidR="00550011" w:rsidRPr="00D03E85" w:rsidRDefault="00550011" w:rsidP="00550011">
      <w:pPr>
        <w:widowControl w:val="0"/>
        <w:autoSpaceDE w:val="0"/>
        <w:autoSpaceDN w:val="0"/>
        <w:adjustRightInd w:val="0"/>
        <w:rPr>
          <w:rFonts w:cs="Arial"/>
          <w:sz w:val="22"/>
          <w:szCs w:val="22"/>
        </w:rPr>
      </w:pPr>
    </w:p>
    <w:p w14:paraId="79CF51B2" w14:textId="02CF43FE" w:rsidR="00867A78" w:rsidRPr="00D03E85" w:rsidRDefault="00550011" w:rsidP="00867A78">
      <w:pPr>
        <w:widowControl w:val="0"/>
        <w:autoSpaceDE w:val="0"/>
        <w:autoSpaceDN w:val="0"/>
        <w:adjustRightInd w:val="0"/>
        <w:rPr>
          <w:rFonts w:cs="Arial"/>
          <w:sz w:val="22"/>
          <w:szCs w:val="22"/>
        </w:rPr>
      </w:pPr>
      <w:r w:rsidRPr="00D03E85">
        <w:rPr>
          <w:rFonts w:cs="Arial"/>
          <w:sz w:val="22"/>
          <w:szCs w:val="22"/>
        </w:rPr>
        <w:t xml:space="preserve">Currently, </w:t>
      </w:r>
      <w:r w:rsidRPr="00D03E85">
        <w:rPr>
          <w:rFonts w:cs="Arial"/>
          <w:sz w:val="22"/>
          <w:szCs w:val="22"/>
          <w:lang w:eastAsia="ja-JP"/>
        </w:rPr>
        <w:t>linezolid, an oxazolidinone, is</w:t>
      </w:r>
      <w:r w:rsidR="00867A78">
        <w:rPr>
          <w:rFonts w:cs="Arial"/>
          <w:sz w:val="22"/>
          <w:szCs w:val="22"/>
          <w:lang w:eastAsia="ja-JP"/>
        </w:rPr>
        <w:t xml:space="preserve"> the only </w:t>
      </w:r>
      <w:r w:rsidR="0043587A">
        <w:rPr>
          <w:rFonts w:cs="Arial"/>
          <w:sz w:val="22"/>
          <w:szCs w:val="22"/>
          <w:lang w:eastAsia="ja-JP"/>
        </w:rPr>
        <w:t>medicine</w:t>
      </w:r>
      <w:r w:rsidR="00867A78">
        <w:rPr>
          <w:rFonts w:cs="Arial"/>
          <w:sz w:val="22"/>
          <w:szCs w:val="22"/>
          <w:lang w:eastAsia="ja-JP"/>
        </w:rPr>
        <w:t xml:space="preserve"> approved for cSST</w:t>
      </w:r>
      <w:r w:rsidRPr="00D03E85">
        <w:rPr>
          <w:rFonts w:cs="Arial"/>
          <w:sz w:val="22"/>
          <w:szCs w:val="22"/>
          <w:lang w:eastAsia="ja-JP"/>
        </w:rPr>
        <w:t xml:space="preserve">I caused by MRSA and </w:t>
      </w:r>
      <w:r w:rsidRPr="00D03E85">
        <w:rPr>
          <w:rFonts w:cs="Arial"/>
          <w:sz w:val="22"/>
          <w:szCs w:val="22"/>
        </w:rPr>
        <w:t xml:space="preserve">the only approved agent allowing an </w:t>
      </w:r>
      <w:r w:rsidR="000C5789">
        <w:rPr>
          <w:rFonts w:cs="Arial"/>
          <w:sz w:val="22"/>
          <w:szCs w:val="22"/>
        </w:rPr>
        <w:t>intravenous (</w:t>
      </w:r>
      <w:r w:rsidRPr="00D03E85">
        <w:rPr>
          <w:rFonts w:cs="Arial"/>
          <w:sz w:val="22"/>
          <w:szCs w:val="22"/>
        </w:rPr>
        <w:t>IV</w:t>
      </w:r>
      <w:r w:rsidR="000C5789">
        <w:rPr>
          <w:rFonts w:cs="Arial"/>
          <w:sz w:val="22"/>
          <w:szCs w:val="22"/>
        </w:rPr>
        <w:t>)</w:t>
      </w:r>
      <w:r w:rsidRPr="00D03E85">
        <w:rPr>
          <w:rFonts w:cs="Arial"/>
          <w:sz w:val="22"/>
          <w:szCs w:val="22"/>
        </w:rPr>
        <w:t xml:space="preserve">-to-oral </w:t>
      </w:r>
      <w:r w:rsidR="000C5789">
        <w:rPr>
          <w:rFonts w:cs="Arial"/>
          <w:sz w:val="22"/>
          <w:szCs w:val="22"/>
        </w:rPr>
        <w:t xml:space="preserve">treatment </w:t>
      </w:r>
      <w:r w:rsidRPr="00D03E85">
        <w:rPr>
          <w:rFonts w:cs="Arial"/>
          <w:sz w:val="22"/>
          <w:szCs w:val="22"/>
        </w:rPr>
        <w:t xml:space="preserve">switch without necessitating a change in antibiotic and/or dose. However, </w:t>
      </w:r>
      <w:r w:rsidRPr="00D03E85">
        <w:rPr>
          <w:rFonts w:cs="Arial"/>
          <w:sz w:val="22"/>
          <w:szCs w:val="22"/>
          <w:lang w:eastAsia="ja-JP"/>
        </w:rPr>
        <w:t xml:space="preserve">sporadic outbreaks of linezolid-resistant strains of MRSA and enterococci, including those carrying a plasmid-borne </w:t>
      </w:r>
      <w:r w:rsidRPr="00D03E85">
        <w:rPr>
          <w:rFonts w:cs="Arial"/>
          <w:i/>
          <w:iCs/>
          <w:sz w:val="22"/>
          <w:szCs w:val="22"/>
          <w:lang w:eastAsia="ja-JP"/>
        </w:rPr>
        <w:t xml:space="preserve">cfr </w:t>
      </w:r>
      <w:r w:rsidRPr="00D03E85">
        <w:rPr>
          <w:rFonts w:cs="Arial"/>
          <w:sz w:val="22"/>
          <w:szCs w:val="22"/>
          <w:lang w:eastAsia="ja-JP"/>
        </w:rPr>
        <w:t xml:space="preserve">gene encoding the chloramphenicol/ florfenicol resistance protein, have been reported </w:t>
      </w:r>
      <w:r w:rsidR="00E537FC">
        <w:rPr>
          <w:rFonts w:cs="Arial"/>
          <w:sz w:val="22"/>
          <w:szCs w:val="22"/>
          <w:lang w:eastAsia="ja-JP"/>
        </w:rPr>
        <w:t>(</w:t>
      </w:r>
      <w:r w:rsidR="00E537FC">
        <w:rPr>
          <w:rFonts w:cs="Arial"/>
          <w:sz w:val="22"/>
          <w:szCs w:val="22"/>
          <w:lang w:eastAsia="ja-JP"/>
        </w:rPr>
        <w:fldChar w:fldCharType="begin"/>
      </w:r>
      <w:r w:rsidR="00E537FC">
        <w:rPr>
          <w:rFonts w:cs="Arial"/>
          <w:sz w:val="22"/>
          <w:szCs w:val="22"/>
          <w:lang w:eastAsia="ja-JP"/>
        </w:rPr>
        <w:instrText xml:space="preserve"> REF _Ref284169217 \r \h </w:instrText>
      </w:r>
      <w:r w:rsidR="00E537FC">
        <w:rPr>
          <w:rFonts w:cs="Arial"/>
          <w:sz w:val="22"/>
          <w:szCs w:val="22"/>
          <w:lang w:eastAsia="ja-JP"/>
        </w:rPr>
      </w:r>
      <w:r w:rsidR="00E537FC">
        <w:rPr>
          <w:rFonts w:cs="Arial"/>
          <w:sz w:val="22"/>
          <w:szCs w:val="22"/>
          <w:lang w:eastAsia="ja-JP"/>
        </w:rPr>
        <w:fldChar w:fldCharType="separate"/>
      </w:r>
      <w:r w:rsidR="00151A1C">
        <w:rPr>
          <w:rFonts w:cs="Arial"/>
          <w:sz w:val="22"/>
          <w:szCs w:val="22"/>
          <w:lang w:eastAsia="ja-JP"/>
        </w:rPr>
        <w:t>15</w:t>
      </w:r>
      <w:r w:rsidR="00E537FC">
        <w:rPr>
          <w:rFonts w:cs="Arial"/>
          <w:sz w:val="22"/>
          <w:szCs w:val="22"/>
          <w:lang w:eastAsia="ja-JP"/>
        </w:rPr>
        <w:fldChar w:fldCharType="end"/>
      </w:r>
      <w:r w:rsidR="00E537FC">
        <w:rPr>
          <w:rFonts w:cs="Arial"/>
          <w:sz w:val="22"/>
          <w:szCs w:val="22"/>
          <w:lang w:eastAsia="ja-JP"/>
        </w:rPr>
        <w:t>;</w:t>
      </w:r>
      <w:r w:rsidR="00E537FC">
        <w:rPr>
          <w:rFonts w:cs="Arial"/>
          <w:sz w:val="22"/>
          <w:szCs w:val="22"/>
          <w:lang w:eastAsia="ja-JP"/>
        </w:rPr>
        <w:fldChar w:fldCharType="begin"/>
      </w:r>
      <w:r w:rsidR="00E537FC">
        <w:rPr>
          <w:rFonts w:cs="Arial"/>
          <w:sz w:val="22"/>
          <w:szCs w:val="22"/>
          <w:lang w:eastAsia="ja-JP"/>
        </w:rPr>
        <w:instrText xml:space="preserve"> REF _Ref284169994 \r \h </w:instrText>
      </w:r>
      <w:r w:rsidR="00E537FC">
        <w:rPr>
          <w:rFonts w:cs="Arial"/>
          <w:sz w:val="22"/>
          <w:szCs w:val="22"/>
          <w:lang w:eastAsia="ja-JP"/>
        </w:rPr>
      </w:r>
      <w:r w:rsidR="00E537FC">
        <w:rPr>
          <w:rFonts w:cs="Arial"/>
          <w:sz w:val="22"/>
          <w:szCs w:val="22"/>
          <w:lang w:eastAsia="ja-JP"/>
        </w:rPr>
        <w:fldChar w:fldCharType="separate"/>
      </w:r>
      <w:r w:rsidR="00151A1C">
        <w:rPr>
          <w:rFonts w:cs="Arial"/>
          <w:sz w:val="22"/>
          <w:szCs w:val="22"/>
          <w:lang w:eastAsia="ja-JP"/>
        </w:rPr>
        <w:t>31</w:t>
      </w:r>
      <w:r w:rsidR="00E537FC">
        <w:rPr>
          <w:rFonts w:cs="Arial"/>
          <w:sz w:val="22"/>
          <w:szCs w:val="22"/>
          <w:lang w:eastAsia="ja-JP"/>
        </w:rPr>
        <w:fldChar w:fldCharType="end"/>
      </w:r>
      <w:r w:rsidRPr="00D03E85">
        <w:rPr>
          <w:rFonts w:cs="Arial"/>
          <w:sz w:val="22"/>
          <w:szCs w:val="22"/>
          <w:lang w:eastAsia="ja-JP"/>
        </w:rPr>
        <w:t xml:space="preserve">). </w:t>
      </w:r>
      <w:r w:rsidR="00867A78" w:rsidRPr="00D03E85">
        <w:rPr>
          <w:rFonts w:cs="Arial"/>
          <w:sz w:val="22"/>
          <w:szCs w:val="22"/>
        </w:rPr>
        <w:t xml:space="preserve">Linezolid is associated with </w:t>
      </w:r>
      <w:r w:rsidR="009A3E2F">
        <w:rPr>
          <w:rFonts w:cs="Arial"/>
          <w:sz w:val="22"/>
          <w:szCs w:val="22"/>
        </w:rPr>
        <w:t>cross-resistance,</w:t>
      </w:r>
      <w:r w:rsidR="00867A78" w:rsidRPr="00D03E85">
        <w:rPr>
          <w:rFonts w:cs="Arial"/>
          <w:sz w:val="22"/>
          <w:szCs w:val="22"/>
        </w:rPr>
        <w:t xml:space="preserve"> and</w:t>
      </w:r>
      <w:r w:rsidR="00867A78" w:rsidRPr="00D03E85">
        <w:rPr>
          <w:rFonts w:cs="Arial"/>
          <w:sz w:val="22"/>
          <w:szCs w:val="22"/>
          <w:shd w:val="clear" w:color="auto" w:fill="FFFFFF"/>
          <w:lang w:eastAsia="ja-JP"/>
        </w:rPr>
        <w:t xml:space="preserve"> </w:t>
      </w:r>
      <w:r w:rsidR="00867A78" w:rsidRPr="00D03E85">
        <w:rPr>
          <w:rFonts w:cs="Arial"/>
          <w:sz w:val="22"/>
          <w:szCs w:val="22"/>
          <w:lang w:eastAsia="ja-JP"/>
        </w:rPr>
        <w:t xml:space="preserve">significant safety concerns have emerged since </w:t>
      </w:r>
      <w:r w:rsidR="0043587A">
        <w:rPr>
          <w:rFonts w:cs="Arial"/>
          <w:sz w:val="22"/>
          <w:szCs w:val="22"/>
          <w:lang w:eastAsia="ja-JP"/>
        </w:rPr>
        <w:t xml:space="preserve">it was first </w:t>
      </w:r>
      <w:r w:rsidR="00CB002A">
        <w:rPr>
          <w:rFonts w:cs="Arial"/>
          <w:sz w:val="22"/>
          <w:szCs w:val="22"/>
          <w:lang w:eastAsia="ja-JP"/>
        </w:rPr>
        <w:t xml:space="preserve">approved </w:t>
      </w:r>
      <w:r w:rsidR="0043587A">
        <w:rPr>
          <w:rFonts w:cs="Arial"/>
          <w:sz w:val="22"/>
          <w:szCs w:val="22"/>
          <w:lang w:eastAsia="ja-JP"/>
        </w:rPr>
        <w:t xml:space="preserve">by the FDA and in Europe </w:t>
      </w:r>
      <w:r w:rsidR="00867A78" w:rsidRPr="00D03E85">
        <w:rPr>
          <w:rFonts w:cs="Arial"/>
          <w:sz w:val="22"/>
          <w:szCs w:val="22"/>
          <w:lang w:eastAsia="ja-JP"/>
        </w:rPr>
        <w:t>(</w:t>
      </w:r>
      <w:r w:rsidR="00655EEB">
        <w:rPr>
          <w:rFonts w:cs="Arial"/>
          <w:sz w:val="22"/>
          <w:szCs w:val="22"/>
          <w:lang w:eastAsia="ja-JP"/>
        </w:rPr>
        <w:fldChar w:fldCharType="begin"/>
      </w:r>
      <w:r w:rsidR="00655EEB">
        <w:rPr>
          <w:rFonts w:cs="Arial"/>
          <w:sz w:val="22"/>
          <w:szCs w:val="22"/>
          <w:lang w:eastAsia="ja-JP"/>
        </w:rPr>
        <w:instrText xml:space="preserve"> REF _Ref284434703 \r \h </w:instrText>
      </w:r>
      <w:r w:rsidR="00655EEB">
        <w:rPr>
          <w:rFonts w:cs="Arial"/>
          <w:sz w:val="22"/>
          <w:szCs w:val="22"/>
          <w:lang w:eastAsia="ja-JP"/>
        </w:rPr>
      </w:r>
      <w:r w:rsidR="00655EEB">
        <w:rPr>
          <w:rFonts w:cs="Arial"/>
          <w:sz w:val="22"/>
          <w:szCs w:val="22"/>
          <w:lang w:eastAsia="ja-JP"/>
        </w:rPr>
        <w:fldChar w:fldCharType="separate"/>
      </w:r>
      <w:r w:rsidR="00151A1C">
        <w:rPr>
          <w:rFonts w:cs="Arial"/>
          <w:sz w:val="22"/>
          <w:szCs w:val="22"/>
          <w:lang w:eastAsia="ja-JP"/>
        </w:rPr>
        <w:t>32</w:t>
      </w:r>
      <w:r w:rsidR="00655EEB">
        <w:rPr>
          <w:rFonts w:cs="Arial"/>
          <w:sz w:val="22"/>
          <w:szCs w:val="22"/>
          <w:lang w:eastAsia="ja-JP"/>
        </w:rPr>
        <w:fldChar w:fldCharType="end"/>
      </w:r>
      <w:r w:rsidR="00867A78" w:rsidRPr="00867A78">
        <w:rPr>
          <w:rFonts w:cs="Arial"/>
          <w:sz w:val="22"/>
          <w:szCs w:val="22"/>
          <w:lang w:eastAsia="ja-JP"/>
        </w:rPr>
        <w:t>)</w:t>
      </w:r>
      <w:r w:rsidR="0043587A">
        <w:rPr>
          <w:rFonts w:cs="Arial"/>
          <w:sz w:val="22"/>
          <w:szCs w:val="22"/>
          <w:lang w:eastAsia="ja-JP"/>
        </w:rPr>
        <w:t>.</w:t>
      </w:r>
      <w:r w:rsidR="00867A78" w:rsidRPr="00867A78">
        <w:rPr>
          <w:rFonts w:cs="Arial"/>
          <w:sz w:val="22"/>
          <w:szCs w:val="22"/>
          <w:lang w:eastAsia="ja-JP"/>
        </w:rPr>
        <w:t xml:space="preserve"> </w:t>
      </w:r>
    </w:p>
    <w:p w14:paraId="217E0856" w14:textId="77777777" w:rsidR="00867A78" w:rsidRPr="0044781C" w:rsidRDefault="00867A78" w:rsidP="00867A78">
      <w:pPr>
        <w:widowControl w:val="0"/>
        <w:autoSpaceDE w:val="0"/>
        <w:autoSpaceDN w:val="0"/>
        <w:adjustRightInd w:val="0"/>
        <w:rPr>
          <w:rFonts w:cs="Arial"/>
          <w:sz w:val="22"/>
          <w:szCs w:val="22"/>
        </w:rPr>
      </w:pPr>
    </w:p>
    <w:p w14:paraId="21592A75" w14:textId="77777777" w:rsidR="00550011" w:rsidRPr="00C96D1D" w:rsidRDefault="00550011" w:rsidP="00550011">
      <w:pPr>
        <w:pStyle w:val="BodyText3"/>
        <w:spacing w:after="0"/>
        <w:rPr>
          <w:rFonts w:cs="Arial"/>
          <w:b/>
          <w:sz w:val="22"/>
          <w:szCs w:val="22"/>
          <w:shd w:val="clear" w:color="auto" w:fill="FFFFFF"/>
        </w:rPr>
      </w:pPr>
      <w:r w:rsidRPr="00C96D1D">
        <w:rPr>
          <w:rFonts w:cs="Arial"/>
          <w:b/>
          <w:sz w:val="22"/>
          <w:szCs w:val="22"/>
        </w:rPr>
        <w:t>3. Rationale for development of new product</w:t>
      </w:r>
      <w:r w:rsidRPr="00C96D1D">
        <w:rPr>
          <w:rFonts w:cs="Arial"/>
          <w:b/>
          <w:sz w:val="22"/>
          <w:szCs w:val="22"/>
          <w:shd w:val="clear" w:color="auto" w:fill="FFFFFF"/>
        </w:rPr>
        <w:t xml:space="preserve"> </w:t>
      </w:r>
    </w:p>
    <w:p w14:paraId="39CE4034" w14:textId="1F7A5464" w:rsidR="00DB0AAF" w:rsidRPr="00C96D1D" w:rsidRDefault="00854FA1" w:rsidP="00DB0AAF">
      <w:pPr>
        <w:widowControl w:val="0"/>
        <w:autoSpaceDE w:val="0"/>
        <w:autoSpaceDN w:val="0"/>
        <w:adjustRightInd w:val="0"/>
        <w:rPr>
          <w:rFonts w:cs="Arial"/>
          <w:sz w:val="22"/>
          <w:szCs w:val="22"/>
          <w:lang w:val="en-US" w:eastAsia="ja-JP"/>
        </w:rPr>
      </w:pPr>
      <w:r w:rsidRPr="00C96D1D">
        <w:rPr>
          <w:rFonts w:cs="Arial"/>
          <w:sz w:val="22"/>
          <w:szCs w:val="22"/>
        </w:rPr>
        <w:t xml:space="preserve">The management of MRSA-caused infections remains a significant challenge in both inpatient and outpatient settings. </w:t>
      </w:r>
      <w:r w:rsidR="00550011" w:rsidRPr="00C96D1D">
        <w:rPr>
          <w:rFonts w:cs="Arial"/>
          <w:sz w:val="22"/>
          <w:szCs w:val="22"/>
        </w:rPr>
        <w:t xml:space="preserve">Resistance to </w:t>
      </w:r>
      <w:r w:rsidR="00091192" w:rsidRPr="00C96D1D">
        <w:rPr>
          <w:rFonts w:cs="Arial"/>
          <w:sz w:val="22"/>
          <w:szCs w:val="22"/>
        </w:rPr>
        <w:t xml:space="preserve">(and/or reduced susceptibility of) </w:t>
      </w:r>
      <w:r w:rsidR="00550011" w:rsidRPr="00C96D1D">
        <w:rPr>
          <w:rFonts w:cs="Arial"/>
          <w:sz w:val="22"/>
          <w:szCs w:val="22"/>
        </w:rPr>
        <w:t xml:space="preserve">currently available </w:t>
      </w:r>
      <w:r w:rsidRPr="00C96D1D">
        <w:rPr>
          <w:rFonts w:cs="Arial"/>
          <w:sz w:val="22"/>
          <w:szCs w:val="22"/>
        </w:rPr>
        <w:t>agents</w:t>
      </w:r>
      <w:r w:rsidR="00550011" w:rsidRPr="00C96D1D">
        <w:rPr>
          <w:rFonts w:cs="Arial"/>
          <w:sz w:val="22"/>
          <w:szCs w:val="22"/>
        </w:rPr>
        <w:t xml:space="preserve"> is increasing; vancomycin effectiveness is declining (</w:t>
      </w:r>
      <w:r w:rsidR="00D70B1C">
        <w:rPr>
          <w:rFonts w:cs="Arial"/>
          <w:sz w:val="22"/>
          <w:szCs w:val="22"/>
        </w:rPr>
        <w:fldChar w:fldCharType="begin"/>
      </w:r>
      <w:r w:rsidR="00D70B1C">
        <w:rPr>
          <w:rFonts w:cs="Arial"/>
          <w:sz w:val="22"/>
          <w:szCs w:val="22"/>
        </w:rPr>
        <w:instrText xml:space="preserve"> REF _Ref284170803 \r \h </w:instrText>
      </w:r>
      <w:r w:rsidR="00D70B1C">
        <w:rPr>
          <w:rFonts w:cs="Arial"/>
          <w:sz w:val="22"/>
          <w:szCs w:val="22"/>
        </w:rPr>
      </w:r>
      <w:r w:rsidR="00D70B1C">
        <w:rPr>
          <w:rFonts w:cs="Arial"/>
          <w:sz w:val="22"/>
          <w:szCs w:val="22"/>
        </w:rPr>
        <w:fldChar w:fldCharType="separate"/>
      </w:r>
      <w:r w:rsidR="00151A1C">
        <w:rPr>
          <w:rFonts w:cs="Arial"/>
          <w:sz w:val="22"/>
          <w:szCs w:val="22"/>
        </w:rPr>
        <w:t>33</w:t>
      </w:r>
      <w:r w:rsidR="00D70B1C">
        <w:rPr>
          <w:rFonts w:cs="Arial"/>
          <w:sz w:val="22"/>
          <w:szCs w:val="22"/>
        </w:rPr>
        <w:fldChar w:fldCharType="end"/>
      </w:r>
      <w:r w:rsidRPr="00C96D1D">
        <w:rPr>
          <w:rFonts w:cs="Arial"/>
          <w:sz w:val="22"/>
          <w:szCs w:val="22"/>
        </w:rPr>
        <w:t xml:space="preserve">) and linezolid resistance </w:t>
      </w:r>
      <w:r w:rsidR="00550011" w:rsidRPr="00C96D1D">
        <w:rPr>
          <w:rFonts w:cs="Arial"/>
          <w:sz w:val="22"/>
          <w:szCs w:val="22"/>
        </w:rPr>
        <w:t>now appears to have spread more broadly (</w:t>
      </w:r>
      <w:r w:rsidR="00D70B1C">
        <w:rPr>
          <w:rFonts w:cs="Arial"/>
          <w:sz w:val="22"/>
          <w:szCs w:val="22"/>
        </w:rPr>
        <w:fldChar w:fldCharType="begin"/>
      </w:r>
      <w:r w:rsidR="00D70B1C">
        <w:rPr>
          <w:rFonts w:cs="Arial"/>
          <w:sz w:val="22"/>
          <w:szCs w:val="22"/>
        </w:rPr>
        <w:instrText xml:space="preserve"> REF _Ref284170820 \r \h </w:instrText>
      </w:r>
      <w:r w:rsidR="00D70B1C">
        <w:rPr>
          <w:rFonts w:cs="Arial"/>
          <w:sz w:val="22"/>
          <w:szCs w:val="22"/>
        </w:rPr>
      </w:r>
      <w:r w:rsidR="00D70B1C">
        <w:rPr>
          <w:rFonts w:cs="Arial"/>
          <w:sz w:val="22"/>
          <w:szCs w:val="22"/>
        </w:rPr>
        <w:fldChar w:fldCharType="separate"/>
      </w:r>
      <w:r w:rsidR="00151A1C">
        <w:rPr>
          <w:rFonts w:cs="Arial"/>
          <w:sz w:val="22"/>
          <w:szCs w:val="22"/>
        </w:rPr>
        <w:t>34</w:t>
      </w:r>
      <w:r w:rsidR="00D70B1C">
        <w:rPr>
          <w:rFonts w:cs="Arial"/>
          <w:sz w:val="22"/>
          <w:szCs w:val="22"/>
        </w:rPr>
        <w:fldChar w:fldCharType="end"/>
      </w:r>
      <w:r w:rsidR="00550011" w:rsidRPr="00C96D1D">
        <w:rPr>
          <w:rFonts w:cs="Arial"/>
          <w:sz w:val="22"/>
          <w:szCs w:val="22"/>
        </w:rPr>
        <w:t>;</w:t>
      </w:r>
      <w:r w:rsidR="00D70B1C">
        <w:rPr>
          <w:rFonts w:cs="Arial"/>
          <w:sz w:val="22"/>
          <w:szCs w:val="22"/>
        </w:rPr>
        <w:fldChar w:fldCharType="begin"/>
      </w:r>
      <w:r w:rsidR="00D70B1C">
        <w:rPr>
          <w:rFonts w:cs="Arial"/>
          <w:sz w:val="22"/>
          <w:szCs w:val="22"/>
        </w:rPr>
        <w:instrText xml:space="preserve"> REF _Ref284170836 \r \h </w:instrText>
      </w:r>
      <w:r w:rsidR="00D70B1C">
        <w:rPr>
          <w:rFonts w:cs="Arial"/>
          <w:sz w:val="22"/>
          <w:szCs w:val="22"/>
        </w:rPr>
      </w:r>
      <w:r w:rsidR="00D70B1C">
        <w:rPr>
          <w:rFonts w:cs="Arial"/>
          <w:sz w:val="22"/>
          <w:szCs w:val="22"/>
        </w:rPr>
        <w:fldChar w:fldCharType="separate"/>
      </w:r>
      <w:r w:rsidR="00151A1C">
        <w:rPr>
          <w:rFonts w:cs="Arial"/>
          <w:sz w:val="22"/>
          <w:szCs w:val="22"/>
        </w:rPr>
        <w:t>35</w:t>
      </w:r>
      <w:r w:rsidR="00D70B1C">
        <w:rPr>
          <w:rFonts w:cs="Arial"/>
          <w:sz w:val="22"/>
          <w:szCs w:val="22"/>
        </w:rPr>
        <w:fldChar w:fldCharType="end"/>
      </w:r>
      <w:r w:rsidR="003A5C07" w:rsidRPr="00C96D1D">
        <w:rPr>
          <w:rFonts w:cs="Arial"/>
          <w:sz w:val="22"/>
          <w:szCs w:val="22"/>
        </w:rPr>
        <w:t>;</w:t>
      </w:r>
      <w:r w:rsidR="00D70B1C">
        <w:rPr>
          <w:rFonts w:cs="Arial"/>
          <w:sz w:val="22"/>
          <w:szCs w:val="22"/>
        </w:rPr>
        <w:fldChar w:fldCharType="begin"/>
      </w:r>
      <w:r w:rsidR="00D70B1C">
        <w:rPr>
          <w:rFonts w:cs="Arial"/>
          <w:sz w:val="22"/>
          <w:szCs w:val="22"/>
        </w:rPr>
        <w:instrText xml:space="preserve"> REF _Ref284170853 \r \h </w:instrText>
      </w:r>
      <w:r w:rsidR="00D70B1C">
        <w:rPr>
          <w:rFonts w:cs="Arial"/>
          <w:sz w:val="22"/>
          <w:szCs w:val="22"/>
        </w:rPr>
      </w:r>
      <w:r w:rsidR="00D70B1C">
        <w:rPr>
          <w:rFonts w:cs="Arial"/>
          <w:sz w:val="22"/>
          <w:szCs w:val="22"/>
        </w:rPr>
        <w:fldChar w:fldCharType="separate"/>
      </w:r>
      <w:r w:rsidR="00151A1C">
        <w:rPr>
          <w:rFonts w:cs="Arial"/>
          <w:sz w:val="22"/>
          <w:szCs w:val="22"/>
        </w:rPr>
        <w:t>36</w:t>
      </w:r>
      <w:r w:rsidR="00D70B1C">
        <w:rPr>
          <w:rFonts w:cs="Arial"/>
          <w:sz w:val="22"/>
          <w:szCs w:val="22"/>
        </w:rPr>
        <w:fldChar w:fldCharType="end"/>
      </w:r>
      <w:r w:rsidR="003A5C07" w:rsidRPr="00C96D1D">
        <w:rPr>
          <w:rFonts w:cs="Arial"/>
          <w:sz w:val="22"/>
          <w:szCs w:val="22"/>
        </w:rPr>
        <w:t>)</w:t>
      </w:r>
      <w:r w:rsidR="00A76B4F" w:rsidRPr="00C96D1D">
        <w:rPr>
          <w:rFonts w:cs="Arial"/>
          <w:sz w:val="22"/>
          <w:szCs w:val="22"/>
        </w:rPr>
        <w:t xml:space="preserve">. </w:t>
      </w:r>
      <w:r w:rsidR="00374CAE" w:rsidRPr="00C96D1D">
        <w:rPr>
          <w:rFonts w:cs="Arial"/>
          <w:sz w:val="22"/>
          <w:szCs w:val="22"/>
          <w:lang w:val="en-US" w:eastAsia="ja-JP"/>
        </w:rPr>
        <w:t>In September 2009, the EMA and the European Centre for Disease Prevention and Control (ECDC) jointly published a report highlighting the gap between infections due to drug-resistant bacteria and the dev</w:t>
      </w:r>
      <w:r w:rsidR="00C224C8">
        <w:rPr>
          <w:rFonts w:cs="Arial"/>
          <w:sz w:val="22"/>
          <w:szCs w:val="22"/>
          <w:lang w:val="en-US" w:eastAsia="ja-JP"/>
        </w:rPr>
        <w:t>elopment of new antibiotics (</w:t>
      </w:r>
      <w:r w:rsidR="00D70B1C">
        <w:rPr>
          <w:rFonts w:cs="Arial"/>
          <w:sz w:val="22"/>
          <w:szCs w:val="22"/>
          <w:lang w:val="en-US" w:eastAsia="ja-JP"/>
        </w:rPr>
        <w:fldChar w:fldCharType="begin"/>
      </w:r>
      <w:r w:rsidR="00D70B1C">
        <w:rPr>
          <w:rFonts w:cs="Arial"/>
          <w:sz w:val="22"/>
          <w:szCs w:val="22"/>
          <w:lang w:val="en-US" w:eastAsia="ja-JP"/>
        </w:rPr>
        <w:instrText xml:space="preserve"> REF _Ref284170875 \r \h </w:instrText>
      </w:r>
      <w:r w:rsidR="00D70B1C">
        <w:rPr>
          <w:rFonts w:cs="Arial"/>
          <w:sz w:val="22"/>
          <w:szCs w:val="22"/>
          <w:lang w:val="en-US" w:eastAsia="ja-JP"/>
        </w:rPr>
      </w:r>
      <w:r w:rsidR="00D70B1C">
        <w:rPr>
          <w:rFonts w:cs="Arial"/>
          <w:sz w:val="22"/>
          <w:szCs w:val="22"/>
          <w:lang w:val="en-US" w:eastAsia="ja-JP"/>
        </w:rPr>
        <w:fldChar w:fldCharType="separate"/>
      </w:r>
      <w:r w:rsidR="00151A1C">
        <w:rPr>
          <w:rFonts w:cs="Arial"/>
          <w:sz w:val="22"/>
          <w:szCs w:val="22"/>
          <w:lang w:val="en-US" w:eastAsia="ja-JP"/>
        </w:rPr>
        <w:t>37</w:t>
      </w:r>
      <w:r w:rsidR="00D70B1C">
        <w:rPr>
          <w:rFonts w:cs="Arial"/>
          <w:sz w:val="22"/>
          <w:szCs w:val="22"/>
          <w:lang w:val="en-US" w:eastAsia="ja-JP"/>
        </w:rPr>
        <w:fldChar w:fldCharType="end"/>
      </w:r>
      <w:r w:rsidR="00374CAE" w:rsidRPr="003010CD">
        <w:rPr>
          <w:rFonts w:cs="Arial"/>
          <w:sz w:val="22"/>
          <w:szCs w:val="22"/>
          <w:lang w:val="en-US" w:eastAsia="ja-JP"/>
        </w:rPr>
        <w:t xml:space="preserve">). </w:t>
      </w:r>
      <w:r w:rsidR="00DB0AAF" w:rsidRPr="003010CD">
        <w:rPr>
          <w:rFonts w:cs="Arial"/>
          <w:sz w:val="22"/>
          <w:szCs w:val="22"/>
        </w:rPr>
        <w:t xml:space="preserve">New antibacterial </w:t>
      </w:r>
      <w:r w:rsidR="00F4529A" w:rsidRPr="003010CD">
        <w:rPr>
          <w:rFonts w:cs="Arial"/>
          <w:sz w:val="22"/>
          <w:szCs w:val="22"/>
        </w:rPr>
        <w:t>medicine</w:t>
      </w:r>
      <w:r w:rsidR="00DB0AAF" w:rsidRPr="003010CD">
        <w:rPr>
          <w:rFonts w:cs="Arial"/>
          <w:sz w:val="22"/>
          <w:szCs w:val="22"/>
        </w:rPr>
        <w:t xml:space="preserve">s, offering </w:t>
      </w:r>
      <w:r w:rsidR="00DB0AAF" w:rsidRPr="003010CD">
        <w:rPr>
          <w:rFonts w:cs="Arial"/>
          <w:sz w:val="22"/>
          <w:szCs w:val="22"/>
        </w:rPr>
        <w:lastRenderedPageBreak/>
        <w:t>shorter treatment duration, improved potency, safety, tolerability and DDI profile</w:t>
      </w:r>
      <w:r w:rsidR="00724D2F">
        <w:rPr>
          <w:rFonts w:cs="Arial"/>
          <w:sz w:val="22"/>
          <w:szCs w:val="22"/>
        </w:rPr>
        <w:t xml:space="preserve"> and both oral and IV</w:t>
      </w:r>
      <w:r w:rsidR="00DB0AAF" w:rsidRPr="003010CD">
        <w:rPr>
          <w:rFonts w:cs="Arial"/>
          <w:sz w:val="22"/>
          <w:szCs w:val="22"/>
        </w:rPr>
        <w:t xml:space="preserve"> formulations would facilitate early switch (from intravenous to oral) as well as early hospital discharge are valuable to optimi</w:t>
      </w:r>
      <w:r w:rsidR="00511AFF" w:rsidRPr="003010CD">
        <w:rPr>
          <w:rFonts w:cs="Arial"/>
          <w:sz w:val="22"/>
          <w:szCs w:val="22"/>
        </w:rPr>
        <w:t>s</w:t>
      </w:r>
      <w:r w:rsidR="00DB0AAF" w:rsidRPr="003010CD">
        <w:rPr>
          <w:rFonts w:cs="Arial"/>
          <w:sz w:val="22"/>
          <w:szCs w:val="22"/>
        </w:rPr>
        <w:t xml:space="preserve">e treatment of skin infections due to drug-resistant Gram-positive bacteria like MRSA. These treatment attributes are </w:t>
      </w:r>
      <w:r w:rsidR="000C5789">
        <w:rPr>
          <w:rFonts w:cs="Arial"/>
          <w:sz w:val="22"/>
          <w:szCs w:val="22"/>
        </w:rPr>
        <w:t>aligned</w:t>
      </w:r>
      <w:r w:rsidR="00DB0AAF" w:rsidRPr="003010CD">
        <w:rPr>
          <w:rFonts w:cs="Arial"/>
          <w:sz w:val="22"/>
          <w:szCs w:val="22"/>
        </w:rPr>
        <w:t xml:space="preserve"> with the objectives of antimicrobial stewardship programmes</w:t>
      </w:r>
      <w:r w:rsidR="006621B2">
        <w:rPr>
          <w:rFonts w:cs="Arial"/>
          <w:sz w:val="22"/>
          <w:szCs w:val="22"/>
        </w:rPr>
        <w:t xml:space="preserve"> in Scotland (</w:t>
      </w:r>
      <w:r w:rsidR="00A5396A">
        <w:rPr>
          <w:rFonts w:cs="Arial"/>
          <w:sz w:val="22"/>
          <w:szCs w:val="22"/>
        </w:rPr>
        <w:fldChar w:fldCharType="begin"/>
      </w:r>
      <w:r w:rsidR="00A5396A">
        <w:rPr>
          <w:rFonts w:cs="Arial"/>
          <w:sz w:val="22"/>
          <w:szCs w:val="22"/>
        </w:rPr>
        <w:instrText xml:space="preserve"> REF _Ref284169586 \r \h </w:instrText>
      </w:r>
      <w:r w:rsidR="00A5396A">
        <w:rPr>
          <w:rFonts w:cs="Arial"/>
          <w:sz w:val="22"/>
          <w:szCs w:val="22"/>
        </w:rPr>
      </w:r>
      <w:r w:rsidR="00A5396A">
        <w:rPr>
          <w:rFonts w:cs="Arial"/>
          <w:sz w:val="22"/>
          <w:szCs w:val="22"/>
        </w:rPr>
        <w:fldChar w:fldCharType="separate"/>
      </w:r>
      <w:r w:rsidR="00151A1C">
        <w:rPr>
          <w:rFonts w:cs="Arial"/>
          <w:sz w:val="22"/>
          <w:szCs w:val="22"/>
        </w:rPr>
        <w:t>21</w:t>
      </w:r>
      <w:r w:rsidR="00A5396A">
        <w:rPr>
          <w:rFonts w:cs="Arial"/>
          <w:sz w:val="22"/>
          <w:szCs w:val="22"/>
        </w:rPr>
        <w:fldChar w:fldCharType="end"/>
      </w:r>
      <w:r w:rsidR="006621B2">
        <w:rPr>
          <w:rFonts w:cs="Arial"/>
          <w:sz w:val="22"/>
          <w:szCs w:val="22"/>
        </w:rPr>
        <w:t>;</w:t>
      </w:r>
      <w:r w:rsidR="00A5396A">
        <w:rPr>
          <w:rFonts w:cs="Arial"/>
          <w:sz w:val="22"/>
          <w:szCs w:val="22"/>
        </w:rPr>
        <w:fldChar w:fldCharType="begin"/>
      </w:r>
      <w:r w:rsidR="00A5396A">
        <w:rPr>
          <w:rFonts w:cs="Arial"/>
          <w:sz w:val="22"/>
          <w:szCs w:val="22"/>
        </w:rPr>
        <w:instrText xml:space="preserve"> REF _Ref284185946 \r \h </w:instrText>
      </w:r>
      <w:r w:rsidR="00A5396A">
        <w:rPr>
          <w:rFonts w:cs="Arial"/>
          <w:sz w:val="22"/>
          <w:szCs w:val="22"/>
        </w:rPr>
      </w:r>
      <w:r w:rsidR="00A5396A">
        <w:rPr>
          <w:rFonts w:cs="Arial"/>
          <w:sz w:val="22"/>
          <w:szCs w:val="22"/>
        </w:rPr>
        <w:fldChar w:fldCharType="separate"/>
      </w:r>
      <w:r w:rsidR="00151A1C">
        <w:rPr>
          <w:rFonts w:cs="Arial"/>
          <w:sz w:val="22"/>
          <w:szCs w:val="22"/>
        </w:rPr>
        <w:t>38</w:t>
      </w:r>
      <w:r w:rsidR="00A5396A">
        <w:rPr>
          <w:rFonts w:cs="Arial"/>
          <w:sz w:val="22"/>
          <w:szCs w:val="22"/>
        </w:rPr>
        <w:fldChar w:fldCharType="end"/>
      </w:r>
      <w:r w:rsidR="006621B2">
        <w:rPr>
          <w:rFonts w:cs="Arial"/>
          <w:sz w:val="22"/>
          <w:szCs w:val="22"/>
        </w:rPr>
        <w:t>)</w:t>
      </w:r>
      <w:r w:rsidR="00A5396A">
        <w:rPr>
          <w:rFonts w:cs="Arial"/>
          <w:sz w:val="22"/>
          <w:szCs w:val="22"/>
        </w:rPr>
        <w:t xml:space="preserve"> </w:t>
      </w:r>
      <w:r w:rsidR="006621B2">
        <w:rPr>
          <w:rFonts w:cs="Arial"/>
          <w:sz w:val="22"/>
          <w:szCs w:val="22"/>
        </w:rPr>
        <w:t>and elsewhere</w:t>
      </w:r>
      <w:r w:rsidR="00DB0AAF" w:rsidRPr="003010CD">
        <w:rPr>
          <w:rFonts w:cs="Arial"/>
          <w:sz w:val="22"/>
          <w:szCs w:val="22"/>
        </w:rPr>
        <w:t xml:space="preserve">.  </w:t>
      </w:r>
    </w:p>
    <w:p w14:paraId="3881D73E" w14:textId="77777777" w:rsidR="00DB0AAF" w:rsidRPr="00C96D1D" w:rsidRDefault="00DB0AAF" w:rsidP="00DB0AAF">
      <w:pPr>
        <w:pStyle w:val="BodyText3"/>
        <w:spacing w:after="0"/>
        <w:rPr>
          <w:rFonts w:cs="Arial"/>
          <w:sz w:val="22"/>
          <w:szCs w:val="22"/>
        </w:rPr>
      </w:pPr>
    </w:p>
    <w:p w14:paraId="682B42E2" w14:textId="77777777" w:rsidR="00DB0AAF" w:rsidRPr="00C96D1D" w:rsidRDefault="00DB0AAF" w:rsidP="00DB0AAF">
      <w:pPr>
        <w:rPr>
          <w:rFonts w:cs="Arial"/>
          <w:b/>
          <w:sz w:val="22"/>
          <w:szCs w:val="22"/>
        </w:rPr>
      </w:pPr>
      <w:r w:rsidRPr="00C96D1D">
        <w:rPr>
          <w:rFonts w:cs="Arial"/>
          <w:b/>
          <w:sz w:val="22"/>
          <w:szCs w:val="22"/>
        </w:rPr>
        <w:t>4. Product positioning, place in therapy and rationale in support</w:t>
      </w:r>
    </w:p>
    <w:p w14:paraId="4F4D04F8" w14:textId="644E9D11" w:rsidR="00550011" w:rsidRPr="00BE194A" w:rsidRDefault="00DB0AAF" w:rsidP="00550011">
      <w:pPr>
        <w:rPr>
          <w:rFonts w:cs="Arial"/>
          <w:color w:val="FF0000"/>
          <w:sz w:val="22"/>
          <w:szCs w:val="22"/>
        </w:rPr>
      </w:pPr>
      <w:r w:rsidRPr="00C96D1D">
        <w:rPr>
          <w:rFonts w:cs="Arial"/>
          <w:sz w:val="22"/>
          <w:szCs w:val="22"/>
        </w:rPr>
        <w:t>Tedizolid phosphate (SIVEXTRO</w:t>
      </w:r>
      <w:r w:rsidRPr="00C96D1D">
        <w:rPr>
          <w:rFonts w:cs="Arial"/>
          <w:sz w:val="22"/>
          <w:szCs w:val="22"/>
          <w:vertAlign w:val="superscript"/>
        </w:rPr>
        <w:t>TM</w:t>
      </w:r>
      <w:r w:rsidRPr="00C96D1D">
        <w:rPr>
          <w:rFonts w:cs="Arial"/>
          <w:sz w:val="22"/>
          <w:szCs w:val="22"/>
        </w:rPr>
        <w:t>) is a novel, potent oxazolidinone prodrug that is rapidly converted to microbiologically active tedizolid</w:t>
      </w:r>
      <w:r>
        <w:rPr>
          <w:rFonts w:cs="Arial"/>
          <w:sz w:val="22"/>
          <w:szCs w:val="22"/>
        </w:rPr>
        <w:t xml:space="preserve">. </w:t>
      </w:r>
      <w:r w:rsidR="00550011" w:rsidRPr="00C96D1D">
        <w:rPr>
          <w:rFonts w:cs="Arial"/>
          <w:sz w:val="22"/>
          <w:szCs w:val="22"/>
        </w:rPr>
        <w:t xml:space="preserve">Tedizolid binds to the bacterial 50S ribosomal subunit to inhibit protein synthesis, resulting in broad </w:t>
      </w:r>
      <w:r w:rsidR="00550011" w:rsidRPr="00C96D1D">
        <w:rPr>
          <w:rFonts w:cs="Arial"/>
          <w:i/>
          <w:sz w:val="22"/>
          <w:szCs w:val="22"/>
        </w:rPr>
        <w:t>in vitro</w:t>
      </w:r>
      <w:r w:rsidR="00550011" w:rsidRPr="00C96D1D">
        <w:rPr>
          <w:rFonts w:cs="Arial"/>
          <w:sz w:val="22"/>
          <w:szCs w:val="22"/>
        </w:rPr>
        <w:t xml:space="preserve"> activity against Gram-positive pathogens, including MRSA and strains resistant to vancomycin or linezolid (</w:t>
      </w:r>
      <w:r w:rsidR="00E31BF1">
        <w:rPr>
          <w:rFonts w:cs="Arial"/>
          <w:sz w:val="22"/>
          <w:szCs w:val="22"/>
        </w:rPr>
        <w:fldChar w:fldCharType="begin"/>
      </w:r>
      <w:r w:rsidR="00E31BF1">
        <w:rPr>
          <w:rFonts w:cs="Arial"/>
          <w:sz w:val="22"/>
          <w:szCs w:val="22"/>
        </w:rPr>
        <w:instrText xml:space="preserve"> REF _Ref284485242 \r \h </w:instrText>
      </w:r>
      <w:r w:rsidR="00E31BF1">
        <w:rPr>
          <w:rFonts w:cs="Arial"/>
          <w:sz w:val="22"/>
          <w:szCs w:val="22"/>
        </w:rPr>
      </w:r>
      <w:r w:rsidR="00E31BF1">
        <w:rPr>
          <w:rFonts w:cs="Arial"/>
          <w:sz w:val="22"/>
          <w:szCs w:val="22"/>
        </w:rPr>
        <w:fldChar w:fldCharType="separate"/>
      </w:r>
      <w:r w:rsidR="00151A1C">
        <w:rPr>
          <w:rFonts w:cs="Arial"/>
          <w:sz w:val="22"/>
          <w:szCs w:val="22"/>
        </w:rPr>
        <w:t>38</w:t>
      </w:r>
      <w:r w:rsidR="00E31BF1">
        <w:rPr>
          <w:rFonts w:cs="Arial"/>
          <w:sz w:val="22"/>
          <w:szCs w:val="22"/>
        </w:rPr>
        <w:fldChar w:fldCharType="end"/>
      </w:r>
      <w:r w:rsidR="00550011" w:rsidRPr="00C96D1D">
        <w:rPr>
          <w:rFonts w:cs="Arial"/>
          <w:sz w:val="22"/>
          <w:szCs w:val="22"/>
        </w:rPr>
        <w:t>;</w:t>
      </w:r>
      <w:r w:rsidR="00D70B1C">
        <w:rPr>
          <w:rFonts w:cs="Arial"/>
          <w:sz w:val="22"/>
          <w:szCs w:val="22"/>
        </w:rPr>
        <w:fldChar w:fldCharType="begin"/>
      </w:r>
      <w:r w:rsidR="00D70B1C">
        <w:rPr>
          <w:rFonts w:cs="Arial"/>
          <w:sz w:val="22"/>
          <w:szCs w:val="22"/>
        </w:rPr>
        <w:instrText xml:space="preserve"> REF _Ref284170919 \r \h </w:instrText>
      </w:r>
      <w:r w:rsidR="00D70B1C">
        <w:rPr>
          <w:rFonts w:cs="Arial"/>
          <w:sz w:val="22"/>
          <w:szCs w:val="22"/>
        </w:rPr>
      </w:r>
      <w:r w:rsidR="00D70B1C">
        <w:rPr>
          <w:rFonts w:cs="Arial"/>
          <w:sz w:val="22"/>
          <w:szCs w:val="22"/>
        </w:rPr>
        <w:fldChar w:fldCharType="separate"/>
      </w:r>
      <w:r w:rsidR="00151A1C">
        <w:rPr>
          <w:rFonts w:cs="Arial"/>
          <w:sz w:val="22"/>
          <w:szCs w:val="22"/>
        </w:rPr>
        <w:t>40</w:t>
      </w:r>
      <w:r w:rsidR="00D70B1C">
        <w:rPr>
          <w:rFonts w:cs="Arial"/>
          <w:sz w:val="22"/>
          <w:szCs w:val="22"/>
        </w:rPr>
        <w:fldChar w:fldCharType="end"/>
      </w:r>
      <w:r w:rsidR="00550011" w:rsidRPr="00C96D1D">
        <w:rPr>
          <w:rFonts w:cs="Arial"/>
          <w:sz w:val="22"/>
          <w:szCs w:val="22"/>
        </w:rPr>
        <w:t>).</w:t>
      </w:r>
    </w:p>
    <w:p w14:paraId="58C46FD7" w14:textId="77777777" w:rsidR="00550011" w:rsidRPr="00C96D1D" w:rsidRDefault="00550011" w:rsidP="00550011">
      <w:pPr>
        <w:rPr>
          <w:rFonts w:cs="Arial"/>
          <w:sz w:val="22"/>
          <w:szCs w:val="22"/>
        </w:rPr>
      </w:pPr>
    </w:p>
    <w:p w14:paraId="3981755F" w14:textId="0C6C3EE2" w:rsidR="00550011" w:rsidRPr="003045A4" w:rsidRDefault="00550011" w:rsidP="008C7B1A">
      <w:pPr>
        <w:rPr>
          <w:rFonts w:cs="Arial"/>
          <w:sz w:val="22"/>
          <w:szCs w:val="22"/>
        </w:rPr>
      </w:pPr>
      <w:r w:rsidRPr="003045A4">
        <w:rPr>
          <w:rFonts w:cs="Arial"/>
          <w:sz w:val="22"/>
          <w:szCs w:val="22"/>
        </w:rPr>
        <w:t>Tedizolid phosphate is expected to receive an EU marketing authorisation for the treatment of ABSSSI in adults in Q1 2015.</w:t>
      </w:r>
      <w:r w:rsidRPr="00B80F5A">
        <w:rPr>
          <w:rFonts w:cs="Arial"/>
          <w:sz w:val="22"/>
          <w:szCs w:val="22"/>
        </w:rPr>
        <w:t xml:space="preserve"> </w:t>
      </w:r>
      <w:r w:rsidRPr="0044781C">
        <w:rPr>
          <w:rFonts w:cs="Arial"/>
          <w:sz w:val="22"/>
          <w:szCs w:val="22"/>
        </w:rPr>
        <w:t>While belonging to the same antibiotic class as linezolid, due to its unique molecular</w:t>
      </w:r>
      <w:r>
        <w:rPr>
          <w:rFonts w:cs="Arial"/>
          <w:sz w:val="22"/>
          <w:szCs w:val="22"/>
        </w:rPr>
        <w:t xml:space="preserve"> </w:t>
      </w:r>
      <w:r w:rsidRPr="0044781C">
        <w:rPr>
          <w:rFonts w:cs="Arial"/>
          <w:sz w:val="22"/>
          <w:szCs w:val="22"/>
        </w:rPr>
        <w:t>structure and</w:t>
      </w:r>
      <w:r>
        <w:rPr>
          <w:rFonts w:cs="Arial"/>
          <w:sz w:val="22"/>
          <w:szCs w:val="22"/>
        </w:rPr>
        <w:t xml:space="preserve"> target site-binding properties</w:t>
      </w:r>
      <w:r w:rsidRPr="0044781C">
        <w:rPr>
          <w:rFonts w:cs="Arial"/>
          <w:sz w:val="22"/>
          <w:szCs w:val="22"/>
        </w:rPr>
        <w:t xml:space="preserve">, tedizolid </w:t>
      </w:r>
      <w:r w:rsidR="00CF4756">
        <w:rPr>
          <w:rFonts w:cs="Arial"/>
          <w:sz w:val="22"/>
          <w:szCs w:val="22"/>
        </w:rPr>
        <w:t xml:space="preserve">phosphate </w:t>
      </w:r>
      <w:r w:rsidRPr="0044781C">
        <w:rPr>
          <w:rFonts w:cs="Arial"/>
          <w:sz w:val="22"/>
          <w:szCs w:val="22"/>
        </w:rPr>
        <w:t>possesses key attr</w:t>
      </w:r>
      <w:r>
        <w:rPr>
          <w:rFonts w:cs="Arial"/>
          <w:sz w:val="22"/>
          <w:szCs w:val="22"/>
        </w:rPr>
        <w:t>ibutes distinct from linezolid and will be approved for both oral and IV use.</w:t>
      </w:r>
      <w:r w:rsidR="00634FC3">
        <w:rPr>
          <w:rFonts w:cs="Arial"/>
          <w:sz w:val="22"/>
          <w:szCs w:val="22"/>
        </w:rPr>
        <w:t xml:space="preserve"> </w:t>
      </w:r>
      <w:r w:rsidRPr="007B3A87">
        <w:rPr>
          <w:rStyle w:val="Emphasis"/>
          <w:rFonts w:cs="Arial"/>
          <w:i w:val="0"/>
          <w:sz w:val="22"/>
          <w:szCs w:val="22"/>
          <w:shd w:val="clear" w:color="auto" w:fill="FFFFFF"/>
        </w:rPr>
        <w:t xml:space="preserve">This submission invites the SMC to consider tedizolid phosphate for use in a sub-population of the expected EU licensed indication: namely, for </w:t>
      </w:r>
      <w:r>
        <w:rPr>
          <w:rStyle w:val="Emphasis"/>
          <w:rFonts w:cs="Arial"/>
          <w:i w:val="0"/>
          <w:sz w:val="22"/>
          <w:szCs w:val="22"/>
          <w:shd w:val="clear" w:color="auto" w:fill="FFFFFF"/>
        </w:rPr>
        <w:t xml:space="preserve">adult </w:t>
      </w:r>
      <w:r w:rsidRPr="007B3A87">
        <w:rPr>
          <w:rStyle w:val="Emphasis"/>
          <w:rFonts w:cs="Arial"/>
          <w:i w:val="0"/>
          <w:sz w:val="22"/>
          <w:szCs w:val="22"/>
          <w:shd w:val="clear" w:color="auto" w:fill="FFFFFF"/>
        </w:rPr>
        <w:t>patients with ABSSSI caused by Gram-positive</w:t>
      </w:r>
      <w:r w:rsidRPr="007B3A87">
        <w:rPr>
          <w:rStyle w:val="Emphasis"/>
          <w:rFonts w:cs="Arial"/>
          <w:sz w:val="22"/>
          <w:szCs w:val="22"/>
          <w:shd w:val="clear" w:color="auto" w:fill="FFFFFF"/>
        </w:rPr>
        <w:t>-</w:t>
      </w:r>
      <w:r w:rsidRPr="007B3A87">
        <w:rPr>
          <w:rFonts w:cs="Arial"/>
          <w:sz w:val="22"/>
          <w:szCs w:val="22"/>
          <w:shd w:val="clear" w:color="auto" w:fill="FFFFFF"/>
        </w:rPr>
        <w:t>MRSA only.</w:t>
      </w:r>
      <w:r w:rsidRPr="007B3A87">
        <w:rPr>
          <w:rFonts w:cs="Arial"/>
          <w:sz w:val="22"/>
          <w:szCs w:val="22"/>
        </w:rPr>
        <w:t xml:space="preserve"> In this clinical population, tedizolid phosphate would be expected to displace the use of linezolid in a post-vancomycin treatment setting </w:t>
      </w:r>
      <w:r w:rsidR="0007380D" w:rsidRPr="000C5789">
        <w:rPr>
          <w:rFonts w:cs="Arial"/>
          <w:sz w:val="22"/>
          <w:szCs w:val="22"/>
        </w:rPr>
        <w:t xml:space="preserve">(or where vancomycin is not appropriate) </w:t>
      </w:r>
      <w:r w:rsidRPr="000C5789">
        <w:rPr>
          <w:rFonts w:cs="Arial"/>
          <w:sz w:val="22"/>
          <w:szCs w:val="22"/>
          <w:lang w:val="en-US" w:eastAsia="ja-JP"/>
        </w:rPr>
        <w:t>on the specific advice of local microbiologists or specialists</w:t>
      </w:r>
      <w:r w:rsidRPr="007B3A87">
        <w:rPr>
          <w:rFonts w:cs="Arial"/>
          <w:sz w:val="22"/>
          <w:szCs w:val="22"/>
          <w:lang w:val="en-US" w:eastAsia="ja-JP"/>
        </w:rPr>
        <w:t xml:space="preserve"> in infectious disease.</w:t>
      </w:r>
      <w:r w:rsidRPr="0044781C">
        <w:rPr>
          <w:rFonts w:cs="Arial"/>
          <w:sz w:val="22"/>
          <w:szCs w:val="22"/>
          <w:lang w:val="en-US" w:eastAsia="ja-JP"/>
        </w:rPr>
        <w:t xml:space="preserve"> </w:t>
      </w:r>
    </w:p>
    <w:p w14:paraId="36809CF9" w14:textId="77777777" w:rsidR="00550011" w:rsidRPr="0044781C" w:rsidRDefault="00550011" w:rsidP="00550011">
      <w:pPr>
        <w:pStyle w:val="BodyText3"/>
        <w:spacing w:after="0"/>
        <w:jc w:val="both"/>
        <w:rPr>
          <w:rFonts w:cs="Arial"/>
          <w:sz w:val="22"/>
          <w:szCs w:val="22"/>
        </w:rPr>
      </w:pPr>
    </w:p>
    <w:p w14:paraId="0D4FDA57" w14:textId="35E622CB" w:rsidR="00550011" w:rsidRDefault="00550011" w:rsidP="00550011">
      <w:pPr>
        <w:widowControl w:val="0"/>
        <w:autoSpaceDE w:val="0"/>
        <w:autoSpaceDN w:val="0"/>
        <w:adjustRightInd w:val="0"/>
        <w:rPr>
          <w:rFonts w:cs="Arial"/>
          <w:sz w:val="22"/>
          <w:szCs w:val="22"/>
        </w:rPr>
      </w:pPr>
      <w:r w:rsidRPr="0044781C">
        <w:rPr>
          <w:rFonts w:cs="Arial"/>
          <w:sz w:val="22"/>
          <w:szCs w:val="22"/>
          <w:lang w:val="en-US"/>
        </w:rPr>
        <w:t>In two randomised, double-blind, active-controlled Phase 3 clinical trials [ESTABLISH-1 (</w:t>
      </w:r>
      <w:r w:rsidRPr="0044781C">
        <w:rPr>
          <w:rFonts w:cs="Arial"/>
          <w:sz w:val="22"/>
          <w:szCs w:val="22"/>
        </w:rPr>
        <w:t>TR701-112, oral therapy) and ESTABLISH-2 (TR701-113, intravenous (IV) therapy with possible switch to oral therapy)],</w:t>
      </w:r>
      <w:r w:rsidRPr="0044781C">
        <w:rPr>
          <w:rFonts w:cs="Arial"/>
          <w:sz w:val="22"/>
          <w:szCs w:val="22"/>
          <w:lang w:val="en-US"/>
        </w:rPr>
        <w:t xml:space="preserve"> comprising more than 1,300 patients with ABSSSI, tedizolid phosphate </w:t>
      </w:r>
      <w:r w:rsidRPr="0044781C">
        <w:rPr>
          <w:rFonts w:cs="Arial"/>
          <w:sz w:val="22"/>
          <w:szCs w:val="22"/>
        </w:rPr>
        <w:t>was statistically non-inferior to linezolid for the primary efficacy outcome of early clinical response at 48-72 hours and for all secondary efficacy outcomes.</w:t>
      </w:r>
      <w:r w:rsidR="00725D20">
        <w:rPr>
          <w:rFonts w:cs="Arial"/>
          <w:sz w:val="22"/>
          <w:szCs w:val="22"/>
        </w:rPr>
        <w:t xml:space="preserve"> Both </w:t>
      </w:r>
      <w:r w:rsidR="00083672">
        <w:rPr>
          <w:rFonts w:cs="Arial"/>
          <w:sz w:val="22"/>
          <w:szCs w:val="22"/>
        </w:rPr>
        <w:t>EMA-</w:t>
      </w:r>
      <w:r w:rsidR="00725D20">
        <w:rPr>
          <w:rFonts w:cs="Arial"/>
          <w:sz w:val="22"/>
          <w:szCs w:val="22"/>
        </w:rPr>
        <w:t xml:space="preserve"> and </w:t>
      </w:r>
      <w:r w:rsidR="00083672">
        <w:rPr>
          <w:rFonts w:cs="Arial"/>
          <w:sz w:val="22"/>
          <w:szCs w:val="22"/>
        </w:rPr>
        <w:t>FDA</w:t>
      </w:r>
      <w:r w:rsidR="00725D20">
        <w:rPr>
          <w:rFonts w:cs="Arial"/>
          <w:sz w:val="22"/>
          <w:szCs w:val="22"/>
        </w:rPr>
        <w:t xml:space="preserve">-preferred endpoints were included in the studies. </w:t>
      </w:r>
    </w:p>
    <w:p w14:paraId="18EF8D74" w14:textId="77777777" w:rsidR="00DE0F8E" w:rsidRDefault="00DE0F8E" w:rsidP="00550011">
      <w:pPr>
        <w:widowControl w:val="0"/>
        <w:autoSpaceDE w:val="0"/>
        <w:autoSpaceDN w:val="0"/>
        <w:adjustRightInd w:val="0"/>
        <w:rPr>
          <w:rFonts w:cs="Arial"/>
          <w:sz w:val="22"/>
          <w:szCs w:val="22"/>
        </w:rPr>
      </w:pPr>
    </w:p>
    <w:p w14:paraId="70B79A8F" w14:textId="400B9D4B" w:rsidR="00C044BE" w:rsidRDefault="00DE0F8E" w:rsidP="00E34CB3">
      <w:pPr>
        <w:pStyle w:val="Summaryboxtextlevel1"/>
        <w:numPr>
          <w:ilvl w:val="0"/>
          <w:numId w:val="0"/>
        </w:numPr>
        <w:spacing w:line="240" w:lineRule="auto"/>
      </w:pPr>
      <w:r w:rsidRPr="002A1891">
        <w:t xml:space="preserve">A </w:t>
      </w:r>
      <w:r>
        <w:t>Cost-Minimisation Analysis (CMA)</w:t>
      </w:r>
      <w:r w:rsidRPr="002A1891">
        <w:t xml:space="preserve"> was deemed the most appropriate economic evaluation </w:t>
      </w:r>
      <w:r w:rsidRPr="00BF017F">
        <w:t>because therapeutic equivalence in terms of efficacy between tedizolid phosphate and linezolid had been demonstrated in the Phase 3 randomised controlled t</w:t>
      </w:r>
      <w:r w:rsidR="008F7939">
        <w:t xml:space="preserve">rials, </w:t>
      </w:r>
      <w:r w:rsidR="008F7939">
        <w:lastRenderedPageBreak/>
        <w:t>which were of non</w:t>
      </w:r>
      <w:r w:rsidR="00D70B1C">
        <w:t>-</w:t>
      </w:r>
      <w:r w:rsidR="008F7939">
        <w:t>inferio</w:t>
      </w:r>
      <w:r w:rsidRPr="00BF017F">
        <w:t xml:space="preserve">rity design. The CMA considered the </w:t>
      </w:r>
      <w:r w:rsidR="00F4529A" w:rsidRPr="00BF017F">
        <w:t>medicine</w:t>
      </w:r>
      <w:r w:rsidRPr="00BF017F">
        <w:t xml:space="preserve"> acquisition costs of tedizolid phosphate and linezolid for </w:t>
      </w:r>
      <w:r w:rsidR="00E34CB3" w:rsidRPr="00BF017F">
        <w:t xml:space="preserve">a </w:t>
      </w:r>
      <w:r w:rsidR="00F4529A" w:rsidRPr="00BF017F">
        <w:t xml:space="preserve">course of treatment, </w:t>
      </w:r>
      <w:r w:rsidR="00BF017F" w:rsidRPr="00BF017F">
        <w:t xml:space="preserve">as well as </w:t>
      </w:r>
      <w:r w:rsidR="00F4529A" w:rsidRPr="00BF017F">
        <w:t xml:space="preserve">associated administration and </w:t>
      </w:r>
      <w:r w:rsidRPr="00BF017F">
        <w:t>monitoring</w:t>
      </w:r>
      <w:r w:rsidR="000E46C7">
        <w:t xml:space="preserve"> costs</w:t>
      </w:r>
      <w:r w:rsidRPr="00BF017F">
        <w:t xml:space="preserve">. </w:t>
      </w:r>
      <w:r w:rsidR="00C044BE" w:rsidRPr="00ED3510">
        <w:t>A conservative approach was taken, which assumed no difference between tedizolid phosphate and its comparator in efficacy, a</w:t>
      </w:r>
      <w:r w:rsidR="00C044BE">
        <w:t xml:space="preserve">dverse events, or tolerability, even though small differences were observed between treatment groups with reduced toxicity and DDIs in the tedizolid phosphate groups. </w:t>
      </w:r>
    </w:p>
    <w:p w14:paraId="39126073" w14:textId="4EB15E6D" w:rsidR="00DE0F8E" w:rsidRPr="00BF017F" w:rsidRDefault="00E34CB3" w:rsidP="00E34CB3">
      <w:pPr>
        <w:pStyle w:val="Summaryboxtextlevel1"/>
        <w:numPr>
          <w:ilvl w:val="0"/>
          <w:numId w:val="0"/>
        </w:numPr>
        <w:spacing w:line="240" w:lineRule="auto"/>
      </w:pPr>
      <w:r w:rsidRPr="00BF017F">
        <w:t>In the base case, a 6-day course of tedizolid phosphate</w:t>
      </w:r>
      <w:r w:rsidR="00195994" w:rsidRPr="00BF017F">
        <w:t xml:space="preserve"> was cost-saving</w:t>
      </w:r>
      <w:r w:rsidRPr="00BF017F">
        <w:t xml:space="preserve"> in year 1 per patient per course of treatment compared to a 10-day course of linezolid. In one-way sensitivity analyses and scenario analyses, treatment with tedizolid phosphate was </w:t>
      </w:r>
      <w:r w:rsidR="00195994" w:rsidRPr="00BF017F">
        <w:t xml:space="preserve">also </w:t>
      </w:r>
      <w:r w:rsidRPr="00BF017F">
        <w:t>cost-saving, primarily as a result of the once-daily administration and shorter duration of treatment course compared to linezolid.</w:t>
      </w:r>
    </w:p>
    <w:p w14:paraId="641356E5" w14:textId="77777777" w:rsidR="008E4E92" w:rsidRPr="002E09AF" w:rsidRDefault="008E4E92" w:rsidP="008E4E92">
      <w:pPr>
        <w:pBdr>
          <w:top w:val="single" w:sz="4" w:space="0" w:color="auto"/>
          <w:bottom w:val="single" w:sz="4" w:space="1" w:color="auto"/>
        </w:pBdr>
        <w:tabs>
          <w:tab w:val="left" w:pos="567"/>
        </w:tabs>
        <w:spacing w:line="360" w:lineRule="auto"/>
        <w:rPr>
          <w:rFonts w:cs="Arial"/>
          <w:b/>
          <w:sz w:val="28"/>
          <w:szCs w:val="28"/>
        </w:rPr>
      </w:pPr>
      <w:r w:rsidRPr="008E4E92">
        <w:rPr>
          <w:rFonts w:cs="Arial"/>
          <w:i/>
          <w:sz w:val="22"/>
          <w:szCs w:val="22"/>
        </w:rPr>
        <w:br w:type="page"/>
      </w:r>
      <w:r w:rsidRPr="002E09AF">
        <w:rPr>
          <w:rFonts w:cs="Arial"/>
          <w:b/>
          <w:sz w:val="28"/>
          <w:szCs w:val="28"/>
        </w:rPr>
        <w:lastRenderedPageBreak/>
        <w:t>3.</w:t>
      </w:r>
      <w:r w:rsidRPr="002E09AF">
        <w:rPr>
          <w:rFonts w:cs="Arial"/>
          <w:b/>
          <w:sz w:val="28"/>
          <w:szCs w:val="28"/>
        </w:rPr>
        <w:tab/>
      </w:r>
      <w:bookmarkStart w:id="49" w:name="Comparative_Efficacy"/>
      <w:r w:rsidRPr="002E09AF">
        <w:rPr>
          <w:rFonts w:cs="Arial"/>
          <w:b/>
          <w:sz w:val="28"/>
          <w:szCs w:val="28"/>
        </w:rPr>
        <w:t>Comparative Efficacy</w:t>
      </w:r>
      <w:bookmarkEnd w:id="49"/>
    </w:p>
    <w:p w14:paraId="72D99097" w14:textId="77777777" w:rsidR="00C6024F" w:rsidRDefault="00C6024F" w:rsidP="008E4E92">
      <w:pPr>
        <w:jc w:val="both"/>
        <w:rPr>
          <w:rFonts w:cs="Arial"/>
          <w:sz w:val="22"/>
          <w:szCs w:val="22"/>
        </w:rPr>
      </w:pPr>
    </w:p>
    <w:p w14:paraId="201DE6A1" w14:textId="77777777" w:rsidR="00AF2099" w:rsidRPr="00AF2099" w:rsidRDefault="00AF2099" w:rsidP="00AF2099">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b/>
          <w:sz w:val="22"/>
          <w:szCs w:val="22"/>
          <w:lang w:val="en-US" w:eastAsia="ja-JP"/>
        </w:rPr>
      </w:pPr>
      <w:r w:rsidRPr="00AF2099">
        <w:rPr>
          <w:rFonts w:cs="Arial"/>
          <w:b/>
          <w:sz w:val="22"/>
          <w:szCs w:val="22"/>
          <w:lang w:val="en-US" w:eastAsia="ja-JP"/>
        </w:rPr>
        <w:t xml:space="preserve">Summary of comparative efficacy </w:t>
      </w:r>
    </w:p>
    <w:p w14:paraId="5598F678" w14:textId="77777777" w:rsidR="00AF2099" w:rsidRDefault="00AF2099" w:rsidP="00AF2099">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7DC930C6" w14:textId="2C4EE558" w:rsidR="00AF2099" w:rsidRPr="00AF2099" w:rsidRDefault="00AF2099" w:rsidP="00C35C1F">
      <w:pPr>
        <w:pStyle w:val="ListParagraph"/>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r w:rsidRPr="00AF2099">
        <w:rPr>
          <w:rFonts w:cs="Arial"/>
          <w:sz w:val="22"/>
          <w:szCs w:val="22"/>
          <w:lang w:val="en-US" w:eastAsia="ja-JP"/>
        </w:rPr>
        <w:t>The efficacy, sa</w:t>
      </w:r>
      <w:r w:rsidR="00656A69">
        <w:rPr>
          <w:rFonts w:cs="Arial"/>
          <w:sz w:val="22"/>
          <w:szCs w:val="22"/>
          <w:lang w:val="en-US" w:eastAsia="ja-JP"/>
        </w:rPr>
        <w:t>fety and tolerability of tedizolid</w:t>
      </w:r>
      <w:r w:rsidRPr="00AF2099">
        <w:rPr>
          <w:rFonts w:cs="Arial"/>
          <w:sz w:val="22"/>
          <w:szCs w:val="22"/>
          <w:lang w:val="en-US" w:eastAsia="ja-JP"/>
        </w:rPr>
        <w:t xml:space="preserve"> p</w:t>
      </w:r>
      <w:r w:rsidR="00C76184">
        <w:rPr>
          <w:rFonts w:cs="Arial"/>
          <w:sz w:val="22"/>
          <w:szCs w:val="22"/>
          <w:lang w:val="en-US" w:eastAsia="ja-JP"/>
        </w:rPr>
        <w:t>hosphate in patients with ABSSSI</w:t>
      </w:r>
      <w:r w:rsidRPr="00AF2099">
        <w:rPr>
          <w:rFonts w:cs="Arial"/>
          <w:sz w:val="22"/>
          <w:szCs w:val="22"/>
          <w:lang w:val="en-US" w:eastAsia="ja-JP"/>
        </w:rPr>
        <w:t xml:space="preserve"> has been evaluated in a comprehensive clinical development programme, including two Phase 3 clinical studies comparing tedizolid phosphate with the active comparator, linezolid.</w:t>
      </w:r>
    </w:p>
    <w:p w14:paraId="2A611BFC" w14:textId="77777777" w:rsidR="00AF2099" w:rsidRPr="00AF2099" w:rsidRDefault="00AF2099" w:rsidP="008A3DC5">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2BB3B4C0" w14:textId="77777777" w:rsidR="00725D20" w:rsidRDefault="00AF2099" w:rsidP="00C35C1F">
      <w:pPr>
        <w:pStyle w:val="ListParagraph"/>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r w:rsidRPr="00AF2099">
        <w:rPr>
          <w:rFonts w:cs="Arial"/>
          <w:sz w:val="22"/>
          <w:szCs w:val="22"/>
          <w:lang w:val="en-US" w:eastAsia="ja-JP"/>
        </w:rPr>
        <w:t xml:space="preserve">The Phase 3 studies utilised a non-inferiority design in accordance with FDA guidance on the development of new systemic antibacterials. </w:t>
      </w:r>
    </w:p>
    <w:p w14:paraId="6DE71463" w14:textId="77777777" w:rsidR="00725D20" w:rsidRPr="00725D20" w:rsidRDefault="00725D20" w:rsidP="00725D20">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11299570" w14:textId="4757C9D3" w:rsidR="00AF2099" w:rsidRPr="00542387" w:rsidRDefault="00AF2099" w:rsidP="00C35C1F">
      <w:pPr>
        <w:pStyle w:val="ListParagraph"/>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r w:rsidRPr="00725D20">
        <w:rPr>
          <w:rFonts w:cs="Arial"/>
          <w:sz w:val="22"/>
          <w:szCs w:val="22"/>
          <w:lang w:val="en-US" w:eastAsia="ja-JP"/>
        </w:rPr>
        <w:t xml:space="preserve">Primary </w:t>
      </w:r>
      <w:r w:rsidRPr="00542387">
        <w:rPr>
          <w:rFonts w:cs="Arial"/>
          <w:sz w:val="22"/>
          <w:szCs w:val="22"/>
          <w:lang w:val="en-US" w:eastAsia="ja-JP"/>
        </w:rPr>
        <w:t>endpoints were chosen to meet the pref</w:t>
      </w:r>
      <w:r w:rsidR="00725D20" w:rsidRPr="00542387">
        <w:rPr>
          <w:rFonts w:cs="Arial"/>
          <w:sz w:val="22"/>
          <w:szCs w:val="22"/>
          <w:lang w:val="en-US" w:eastAsia="ja-JP"/>
        </w:rPr>
        <w:t xml:space="preserve">erences of both European </w:t>
      </w:r>
      <w:r w:rsidR="00542387" w:rsidRPr="00542387">
        <w:rPr>
          <w:rFonts w:cs="Arial"/>
          <w:sz w:val="22"/>
          <w:szCs w:val="22"/>
          <w:lang w:val="en-US" w:eastAsia="ja-JP"/>
        </w:rPr>
        <w:t xml:space="preserve">and US </w:t>
      </w:r>
      <w:r w:rsidRPr="00542387">
        <w:rPr>
          <w:rFonts w:cs="Arial"/>
          <w:sz w:val="22"/>
          <w:szCs w:val="22"/>
          <w:lang w:val="en-US" w:eastAsia="ja-JP"/>
        </w:rPr>
        <w:t>regulators.</w:t>
      </w:r>
      <w:r w:rsidR="00725D20" w:rsidRPr="00542387">
        <w:rPr>
          <w:rFonts w:cs="Arial"/>
          <w:sz w:val="22"/>
          <w:szCs w:val="22"/>
          <w:lang w:val="en-US" w:eastAsia="ja-JP"/>
        </w:rPr>
        <w:t xml:space="preserve"> </w:t>
      </w:r>
      <w:r w:rsidR="00542387" w:rsidRPr="00542387">
        <w:rPr>
          <w:rFonts w:cs="TimesNewRomanPSMT"/>
          <w:sz w:val="22"/>
          <w:szCs w:val="22"/>
          <w:lang w:val="en-US" w:eastAsia="ja-JP"/>
        </w:rPr>
        <w:t xml:space="preserve">The primary efficacy outcome analysis for the EU was “test of cure” (TOC), as determined by the Investigator’s assessment of clinical success at the post therapy evaluation (PTE) visit in the Intent-to-Treat (ITT) and Clinically Evaluable at PTE (CE-PTE) analysis sets. This assessment was timed to occur 7 to 14 days after the end of therapy (EOT) visit. </w:t>
      </w:r>
      <w:r w:rsidR="00725D20" w:rsidRPr="00542387">
        <w:rPr>
          <w:rFonts w:cs="Arial"/>
          <w:sz w:val="22"/>
          <w:szCs w:val="22"/>
          <w:lang w:val="en-US" w:eastAsia="ja-JP"/>
        </w:rPr>
        <w:t xml:space="preserve">For the FDA, the preferred primary endpoint was early clinical response. </w:t>
      </w:r>
    </w:p>
    <w:p w14:paraId="2C53EBE1" w14:textId="77777777" w:rsidR="00AF2099" w:rsidRPr="00AF2099" w:rsidRDefault="00AF2099" w:rsidP="008A3DC5">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72CC0621" w14:textId="49A29FD5" w:rsidR="00AF2099" w:rsidRPr="008A3DC5" w:rsidRDefault="00AF2099" w:rsidP="00C35C1F">
      <w:pPr>
        <w:pStyle w:val="ListParagraph"/>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r w:rsidRPr="00AF2099">
        <w:rPr>
          <w:rFonts w:cs="Arial"/>
          <w:sz w:val="22"/>
          <w:szCs w:val="22"/>
          <w:lang w:val="en-US" w:eastAsia="ja-JP"/>
        </w:rPr>
        <w:t xml:space="preserve">In the </w:t>
      </w:r>
      <w:r w:rsidR="008A3DC5">
        <w:rPr>
          <w:rFonts w:cs="Arial"/>
          <w:sz w:val="22"/>
          <w:szCs w:val="22"/>
          <w:lang w:val="en-US" w:eastAsia="ja-JP"/>
        </w:rPr>
        <w:t>randomised</w:t>
      </w:r>
      <w:r w:rsidRPr="00AF2099">
        <w:rPr>
          <w:rFonts w:cs="Arial"/>
          <w:sz w:val="22"/>
          <w:szCs w:val="22"/>
          <w:lang w:val="en-US" w:eastAsia="ja-JP"/>
        </w:rPr>
        <w:t xml:space="preserve">, double blind, double </w:t>
      </w:r>
      <w:r w:rsidR="0039063B">
        <w:rPr>
          <w:rFonts w:cs="Arial"/>
          <w:sz w:val="22"/>
          <w:szCs w:val="22"/>
          <w:lang w:val="en-US" w:eastAsia="ja-JP"/>
        </w:rPr>
        <w:t>dummy, multi</w:t>
      </w:r>
      <w:r w:rsidRPr="00AF2099">
        <w:rPr>
          <w:rFonts w:cs="Arial"/>
          <w:sz w:val="22"/>
          <w:szCs w:val="22"/>
          <w:lang w:val="en-US" w:eastAsia="ja-JP"/>
        </w:rPr>
        <w:t>centre Phase 3 study, ESTABLISH-1</w:t>
      </w:r>
      <w:r w:rsidR="008A3DC5">
        <w:rPr>
          <w:rFonts w:cs="Arial"/>
          <w:sz w:val="22"/>
          <w:szCs w:val="22"/>
          <w:lang w:val="en-US" w:eastAsia="ja-JP"/>
        </w:rPr>
        <w:t xml:space="preserve"> </w:t>
      </w:r>
      <w:r w:rsidRPr="008A3DC5">
        <w:rPr>
          <w:rFonts w:cs="Arial"/>
          <w:sz w:val="22"/>
          <w:szCs w:val="22"/>
          <w:lang w:val="en-US" w:eastAsia="ja-JP"/>
        </w:rPr>
        <w:t>(intent-to-treat [ITT] population, n=667), 200mg oral tedizolid phosphate administered once daily for 6 days was non-inferior to 600mg oral linezolid administered twice daily for 10 days on the primary endpoint of early clinical response (48-72 hour visit) in the ITT population (79.5% (95% CI, 74.8% to 83.7%) in the tedizolid phosphate group vs. 79.4% (95% CI, 74.7% to 83.6%).</w:t>
      </w:r>
    </w:p>
    <w:p w14:paraId="5668F207" w14:textId="77777777" w:rsidR="00AF2099" w:rsidRDefault="00AF2099" w:rsidP="008A3DC5">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p>
    <w:p w14:paraId="29FE09E0" w14:textId="4D950788" w:rsidR="00AF2099" w:rsidRPr="00C224C8" w:rsidRDefault="00AF2099" w:rsidP="00C35C1F">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r w:rsidRPr="00AF2099">
        <w:rPr>
          <w:rFonts w:cs="Arial"/>
          <w:sz w:val="22"/>
          <w:szCs w:val="22"/>
          <w:lang w:val="en-US" w:eastAsia="ja-JP"/>
        </w:rPr>
        <w:t>Results between the tedizolid phosphate and linezolid groups were similar on all secondary endpoints, including:</w:t>
      </w:r>
      <w:r w:rsidR="008A3DC5">
        <w:rPr>
          <w:rFonts w:cs="Arial"/>
          <w:sz w:val="22"/>
          <w:szCs w:val="22"/>
          <w:lang w:val="en-US" w:eastAsia="ja-JP"/>
        </w:rPr>
        <w:t xml:space="preserve"> </w:t>
      </w:r>
      <w:r w:rsidRPr="008A3DC5">
        <w:rPr>
          <w:rFonts w:cs="Arial"/>
          <w:sz w:val="22"/>
          <w:szCs w:val="22"/>
          <w:lang w:val="en-US" w:eastAsia="ja-JP"/>
        </w:rPr>
        <w:t>sustained clinical response at the End-Of-Treatment (EOT) visit</w:t>
      </w:r>
      <w:r w:rsidR="00725D20">
        <w:rPr>
          <w:rFonts w:cs="Arial"/>
          <w:sz w:val="22"/>
          <w:szCs w:val="22"/>
          <w:lang w:val="en-US" w:eastAsia="ja-JP"/>
        </w:rPr>
        <w:t xml:space="preserve"> </w:t>
      </w:r>
      <w:r w:rsidRPr="008A3DC5">
        <w:rPr>
          <w:rFonts w:cs="Arial"/>
          <w:sz w:val="22"/>
          <w:szCs w:val="22"/>
          <w:lang w:val="en-US" w:eastAsia="ja-JP"/>
        </w:rPr>
        <w:t>(Day 11) in the ITT population (69.3% (95% CI, 64% to 74.2%) in the tedizolid phosphate group vs. 71.9% (95% CI, 66.8% to 76.7%) in the linezolid group;</w:t>
      </w:r>
      <w:r w:rsidR="008A3DC5">
        <w:rPr>
          <w:rFonts w:cs="Arial"/>
          <w:sz w:val="22"/>
          <w:szCs w:val="22"/>
          <w:lang w:val="en-US" w:eastAsia="ja-JP"/>
        </w:rPr>
        <w:t xml:space="preserve"> </w:t>
      </w:r>
      <w:r w:rsidRPr="008A3DC5">
        <w:rPr>
          <w:rFonts w:cs="Arial"/>
          <w:sz w:val="22"/>
          <w:szCs w:val="22"/>
          <w:lang w:val="en-US" w:eastAsia="ja-JP"/>
        </w:rPr>
        <w:t xml:space="preserve">investigator's assessment of clinical success at the </w:t>
      </w:r>
      <w:r w:rsidR="00725D20">
        <w:rPr>
          <w:rFonts w:cs="Arial"/>
          <w:sz w:val="22"/>
          <w:szCs w:val="22"/>
          <w:lang w:val="en-US" w:eastAsia="ja-JP"/>
        </w:rPr>
        <w:t>PTE</w:t>
      </w:r>
      <w:r w:rsidRPr="008A3DC5">
        <w:rPr>
          <w:rFonts w:cs="Arial"/>
          <w:sz w:val="22"/>
          <w:szCs w:val="22"/>
          <w:lang w:val="en-US" w:eastAsia="ja-JP"/>
        </w:rPr>
        <w:t xml:space="preserve"> visit (85.5% (95% CI, 81.3% to 89.1%) in the tedizolid phosphate group vs. 86.0% (95% CI, 81.8% to 89.5%) in </w:t>
      </w:r>
      <w:r w:rsidRPr="008A3DC5">
        <w:rPr>
          <w:rFonts w:cs="Arial"/>
          <w:sz w:val="22"/>
          <w:szCs w:val="22"/>
          <w:lang w:val="en-US" w:eastAsia="ja-JP"/>
        </w:rPr>
        <w:lastRenderedPageBreak/>
        <w:t>the linezolid group; and</w:t>
      </w:r>
      <w:r w:rsidR="008A3DC5">
        <w:rPr>
          <w:rFonts w:cs="Arial"/>
          <w:sz w:val="22"/>
          <w:szCs w:val="22"/>
          <w:lang w:val="en-US" w:eastAsia="ja-JP"/>
        </w:rPr>
        <w:t xml:space="preserve"> </w:t>
      </w:r>
      <w:r w:rsidRPr="00C224C8">
        <w:rPr>
          <w:rFonts w:cs="Arial"/>
          <w:sz w:val="22"/>
          <w:szCs w:val="22"/>
          <w:lang w:val="en-US" w:eastAsia="ja-JP"/>
        </w:rPr>
        <w:t>investigator's assessment of clinical response at the 48-72 hour visit and Day 7 visit.</w:t>
      </w:r>
    </w:p>
    <w:p w14:paraId="1886DB55" w14:textId="77777777" w:rsidR="00AF2099" w:rsidRPr="00C224C8" w:rsidRDefault="00AF2099" w:rsidP="008A3DC5">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p>
    <w:p w14:paraId="25E65064" w14:textId="186F90AD" w:rsidR="00AF2099" w:rsidRPr="00C224C8" w:rsidRDefault="00AF2099" w:rsidP="00C35C1F">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r w:rsidRPr="00C224C8">
        <w:rPr>
          <w:rFonts w:cs="Arial"/>
          <w:sz w:val="22"/>
          <w:szCs w:val="22"/>
          <w:lang w:val="en-US" w:eastAsia="ja-JP"/>
        </w:rPr>
        <w:t>In the randomised, double blind, double dummy, multicentre Phase 3 study, ESTABLISH-2</w:t>
      </w:r>
    </w:p>
    <w:p w14:paraId="7D882B79" w14:textId="77777777" w:rsidR="00675F7E" w:rsidRPr="00C224C8" w:rsidRDefault="00AF2099" w:rsidP="00675F7E">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ind w:left="360" w:hanging="360"/>
        <w:rPr>
          <w:rFonts w:cs="Arial"/>
          <w:sz w:val="22"/>
          <w:szCs w:val="22"/>
          <w:lang w:val="en-US" w:eastAsia="ja-JP"/>
        </w:rPr>
      </w:pPr>
      <w:r w:rsidRPr="00C224C8">
        <w:rPr>
          <w:rFonts w:cs="Arial"/>
          <w:sz w:val="22"/>
          <w:szCs w:val="22"/>
          <w:lang w:val="en-US" w:eastAsia="ja-JP"/>
        </w:rPr>
        <w:tab/>
        <w:t xml:space="preserve">ITT population, n=666), 283 (85%) patients in the tedizolid phosphate group and 276 (83%) in the linezolid group achieved early clinical response (absolute difference of 2.6%, 95% CI -3.0 to 8.2), meeting the pre-specified non-inferiority margin </w:t>
      </w:r>
      <w:r w:rsidR="00675F7E" w:rsidRPr="00C224C8">
        <w:rPr>
          <w:rFonts w:cs="Arial"/>
          <w:sz w:val="22"/>
          <w:szCs w:val="22"/>
          <w:lang w:val="en-US" w:eastAsia="ja-JP"/>
        </w:rPr>
        <w:t xml:space="preserve">and </w:t>
      </w:r>
      <w:r w:rsidRPr="00C224C8">
        <w:rPr>
          <w:rFonts w:cs="Arial"/>
          <w:sz w:val="22"/>
          <w:szCs w:val="22"/>
          <w:lang w:val="en-US" w:eastAsia="ja-JP"/>
        </w:rPr>
        <w:t>showing non-inferiority of tedizolid phosphate to linezolid.</w:t>
      </w:r>
    </w:p>
    <w:p w14:paraId="401A1F06" w14:textId="77777777" w:rsidR="00675F7E" w:rsidRPr="00C224C8" w:rsidRDefault="00675F7E" w:rsidP="00675F7E">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ind w:left="360" w:hanging="360"/>
        <w:rPr>
          <w:rFonts w:cs="Arial"/>
          <w:sz w:val="22"/>
          <w:szCs w:val="22"/>
          <w:lang w:val="en-US" w:eastAsia="ja-JP"/>
        </w:rPr>
      </w:pPr>
    </w:p>
    <w:p w14:paraId="3C5E6ED0" w14:textId="54671721" w:rsidR="00675F7E" w:rsidRPr="00C224C8" w:rsidRDefault="00675F7E" w:rsidP="00C35C1F">
      <w:pPr>
        <w:pStyle w:val="ListParagraph"/>
        <w:widowControl w:val="0"/>
        <w:numPr>
          <w:ilvl w:val="0"/>
          <w:numId w:val="70"/>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r w:rsidRPr="00C224C8">
        <w:rPr>
          <w:rFonts w:cs="Arial"/>
          <w:sz w:val="22"/>
          <w:szCs w:val="22"/>
          <w:lang w:val="en-US" w:eastAsia="ja-JP"/>
        </w:rPr>
        <w:t>In ESTABLISH-2, on the EMA-preferred endpoint of TOC</w:t>
      </w:r>
      <w:r w:rsidR="002371BC" w:rsidRPr="00C224C8">
        <w:rPr>
          <w:rFonts w:cs="Arial"/>
          <w:sz w:val="22"/>
          <w:szCs w:val="22"/>
          <w:lang w:val="en-US" w:eastAsia="ja-JP"/>
        </w:rPr>
        <w:t>, in the ITT analysis set</w:t>
      </w:r>
      <w:r w:rsidRPr="00C224C8">
        <w:rPr>
          <w:rFonts w:cs="Arial"/>
          <w:sz w:val="22"/>
          <w:szCs w:val="22"/>
          <w:lang w:val="en-US" w:eastAsia="ja-JP"/>
        </w:rPr>
        <w:t xml:space="preserve"> 292 (88.0%) patients in the tedizolid </w:t>
      </w:r>
      <w:r w:rsidR="00CF4756">
        <w:rPr>
          <w:rFonts w:cs="Arial"/>
          <w:sz w:val="22"/>
          <w:szCs w:val="22"/>
          <w:lang w:val="en-US" w:eastAsia="ja-JP"/>
        </w:rPr>
        <w:t xml:space="preserve">phosphate </w:t>
      </w:r>
      <w:r w:rsidRPr="00C224C8">
        <w:rPr>
          <w:rFonts w:cs="Arial"/>
          <w:sz w:val="22"/>
          <w:szCs w:val="22"/>
          <w:lang w:val="en-US" w:eastAsia="ja-JP"/>
        </w:rPr>
        <w:t>group and 293 (87.7%) in the linezolid group had investigator-assessed clinical success</w:t>
      </w:r>
      <w:r w:rsidR="000E60AA" w:rsidRPr="00C224C8">
        <w:rPr>
          <w:rFonts w:cs="Arial"/>
          <w:sz w:val="22"/>
          <w:szCs w:val="22"/>
          <w:lang w:val="en-US" w:eastAsia="ja-JP"/>
        </w:rPr>
        <w:t xml:space="preserve"> at the PTE visit</w:t>
      </w:r>
      <w:r w:rsidRPr="00C224C8">
        <w:rPr>
          <w:rFonts w:cs="Arial"/>
          <w:sz w:val="22"/>
          <w:szCs w:val="22"/>
          <w:lang w:val="en-US" w:eastAsia="ja-JP"/>
        </w:rPr>
        <w:t xml:space="preserve"> (difference 0.3, 95% CI -4.8, 5.3)</w:t>
      </w:r>
      <w:r w:rsidR="002371BC" w:rsidRPr="00C224C8">
        <w:rPr>
          <w:rFonts w:cs="Arial"/>
          <w:sz w:val="22"/>
          <w:szCs w:val="22"/>
          <w:lang w:val="en-US" w:eastAsia="ja-JP"/>
        </w:rPr>
        <w:t>. Similar results were observed in the CE-PTE analysis set</w:t>
      </w:r>
      <w:r w:rsidRPr="00C224C8">
        <w:rPr>
          <w:rFonts w:cs="Arial"/>
          <w:sz w:val="22"/>
          <w:szCs w:val="22"/>
          <w:lang w:val="en-US" w:eastAsia="ja-JP"/>
        </w:rPr>
        <w:t xml:space="preserve"> </w:t>
      </w:r>
      <w:r w:rsidR="002371BC" w:rsidRPr="00C224C8">
        <w:rPr>
          <w:rFonts w:cs="Arial"/>
          <w:sz w:val="22"/>
          <w:szCs w:val="22"/>
          <w:lang w:val="en-US" w:eastAsia="ja-JP"/>
        </w:rPr>
        <w:t>[</w:t>
      </w:r>
      <w:r w:rsidRPr="00C224C8">
        <w:rPr>
          <w:rFonts w:cs="Arial"/>
          <w:sz w:val="22"/>
          <w:szCs w:val="22"/>
          <w:lang w:val="en-US" w:eastAsia="ja-JP"/>
        </w:rPr>
        <w:t xml:space="preserve">268 (92%) of 290 </w:t>
      </w:r>
      <w:r w:rsidR="002371BC" w:rsidRPr="00C224C8">
        <w:rPr>
          <w:rFonts w:cs="Arial"/>
          <w:sz w:val="22"/>
          <w:szCs w:val="22"/>
          <w:lang w:val="en-US" w:eastAsia="ja-JP"/>
        </w:rPr>
        <w:t xml:space="preserve">patients </w:t>
      </w:r>
      <w:r w:rsidR="006069F8">
        <w:rPr>
          <w:rFonts w:cs="Arial"/>
          <w:sz w:val="22"/>
          <w:szCs w:val="22"/>
          <w:lang w:val="en-US" w:eastAsia="ja-JP"/>
        </w:rPr>
        <w:t xml:space="preserve">in the tedizolid </w:t>
      </w:r>
      <w:r w:rsidR="00CF4756">
        <w:rPr>
          <w:rFonts w:cs="Arial"/>
          <w:sz w:val="22"/>
          <w:szCs w:val="22"/>
          <w:lang w:val="en-US" w:eastAsia="ja-JP"/>
        </w:rPr>
        <w:t xml:space="preserve">phosphate </w:t>
      </w:r>
      <w:r w:rsidR="006069F8">
        <w:rPr>
          <w:rFonts w:cs="Arial"/>
          <w:sz w:val="22"/>
          <w:szCs w:val="22"/>
          <w:lang w:val="en-US" w:eastAsia="ja-JP"/>
        </w:rPr>
        <w:t xml:space="preserve">group; </w:t>
      </w:r>
      <w:r w:rsidRPr="00C224C8">
        <w:rPr>
          <w:rFonts w:cs="Arial"/>
          <w:sz w:val="22"/>
          <w:szCs w:val="22"/>
          <w:lang w:val="en-US" w:eastAsia="ja-JP"/>
        </w:rPr>
        <w:t>269 (96%) of 280 in t</w:t>
      </w:r>
      <w:r w:rsidR="006069F8">
        <w:rPr>
          <w:rFonts w:cs="Arial"/>
          <w:sz w:val="22"/>
          <w:szCs w:val="22"/>
          <w:lang w:val="en-US" w:eastAsia="ja-JP"/>
        </w:rPr>
        <w:t>he linezolid group (difference -3.7%, 95% CI -</w:t>
      </w:r>
      <w:r w:rsidRPr="00C224C8">
        <w:rPr>
          <w:rFonts w:cs="Arial"/>
          <w:sz w:val="22"/>
          <w:szCs w:val="22"/>
          <w:lang w:val="en-US" w:eastAsia="ja-JP"/>
        </w:rPr>
        <w:t>7.7 to 0.2)</w:t>
      </w:r>
      <w:r w:rsidR="002371BC" w:rsidRPr="00C224C8">
        <w:rPr>
          <w:rFonts w:cs="Arial"/>
          <w:sz w:val="22"/>
          <w:szCs w:val="22"/>
          <w:lang w:val="en-US" w:eastAsia="ja-JP"/>
        </w:rPr>
        <w:t>]</w:t>
      </w:r>
      <w:r w:rsidRPr="00C224C8">
        <w:rPr>
          <w:rFonts w:cs="Arial"/>
          <w:sz w:val="22"/>
          <w:szCs w:val="22"/>
          <w:lang w:val="en-US" w:eastAsia="ja-JP"/>
        </w:rPr>
        <w:t>.</w:t>
      </w:r>
    </w:p>
    <w:p w14:paraId="58550143" w14:textId="77777777" w:rsidR="00AF2099" w:rsidRDefault="00AF2099" w:rsidP="00AF2099">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ind w:left="360" w:hanging="360"/>
        <w:rPr>
          <w:rFonts w:cs="Arial"/>
          <w:sz w:val="22"/>
          <w:szCs w:val="22"/>
          <w:lang w:val="en-US" w:eastAsia="ja-JP"/>
        </w:rPr>
      </w:pPr>
    </w:p>
    <w:p w14:paraId="5AD79770" w14:textId="59265F8A" w:rsidR="00AF2099" w:rsidRPr="00A21E46" w:rsidRDefault="00AF2099" w:rsidP="00C35C1F">
      <w:pPr>
        <w:pStyle w:val="ListParagraph"/>
        <w:widowControl w:val="0"/>
        <w:numPr>
          <w:ilvl w:val="0"/>
          <w:numId w:val="42"/>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r w:rsidRPr="00AF2099">
        <w:rPr>
          <w:rFonts w:cs="Arial"/>
          <w:sz w:val="22"/>
          <w:szCs w:val="22"/>
          <w:lang w:val="en-US" w:eastAsia="ja-JP"/>
        </w:rPr>
        <w:t xml:space="preserve">Overall, 6 days of tedizolid phosphate demonstrated similar efficacy to 10 days of linezolid on all primary and secondary efficacy endpoints in the ITT and </w:t>
      </w:r>
      <w:r w:rsidR="006069F8">
        <w:rPr>
          <w:rFonts w:cs="Arial"/>
          <w:sz w:val="22"/>
          <w:szCs w:val="22"/>
          <w:lang w:val="en-US" w:eastAsia="ja-JP"/>
        </w:rPr>
        <w:t>CE</w:t>
      </w:r>
      <w:r w:rsidRPr="00AF2099">
        <w:rPr>
          <w:rFonts w:cs="Arial"/>
          <w:sz w:val="22"/>
          <w:szCs w:val="22"/>
          <w:lang w:val="en-US" w:eastAsia="ja-JP"/>
        </w:rPr>
        <w:t>-PTE population</w:t>
      </w:r>
      <w:r w:rsidR="008A3DC5">
        <w:rPr>
          <w:rFonts w:cs="Arial"/>
          <w:sz w:val="22"/>
          <w:szCs w:val="22"/>
          <w:lang w:val="en-US" w:eastAsia="ja-JP"/>
        </w:rPr>
        <w:t>s in both ESTABLISH-1 and ESTABLISH-2</w:t>
      </w:r>
      <w:r w:rsidRPr="00AF2099">
        <w:rPr>
          <w:rFonts w:cs="Arial"/>
          <w:sz w:val="22"/>
          <w:szCs w:val="22"/>
          <w:lang w:val="en-US" w:eastAsia="ja-JP"/>
        </w:rPr>
        <w:t>.</w:t>
      </w:r>
      <w:r w:rsidR="002371BC">
        <w:rPr>
          <w:rFonts w:cs="Arial"/>
          <w:sz w:val="22"/>
          <w:szCs w:val="22"/>
          <w:lang w:val="en-US" w:eastAsia="ja-JP"/>
        </w:rPr>
        <w:t xml:space="preserve"> </w:t>
      </w:r>
      <w:r w:rsidRPr="002371BC">
        <w:rPr>
          <w:rFonts w:cs="Arial"/>
          <w:sz w:val="22"/>
          <w:szCs w:val="22"/>
          <w:lang w:val="en-US" w:eastAsia="ja-JP"/>
        </w:rPr>
        <w:t xml:space="preserve">A </w:t>
      </w:r>
      <w:r w:rsidR="002371BC">
        <w:rPr>
          <w:rFonts w:cs="Arial"/>
          <w:sz w:val="22"/>
          <w:szCs w:val="22"/>
          <w:lang w:val="en-US" w:eastAsia="ja-JP"/>
        </w:rPr>
        <w:t xml:space="preserve">pre-specified </w:t>
      </w:r>
      <w:r w:rsidRPr="002371BC">
        <w:rPr>
          <w:rFonts w:cs="Arial"/>
          <w:sz w:val="22"/>
          <w:szCs w:val="22"/>
          <w:lang w:val="en-US" w:eastAsia="ja-JP"/>
        </w:rPr>
        <w:t xml:space="preserve">pooled analysis </w:t>
      </w:r>
      <w:r w:rsidRPr="00A21E46">
        <w:rPr>
          <w:rFonts w:cs="Arial"/>
          <w:sz w:val="22"/>
          <w:szCs w:val="22"/>
          <w:lang w:val="en-US" w:eastAsia="ja-JP"/>
        </w:rPr>
        <w:t>confirmed the efficacy outcomes of the two studies independently.</w:t>
      </w:r>
    </w:p>
    <w:p w14:paraId="05F2E4B4" w14:textId="77777777" w:rsidR="00AF2099" w:rsidRPr="00AF2099" w:rsidRDefault="00AF2099" w:rsidP="00AF2099">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p>
    <w:p w14:paraId="555C5E8A" w14:textId="22BE0D89" w:rsidR="00AF2099" w:rsidRDefault="00AF2099" w:rsidP="00C35C1F">
      <w:pPr>
        <w:pStyle w:val="ListParagraph"/>
        <w:widowControl w:val="0"/>
        <w:numPr>
          <w:ilvl w:val="0"/>
          <w:numId w:val="42"/>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rPr>
          <w:rFonts w:cs="Arial"/>
          <w:sz w:val="22"/>
          <w:szCs w:val="22"/>
          <w:lang w:val="en-US" w:eastAsia="ja-JP"/>
        </w:rPr>
      </w:pPr>
      <w:r w:rsidRPr="00AF2099">
        <w:rPr>
          <w:rFonts w:cs="Arial"/>
          <w:sz w:val="22"/>
          <w:szCs w:val="22"/>
          <w:lang w:val="en-US" w:eastAsia="ja-JP"/>
        </w:rPr>
        <w:t xml:space="preserve">Approximately 43% of randomised subjects in ESTABLISH-1 </w:t>
      </w:r>
      <w:r w:rsidR="006069F8">
        <w:rPr>
          <w:rFonts w:cs="Arial"/>
          <w:sz w:val="22"/>
          <w:szCs w:val="22"/>
          <w:lang w:val="en-US" w:eastAsia="ja-JP"/>
        </w:rPr>
        <w:t>(</w:t>
      </w:r>
      <w:r w:rsidRPr="00AF2099">
        <w:rPr>
          <w:rFonts w:cs="Arial"/>
          <w:sz w:val="22"/>
          <w:szCs w:val="22"/>
          <w:lang w:val="en-US" w:eastAsia="ja-JP"/>
        </w:rPr>
        <w:t>27% in ESTABLISH-2</w:t>
      </w:r>
      <w:r w:rsidR="006069F8">
        <w:rPr>
          <w:rFonts w:cs="Arial"/>
          <w:sz w:val="22"/>
          <w:szCs w:val="22"/>
          <w:lang w:val="en-US" w:eastAsia="ja-JP"/>
        </w:rPr>
        <w:t>)</w:t>
      </w:r>
      <w:r w:rsidRPr="00AF2099">
        <w:rPr>
          <w:rFonts w:cs="Arial"/>
          <w:sz w:val="22"/>
          <w:szCs w:val="22"/>
          <w:lang w:val="en-US" w:eastAsia="ja-JP"/>
        </w:rPr>
        <w:t xml:space="preserve"> had an MRSA-caused ABSSSI at baseline. Results from the pooled analysis of the Phase 3 studies demonstrated that the proportion of patients with MRSA infections achieving early clinical response was </w:t>
      </w:r>
      <w:r>
        <w:rPr>
          <w:rFonts w:cs="Arial"/>
          <w:sz w:val="22"/>
          <w:szCs w:val="22"/>
          <w:lang w:val="en-US" w:eastAsia="ja-JP"/>
        </w:rPr>
        <w:t xml:space="preserve">high (&gt;80%) and was </w:t>
      </w:r>
      <w:r w:rsidRPr="00AF2099">
        <w:rPr>
          <w:rFonts w:cs="Arial"/>
          <w:sz w:val="22"/>
          <w:szCs w:val="22"/>
          <w:lang w:val="en-US" w:eastAsia="ja-JP"/>
        </w:rPr>
        <w:t xml:space="preserve">comparable between </w:t>
      </w:r>
      <w:r w:rsidR="006069F8">
        <w:rPr>
          <w:rFonts w:cs="Arial"/>
          <w:sz w:val="22"/>
          <w:szCs w:val="22"/>
          <w:lang w:val="en-US" w:eastAsia="ja-JP"/>
        </w:rPr>
        <w:t>treatment</w:t>
      </w:r>
      <w:r w:rsidRPr="00AF2099">
        <w:rPr>
          <w:rFonts w:cs="Arial"/>
          <w:sz w:val="22"/>
          <w:szCs w:val="22"/>
          <w:lang w:val="en-US" w:eastAsia="ja-JP"/>
        </w:rPr>
        <w:t xml:space="preserve"> groups.</w:t>
      </w:r>
    </w:p>
    <w:p w14:paraId="1FC5F81F" w14:textId="77777777" w:rsidR="00AF2099" w:rsidRPr="008A3DC5" w:rsidRDefault="00AF2099" w:rsidP="008A3DC5">
      <w:pPr>
        <w:widowControl w:val="0"/>
        <w:tabs>
          <w:tab w:val="left" w:pos="426"/>
        </w:tabs>
        <w:autoSpaceDE w:val="0"/>
        <w:autoSpaceDN w:val="0"/>
        <w:adjustRightInd w:val="0"/>
        <w:rPr>
          <w:rFonts w:cs="Arial"/>
          <w:sz w:val="22"/>
          <w:szCs w:val="22"/>
          <w:lang w:val="en-US" w:eastAsia="ja-JP"/>
        </w:rPr>
      </w:pPr>
    </w:p>
    <w:p w14:paraId="72AD5CCC" w14:textId="0F170B0C" w:rsidR="00E56BDE" w:rsidRPr="00D1121B" w:rsidRDefault="008E4E92" w:rsidP="00EC4726">
      <w:pPr>
        <w:numPr>
          <w:ilvl w:val="0"/>
          <w:numId w:val="3"/>
        </w:numPr>
        <w:tabs>
          <w:tab w:val="clear" w:pos="720"/>
          <w:tab w:val="left" w:pos="567"/>
        </w:tabs>
        <w:ind w:left="567" w:hanging="567"/>
        <w:jc w:val="both"/>
        <w:rPr>
          <w:rFonts w:cs="Arial"/>
          <w:bCs/>
          <w:i/>
          <w:sz w:val="22"/>
          <w:szCs w:val="22"/>
        </w:rPr>
      </w:pPr>
      <w:r w:rsidRPr="00D1121B">
        <w:rPr>
          <w:rFonts w:cs="Arial"/>
          <w:bCs/>
          <w:i/>
          <w:sz w:val="22"/>
          <w:szCs w:val="22"/>
        </w:rPr>
        <w:t xml:space="preserve">Provide details of studies, which provide evidence of the clinical benefits with the medicine in the indication(s) under review relative to active comparator(s) used in clinical practice. The most relevant are active-controlled studies. However, if active-controlled studies are not available, details of placebo-controlled or uncontrolled studies should be included. Placebo-controlled and uncontrolled studies can also </w:t>
      </w:r>
      <w:r w:rsidRPr="00D1121B">
        <w:rPr>
          <w:rFonts w:cs="Arial"/>
          <w:bCs/>
          <w:i/>
          <w:sz w:val="22"/>
          <w:szCs w:val="22"/>
        </w:rPr>
        <w:lastRenderedPageBreak/>
        <w:t>be included if they provide evidence of relevant clinical benefits not demonstrated in active-controlled studies.</w:t>
      </w:r>
    </w:p>
    <w:p w14:paraId="580BE276" w14:textId="71E008C5" w:rsidR="00A2439C" w:rsidRDefault="00A2439C" w:rsidP="00A2439C">
      <w:pPr>
        <w:autoSpaceDE w:val="0"/>
        <w:autoSpaceDN w:val="0"/>
        <w:adjustRightInd w:val="0"/>
        <w:rPr>
          <w:rFonts w:cs="Arial"/>
          <w:b/>
          <w:bCs/>
          <w:color w:val="0000FF"/>
          <w:sz w:val="22"/>
          <w:szCs w:val="22"/>
          <w:lang w:eastAsia="ja-JP"/>
        </w:rPr>
      </w:pPr>
    </w:p>
    <w:p w14:paraId="0175CF51" w14:textId="003C8B9A" w:rsidR="00CC4150" w:rsidRPr="002E09AF" w:rsidRDefault="00290E7B" w:rsidP="00A2439C">
      <w:pPr>
        <w:autoSpaceDE w:val="0"/>
        <w:autoSpaceDN w:val="0"/>
        <w:adjustRightInd w:val="0"/>
        <w:rPr>
          <w:rFonts w:cs="Arial"/>
          <w:b/>
          <w:bCs/>
          <w:sz w:val="22"/>
          <w:szCs w:val="22"/>
          <w:lang w:eastAsia="ja-JP"/>
        </w:rPr>
      </w:pPr>
      <w:r>
        <w:rPr>
          <w:rFonts w:cs="Arial"/>
          <w:b/>
          <w:bCs/>
          <w:sz w:val="22"/>
          <w:szCs w:val="22"/>
          <w:lang w:eastAsia="ja-JP"/>
        </w:rPr>
        <w:t>3.1</w:t>
      </w:r>
      <w:r w:rsidR="00CC4150" w:rsidRPr="002E09AF">
        <w:rPr>
          <w:rFonts w:cs="Arial"/>
          <w:b/>
          <w:bCs/>
          <w:sz w:val="22"/>
          <w:szCs w:val="22"/>
          <w:lang w:eastAsia="ja-JP"/>
        </w:rPr>
        <w:t xml:space="preserve"> Overview of the Clinical Development Programme </w:t>
      </w:r>
    </w:p>
    <w:p w14:paraId="1F9EF4ED" w14:textId="4C1E3D91" w:rsidR="00CC4150" w:rsidRPr="002E09AF" w:rsidRDefault="008D1D75" w:rsidP="00A2439C">
      <w:pPr>
        <w:autoSpaceDE w:val="0"/>
        <w:autoSpaceDN w:val="0"/>
        <w:adjustRightInd w:val="0"/>
        <w:rPr>
          <w:rFonts w:cs="Arial"/>
          <w:bCs/>
          <w:sz w:val="22"/>
          <w:szCs w:val="22"/>
          <w:lang w:eastAsia="ja-JP"/>
        </w:rPr>
      </w:pPr>
      <w:r w:rsidRPr="002E09AF">
        <w:rPr>
          <w:rFonts w:cs="Arial"/>
          <w:bCs/>
          <w:sz w:val="22"/>
          <w:szCs w:val="22"/>
          <w:lang w:eastAsia="ja-JP"/>
        </w:rPr>
        <w:t>The efficacy, safety and tolerability of tedizolid phosphate has been evaluated in a comprehensive clinical study programme comprising 7 Phase 1 studies, 2 Phase 2 studies and 2 Phase 3 studies, the latter two against an active comparator, linezolid. An overview of each of these s</w:t>
      </w:r>
      <w:r w:rsidR="002E09AF" w:rsidRPr="002E09AF">
        <w:rPr>
          <w:rFonts w:cs="Arial"/>
          <w:bCs/>
          <w:sz w:val="22"/>
          <w:szCs w:val="22"/>
          <w:lang w:eastAsia="ja-JP"/>
        </w:rPr>
        <w:t>tudies is provided in Appendix A</w:t>
      </w:r>
      <w:r w:rsidRPr="002E09AF">
        <w:rPr>
          <w:rFonts w:cs="Arial"/>
          <w:bCs/>
          <w:sz w:val="22"/>
          <w:szCs w:val="22"/>
          <w:lang w:eastAsia="ja-JP"/>
        </w:rPr>
        <w:t>.</w:t>
      </w:r>
    </w:p>
    <w:p w14:paraId="0AF6D84A" w14:textId="77777777" w:rsidR="008D1D75" w:rsidRPr="002E09AF" w:rsidRDefault="008D1D75" w:rsidP="00A2439C">
      <w:pPr>
        <w:autoSpaceDE w:val="0"/>
        <w:autoSpaceDN w:val="0"/>
        <w:adjustRightInd w:val="0"/>
        <w:rPr>
          <w:rFonts w:cs="Arial"/>
          <w:bCs/>
          <w:sz w:val="22"/>
          <w:szCs w:val="22"/>
          <w:lang w:eastAsia="ja-JP"/>
        </w:rPr>
      </w:pPr>
    </w:p>
    <w:p w14:paraId="7AB24439" w14:textId="6718B529" w:rsidR="008D1D75" w:rsidRPr="002E09AF" w:rsidRDefault="008D1D75" w:rsidP="00A2439C">
      <w:pPr>
        <w:autoSpaceDE w:val="0"/>
        <w:autoSpaceDN w:val="0"/>
        <w:adjustRightInd w:val="0"/>
        <w:rPr>
          <w:rFonts w:cs="Arial"/>
          <w:bCs/>
          <w:sz w:val="22"/>
          <w:szCs w:val="22"/>
          <w:lang w:eastAsia="ja-JP"/>
        </w:rPr>
      </w:pPr>
      <w:r w:rsidRPr="002E09AF">
        <w:rPr>
          <w:rFonts w:cs="Arial"/>
          <w:bCs/>
          <w:sz w:val="22"/>
          <w:szCs w:val="22"/>
          <w:lang w:eastAsia="ja-JP"/>
        </w:rPr>
        <w:t>For the purposes of this submission, evidence of relevant clinical benefits will be presented fro</w:t>
      </w:r>
      <w:r w:rsidR="00F05575">
        <w:rPr>
          <w:rFonts w:cs="Arial"/>
          <w:bCs/>
          <w:sz w:val="22"/>
          <w:szCs w:val="22"/>
          <w:lang w:eastAsia="ja-JP"/>
        </w:rPr>
        <w:t>m the two Phase 3 studies only.</w:t>
      </w:r>
    </w:p>
    <w:p w14:paraId="5B893C7E" w14:textId="77777777" w:rsidR="008D1D75" w:rsidRDefault="008D1D75" w:rsidP="00A2439C">
      <w:pPr>
        <w:autoSpaceDE w:val="0"/>
        <w:autoSpaceDN w:val="0"/>
        <w:adjustRightInd w:val="0"/>
        <w:rPr>
          <w:rFonts w:cs="Arial"/>
          <w:b/>
          <w:bCs/>
          <w:color w:val="0000FF"/>
          <w:sz w:val="22"/>
          <w:szCs w:val="22"/>
          <w:lang w:eastAsia="ja-JP"/>
        </w:rPr>
      </w:pPr>
    </w:p>
    <w:p w14:paraId="58CA54D2" w14:textId="602FD37D" w:rsidR="00335FE5" w:rsidRDefault="00290E7B" w:rsidP="00335FE5">
      <w:pPr>
        <w:autoSpaceDE w:val="0"/>
        <w:autoSpaceDN w:val="0"/>
        <w:adjustRightInd w:val="0"/>
        <w:rPr>
          <w:rFonts w:cs="Arial"/>
          <w:b/>
          <w:bCs/>
          <w:sz w:val="22"/>
          <w:szCs w:val="22"/>
          <w:lang w:eastAsia="ja-JP"/>
        </w:rPr>
      </w:pPr>
      <w:r>
        <w:rPr>
          <w:rFonts w:cs="Arial"/>
          <w:b/>
          <w:bCs/>
          <w:sz w:val="22"/>
          <w:szCs w:val="22"/>
          <w:lang w:eastAsia="ja-JP"/>
        </w:rPr>
        <w:t>3.2</w:t>
      </w:r>
      <w:r w:rsidR="00335FE5">
        <w:rPr>
          <w:rFonts w:cs="Arial"/>
          <w:b/>
          <w:bCs/>
          <w:sz w:val="22"/>
          <w:szCs w:val="22"/>
          <w:lang w:eastAsia="ja-JP"/>
        </w:rPr>
        <w:t xml:space="preserve"> Overview of </w:t>
      </w:r>
      <w:r w:rsidR="0087796C">
        <w:rPr>
          <w:rFonts w:cs="Arial"/>
          <w:b/>
          <w:bCs/>
          <w:sz w:val="22"/>
          <w:szCs w:val="22"/>
          <w:lang w:eastAsia="ja-JP"/>
        </w:rPr>
        <w:t>Phase 3 clinical trials</w:t>
      </w:r>
    </w:p>
    <w:p w14:paraId="16554ADC" w14:textId="3F2CD006" w:rsidR="00335FE5" w:rsidRPr="002E09AF" w:rsidRDefault="007141C8" w:rsidP="00A321DC">
      <w:pPr>
        <w:autoSpaceDE w:val="0"/>
        <w:autoSpaceDN w:val="0"/>
        <w:adjustRightInd w:val="0"/>
        <w:rPr>
          <w:rFonts w:cs="Arial"/>
          <w:bCs/>
          <w:sz w:val="22"/>
          <w:szCs w:val="22"/>
          <w:lang w:eastAsia="ja-JP"/>
        </w:rPr>
      </w:pPr>
      <w:r w:rsidRPr="002E09AF">
        <w:rPr>
          <w:rFonts w:cs="Arial"/>
          <w:bCs/>
          <w:sz w:val="22"/>
          <w:szCs w:val="22"/>
          <w:lang w:eastAsia="ja-JP"/>
        </w:rPr>
        <w:t xml:space="preserve">As noted in section </w:t>
      </w:r>
      <w:r w:rsidR="00CF6782" w:rsidRPr="002E09AF">
        <w:rPr>
          <w:rFonts w:cs="Arial"/>
          <w:bCs/>
          <w:sz w:val="22"/>
          <w:szCs w:val="22"/>
          <w:lang w:eastAsia="ja-JP"/>
        </w:rPr>
        <w:t xml:space="preserve">1k) above, the product currently in use in NHS Scotland most likely to be displaced in current clinical practice by the introduction of tedizolid phosphate is linezolid. The efficacy, safety and tolerability of tedizolid phosphate compared to linezolid </w:t>
      </w:r>
      <w:r w:rsidR="00335FE5" w:rsidRPr="002E09AF">
        <w:rPr>
          <w:rFonts w:cs="Arial"/>
          <w:bCs/>
          <w:sz w:val="22"/>
          <w:szCs w:val="22"/>
          <w:lang w:eastAsia="ja-JP"/>
        </w:rPr>
        <w:t xml:space="preserve">in patients with ABSSSI </w:t>
      </w:r>
      <w:r w:rsidR="00CF6782" w:rsidRPr="002E09AF">
        <w:rPr>
          <w:rFonts w:cs="Arial"/>
          <w:bCs/>
          <w:sz w:val="22"/>
          <w:szCs w:val="22"/>
          <w:lang w:eastAsia="ja-JP"/>
        </w:rPr>
        <w:t xml:space="preserve">has been </w:t>
      </w:r>
      <w:r w:rsidR="00335FE5" w:rsidRPr="002E09AF">
        <w:rPr>
          <w:rFonts w:cs="Arial"/>
          <w:bCs/>
          <w:sz w:val="22"/>
          <w:szCs w:val="22"/>
          <w:lang w:eastAsia="ja-JP"/>
        </w:rPr>
        <w:t xml:space="preserve">investigated </w:t>
      </w:r>
      <w:r w:rsidR="00CF6782" w:rsidRPr="002E09AF">
        <w:rPr>
          <w:rFonts w:cs="Arial"/>
          <w:bCs/>
          <w:sz w:val="22"/>
          <w:szCs w:val="22"/>
          <w:lang w:eastAsia="ja-JP"/>
        </w:rPr>
        <w:t>in two phase 3, randomised, double-blind non-inferiority studies</w:t>
      </w:r>
      <w:r w:rsidR="00A2439C" w:rsidRPr="002E09AF">
        <w:rPr>
          <w:rFonts w:cs="Arial"/>
          <w:bCs/>
          <w:sz w:val="22"/>
          <w:szCs w:val="22"/>
          <w:lang w:eastAsia="ja-JP"/>
        </w:rPr>
        <w:t>:</w:t>
      </w:r>
    </w:p>
    <w:p w14:paraId="180FCB30" w14:textId="406D087B" w:rsidR="00335FE5" w:rsidRPr="002E09AF" w:rsidRDefault="00335FE5" w:rsidP="00A321DC">
      <w:pPr>
        <w:pStyle w:val="ListBullet-H41"/>
        <w:jc w:val="left"/>
        <w:rPr>
          <w:rFonts w:ascii="Arial" w:hAnsi="Arial"/>
          <w:sz w:val="22"/>
          <w:szCs w:val="22"/>
          <w:lang w:val="en-US"/>
        </w:rPr>
      </w:pPr>
      <w:r w:rsidRPr="002E09AF">
        <w:rPr>
          <w:rFonts w:ascii="Arial" w:hAnsi="Arial"/>
          <w:b/>
          <w:sz w:val="22"/>
          <w:szCs w:val="22"/>
          <w:lang w:val="en-US"/>
        </w:rPr>
        <w:t>ESTABLISH-1</w:t>
      </w:r>
      <w:r w:rsidRPr="002E09AF">
        <w:rPr>
          <w:rFonts w:ascii="Arial" w:hAnsi="Arial"/>
          <w:sz w:val="22"/>
          <w:szCs w:val="22"/>
          <w:lang w:val="en-US"/>
        </w:rPr>
        <w:t xml:space="preserve"> </w:t>
      </w:r>
      <w:r w:rsidRPr="002E09AF">
        <w:rPr>
          <w:rFonts w:ascii="Arial" w:hAnsi="Arial" w:cs="Arial"/>
          <w:sz w:val="22"/>
          <w:szCs w:val="22"/>
          <w:lang w:eastAsia="ja-JP"/>
        </w:rPr>
        <w:t xml:space="preserve">(clinicaltrials.gov Identifier: NCT01170221) </w:t>
      </w:r>
      <w:r w:rsidR="006C5A48" w:rsidRPr="002E09AF">
        <w:rPr>
          <w:rFonts w:ascii="Arial" w:hAnsi="Arial"/>
          <w:sz w:val="22"/>
          <w:szCs w:val="22"/>
          <w:lang w:val="en-US"/>
        </w:rPr>
        <w:t>was a double-blind, randomis</w:t>
      </w:r>
      <w:r w:rsidRPr="002E09AF">
        <w:rPr>
          <w:rFonts w:ascii="Arial" w:hAnsi="Arial"/>
          <w:sz w:val="22"/>
          <w:szCs w:val="22"/>
          <w:lang w:val="en-US"/>
        </w:rPr>
        <w:t>ed, double-dummy, non-inferiority trial comparing the efficacy and safety of 6-day oral tedizolid phosphate with 10-day oral linezolid in 667 patients with ABSSSI</w:t>
      </w:r>
      <w:r w:rsidR="00D43D9C">
        <w:rPr>
          <w:rFonts w:ascii="Arial" w:hAnsi="Arial"/>
          <w:sz w:val="22"/>
          <w:szCs w:val="22"/>
          <w:lang w:val="en-US"/>
        </w:rPr>
        <w:t xml:space="preserve"> (</w:t>
      </w:r>
      <w:r w:rsidR="00E31BF1">
        <w:rPr>
          <w:rFonts w:ascii="Arial" w:hAnsi="Arial"/>
          <w:sz w:val="22"/>
          <w:szCs w:val="22"/>
          <w:lang w:val="en-US"/>
        </w:rPr>
        <w:fldChar w:fldCharType="begin"/>
      </w:r>
      <w:r w:rsidR="00E31BF1">
        <w:rPr>
          <w:rFonts w:ascii="Arial" w:hAnsi="Arial"/>
          <w:sz w:val="22"/>
          <w:szCs w:val="22"/>
          <w:lang w:val="en-US"/>
        </w:rPr>
        <w:instrText xml:space="preserve"> REF _Ref284485242 \r \h </w:instrText>
      </w:r>
      <w:r w:rsidR="00E31BF1">
        <w:rPr>
          <w:rFonts w:ascii="Arial" w:hAnsi="Arial"/>
          <w:sz w:val="22"/>
          <w:szCs w:val="22"/>
          <w:lang w:val="en-US"/>
        </w:rPr>
      </w:r>
      <w:r w:rsidR="00E31BF1">
        <w:rPr>
          <w:rFonts w:ascii="Arial" w:hAnsi="Arial"/>
          <w:sz w:val="22"/>
          <w:szCs w:val="22"/>
          <w:lang w:val="en-US"/>
        </w:rPr>
        <w:fldChar w:fldCharType="separate"/>
      </w:r>
      <w:r w:rsidR="00151A1C">
        <w:rPr>
          <w:rFonts w:ascii="Arial" w:hAnsi="Arial"/>
          <w:sz w:val="22"/>
          <w:szCs w:val="22"/>
          <w:lang w:val="en-US"/>
        </w:rPr>
        <w:t>38</w:t>
      </w:r>
      <w:r w:rsidR="00E31BF1">
        <w:rPr>
          <w:rFonts w:ascii="Arial" w:hAnsi="Arial"/>
          <w:sz w:val="22"/>
          <w:szCs w:val="22"/>
          <w:lang w:val="en-US"/>
        </w:rPr>
        <w:fldChar w:fldCharType="end"/>
      </w:r>
      <w:r w:rsidR="00D43D9C">
        <w:rPr>
          <w:rFonts w:ascii="Arial" w:hAnsi="Arial"/>
          <w:sz w:val="22"/>
          <w:szCs w:val="22"/>
          <w:lang w:val="en-US"/>
        </w:rPr>
        <w:t>;</w:t>
      </w:r>
      <w:r w:rsidR="007571AA">
        <w:rPr>
          <w:rFonts w:ascii="Arial" w:hAnsi="Arial"/>
          <w:sz w:val="22"/>
          <w:szCs w:val="22"/>
          <w:lang w:val="en-US"/>
        </w:rPr>
        <w:fldChar w:fldCharType="begin"/>
      </w:r>
      <w:r w:rsidR="007571AA">
        <w:rPr>
          <w:rFonts w:ascii="Arial" w:hAnsi="Arial"/>
          <w:sz w:val="22"/>
          <w:szCs w:val="22"/>
          <w:lang w:val="en-US"/>
        </w:rPr>
        <w:instrText xml:space="preserve"> REF _Ref284171334 \r \h </w:instrText>
      </w:r>
      <w:r w:rsidR="007571AA">
        <w:rPr>
          <w:rFonts w:ascii="Arial" w:hAnsi="Arial"/>
          <w:sz w:val="22"/>
          <w:szCs w:val="22"/>
          <w:lang w:val="en-US"/>
        </w:rPr>
      </w:r>
      <w:r w:rsidR="007571AA">
        <w:rPr>
          <w:rFonts w:ascii="Arial" w:hAnsi="Arial"/>
          <w:sz w:val="22"/>
          <w:szCs w:val="22"/>
          <w:lang w:val="en-US"/>
        </w:rPr>
        <w:fldChar w:fldCharType="separate"/>
      </w:r>
      <w:r w:rsidR="00151A1C">
        <w:rPr>
          <w:rFonts w:ascii="Arial" w:hAnsi="Arial"/>
          <w:sz w:val="22"/>
          <w:szCs w:val="22"/>
          <w:lang w:val="en-US"/>
        </w:rPr>
        <w:t>41</w:t>
      </w:r>
      <w:r w:rsidR="007571AA">
        <w:rPr>
          <w:rFonts w:ascii="Arial" w:hAnsi="Arial"/>
          <w:sz w:val="22"/>
          <w:szCs w:val="22"/>
          <w:lang w:val="en-US"/>
        </w:rPr>
        <w:fldChar w:fldCharType="end"/>
      </w:r>
      <w:r w:rsidR="00D43D9C">
        <w:rPr>
          <w:rFonts w:ascii="Arial" w:hAnsi="Arial"/>
          <w:sz w:val="22"/>
          <w:szCs w:val="22"/>
          <w:lang w:val="en-US"/>
        </w:rPr>
        <w:t>).</w:t>
      </w:r>
    </w:p>
    <w:p w14:paraId="30F2A27E" w14:textId="0DBBE94F" w:rsidR="00335FE5" w:rsidRPr="002E09AF" w:rsidRDefault="00335FE5" w:rsidP="00A321DC">
      <w:pPr>
        <w:pStyle w:val="ListBullet-H41"/>
        <w:jc w:val="left"/>
        <w:rPr>
          <w:rFonts w:ascii="Arial" w:hAnsi="Arial"/>
          <w:sz w:val="22"/>
          <w:szCs w:val="22"/>
          <w:lang w:val="en-US"/>
        </w:rPr>
      </w:pPr>
      <w:r w:rsidRPr="002E09AF">
        <w:rPr>
          <w:rFonts w:ascii="Arial" w:hAnsi="Arial"/>
          <w:b/>
          <w:sz w:val="22"/>
          <w:szCs w:val="22"/>
          <w:lang w:val="en-US"/>
        </w:rPr>
        <w:t>ESTABLISH-2</w:t>
      </w:r>
      <w:r w:rsidRPr="002E09AF">
        <w:rPr>
          <w:rFonts w:ascii="Arial" w:hAnsi="Arial"/>
          <w:sz w:val="22"/>
          <w:szCs w:val="22"/>
          <w:lang w:val="en-US"/>
        </w:rPr>
        <w:t xml:space="preserve"> </w:t>
      </w:r>
      <w:r w:rsidRPr="00A321DC">
        <w:rPr>
          <w:rFonts w:ascii="Arial" w:hAnsi="Arial"/>
          <w:sz w:val="22"/>
          <w:szCs w:val="22"/>
          <w:lang w:val="en-US"/>
        </w:rPr>
        <w:t>(</w:t>
      </w:r>
      <w:r w:rsidR="00A321DC" w:rsidRPr="00A321DC">
        <w:rPr>
          <w:rFonts w:ascii="Arial" w:hAnsi="Arial"/>
          <w:sz w:val="22"/>
          <w:szCs w:val="22"/>
          <w:lang w:val="en-US"/>
        </w:rPr>
        <w:t>clinicaltrials.gov Identifier: NCT014221511</w:t>
      </w:r>
      <w:r w:rsidRPr="00A321DC">
        <w:rPr>
          <w:rFonts w:ascii="Arial" w:hAnsi="Arial"/>
          <w:sz w:val="22"/>
          <w:szCs w:val="22"/>
          <w:lang w:val="en-US"/>
        </w:rPr>
        <w:t>)</w:t>
      </w:r>
      <w:r w:rsidR="006C5A48" w:rsidRPr="002E09AF">
        <w:rPr>
          <w:rFonts w:ascii="Arial" w:hAnsi="Arial"/>
          <w:sz w:val="22"/>
          <w:szCs w:val="22"/>
          <w:lang w:val="en-US"/>
        </w:rPr>
        <w:t xml:space="preserve"> was a double-blind, randomis</w:t>
      </w:r>
      <w:r w:rsidRPr="002E09AF">
        <w:rPr>
          <w:rFonts w:ascii="Arial" w:hAnsi="Arial"/>
          <w:sz w:val="22"/>
          <w:szCs w:val="22"/>
          <w:lang w:val="en-US"/>
        </w:rPr>
        <w:t>ed, double-dummy, non-inferiority trial comparing the efficacy and safety of 6-day IV-to-oral tedizolid phosphate with 10-day IV-to-oral linezolid in 666 patients with ABSSSI</w:t>
      </w:r>
      <w:r w:rsidR="00D43D9C">
        <w:rPr>
          <w:rFonts w:ascii="Arial" w:hAnsi="Arial"/>
          <w:sz w:val="22"/>
          <w:szCs w:val="22"/>
          <w:lang w:val="en-US"/>
        </w:rPr>
        <w:t xml:space="preserve"> (</w:t>
      </w:r>
      <w:r w:rsidR="007571AA">
        <w:rPr>
          <w:rFonts w:ascii="Arial" w:hAnsi="Arial"/>
          <w:sz w:val="22"/>
          <w:szCs w:val="22"/>
          <w:lang w:val="en-US"/>
        </w:rPr>
        <w:fldChar w:fldCharType="begin"/>
      </w:r>
      <w:r w:rsidR="007571AA">
        <w:rPr>
          <w:rFonts w:ascii="Arial" w:hAnsi="Arial"/>
          <w:sz w:val="22"/>
          <w:szCs w:val="22"/>
          <w:lang w:val="en-US"/>
        </w:rPr>
        <w:instrText xml:space="preserve"> REF _Ref284170919 \r \h </w:instrText>
      </w:r>
      <w:r w:rsidR="007571AA">
        <w:rPr>
          <w:rFonts w:ascii="Arial" w:hAnsi="Arial"/>
          <w:sz w:val="22"/>
          <w:szCs w:val="22"/>
          <w:lang w:val="en-US"/>
        </w:rPr>
      </w:r>
      <w:r w:rsidR="007571AA">
        <w:rPr>
          <w:rFonts w:ascii="Arial" w:hAnsi="Arial"/>
          <w:sz w:val="22"/>
          <w:szCs w:val="22"/>
          <w:lang w:val="en-US"/>
        </w:rPr>
        <w:fldChar w:fldCharType="separate"/>
      </w:r>
      <w:r w:rsidR="00151A1C">
        <w:rPr>
          <w:rFonts w:ascii="Arial" w:hAnsi="Arial"/>
          <w:sz w:val="22"/>
          <w:szCs w:val="22"/>
          <w:lang w:val="en-US"/>
        </w:rPr>
        <w:t>40</w:t>
      </w:r>
      <w:r w:rsidR="007571AA">
        <w:rPr>
          <w:rFonts w:ascii="Arial" w:hAnsi="Arial"/>
          <w:sz w:val="22"/>
          <w:szCs w:val="22"/>
          <w:lang w:val="en-US"/>
        </w:rPr>
        <w:fldChar w:fldCharType="end"/>
      </w:r>
      <w:r w:rsidR="00D43D9C">
        <w:rPr>
          <w:rFonts w:ascii="Arial" w:hAnsi="Arial"/>
          <w:sz w:val="22"/>
          <w:szCs w:val="22"/>
          <w:lang w:val="en-US"/>
        </w:rPr>
        <w:t>;</w:t>
      </w:r>
      <w:r w:rsidR="007571AA">
        <w:rPr>
          <w:rFonts w:ascii="Arial" w:hAnsi="Arial"/>
          <w:sz w:val="22"/>
          <w:szCs w:val="22"/>
          <w:lang w:val="en-US"/>
        </w:rPr>
        <w:fldChar w:fldCharType="begin"/>
      </w:r>
      <w:r w:rsidR="007571AA">
        <w:rPr>
          <w:rFonts w:ascii="Arial" w:hAnsi="Arial"/>
          <w:sz w:val="22"/>
          <w:szCs w:val="22"/>
          <w:lang w:val="en-US"/>
        </w:rPr>
        <w:instrText xml:space="preserve"> REF _Ref284171394 \r \h </w:instrText>
      </w:r>
      <w:r w:rsidR="007571AA">
        <w:rPr>
          <w:rFonts w:ascii="Arial" w:hAnsi="Arial"/>
          <w:sz w:val="22"/>
          <w:szCs w:val="22"/>
          <w:lang w:val="en-US"/>
        </w:rPr>
      </w:r>
      <w:r w:rsidR="007571AA">
        <w:rPr>
          <w:rFonts w:ascii="Arial" w:hAnsi="Arial"/>
          <w:sz w:val="22"/>
          <w:szCs w:val="22"/>
          <w:lang w:val="en-US"/>
        </w:rPr>
        <w:fldChar w:fldCharType="separate"/>
      </w:r>
      <w:r w:rsidR="00151A1C">
        <w:rPr>
          <w:rFonts w:ascii="Arial" w:hAnsi="Arial"/>
          <w:sz w:val="22"/>
          <w:szCs w:val="22"/>
          <w:lang w:val="en-US"/>
        </w:rPr>
        <w:t>42</w:t>
      </w:r>
      <w:r w:rsidR="007571AA">
        <w:rPr>
          <w:rFonts w:ascii="Arial" w:hAnsi="Arial"/>
          <w:sz w:val="22"/>
          <w:szCs w:val="22"/>
          <w:lang w:val="en-US"/>
        </w:rPr>
        <w:fldChar w:fldCharType="end"/>
      </w:r>
      <w:r w:rsidR="00D43D9C">
        <w:rPr>
          <w:rFonts w:ascii="Arial" w:hAnsi="Arial"/>
          <w:sz w:val="22"/>
          <w:szCs w:val="22"/>
          <w:lang w:val="en-US"/>
        </w:rPr>
        <w:t>).</w:t>
      </w:r>
    </w:p>
    <w:p w14:paraId="2C1A355E" w14:textId="5491610E" w:rsidR="00516F8F" w:rsidRPr="003963F8" w:rsidRDefault="00516F8F" w:rsidP="003963F8">
      <w:pPr>
        <w:pStyle w:val="CM28"/>
        <w:spacing w:after="277"/>
        <w:ind w:right="260"/>
        <w:rPr>
          <w:rFonts w:ascii="Arial" w:hAnsi="Arial" w:cs="Arial"/>
          <w:color w:val="000000"/>
          <w:sz w:val="22"/>
          <w:szCs w:val="22"/>
        </w:rPr>
      </w:pPr>
      <w:r w:rsidRPr="003963F8">
        <w:rPr>
          <w:rFonts w:ascii="Arial" w:hAnsi="Arial" w:cs="Arial"/>
          <w:sz w:val="22"/>
          <w:szCs w:val="22"/>
        </w:rPr>
        <w:t>The ESTABLISH-1 and ESTABLISH-2 trials employed a non-inferiority clinical trial design in accordance with 2010 FDA guidance regarding the use of non-inferiority trials to support product approval in antibacterial clinical efficacy evaluations (</w:t>
      </w:r>
      <w:r w:rsidR="007571AA">
        <w:rPr>
          <w:rFonts w:ascii="Arial" w:hAnsi="Arial" w:cs="Arial"/>
          <w:sz w:val="22"/>
          <w:szCs w:val="22"/>
        </w:rPr>
        <w:fldChar w:fldCharType="begin"/>
      </w:r>
      <w:r w:rsidR="007571AA">
        <w:rPr>
          <w:rFonts w:ascii="Arial" w:hAnsi="Arial" w:cs="Arial"/>
          <w:sz w:val="22"/>
          <w:szCs w:val="22"/>
        </w:rPr>
        <w:instrText xml:space="preserve"> REF _Ref284168910 \r \h </w:instrText>
      </w:r>
      <w:r w:rsidR="007571AA">
        <w:rPr>
          <w:rFonts w:ascii="Arial" w:hAnsi="Arial" w:cs="Arial"/>
          <w:sz w:val="22"/>
          <w:szCs w:val="22"/>
        </w:rPr>
      </w:r>
      <w:r w:rsidR="007571AA">
        <w:rPr>
          <w:rFonts w:ascii="Arial" w:hAnsi="Arial" w:cs="Arial"/>
          <w:sz w:val="22"/>
          <w:szCs w:val="22"/>
        </w:rPr>
        <w:fldChar w:fldCharType="separate"/>
      </w:r>
      <w:r w:rsidR="00151A1C">
        <w:rPr>
          <w:rFonts w:ascii="Arial" w:hAnsi="Arial" w:cs="Arial"/>
          <w:sz w:val="22"/>
          <w:szCs w:val="22"/>
        </w:rPr>
        <w:t>8</w:t>
      </w:r>
      <w:r w:rsidR="007571AA">
        <w:rPr>
          <w:rFonts w:ascii="Arial" w:hAnsi="Arial" w:cs="Arial"/>
          <w:sz w:val="22"/>
          <w:szCs w:val="22"/>
        </w:rPr>
        <w:fldChar w:fldCharType="end"/>
      </w:r>
      <w:r w:rsidRPr="003963F8">
        <w:rPr>
          <w:rFonts w:ascii="Arial" w:hAnsi="Arial" w:cs="Arial"/>
          <w:sz w:val="22"/>
          <w:szCs w:val="22"/>
        </w:rPr>
        <w:t xml:space="preserve">). </w:t>
      </w:r>
      <w:r w:rsidR="003963F8" w:rsidRPr="003963F8">
        <w:rPr>
          <w:rFonts w:ascii="Arial" w:hAnsi="Arial" w:cs="Arial"/>
          <w:sz w:val="22"/>
          <w:szCs w:val="22"/>
        </w:rPr>
        <w:t xml:space="preserve">According to FDA guidance, </w:t>
      </w:r>
      <w:r w:rsidR="00D70B1C">
        <w:rPr>
          <w:rFonts w:ascii="Arial" w:hAnsi="Arial" w:cs="Arial"/>
          <w:color w:val="000000"/>
          <w:sz w:val="22"/>
          <w:szCs w:val="22"/>
        </w:rPr>
        <w:t>non-inferiority</w:t>
      </w:r>
      <w:r w:rsidR="003963F8" w:rsidRPr="003963F8">
        <w:rPr>
          <w:rFonts w:ascii="Arial" w:hAnsi="Arial" w:cs="Arial"/>
          <w:color w:val="000000"/>
          <w:sz w:val="22"/>
          <w:szCs w:val="22"/>
        </w:rPr>
        <w:t xml:space="preserve"> trials are interpretable and acceptable to support approval of a </w:t>
      </w:r>
      <w:r w:rsidR="001B0687">
        <w:rPr>
          <w:rFonts w:ascii="Arial" w:hAnsi="Arial" w:cs="Arial"/>
          <w:color w:val="000000"/>
          <w:sz w:val="22"/>
          <w:szCs w:val="22"/>
        </w:rPr>
        <w:t xml:space="preserve">medicine </w:t>
      </w:r>
      <w:r w:rsidR="003963F8" w:rsidRPr="003963F8">
        <w:rPr>
          <w:rFonts w:ascii="Arial" w:hAnsi="Arial" w:cs="Arial"/>
          <w:color w:val="000000"/>
          <w:sz w:val="22"/>
          <w:szCs w:val="22"/>
        </w:rPr>
        <w:t xml:space="preserve">for an indication of the treatment of ABSSSI. Moreover, if </w:t>
      </w:r>
      <w:r w:rsidR="003963F8" w:rsidRPr="003963F8">
        <w:rPr>
          <w:rFonts w:ascii="Arial" w:hAnsi="Arial" w:cs="Arial"/>
          <w:color w:val="000000"/>
          <w:sz w:val="22"/>
          <w:szCs w:val="22"/>
        </w:rPr>
        <w:lastRenderedPageBreak/>
        <w:t xml:space="preserve">treatment of ABSSSI is the sole indication for which the </w:t>
      </w:r>
      <w:r w:rsidR="001B0687">
        <w:rPr>
          <w:rFonts w:ascii="Arial" w:hAnsi="Arial" w:cs="Arial"/>
          <w:color w:val="000000"/>
          <w:sz w:val="22"/>
          <w:szCs w:val="22"/>
        </w:rPr>
        <w:t>medicine</w:t>
      </w:r>
      <w:r w:rsidR="003963F8" w:rsidRPr="003963F8">
        <w:rPr>
          <w:rFonts w:ascii="Arial" w:hAnsi="Arial" w:cs="Arial"/>
          <w:color w:val="000000"/>
          <w:sz w:val="22"/>
          <w:szCs w:val="22"/>
        </w:rPr>
        <w:t xml:space="preserve"> has been, or is being, developed, then two adequate and well-controlled trials are generally recommended to provide evidence of effectiveness (</w:t>
      </w:r>
      <w:r w:rsidR="007571AA">
        <w:rPr>
          <w:rFonts w:ascii="Arial" w:hAnsi="Arial" w:cs="Arial"/>
          <w:color w:val="000000"/>
          <w:sz w:val="22"/>
          <w:szCs w:val="22"/>
        </w:rPr>
        <w:fldChar w:fldCharType="begin"/>
      </w:r>
      <w:r w:rsidR="007571AA">
        <w:rPr>
          <w:rFonts w:ascii="Arial" w:hAnsi="Arial" w:cs="Arial"/>
          <w:color w:val="000000"/>
          <w:sz w:val="22"/>
          <w:szCs w:val="22"/>
        </w:rPr>
        <w:instrText xml:space="preserve"> REF _Ref284168857 \r \h </w:instrText>
      </w:r>
      <w:r w:rsidR="007571AA">
        <w:rPr>
          <w:rFonts w:ascii="Arial" w:hAnsi="Arial" w:cs="Arial"/>
          <w:color w:val="000000"/>
          <w:sz w:val="22"/>
          <w:szCs w:val="22"/>
        </w:rPr>
      </w:r>
      <w:r w:rsidR="007571AA">
        <w:rPr>
          <w:rFonts w:ascii="Arial" w:hAnsi="Arial" w:cs="Arial"/>
          <w:color w:val="000000"/>
          <w:sz w:val="22"/>
          <w:szCs w:val="22"/>
        </w:rPr>
        <w:fldChar w:fldCharType="separate"/>
      </w:r>
      <w:r w:rsidR="00151A1C">
        <w:rPr>
          <w:rFonts w:ascii="Arial" w:hAnsi="Arial" w:cs="Arial"/>
          <w:color w:val="000000"/>
          <w:sz w:val="22"/>
          <w:szCs w:val="22"/>
        </w:rPr>
        <w:t>7</w:t>
      </w:r>
      <w:r w:rsidR="007571AA">
        <w:rPr>
          <w:rFonts w:ascii="Arial" w:hAnsi="Arial" w:cs="Arial"/>
          <w:color w:val="000000"/>
          <w:sz w:val="22"/>
          <w:szCs w:val="22"/>
        </w:rPr>
        <w:fldChar w:fldCharType="end"/>
      </w:r>
      <w:r w:rsidR="003963F8" w:rsidRPr="003963F8">
        <w:rPr>
          <w:rFonts w:ascii="Arial" w:hAnsi="Arial" w:cs="Arial"/>
          <w:color w:val="000000"/>
          <w:sz w:val="22"/>
          <w:szCs w:val="22"/>
        </w:rPr>
        <w:t>).</w:t>
      </w:r>
      <w:r w:rsidR="003963F8">
        <w:rPr>
          <w:rFonts w:ascii="Arial" w:hAnsi="Arial" w:cs="Arial"/>
          <w:color w:val="000000"/>
          <w:sz w:val="22"/>
          <w:szCs w:val="22"/>
        </w:rPr>
        <w:t xml:space="preserve"> </w:t>
      </w:r>
      <w:r w:rsidRPr="003963F8">
        <w:rPr>
          <w:rFonts w:ascii="Arial" w:hAnsi="Arial" w:cs="Arial"/>
          <w:sz w:val="22"/>
          <w:szCs w:val="22"/>
        </w:rPr>
        <w:t>Both ESTABLISH-1 and ESTABLISH-2 used a 10% non-inferiority margin compared with linezolid; the protocols for both studies were granted FDA Special Protocol Assessment.</w:t>
      </w:r>
      <w:r w:rsidR="003963F8">
        <w:rPr>
          <w:rFonts w:ascii="Arial" w:hAnsi="Arial" w:cs="Arial"/>
          <w:sz w:val="22"/>
          <w:szCs w:val="22"/>
        </w:rPr>
        <w:t xml:space="preserve"> A showing of superiority is not considered</w:t>
      </w:r>
      <w:r w:rsidR="00B3267B">
        <w:rPr>
          <w:rFonts w:ascii="Arial" w:hAnsi="Arial" w:cs="Arial"/>
          <w:sz w:val="22"/>
          <w:szCs w:val="22"/>
        </w:rPr>
        <w:t xml:space="preserve"> ethical given the availability</w:t>
      </w:r>
      <w:r w:rsidR="003963F8">
        <w:rPr>
          <w:rFonts w:ascii="Arial" w:hAnsi="Arial" w:cs="Arial"/>
          <w:sz w:val="22"/>
          <w:szCs w:val="22"/>
        </w:rPr>
        <w:t xml:space="preserve"> of </w:t>
      </w:r>
      <w:r w:rsidR="00B3267B">
        <w:rPr>
          <w:rFonts w:ascii="Arial" w:hAnsi="Arial" w:cs="Arial"/>
          <w:sz w:val="22"/>
          <w:szCs w:val="22"/>
        </w:rPr>
        <w:t>other licensed treatments.</w:t>
      </w:r>
      <w:r w:rsidR="003963F8">
        <w:rPr>
          <w:rFonts w:ascii="Arial" w:hAnsi="Arial" w:cs="Arial"/>
          <w:sz w:val="22"/>
          <w:szCs w:val="22"/>
        </w:rPr>
        <w:t xml:space="preserve"> </w:t>
      </w:r>
    </w:p>
    <w:p w14:paraId="123CD6A4" w14:textId="25A78612" w:rsidR="00E870E5" w:rsidRDefault="00E870E5" w:rsidP="00E870E5">
      <w:pPr>
        <w:widowControl w:val="0"/>
        <w:autoSpaceDE w:val="0"/>
        <w:autoSpaceDN w:val="0"/>
        <w:adjustRightInd w:val="0"/>
        <w:rPr>
          <w:color w:val="000000"/>
          <w:sz w:val="22"/>
          <w:szCs w:val="22"/>
        </w:rPr>
      </w:pPr>
      <w:r w:rsidRPr="00A15486">
        <w:rPr>
          <w:color w:val="000000"/>
          <w:sz w:val="22"/>
          <w:szCs w:val="22"/>
        </w:rPr>
        <w:t>The EMA guidance on the evaluation of medicinal products in bacterial infections (</w:t>
      </w:r>
      <w:r w:rsidR="007571AA">
        <w:rPr>
          <w:color w:val="000000"/>
          <w:sz w:val="22"/>
          <w:szCs w:val="22"/>
        </w:rPr>
        <w:fldChar w:fldCharType="begin"/>
      </w:r>
      <w:r w:rsidR="007571AA">
        <w:rPr>
          <w:color w:val="000000"/>
          <w:sz w:val="22"/>
          <w:szCs w:val="22"/>
        </w:rPr>
        <w:instrText xml:space="preserve"> REF _Ref284171496 \r \h </w:instrText>
      </w:r>
      <w:r w:rsidR="007571AA">
        <w:rPr>
          <w:color w:val="000000"/>
          <w:sz w:val="22"/>
          <w:szCs w:val="22"/>
        </w:rPr>
      </w:r>
      <w:r w:rsidR="007571AA">
        <w:rPr>
          <w:color w:val="000000"/>
          <w:sz w:val="22"/>
          <w:szCs w:val="22"/>
        </w:rPr>
        <w:fldChar w:fldCharType="separate"/>
      </w:r>
      <w:r w:rsidR="00151A1C">
        <w:rPr>
          <w:color w:val="000000"/>
          <w:sz w:val="22"/>
          <w:szCs w:val="22"/>
        </w:rPr>
        <w:t>42</w:t>
      </w:r>
      <w:r w:rsidR="007571AA">
        <w:rPr>
          <w:color w:val="000000"/>
          <w:sz w:val="22"/>
          <w:szCs w:val="22"/>
        </w:rPr>
        <w:fldChar w:fldCharType="end"/>
      </w:r>
      <w:r w:rsidRPr="00A15486">
        <w:rPr>
          <w:color w:val="000000"/>
          <w:sz w:val="22"/>
          <w:szCs w:val="22"/>
        </w:rPr>
        <w:t>) recommends the use of investigator assessments of clinical response at post</w:t>
      </w:r>
      <w:r w:rsidR="00634FC3">
        <w:rPr>
          <w:color w:val="000000"/>
          <w:sz w:val="22"/>
          <w:szCs w:val="22"/>
        </w:rPr>
        <w:t>-</w:t>
      </w:r>
      <w:r w:rsidRPr="0016350B">
        <w:rPr>
          <w:color w:val="000000"/>
          <w:sz w:val="22"/>
          <w:szCs w:val="22"/>
        </w:rPr>
        <w:t>treatment evaluations (also known as ‘Test of Cure’) as the primary endpoint. By contrast, the FDA draft guidelines (</w:t>
      </w:r>
      <w:r w:rsidR="005634E4">
        <w:rPr>
          <w:color w:val="000000"/>
          <w:sz w:val="22"/>
          <w:szCs w:val="22"/>
        </w:rPr>
        <w:fldChar w:fldCharType="begin"/>
      </w:r>
      <w:r w:rsidR="005634E4">
        <w:rPr>
          <w:color w:val="000000"/>
          <w:sz w:val="22"/>
          <w:szCs w:val="22"/>
        </w:rPr>
        <w:instrText xml:space="preserve"> REF _Ref284168857 \r \h </w:instrText>
      </w:r>
      <w:r w:rsidR="005634E4">
        <w:rPr>
          <w:color w:val="000000"/>
          <w:sz w:val="22"/>
          <w:szCs w:val="22"/>
        </w:rPr>
      </w:r>
      <w:r w:rsidR="005634E4">
        <w:rPr>
          <w:color w:val="000000"/>
          <w:sz w:val="22"/>
          <w:szCs w:val="22"/>
        </w:rPr>
        <w:fldChar w:fldCharType="separate"/>
      </w:r>
      <w:r w:rsidR="00151A1C">
        <w:rPr>
          <w:color w:val="000000"/>
          <w:sz w:val="22"/>
          <w:szCs w:val="22"/>
        </w:rPr>
        <w:t>7</w:t>
      </w:r>
      <w:r w:rsidR="005634E4">
        <w:rPr>
          <w:color w:val="000000"/>
          <w:sz w:val="22"/>
          <w:szCs w:val="22"/>
        </w:rPr>
        <w:fldChar w:fldCharType="end"/>
      </w:r>
      <w:r w:rsidRPr="0016350B">
        <w:rPr>
          <w:color w:val="000000"/>
          <w:sz w:val="22"/>
          <w:szCs w:val="22"/>
        </w:rPr>
        <w:t>) recommend early clinical response assessments (48-72 hours on treatment) for the primary analysis of efficacy. Given this background, the manufacturer designed the Phase 3 studies of tedizolid phosphate to collect data supporting marketing authorisation in both regions, as suggested in December 2011 CHMP guidance (</w:t>
      </w:r>
      <w:r w:rsidR="007571AA">
        <w:rPr>
          <w:color w:val="000000"/>
          <w:sz w:val="22"/>
          <w:szCs w:val="22"/>
        </w:rPr>
        <w:fldChar w:fldCharType="begin"/>
      </w:r>
      <w:r w:rsidR="007571AA">
        <w:rPr>
          <w:color w:val="000000"/>
          <w:sz w:val="22"/>
          <w:szCs w:val="22"/>
        </w:rPr>
        <w:instrText xml:space="preserve"> REF _Ref284171522 \r \h </w:instrText>
      </w:r>
      <w:r w:rsidR="007571AA">
        <w:rPr>
          <w:color w:val="000000"/>
          <w:sz w:val="22"/>
          <w:szCs w:val="22"/>
        </w:rPr>
      </w:r>
      <w:r w:rsidR="007571AA">
        <w:rPr>
          <w:color w:val="000000"/>
          <w:sz w:val="22"/>
          <w:szCs w:val="22"/>
        </w:rPr>
        <w:fldChar w:fldCharType="separate"/>
      </w:r>
      <w:r w:rsidR="00151A1C">
        <w:rPr>
          <w:color w:val="000000"/>
          <w:sz w:val="22"/>
          <w:szCs w:val="22"/>
        </w:rPr>
        <w:t>44</w:t>
      </w:r>
      <w:r w:rsidR="007571AA">
        <w:rPr>
          <w:color w:val="000000"/>
          <w:sz w:val="22"/>
          <w:szCs w:val="22"/>
        </w:rPr>
        <w:fldChar w:fldCharType="end"/>
      </w:r>
      <w:r w:rsidRPr="0016350B">
        <w:rPr>
          <w:color w:val="000000"/>
          <w:sz w:val="22"/>
          <w:szCs w:val="22"/>
        </w:rPr>
        <w:t>).</w:t>
      </w:r>
    </w:p>
    <w:p w14:paraId="4302FB77" w14:textId="77777777" w:rsidR="00E870E5" w:rsidRPr="0016350B" w:rsidRDefault="00E870E5" w:rsidP="00E870E5">
      <w:pPr>
        <w:widowControl w:val="0"/>
        <w:autoSpaceDE w:val="0"/>
        <w:autoSpaceDN w:val="0"/>
        <w:adjustRightInd w:val="0"/>
        <w:rPr>
          <w:color w:val="000000"/>
          <w:sz w:val="22"/>
          <w:szCs w:val="22"/>
        </w:rPr>
      </w:pPr>
    </w:p>
    <w:p w14:paraId="15B725AE" w14:textId="2B831FCB" w:rsidR="00335FE5" w:rsidRPr="002E09AF" w:rsidRDefault="00335FE5" w:rsidP="002A58AA">
      <w:pPr>
        <w:autoSpaceDE w:val="0"/>
        <w:autoSpaceDN w:val="0"/>
        <w:adjustRightInd w:val="0"/>
        <w:rPr>
          <w:rFonts w:cs="Arial"/>
          <w:b/>
          <w:bCs/>
          <w:sz w:val="22"/>
          <w:szCs w:val="22"/>
          <w:lang w:eastAsia="ja-JP"/>
        </w:rPr>
      </w:pPr>
      <w:r w:rsidRPr="002E09AF">
        <w:rPr>
          <w:sz w:val="22"/>
          <w:szCs w:val="22"/>
          <w:lang w:val="en-US"/>
        </w:rPr>
        <w:t xml:space="preserve">The inclusion criteria and exclusion criteria for the patients enrolled in ESTABLISH-1 and ESTABLISH-2 trials were </w:t>
      </w:r>
      <w:r w:rsidR="006C5A48" w:rsidRPr="002E09AF">
        <w:rPr>
          <w:sz w:val="22"/>
          <w:szCs w:val="22"/>
          <w:lang w:val="en-US"/>
        </w:rPr>
        <w:t xml:space="preserve">also </w:t>
      </w:r>
      <w:r w:rsidRPr="002E09AF">
        <w:rPr>
          <w:sz w:val="22"/>
          <w:szCs w:val="22"/>
          <w:lang w:val="en-US"/>
        </w:rPr>
        <w:t>in accordance with the FDA-developed guidance in ABSSSI</w:t>
      </w:r>
      <w:r w:rsidR="007116A0">
        <w:rPr>
          <w:sz w:val="22"/>
          <w:szCs w:val="22"/>
          <w:lang w:val="en-US"/>
        </w:rPr>
        <w:t>(</w:t>
      </w:r>
      <w:r w:rsidR="007571AA">
        <w:rPr>
          <w:sz w:val="22"/>
          <w:szCs w:val="22"/>
          <w:lang w:val="en-US"/>
        </w:rPr>
        <w:fldChar w:fldCharType="begin"/>
      </w:r>
      <w:r w:rsidR="007571AA">
        <w:rPr>
          <w:sz w:val="22"/>
          <w:szCs w:val="22"/>
          <w:lang w:val="en-US"/>
        </w:rPr>
        <w:instrText xml:space="preserve"> REF _Ref284168910 \r \h </w:instrText>
      </w:r>
      <w:r w:rsidR="007571AA">
        <w:rPr>
          <w:sz w:val="22"/>
          <w:szCs w:val="22"/>
          <w:lang w:val="en-US"/>
        </w:rPr>
      </w:r>
      <w:r w:rsidR="007571AA">
        <w:rPr>
          <w:sz w:val="22"/>
          <w:szCs w:val="22"/>
          <w:lang w:val="en-US"/>
        </w:rPr>
        <w:fldChar w:fldCharType="separate"/>
      </w:r>
      <w:r w:rsidR="00151A1C">
        <w:rPr>
          <w:sz w:val="22"/>
          <w:szCs w:val="22"/>
          <w:lang w:val="en-US"/>
        </w:rPr>
        <w:t>8</w:t>
      </w:r>
      <w:r w:rsidR="007571AA">
        <w:rPr>
          <w:sz w:val="22"/>
          <w:szCs w:val="22"/>
          <w:lang w:val="en-US"/>
        </w:rPr>
        <w:fldChar w:fldCharType="end"/>
      </w:r>
      <w:r w:rsidR="007116A0">
        <w:rPr>
          <w:sz w:val="22"/>
          <w:szCs w:val="22"/>
          <w:lang w:val="en-US"/>
        </w:rPr>
        <w:t>).</w:t>
      </w:r>
      <w:r w:rsidR="007116A0" w:rsidRPr="002E09AF">
        <w:rPr>
          <w:sz w:val="22"/>
          <w:szCs w:val="22"/>
          <w:lang w:val="en-US"/>
        </w:rPr>
        <w:t xml:space="preserve"> </w:t>
      </w:r>
      <w:r w:rsidR="006C5A48" w:rsidRPr="002E09AF">
        <w:rPr>
          <w:sz w:val="22"/>
          <w:szCs w:val="22"/>
          <w:lang w:val="en-US"/>
        </w:rPr>
        <w:t xml:space="preserve">Patients were eligible for enrolment if </w:t>
      </w:r>
      <w:r w:rsidR="002A58AA" w:rsidRPr="002E09AF">
        <w:rPr>
          <w:sz w:val="22"/>
          <w:szCs w:val="22"/>
          <w:lang w:val="en-US"/>
        </w:rPr>
        <w:t>they had cellulitis/erysipelas, major cutaneous abscess or a wound infection</w:t>
      </w:r>
      <w:r w:rsidR="006C5A48" w:rsidRPr="002E09AF">
        <w:rPr>
          <w:sz w:val="22"/>
          <w:szCs w:val="22"/>
          <w:lang w:val="en-US"/>
        </w:rPr>
        <w:t xml:space="preserve">. Patients with </w:t>
      </w:r>
      <w:r w:rsidR="002A58AA" w:rsidRPr="002E09AF">
        <w:rPr>
          <w:sz w:val="22"/>
          <w:szCs w:val="22"/>
          <w:lang w:val="en-US"/>
        </w:rPr>
        <w:t xml:space="preserve">chronic infection, or those with </w:t>
      </w:r>
      <w:r w:rsidR="006C5A48" w:rsidRPr="002E09AF">
        <w:rPr>
          <w:sz w:val="22"/>
          <w:szCs w:val="22"/>
          <w:lang w:val="en-US"/>
        </w:rPr>
        <w:t>severe or complicated</w:t>
      </w:r>
      <w:r w:rsidR="002A58AA" w:rsidRPr="002E09AF">
        <w:rPr>
          <w:sz w:val="22"/>
          <w:szCs w:val="22"/>
          <w:lang w:val="en-US"/>
        </w:rPr>
        <w:t xml:space="preserve"> infections (</w:t>
      </w:r>
      <w:r w:rsidRPr="002E09AF">
        <w:rPr>
          <w:sz w:val="22"/>
          <w:szCs w:val="22"/>
          <w:lang w:val="en-US"/>
        </w:rPr>
        <w:t>including patients with diabetic foot conditions, burns and decubitus or chronic skin ulcer, or ischemia</w:t>
      </w:r>
      <w:r w:rsidR="002A58AA" w:rsidRPr="002E09AF">
        <w:rPr>
          <w:sz w:val="22"/>
          <w:szCs w:val="22"/>
          <w:lang w:val="en-US"/>
        </w:rPr>
        <w:t>),</w:t>
      </w:r>
      <w:r w:rsidR="006C5A48" w:rsidRPr="002E09AF">
        <w:rPr>
          <w:sz w:val="22"/>
          <w:szCs w:val="22"/>
          <w:lang w:val="en-US"/>
        </w:rPr>
        <w:t xml:space="preserve"> were excluded from the studies</w:t>
      </w:r>
      <w:r w:rsidR="007C2905">
        <w:rPr>
          <w:sz w:val="22"/>
          <w:szCs w:val="22"/>
          <w:lang w:val="en-US"/>
        </w:rPr>
        <w:t xml:space="preserve">, as were those subjects taking a selective </w:t>
      </w:r>
      <w:r w:rsidR="00E870E5">
        <w:rPr>
          <w:sz w:val="22"/>
          <w:szCs w:val="22"/>
          <w:lang w:val="en-US"/>
        </w:rPr>
        <w:t xml:space="preserve">serotonin </w:t>
      </w:r>
      <w:r w:rsidR="007C2905">
        <w:rPr>
          <w:sz w:val="22"/>
          <w:szCs w:val="22"/>
          <w:lang w:val="en-US"/>
        </w:rPr>
        <w:t>reuptake inhibitor (SSRI)</w:t>
      </w:r>
      <w:r w:rsidR="00D758B4">
        <w:rPr>
          <w:sz w:val="22"/>
          <w:szCs w:val="22"/>
          <w:lang w:val="en-US"/>
        </w:rPr>
        <w:t xml:space="preserve"> (</w:t>
      </w:r>
      <w:r w:rsidR="0050068F">
        <w:rPr>
          <w:sz w:val="22"/>
          <w:szCs w:val="22"/>
          <w:lang w:val="en-US"/>
        </w:rPr>
        <w:fldChar w:fldCharType="begin"/>
      </w:r>
      <w:r w:rsidR="0050068F">
        <w:rPr>
          <w:sz w:val="22"/>
          <w:szCs w:val="22"/>
          <w:lang w:val="en-US"/>
        </w:rPr>
        <w:instrText xml:space="preserve"> REF _Ref284485242 \r \h </w:instrText>
      </w:r>
      <w:r w:rsidR="0050068F">
        <w:rPr>
          <w:sz w:val="22"/>
          <w:szCs w:val="22"/>
          <w:lang w:val="en-US"/>
        </w:rPr>
      </w:r>
      <w:r w:rsidR="0050068F">
        <w:rPr>
          <w:sz w:val="22"/>
          <w:szCs w:val="22"/>
          <w:lang w:val="en-US"/>
        </w:rPr>
        <w:fldChar w:fldCharType="separate"/>
      </w:r>
      <w:r w:rsidR="00151A1C">
        <w:rPr>
          <w:sz w:val="22"/>
          <w:szCs w:val="22"/>
          <w:lang w:val="en-US"/>
        </w:rPr>
        <w:t>38</w:t>
      </w:r>
      <w:r w:rsidR="0050068F">
        <w:rPr>
          <w:sz w:val="22"/>
          <w:szCs w:val="22"/>
          <w:lang w:val="en-US"/>
        </w:rPr>
        <w:fldChar w:fldCharType="end"/>
      </w:r>
      <w:r w:rsidR="00D758B4">
        <w:rPr>
          <w:sz w:val="22"/>
          <w:szCs w:val="22"/>
          <w:lang w:val="en-US"/>
        </w:rPr>
        <w:t>;</w:t>
      </w:r>
      <w:r w:rsidR="007571AA">
        <w:rPr>
          <w:sz w:val="22"/>
          <w:szCs w:val="22"/>
          <w:lang w:val="en-US"/>
        </w:rPr>
        <w:fldChar w:fldCharType="begin"/>
      </w:r>
      <w:r w:rsidR="007571AA">
        <w:rPr>
          <w:sz w:val="22"/>
          <w:szCs w:val="22"/>
          <w:lang w:val="en-US"/>
        </w:rPr>
        <w:instrText xml:space="preserve"> REF _Ref284170919 \r \h </w:instrText>
      </w:r>
      <w:r w:rsidR="007571AA">
        <w:rPr>
          <w:sz w:val="22"/>
          <w:szCs w:val="22"/>
          <w:lang w:val="en-US"/>
        </w:rPr>
      </w:r>
      <w:r w:rsidR="007571AA">
        <w:rPr>
          <w:sz w:val="22"/>
          <w:szCs w:val="22"/>
          <w:lang w:val="en-US"/>
        </w:rPr>
        <w:fldChar w:fldCharType="separate"/>
      </w:r>
      <w:r w:rsidR="00151A1C">
        <w:rPr>
          <w:sz w:val="22"/>
          <w:szCs w:val="22"/>
          <w:lang w:val="en-US"/>
        </w:rPr>
        <w:t>40</w:t>
      </w:r>
      <w:r w:rsidR="007571AA">
        <w:rPr>
          <w:sz w:val="22"/>
          <w:szCs w:val="22"/>
          <w:lang w:val="en-US"/>
        </w:rPr>
        <w:fldChar w:fldCharType="end"/>
      </w:r>
      <w:r w:rsidR="00D758B4">
        <w:rPr>
          <w:sz w:val="22"/>
          <w:szCs w:val="22"/>
          <w:lang w:val="en-US"/>
        </w:rPr>
        <w:t>;</w:t>
      </w:r>
      <w:r w:rsidR="007571AA">
        <w:rPr>
          <w:sz w:val="22"/>
          <w:szCs w:val="22"/>
          <w:lang w:val="en-US"/>
        </w:rPr>
        <w:fldChar w:fldCharType="begin"/>
      </w:r>
      <w:r w:rsidR="007571AA">
        <w:rPr>
          <w:sz w:val="22"/>
          <w:szCs w:val="22"/>
          <w:lang w:val="en-US"/>
        </w:rPr>
        <w:instrText xml:space="preserve"> REF _Ref284171334 \r \h </w:instrText>
      </w:r>
      <w:r w:rsidR="007571AA">
        <w:rPr>
          <w:sz w:val="22"/>
          <w:szCs w:val="22"/>
          <w:lang w:val="en-US"/>
        </w:rPr>
      </w:r>
      <w:r w:rsidR="007571AA">
        <w:rPr>
          <w:sz w:val="22"/>
          <w:szCs w:val="22"/>
          <w:lang w:val="en-US"/>
        </w:rPr>
        <w:fldChar w:fldCharType="separate"/>
      </w:r>
      <w:r w:rsidR="00151A1C">
        <w:rPr>
          <w:sz w:val="22"/>
          <w:szCs w:val="22"/>
          <w:lang w:val="en-US"/>
        </w:rPr>
        <w:t>41</w:t>
      </w:r>
      <w:r w:rsidR="007571AA">
        <w:rPr>
          <w:sz w:val="22"/>
          <w:szCs w:val="22"/>
          <w:lang w:val="en-US"/>
        </w:rPr>
        <w:fldChar w:fldCharType="end"/>
      </w:r>
      <w:r w:rsidR="00D758B4">
        <w:rPr>
          <w:sz w:val="22"/>
          <w:szCs w:val="22"/>
          <w:lang w:val="en-US"/>
        </w:rPr>
        <w:t>;</w:t>
      </w:r>
      <w:r w:rsidR="007571AA">
        <w:rPr>
          <w:sz w:val="22"/>
          <w:szCs w:val="22"/>
          <w:lang w:val="en-US"/>
        </w:rPr>
        <w:fldChar w:fldCharType="begin"/>
      </w:r>
      <w:r w:rsidR="007571AA">
        <w:rPr>
          <w:sz w:val="22"/>
          <w:szCs w:val="22"/>
          <w:lang w:val="en-US"/>
        </w:rPr>
        <w:instrText xml:space="preserve"> REF _Ref284171394 \r \h </w:instrText>
      </w:r>
      <w:r w:rsidR="007571AA">
        <w:rPr>
          <w:sz w:val="22"/>
          <w:szCs w:val="22"/>
          <w:lang w:val="en-US"/>
        </w:rPr>
      </w:r>
      <w:r w:rsidR="007571AA">
        <w:rPr>
          <w:sz w:val="22"/>
          <w:szCs w:val="22"/>
          <w:lang w:val="en-US"/>
        </w:rPr>
        <w:fldChar w:fldCharType="separate"/>
      </w:r>
      <w:r w:rsidR="00151A1C">
        <w:rPr>
          <w:sz w:val="22"/>
          <w:szCs w:val="22"/>
          <w:lang w:val="en-US"/>
        </w:rPr>
        <w:t>42</w:t>
      </w:r>
      <w:r w:rsidR="007571AA">
        <w:rPr>
          <w:sz w:val="22"/>
          <w:szCs w:val="22"/>
          <w:lang w:val="en-US"/>
        </w:rPr>
        <w:fldChar w:fldCharType="end"/>
      </w:r>
      <w:r w:rsidR="00D758B4">
        <w:rPr>
          <w:sz w:val="22"/>
          <w:szCs w:val="22"/>
          <w:lang w:val="en-US"/>
        </w:rPr>
        <w:t>).</w:t>
      </w:r>
      <w:r w:rsidR="00D758B4" w:rsidRPr="002E09AF">
        <w:rPr>
          <w:rFonts w:cs="Arial"/>
          <w:b/>
          <w:bCs/>
          <w:sz w:val="22"/>
          <w:szCs w:val="22"/>
          <w:lang w:eastAsia="ja-JP"/>
        </w:rPr>
        <w:t xml:space="preserve"> </w:t>
      </w:r>
    </w:p>
    <w:p w14:paraId="5F9776E9" w14:textId="77777777" w:rsidR="00866790" w:rsidRPr="002E09AF" w:rsidRDefault="00866790" w:rsidP="00335FE5">
      <w:pPr>
        <w:pStyle w:val="BodyText"/>
        <w:rPr>
          <w:sz w:val="22"/>
          <w:szCs w:val="22"/>
          <w:lang w:val="en-US"/>
        </w:rPr>
      </w:pPr>
    </w:p>
    <w:p w14:paraId="2E2D4B52" w14:textId="22C06D60" w:rsidR="00335FE5" w:rsidRPr="00A15486" w:rsidRDefault="00335FE5" w:rsidP="00335FE5">
      <w:pPr>
        <w:pStyle w:val="BodyText"/>
        <w:rPr>
          <w:sz w:val="22"/>
          <w:szCs w:val="22"/>
          <w:lang w:val="en-US"/>
        </w:rPr>
      </w:pPr>
      <w:r w:rsidRPr="002E09AF">
        <w:rPr>
          <w:sz w:val="22"/>
          <w:szCs w:val="22"/>
          <w:lang w:val="en-US"/>
        </w:rPr>
        <w:t xml:space="preserve">Duration of therapy for tedizolid phosphate was selected </w:t>
      </w:r>
      <w:r w:rsidR="00B418B1" w:rsidRPr="002E09AF">
        <w:rPr>
          <w:sz w:val="22"/>
          <w:szCs w:val="22"/>
          <w:lang w:val="en-US"/>
        </w:rPr>
        <w:t>on the basis of</w:t>
      </w:r>
      <w:r w:rsidRPr="002E09AF">
        <w:rPr>
          <w:sz w:val="22"/>
          <w:szCs w:val="22"/>
          <w:lang w:val="en-US"/>
        </w:rPr>
        <w:t xml:space="preserve"> Phase 2 trial data. A double-blind Phase 2 study </w:t>
      </w:r>
      <w:r w:rsidR="00803CF5">
        <w:rPr>
          <w:sz w:val="22"/>
          <w:szCs w:val="22"/>
          <w:lang w:val="en-US"/>
        </w:rPr>
        <w:t>(</w:t>
      </w:r>
      <w:r w:rsidR="00A9019C">
        <w:rPr>
          <w:sz w:val="22"/>
          <w:szCs w:val="22"/>
          <w:lang w:val="en-US"/>
        </w:rPr>
        <w:fldChar w:fldCharType="begin"/>
      </w:r>
      <w:r w:rsidR="00A9019C">
        <w:rPr>
          <w:sz w:val="22"/>
          <w:szCs w:val="22"/>
          <w:lang w:val="en-US"/>
        </w:rPr>
        <w:instrText xml:space="preserve"> REF _Ref284171956 \r \h </w:instrText>
      </w:r>
      <w:r w:rsidR="00A9019C">
        <w:rPr>
          <w:sz w:val="22"/>
          <w:szCs w:val="22"/>
          <w:lang w:val="en-US"/>
        </w:rPr>
      </w:r>
      <w:r w:rsidR="00A9019C">
        <w:rPr>
          <w:sz w:val="22"/>
          <w:szCs w:val="22"/>
          <w:lang w:val="en-US"/>
        </w:rPr>
        <w:fldChar w:fldCharType="separate"/>
      </w:r>
      <w:r w:rsidR="00151A1C">
        <w:rPr>
          <w:sz w:val="22"/>
          <w:szCs w:val="22"/>
          <w:lang w:val="en-US"/>
        </w:rPr>
        <w:t>45</w:t>
      </w:r>
      <w:r w:rsidR="00A9019C">
        <w:rPr>
          <w:sz w:val="22"/>
          <w:szCs w:val="22"/>
          <w:lang w:val="en-US"/>
        </w:rPr>
        <w:fldChar w:fldCharType="end"/>
      </w:r>
      <w:r w:rsidR="00803CF5">
        <w:rPr>
          <w:sz w:val="22"/>
          <w:szCs w:val="22"/>
          <w:lang w:val="en-US"/>
        </w:rPr>
        <w:t xml:space="preserve">) </w:t>
      </w:r>
      <w:r w:rsidRPr="002E09AF">
        <w:rPr>
          <w:sz w:val="22"/>
          <w:szCs w:val="22"/>
          <w:lang w:val="en-US"/>
        </w:rPr>
        <w:t xml:space="preserve">evaluated three dosage levels (200 mg, 300 mg, or 400 mg) of oral, once-daily tedizolid phosphate over 5 days to 7 days for the treatment of </w:t>
      </w:r>
      <w:r w:rsidR="00DD0B37" w:rsidRPr="002E09AF">
        <w:rPr>
          <w:sz w:val="22"/>
          <w:szCs w:val="22"/>
          <w:lang w:val="en-US"/>
        </w:rPr>
        <w:t>AB</w:t>
      </w:r>
      <w:r w:rsidRPr="002E09AF">
        <w:rPr>
          <w:sz w:val="22"/>
          <w:szCs w:val="22"/>
          <w:lang w:val="en-US"/>
        </w:rPr>
        <w:t xml:space="preserve">SSSI; treatment days were as determined by the investigator based on the patient’s response. A clinical cure rate of 96.8% for patients with MRSA infection was observed with a mean </w:t>
      </w:r>
      <w:r w:rsidRPr="00A15486">
        <w:rPr>
          <w:sz w:val="22"/>
          <w:szCs w:val="22"/>
          <w:lang w:val="en-US"/>
        </w:rPr>
        <w:t>duration of therapy for all treatment groups of 6.4 days. As such, the 6-day therapy duration for tedizolid phosphate was selected for the Phase 3 studies.</w:t>
      </w:r>
      <w:r w:rsidR="00DD0B37" w:rsidRPr="00A15486">
        <w:rPr>
          <w:sz w:val="22"/>
          <w:szCs w:val="22"/>
          <w:lang w:val="en-US"/>
        </w:rPr>
        <w:t xml:space="preserve"> </w:t>
      </w:r>
    </w:p>
    <w:p w14:paraId="59DB51E9" w14:textId="77777777" w:rsidR="00DD0B37" w:rsidRPr="00A15486" w:rsidRDefault="00DD0B37" w:rsidP="00335FE5">
      <w:pPr>
        <w:pStyle w:val="BodyText"/>
        <w:rPr>
          <w:sz w:val="22"/>
          <w:szCs w:val="22"/>
          <w:lang w:val="en-US"/>
        </w:rPr>
      </w:pPr>
    </w:p>
    <w:p w14:paraId="4DE231B5" w14:textId="1C947417" w:rsidR="00DD0B37" w:rsidRPr="00D21780" w:rsidRDefault="00DD0B37" w:rsidP="00DD0B37">
      <w:pPr>
        <w:widowControl w:val="0"/>
        <w:autoSpaceDE w:val="0"/>
        <w:autoSpaceDN w:val="0"/>
        <w:adjustRightInd w:val="0"/>
        <w:rPr>
          <w:sz w:val="22"/>
          <w:szCs w:val="22"/>
        </w:rPr>
      </w:pPr>
      <w:r w:rsidRPr="0016350B">
        <w:rPr>
          <w:sz w:val="22"/>
          <w:szCs w:val="22"/>
        </w:rPr>
        <w:t>The analyses of the studies included intent to treat (ITT) and clinically evaluable (CE)</w:t>
      </w:r>
      <w:r w:rsidR="00D21780">
        <w:rPr>
          <w:sz w:val="22"/>
          <w:szCs w:val="22"/>
        </w:rPr>
        <w:t xml:space="preserve"> </w:t>
      </w:r>
      <w:r w:rsidRPr="0016350B">
        <w:rPr>
          <w:sz w:val="22"/>
          <w:szCs w:val="22"/>
        </w:rPr>
        <w:t>populations. The latter group was consistent with a per-protocol population in terms of inclusion and exclusion criteria and duration of study treatment</w:t>
      </w:r>
      <w:r w:rsidR="0016350B" w:rsidRPr="0016350B">
        <w:rPr>
          <w:sz w:val="22"/>
          <w:szCs w:val="22"/>
        </w:rPr>
        <w:t xml:space="preserve">. </w:t>
      </w:r>
      <w:r w:rsidR="0016350B" w:rsidRPr="0016350B">
        <w:rPr>
          <w:color w:val="000000"/>
          <w:sz w:val="22"/>
          <w:szCs w:val="22"/>
        </w:rPr>
        <w:t xml:space="preserve">Both Phase 3 studies </w:t>
      </w:r>
      <w:r w:rsidR="0016350B" w:rsidRPr="0016350B">
        <w:rPr>
          <w:color w:val="000000"/>
          <w:sz w:val="22"/>
          <w:szCs w:val="22"/>
        </w:rPr>
        <w:lastRenderedPageBreak/>
        <w:t>were adequately powered for both the EMA- and FDA-preferred endpoints and separate statistical analysis plans (SAP) were prospectively developed for the regulatory submissions in the EU and US.</w:t>
      </w:r>
    </w:p>
    <w:p w14:paraId="2EB0F5F3" w14:textId="77777777" w:rsidR="0016350B" w:rsidRDefault="0016350B" w:rsidP="00A818D1">
      <w:pPr>
        <w:pStyle w:val="BodyText"/>
        <w:rPr>
          <w:rFonts w:eastAsia="Arial Unicode MS"/>
          <w:b/>
          <w:sz w:val="22"/>
          <w:szCs w:val="22"/>
          <w:lang w:val="en-US"/>
        </w:rPr>
      </w:pPr>
    </w:p>
    <w:p w14:paraId="2E1BABD4" w14:textId="4364926F" w:rsidR="00E601E6" w:rsidRPr="00A15486" w:rsidRDefault="00335FE5" w:rsidP="00A818D1">
      <w:pPr>
        <w:pStyle w:val="BodyText"/>
        <w:rPr>
          <w:sz w:val="22"/>
          <w:szCs w:val="22"/>
          <w:lang w:val="en-US"/>
        </w:rPr>
      </w:pPr>
      <w:r w:rsidRPr="00A15486">
        <w:rPr>
          <w:sz w:val="22"/>
          <w:szCs w:val="22"/>
          <w:lang w:val="en-US"/>
        </w:rPr>
        <w:t xml:space="preserve">An overview of study design, patient population, interventions, and outcomes measured in ESTABLISH-1 </w:t>
      </w:r>
      <w:r w:rsidR="00866790" w:rsidRPr="00A15486">
        <w:rPr>
          <w:sz w:val="22"/>
          <w:szCs w:val="22"/>
          <w:lang w:val="en-US"/>
        </w:rPr>
        <w:t>and ESTABLISH-2 is presented in</w:t>
      </w:r>
      <w:r w:rsidR="008E5D14" w:rsidRPr="00A15486">
        <w:rPr>
          <w:sz w:val="22"/>
          <w:szCs w:val="22"/>
          <w:lang w:val="en-US"/>
        </w:rPr>
        <w:t xml:space="preserve"> </w:t>
      </w:r>
      <w:r w:rsidR="005C7930">
        <w:rPr>
          <w:sz w:val="22"/>
          <w:szCs w:val="22"/>
          <w:lang w:val="en-US"/>
        </w:rPr>
        <w:fldChar w:fldCharType="begin"/>
      </w:r>
      <w:r w:rsidR="005C7930">
        <w:rPr>
          <w:sz w:val="22"/>
          <w:szCs w:val="22"/>
          <w:lang w:val="en-US"/>
        </w:rPr>
        <w:instrText xml:space="preserve"> REF _Ref280715057 \h </w:instrText>
      </w:r>
      <w:r w:rsidR="005C7930">
        <w:rPr>
          <w:sz w:val="22"/>
          <w:szCs w:val="22"/>
          <w:lang w:val="en-US"/>
        </w:rPr>
      </w:r>
      <w:r w:rsidR="005C7930">
        <w:rPr>
          <w:sz w:val="22"/>
          <w:szCs w:val="22"/>
          <w:lang w:val="en-US"/>
        </w:rPr>
        <w:fldChar w:fldCharType="separate"/>
      </w:r>
      <w:r w:rsidR="00151A1C" w:rsidRPr="000E10A6">
        <w:rPr>
          <w:sz w:val="22"/>
          <w:szCs w:val="22"/>
          <w:lang w:val="en-US"/>
        </w:rPr>
        <w:t xml:space="preserve">Table </w:t>
      </w:r>
      <w:r w:rsidR="00151A1C">
        <w:rPr>
          <w:noProof/>
          <w:sz w:val="22"/>
          <w:szCs w:val="22"/>
          <w:lang w:val="en-US"/>
        </w:rPr>
        <w:t>1</w:t>
      </w:r>
      <w:r w:rsidR="005C7930">
        <w:rPr>
          <w:sz w:val="22"/>
          <w:szCs w:val="22"/>
          <w:lang w:val="en-US"/>
        </w:rPr>
        <w:fldChar w:fldCharType="end"/>
      </w:r>
      <w:r w:rsidRPr="00A15486">
        <w:rPr>
          <w:sz w:val="22"/>
          <w:szCs w:val="22"/>
          <w:lang w:val="en-US"/>
        </w:rPr>
        <w:t>.</w:t>
      </w:r>
      <w:bookmarkStart w:id="50" w:name="_Ref381373556"/>
      <w:bookmarkStart w:id="51" w:name="_Toc396058426"/>
    </w:p>
    <w:p w14:paraId="226588A5" w14:textId="77777777" w:rsidR="008E5D14" w:rsidRDefault="008E5D14" w:rsidP="00A818D1">
      <w:pPr>
        <w:pStyle w:val="BodyText"/>
        <w:rPr>
          <w:color w:val="660066"/>
          <w:sz w:val="24"/>
          <w:szCs w:val="24"/>
          <w:lang w:val="en-US"/>
        </w:rPr>
      </w:pPr>
    </w:p>
    <w:p w14:paraId="4733B92F" w14:textId="77777777" w:rsidR="008E5D14" w:rsidRPr="007B128C" w:rsidRDefault="008E5D14" w:rsidP="00A818D1">
      <w:pPr>
        <w:pStyle w:val="BodyText"/>
        <w:rPr>
          <w:color w:val="660066"/>
          <w:sz w:val="24"/>
          <w:szCs w:val="24"/>
          <w:lang w:val="en-US"/>
        </w:rPr>
        <w:sectPr w:rsidR="008E5D14" w:rsidRPr="007B128C" w:rsidSect="006026E6">
          <w:footerReference w:type="even" r:id="rId21"/>
          <w:footerReference w:type="default" r:id="rId22"/>
          <w:pgSz w:w="11906" w:h="16838"/>
          <w:pgMar w:top="851" w:right="1274" w:bottom="1440" w:left="1440" w:header="709" w:footer="709" w:gutter="0"/>
          <w:cols w:space="708"/>
          <w:titlePg/>
          <w:docGrid w:linePitch="360"/>
        </w:sectPr>
      </w:pPr>
    </w:p>
    <w:p w14:paraId="198F080D" w14:textId="03FA22F4" w:rsidR="00866790" w:rsidRPr="000E10A6" w:rsidRDefault="00866790" w:rsidP="00866790">
      <w:pPr>
        <w:pStyle w:val="Caption"/>
        <w:rPr>
          <w:rFonts w:ascii="Arial" w:hAnsi="Arial"/>
          <w:sz w:val="22"/>
          <w:szCs w:val="22"/>
          <w:lang w:val="en-US"/>
        </w:rPr>
      </w:pPr>
      <w:bookmarkStart w:id="52" w:name="_Ref280715057"/>
      <w:r w:rsidRPr="000E10A6">
        <w:rPr>
          <w:rFonts w:ascii="Arial" w:hAnsi="Arial"/>
          <w:sz w:val="22"/>
          <w:szCs w:val="22"/>
          <w:lang w:val="en-US"/>
        </w:rPr>
        <w:lastRenderedPageBreak/>
        <w:t xml:space="preserve">Table </w:t>
      </w:r>
      <w:r w:rsidRPr="000E10A6">
        <w:rPr>
          <w:rFonts w:ascii="Arial" w:hAnsi="Arial"/>
          <w:sz w:val="22"/>
          <w:szCs w:val="22"/>
          <w:lang w:val="en-US"/>
        </w:rPr>
        <w:fldChar w:fldCharType="begin"/>
      </w:r>
      <w:r w:rsidRPr="000E10A6">
        <w:rPr>
          <w:rFonts w:ascii="Arial" w:hAnsi="Arial"/>
          <w:sz w:val="22"/>
          <w:szCs w:val="22"/>
          <w:lang w:val="en-US"/>
        </w:rPr>
        <w:instrText xml:space="preserve"> SEQ Table \* ARABIC </w:instrText>
      </w:r>
      <w:r w:rsidRPr="000E10A6">
        <w:rPr>
          <w:rFonts w:ascii="Arial" w:hAnsi="Arial"/>
          <w:sz w:val="22"/>
          <w:szCs w:val="22"/>
          <w:lang w:val="en-US"/>
        </w:rPr>
        <w:fldChar w:fldCharType="separate"/>
      </w:r>
      <w:r w:rsidR="00151A1C">
        <w:rPr>
          <w:rFonts w:ascii="Arial" w:hAnsi="Arial"/>
          <w:noProof/>
          <w:sz w:val="22"/>
          <w:szCs w:val="22"/>
          <w:lang w:val="en-US"/>
        </w:rPr>
        <w:t>1</w:t>
      </w:r>
      <w:r w:rsidRPr="000E10A6">
        <w:rPr>
          <w:rFonts w:ascii="Arial" w:hAnsi="Arial"/>
          <w:sz w:val="22"/>
          <w:szCs w:val="22"/>
          <w:lang w:val="en-US"/>
        </w:rPr>
        <w:fldChar w:fldCharType="end"/>
      </w:r>
      <w:bookmarkEnd w:id="50"/>
      <w:bookmarkEnd w:id="52"/>
      <w:r w:rsidRPr="000E10A6">
        <w:rPr>
          <w:rFonts w:ascii="Arial" w:hAnsi="Arial"/>
          <w:sz w:val="22"/>
          <w:szCs w:val="22"/>
          <w:lang w:val="en-US"/>
        </w:rPr>
        <w:t>: Overview of the tedizolid phosphate Phase 3 clinical trials: ESTABLISH-1 and ESTABLISH-2</w:t>
      </w:r>
      <w:bookmarkEnd w:id="51"/>
    </w:p>
    <w:tbl>
      <w:tblPr>
        <w:tblStyle w:val="Table-HERONplain"/>
        <w:tblW w:w="5601" w:type="pct"/>
        <w:tblInd w:w="-743" w:type="dxa"/>
        <w:tblLayout w:type="fixed"/>
        <w:tblLook w:val="0420" w:firstRow="1" w:lastRow="0" w:firstColumn="0" w:lastColumn="0" w:noHBand="0" w:noVBand="1"/>
      </w:tblPr>
      <w:tblGrid>
        <w:gridCol w:w="1256"/>
        <w:gridCol w:w="1534"/>
        <w:gridCol w:w="5728"/>
        <w:gridCol w:w="1950"/>
        <w:gridCol w:w="3069"/>
        <w:gridCol w:w="2088"/>
      </w:tblGrid>
      <w:tr w:rsidR="000C4ABB" w:rsidRPr="00A62B3C" w14:paraId="1F6F361A" w14:textId="3DD1D970" w:rsidTr="00D97149">
        <w:trPr>
          <w:cnfStyle w:val="100000000000" w:firstRow="1" w:lastRow="0" w:firstColumn="0" w:lastColumn="0" w:oddVBand="0" w:evenVBand="0" w:oddHBand="0" w:evenHBand="0" w:firstRowFirstColumn="0" w:firstRowLastColumn="0" w:lastRowFirstColumn="0" w:lastRowLastColumn="0"/>
          <w:trHeight w:val="282"/>
        </w:trPr>
        <w:tc>
          <w:tcPr>
            <w:tcW w:w="402" w:type="pct"/>
            <w:shd w:val="clear" w:color="auto" w:fill="auto"/>
            <w:hideMark/>
          </w:tcPr>
          <w:p w14:paraId="1F34AD39" w14:textId="51D64FDA" w:rsidR="00E601E6" w:rsidRPr="00A62B3C" w:rsidRDefault="00E601E6" w:rsidP="00E601E6">
            <w:pPr>
              <w:pStyle w:val="TableBodyText-H54"/>
              <w:rPr>
                <w:rFonts w:ascii="Arial" w:hAnsi="Arial" w:cs="Arial"/>
                <w:sz w:val="18"/>
                <w:szCs w:val="18"/>
                <w:lang w:val="en-US" w:eastAsia="en-GB"/>
              </w:rPr>
            </w:pPr>
            <w:r w:rsidRPr="00A62B3C">
              <w:rPr>
                <w:rFonts w:ascii="Arial" w:hAnsi="Arial" w:cs="Arial"/>
                <w:sz w:val="18"/>
                <w:szCs w:val="18"/>
                <w:lang w:val="en-US" w:eastAsia="en-GB"/>
              </w:rPr>
              <w:t xml:space="preserve">Trial  </w:t>
            </w:r>
          </w:p>
        </w:tc>
        <w:tc>
          <w:tcPr>
            <w:tcW w:w="491" w:type="pct"/>
            <w:shd w:val="clear" w:color="auto" w:fill="auto"/>
          </w:tcPr>
          <w:p w14:paraId="2AAFBB1F" w14:textId="34685F36" w:rsidR="00E601E6" w:rsidRPr="00A62B3C" w:rsidRDefault="00E601E6" w:rsidP="00A818D1">
            <w:pPr>
              <w:pStyle w:val="TableBodyText-H54"/>
              <w:rPr>
                <w:rFonts w:ascii="Arial" w:hAnsi="Arial" w:cs="Arial"/>
                <w:sz w:val="18"/>
                <w:szCs w:val="18"/>
                <w:lang w:val="en-US" w:eastAsia="en-GB"/>
              </w:rPr>
            </w:pPr>
            <w:r w:rsidRPr="00A62B3C">
              <w:rPr>
                <w:rFonts w:ascii="Arial" w:hAnsi="Arial" w:cs="Arial"/>
                <w:sz w:val="18"/>
                <w:szCs w:val="18"/>
                <w:lang w:val="en-US" w:eastAsia="en-GB"/>
              </w:rPr>
              <w:t>Trial design</w:t>
            </w:r>
          </w:p>
        </w:tc>
        <w:tc>
          <w:tcPr>
            <w:tcW w:w="1833" w:type="pct"/>
            <w:shd w:val="clear" w:color="auto" w:fill="auto"/>
            <w:hideMark/>
          </w:tcPr>
          <w:p w14:paraId="42E616A9" w14:textId="6057FDC8" w:rsidR="00E601E6" w:rsidRPr="00A62B3C" w:rsidRDefault="00E601E6" w:rsidP="00A818D1">
            <w:pPr>
              <w:pStyle w:val="TableBodyText-H54"/>
              <w:rPr>
                <w:rFonts w:ascii="Arial" w:hAnsi="Arial" w:cs="Arial"/>
                <w:sz w:val="18"/>
                <w:szCs w:val="18"/>
                <w:lang w:val="en-US" w:eastAsia="en-GB"/>
              </w:rPr>
            </w:pPr>
            <w:r w:rsidRPr="00A62B3C">
              <w:rPr>
                <w:rFonts w:ascii="Arial" w:hAnsi="Arial" w:cs="Arial"/>
                <w:sz w:val="18"/>
                <w:szCs w:val="18"/>
                <w:lang w:val="en-US" w:eastAsia="en-GB"/>
              </w:rPr>
              <w:t>Patient</w:t>
            </w:r>
            <w:r w:rsidRPr="00A62B3C">
              <w:rPr>
                <w:rFonts w:ascii="Arial" w:hAnsi="Arial" w:cs="Arial"/>
                <w:sz w:val="18"/>
                <w:szCs w:val="18"/>
                <w:lang w:val="en-US"/>
              </w:rPr>
              <w:t xml:space="preserve"> </w:t>
            </w:r>
            <w:r w:rsidRPr="00A62B3C">
              <w:rPr>
                <w:rFonts w:ascii="Arial" w:hAnsi="Arial" w:cs="Arial"/>
                <w:sz w:val="18"/>
                <w:szCs w:val="18"/>
                <w:lang w:val="en-US" w:eastAsia="en-GB"/>
              </w:rPr>
              <w:t>population</w:t>
            </w:r>
          </w:p>
        </w:tc>
        <w:tc>
          <w:tcPr>
            <w:tcW w:w="624" w:type="pct"/>
            <w:shd w:val="clear" w:color="auto" w:fill="auto"/>
            <w:hideMark/>
          </w:tcPr>
          <w:p w14:paraId="100018A8" w14:textId="77777777" w:rsidR="00E601E6" w:rsidRPr="00A62B3C" w:rsidRDefault="00E601E6" w:rsidP="00A818D1">
            <w:pPr>
              <w:pStyle w:val="TableBodyText-H54"/>
              <w:rPr>
                <w:rFonts w:ascii="Arial" w:hAnsi="Arial" w:cs="Arial"/>
                <w:sz w:val="18"/>
                <w:szCs w:val="18"/>
                <w:lang w:val="en-US" w:eastAsia="en-GB"/>
              </w:rPr>
            </w:pPr>
            <w:r w:rsidRPr="00A62B3C">
              <w:rPr>
                <w:rFonts w:ascii="Arial" w:hAnsi="Arial" w:cs="Arial"/>
                <w:sz w:val="18"/>
                <w:szCs w:val="18"/>
                <w:lang w:val="en-US" w:eastAsia="en-GB"/>
              </w:rPr>
              <w:t>Interventions</w:t>
            </w:r>
          </w:p>
        </w:tc>
        <w:tc>
          <w:tcPr>
            <w:tcW w:w="982" w:type="pct"/>
            <w:shd w:val="clear" w:color="auto" w:fill="auto"/>
            <w:hideMark/>
          </w:tcPr>
          <w:p w14:paraId="6EBE8E8A" w14:textId="77777777" w:rsidR="00E601E6" w:rsidRPr="00A62B3C" w:rsidRDefault="00E601E6" w:rsidP="00A818D1">
            <w:pPr>
              <w:pStyle w:val="TableBodyText-H54"/>
              <w:rPr>
                <w:rFonts w:ascii="Arial" w:hAnsi="Arial" w:cs="Arial"/>
                <w:sz w:val="18"/>
                <w:szCs w:val="18"/>
                <w:lang w:val="en-US" w:eastAsia="en-GB"/>
              </w:rPr>
            </w:pPr>
            <w:r w:rsidRPr="00A62B3C">
              <w:rPr>
                <w:rFonts w:ascii="Arial" w:hAnsi="Arial" w:cs="Arial"/>
                <w:sz w:val="18"/>
                <w:szCs w:val="18"/>
                <w:lang w:val="en-US" w:eastAsia="en-GB"/>
              </w:rPr>
              <w:t>Study outcomes</w:t>
            </w:r>
          </w:p>
        </w:tc>
        <w:tc>
          <w:tcPr>
            <w:tcW w:w="668" w:type="pct"/>
            <w:shd w:val="clear" w:color="auto" w:fill="auto"/>
          </w:tcPr>
          <w:p w14:paraId="368F7AF9" w14:textId="673200B4" w:rsidR="00E601E6" w:rsidRPr="00A62B3C" w:rsidRDefault="00E601E6" w:rsidP="00A818D1">
            <w:pPr>
              <w:pStyle w:val="TableBodyText-H54"/>
              <w:rPr>
                <w:rFonts w:ascii="Arial" w:hAnsi="Arial" w:cs="Arial"/>
                <w:sz w:val="18"/>
                <w:szCs w:val="18"/>
                <w:lang w:val="en-US" w:eastAsia="en-GB"/>
              </w:rPr>
            </w:pPr>
            <w:r w:rsidRPr="00A62B3C">
              <w:rPr>
                <w:rFonts w:ascii="Arial" w:hAnsi="Arial" w:cs="Arial"/>
                <w:sz w:val="18"/>
                <w:szCs w:val="18"/>
                <w:lang w:val="en-US" w:eastAsia="en-GB"/>
              </w:rPr>
              <w:t xml:space="preserve">Primary Publication </w:t>
            </w:r>
          </w:p>
        </w:tc>
      </w:tr>
      <w:tr w:rsidR="000C4ABB" w:rsidRPr="00A62B3C" w14:paraId="26DB56CA" w14:textId="6C577290" w:rsidTr="00D97149">
        <w:trPr>
          <w:trHeight w:val="8476"/>
        </w:trPr>
        <w:tc>
          <w:tcPr>
            <w:tcW w:w="402" w:type="pct"/>
            <w:vAlign w:val="top"/>
            <w:hideMark/>
          </w:tcPr>
          <w:p w14:paraId="087B4191" w14:textId="396AE019" w:rsidR="00E601E6" w:rsidRPr="000C4ABB" w:rsidRDefault="00E601E6" w:rsidP="00A818D1">
            <w:pPr>
              <w:pStyle w:val="TableBodyText-H54"/>
              <w:rPr>
                <w:rFonts w:ascii="Arial" w:hAnsi="Arial" w:cs="Arial"/>
                <w:b/>
                <w:szCs w:val="16"/>
                <w:lang w:val="en-US" w:eastAsia="en-GB"/>
              </w:rPr>
            </w:pPr>
            <w:r w:rsidRPr="000C4ABB">
              <w:rPr>
                <w:rFonts w:ascii="Arial" w:hAnsi="Arial" w:cs="Arial"/>
                <w:b/>
                <w:szCs w:val="16"/>
                <w:lang w:val="en-US" w:eastAsia="en-GB"/>
              </w:rPr>
              <w:t>ESTABLISH-1</w:t>
            </w:r>
            <w:r w:rsidRPr="000C4ABB">
              <w:rPr>
                <w:rFonts w:ascii="Arial" w:eastAsia="TimesNewRoman" w:hAnsi="Arial" w:cs="Arial"/>
                <w:b/>
                <w:szCs w:val="16"/>
                <w:lang w:val="en-US" w:eastAsia="en-GB"/>
              </w:rPr>
              <w:t xml:space="preserve"> </w:t>
            </w:r>
          </w:p>
          <w:p w14:paraId="7B8EFB0A" w14:textId="77777777" w:rsidR="00E601E6" w:rsidRPr="000C4ABB" w:rsidRDefault="00E601E6" w:rsidP="00A818D1">
            <w:pPr>
              <w:pStyle w:val="TableBodyText-H54"/>
              <w:rPr>
                <w:rFonts w:ascii="Arial" w:hAnsi="Arial" w:cs="Arial"/>
                <w:szCs w:val="16"/>
                <w:lang w:val="en-US" w:eastAsia="en-GB"/>
              </w:rPr>
            </w:pPr>
          </w:p>
        </w:tc>
        <w:tc>
          <w:tcPr>
            <w:tcW w:w="491" w:type="pct"/>
            <w:vAlign w:val="top"/>
          </w:tcPr>
          <w:p w14:paraId="2478458A" w14:textId="740B6E35" w:rsidR="00E601E6" w:rsidRPr="000C4ABB" w:rsidRDefault="00E601E6" w:rsidP="00A818D1">
            <w:pPr>
              <w:pStyle w:val="TableHeading-H56"/>
              <w:rPr>
                <w:rFonts w:ascii="Arial" w:hAnsi="Arial" w:cs="Arial"/>
                <w:b w:val="0"/>
                <w:szCs w:val="16"/>
                <w:lang w:val="en-US" w:eastAsia="en-GB"/>
              </w:rPr>
            </w:pPr>
            <w:r w:rsidRPr="000C4ABB">
              <w:rPr>
                <w:rFonts w:ascii="Arial" w:eastAsia="TimesNewRoman" w:hAnsi="Arial" w:cs="Arial"/>
                <w:b w:val="0"/>
                <w:szCs w:val="16"/>
                <w:lang w:val="en-US"/>
              </w:rPr>
              <w:t>A Ph</w:t>
            </w:r>
            <w:r w:rsidR="00830AF7" w:rsidRPr="000C4ABB">
              <w:rPr>
                <w:rFonts w:ascii="Arial" w:eastAsia="TimesNewRoman" w:hAnsi="Arial" w:cs="Arial"/>
                <w:b w:val="0"/>
                <w:szCs w:val="16"/>
                <w:lang w:val="en-US"/>
              </w:rPr>
              <w:t>ase 3, non-inferiority, randomis</w:t>
            </w:r>
            <w:r w:rsidRPr="000C4ABB">
              <w:rPr>
                <w:rFonts w:ascii="Arial" w:eastAsia="TimesNewRoman" w:hAnsi="Arial" w:cs="Arial"/>
                <w:b w:val="0"/>
                <w:szCs w:val="16"/>
                <w:lang w:val="en-US"/>
              </w:rPr>
              <w:t xml:space="preserve">ed, two-arm, parallel group, double-blind, </w:t>
            </w:r>
            <w:r w:rsidR="0023798D" w:rsidRPr="000C4ABB">
              <w:rPr>
                <w:rFonts w:ascii="Arial" w:eastAsia="TimesNewRoman" w:hAnsi="Arial" w:cs="Arial"/>
                <w:b w:val="0"/>
                <w:szCs w:val="16"/>
                <w:lang w:val="en-US"/>
              </w:rPr>
              <w:t>double-dummy, global, multicent</w:t>
            </w:r>
            <w:r w:rsidRPr="000C4ABB">
              <w:rPr>
                <w:rFonts w:ascii="Arial" w:eastAsia="TimesNewRoman" w:hAnsi="Arial" w:cs="Arial"/>
                <w:b w:val="0"/>
                <w:szCs w:val="16"/>
                <w:lang w:val="en-US"/>
              </w:rPr>
              <w:t>r</w:t>
            </w:r>
            <w:r w:rsidR="0023798D" w:rsidRPr="000C4ABB">
              <w:rPr>
                <w:rFonts w:ascii="Arial" w:eastAsia="TimesNewRoman" w:hAnsi="Arial" w:cs="Arial"/>
                <w:b w:val="0"/>
                <w:szCs w:val="16"/>
                <w:lang w:val="en-US"/>
              </w:rPr>
              <w:t>e</w:t>
            </w:r>
            <w:r w:rsidRPr="000C4ABB">
              <w:rPr>
                <w:rFonts w:ascii="Arial" w:eastAsia="TimesNewRoman" w:hAnsi="Arial" w:cs="Arial"/>
                <w:b w:val="0"/>
                <w:szCs w:val="16"/>
                <w:lang w:val="en-US"/>
              </w:rPr>
              <w:t xml:space="preserve"> study. Trial conducted in the outpatient setting</w:t>
            </w:r>
          </w:p>
        </w:tc>
        <w:tc>
          <w:tcPr>
            <w:tcW w:w="1833" w:type="pct"/>
            <w:vAlign w:val="top"/>
            <w:hideMark/>
          </w:tcPr>
          <w:p w14:paraId="3741A4A5" w14:textId="63468C11"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Key inclusion criteria:</w:t>
            </w:r>
          </w:p>
          <w:p w14:paraId="6C562B13" w14:textId="77777777" w:rsidR="00E601E6" w:rsidRPr="000C4ABB" w:rsidRDefault="00E601E6" w:rsidP="00866790">
            <w:pPr>
              <w:pStyle w:val="TableBullet-H55"/>
              <w:rPr>
                <w:rFonts w:ascii="Arial" w:hAnsi="Arial" w:cs="Arial"/>
              </w:rPr>
            </w:pPr>
            <w:r w:rsidRPr="000C4ABB">
              <w:rPr>
                <w:rFonts w:ascii="Arial" w:hAnsi="Arial" w:cs="Arial"/>
              </w:rPr>
              <w:t xml:space="preserve">Males or females ≥18 years of age </w:t>
            </w:r>
          </w:p>
          <w:p w14:paraId="40BF6FA3" w14:textId="77777777" w:rsidR="00E601E6" w:rsidRPr="000C4ABB" w:rsidRDefault="00E601E6" w:rsidP="00866790">
            <w:pPr>
              <w:pStyle w:val="TableBullet-H55"/>
              <w:rPr>
                <w:rFonts w:ascii="Arial" w:hAnsi="Arial" w:cs="Arial"/>
              </w:rPr>
            </w:pPr>
            <w:r w:rsidRPr="000C4ABB">
              <w:rPr>
                <w:rFonts w:ascii="Arial" w:hAnsi="Arial" w:cs="Arial"/>
              </w:rPr>
              <w:t>ABSSSI meeting at least one of the following clinical syndromes and requiring systemic oral antibiotic therapy (local symptoms must have started within 7 days before the screening visit):</w:t>
            </w:r>
          </w:p>
          <w:p w14:paraId="0B2AA43F" w14:textId="77777777" w:rsidR="00E601E6" w:rsidRPr="000C4ABB" w:rsidRDefault="00E601E6" w:rsidP="00C24317">
            <w:pPr>
              <w:pStyle w:val="TableBullet-H55"/>
              <w:numPr>
                <w:ilvl w:val="1"/>
                <w:numId w:val="11"/>
              </w:numPr>
              <w:ind w:left="1135" w:hanging="425"/>
              <w:rPr>
                <w:rFonts w:ascii="Arial" w:hAnsi="Arial" w:cs="Arial"/>
              </w:rPr>
            </w:pPr>
            <w:r w:rsidRPr="000C4ABB">
              <w:rPr>
                <w:rFonts w:ascii="Arial" w:hAnsi="Arial" w:cs="Arial"/>
              </w:rPr>
              <w:t>Cellulitis/erysipelas</w:t>
            </w:r>
          </w:p>
          <w:p w14:paraId="7DEBCB2A" w14:textId="77777777" w:rsidR="00E601E6" w:rsidRPr="000C4ABB" w:rsidRDefault="00E601E6" w:rsidP="00C24317">
            <w:pPr>
              <w:pStyle w:val="TableBullet-H55"/>
              <w:numPr>
                <w:ilvl w:val="1"/>
                <w:numId w:val="11"/>
              </w:numPr>
              <w:ind w:left="1135" w:hanging="425"/>
              <w:rPr>
                <w:rFonts w:ascii="Arial" w:hAnsi="Arial" w:cs="Arial"/>
              </w:rPr>
            </w:pPr>
            <w:r w:rsidRPr="000C4ABB">
              <w:rPr>
                <w:rFonts w:ascii="Arial" w:hAnsi="Arial" w:cs="Arial"/>
              </w:rPr>
              <w:t>Major cutaneous abscess</w:t>
            </w:r>
          </w:p>
          <w:p w14:paraId="59DE18FF" w14:textId="77777777" w:rsidR="00E601E6" w:rsidRPr="000C4ABB" w:rsidRDefault="00E601E6" w:rsidP="00C24317">
            <w:pPr>
              <w:pStyle w:val="TableBullet-H55"/>
              <w:numPr>
                <w:ilvl w:val="1"/>
                <w:numId w:val="11"/>
              </w:numPr>
              <w:ind w:left="1135" w:hanging="425"/>
              <w:rPr>
                <w:rFonts w:ascii="Arial" w:hAnsi="Arial" w:cs="Arial"/>
              </w:rPr>
            </w:pPr>
            <w:r w:rsidRPr="000C4ABB">
              <w:rPr>
                <w:rFonts w:ascii="Arial" w:hAnsi="Arial" w:cs="Arial"/>
              </w:rPr>
              <w:t>Wound infection</w:t>
            </w:r>
          </w:p>
          <w:p w14:paraId="3871C987" w14:textId="77777777" w:rsidR="00E601E6" w:rsidRPr="000C4ABB" w:rsidRDefault="00E601E6" w:rsidP="00866790">
            <w:pPr>
              <w:pStyle w:val="TableBullet-H55"/>
              <w:rPr>
                <w:rFonts w:ascii="Arial" w:hAnsi="Arial" w:cs="Arial"/>
              </w:rPr>
            </w:pPr>
            <w:r w:rsidRPr="000C4ABB">
              <w:rPr>
                <w:rFonts w:ascii="Arial" w:hAnsi="Arial" w:cs="Arial"/>
              </w:rPr>
              <w:t>Suspected or documented Gram-positive infection from baseline Gram stain or culture</w:t>
            </w:r>
          </w:p>
          <w:p w14:paraId="004D0030" w14:textId="77777777" w:rsidR="00E601E6" w:rsidRPr="000C4ABB" w:rsidRDefault="00E601E6" w:rsidP="00866790">
            <w:pPr>
              <w:pStyle w:val="TableBullet-H55"/>
              <w:rPr>
                <w:rFonts w:ascii="Arial" w:hAnsi="Arial" w:cs="Arial"/>
              </w:rPr>
            </w:pPr>
            <w:r w:rsidRPr="000C4ABB">
              <w:rPr>
                <w:rFonts w:ascii="Arial" w:hAnsi="Arial" w:cs="Arial"/>
              </w:rPr>
              <w:t>Patient able to give informed consent and willing to comply with all required study procedures</w:t>
            </w:r>
          </w:p>
          <w:p w14:paraId="250CD122"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Key exclusion criteria:</w:t>
            </w:r>
          </w:p>
          <w:p w14:paraId="77BFD8D2" w14:textId="77777777" w:rsidR="00E601E6" w:rsidRPr="000C4ABB" w:rsidRDefault="00E601E6" w:rsidP="00866790">
            <w:pPr>
              <w:pStyle w:val="TableBullet-H55"/>
              <w:rPr>
                <w:rFonts w:ascii="Arial" w:hAnsi="Arial" w:cs="Arial"/>
              </w:rPr>
            </w:pPr>
            <w:r w:rsidRPr="000C4ABB">
              <w:rPr>
                <w:rFonts w:ascii="Arial" w:hAnsi="Arial" w:cs="Arial"/>
              </w:rPr>
              <w:t xml:space="preserve">uSSSI such as furuncles, minor abscesses, impetiginous lesions, superficial, or limited cellulitis/erysipelas, and minor wound infections </w:t>
            </w:r>
          </w:p>
          <w:p w14:paraId="15EDE5DB" w14:textId="77777777" w:rsidR="00E601E6" w:rsidRPr="000C4ABB" w:rsidRDefault="00E601E6" w:rsidP="00866790">
            <w:pPr>
              <w:pStyle w:val="TableBullet-H55"/>
              <w:rPr>
                <w:rFonts w:ascii="Arial" w:hAnsi="Arial" w:cs="Arial"/>
              </w:rPr>
            </w:pPr>
            <w:r w:rsidRPr="000C4ABB">
              <w:rPr>
                <w:rFonts w:ascii="Arial" w:hAnsi="Arial" w:cs="Arial"/>
              </w:rPr>
              <w:t>Infections associated with, or in close proximity to, a prosthetic device</w:t>
            </w:r>
          </w:p>
          <w:p w14:paraId="6297B5E2" w14:textId="77777777" w:rsidR="00E601E6" w:rsidRPr="000C4ABB" w:rsidRDefault="00E601E6" w:rsidP="00866790">
            <w:pPr>
              <w:pStyle w:val="TableBullet-H55"/>
              <w:rPr>
                <w:rFonts w:ascii="Arial" w:hAnsi="Arial" w:cs="Arial"/>
              </w:rPr>
            </w:pPr>
            <w:r w:rsidRPr="000C4ABB">
              <w:rPr>
                <w:rFonts w:ascii="Arial" w:hAnsi="Arial" w:cs="Arial"/>
              </w:rPr>
              <w:t>Severe sepsis or septic shock</w:t>
            </w:r>
          </w:p>
          <w:p w14:paraId="71298933" w14:textId="77777777" w:rsidR="00E601E6" w:rsidRPr="000C4ABB" w:rsidRDefault="00E601E6" w:rsidP="00866790">
            <w:pPr>
              <w:pStyle w:val="TableBullet-H55"/>
              <w:rPr>
                <w:rFonts w:ascii="Arial" w:hAnsi="Arial" w:cs="Arial"/>
              </w:rPr>
            </w:pPr>
            <w:r w:rsidRPr="000C4ABB">
              <w:rPr>
                <w:rFonts w:ascii="Arial" w:hAnsi="Arial" w:cs="Arial"/>
              </w:rPr>
              <w:t>Known bacteremia at time of screening</w:t>
            </w:r>
          </w:p>
          <w:p w14:paraId="61814B28" w14:textId="77777777" w:rsidR="00E601E6" w:rsidRPr="000C4ABB" w:rsidRDefault="00E601E6" w:rsidP="00866790">
            <w:pPr>
              <w:pStyle w:val="TableBullet-H55"/>
              <w:rPr>
                <w:rFonts w:ascii="Arial" w:hAnsi="Arial" w:cs="Arial"/>
              </w:rPr>
            </w:pPr>
            <w:r w:rsidRPr="000C4ABB">
              <w:rPr>
                <w:rFonts w:ascii="Arial" w:hAnsi="Arial" w:cs="Arial"/>
              </w:rPr>
              <w:t>ABSSSI due to or associated with:</w:t>
            </w:r>
          </w:p>
          <w:p w14:paraId="382D3172"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Gram-negative pathogens in patients with cellulitis/erysipelas or major cutaneous abscesses that require an antibiotic. Those with wound infections where Gram-negative adjunctive therapy is warranted could be enrolled if they met the other inclusion criteria</w:t>
            </w:r>
          </w:p>
          <w:p w14:paraId="38CEBC2E"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Diabetic foot infections, gangrene, or perianal abscess</w:t>
            </w:r>
          </w:p>
          <w:p w14:paraId="6E15FB69"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Concomitant infection at another site not including a secondary ABSSSI lesion</w:t>
            </w:r>
          </w:p>
          <w:p w14:paraId="5C5AEF04"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Infected burns</w:t>
            </w:r>
          </w:p>
          <w:p w14:paraId="279060AB"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 xml:space="preserve">Decubitus or chronic skin ulcer, or ischemic ulcer due to peripheral vascular disease </w:t>
            </w:r>
          </w:p>
          <w:p w14:paraId="68D94F65" w14:textId="77777777" w:rsidR="00E601E6" w:rsidRPr="000C4ABB" w:rsidRDefault="00E601E6" w:rsidP="00C24317">
            <w:pPr>
              <w:pStyle w:val="TableBullet-H55"/>
              <w:numPr>
                <w:ilvl w:val="1"/>
                <w:numId w:val="11"/>
              </w:numPr>
              <w:ind w:left="1277" w:hanging="567"/>
              <w:rPr>
                <w:rFonts w:ascii="Arial" w:hAnsi="Arial" w:cs="Arial"/>
              </w:rPr>
            </w:pPr>
            <w:r w:rsidRPr="000C4ABB">
              <w:rPr>
                <w:rFonts w:ascii="Arial" w:hAnsi="Arial" w:cs="Arial"/>
              </w:rPr>
              <w:t>Infected human or animal bites (arthropod bites were allowed)</w:t>
            </w:r>
          </w:p>
          <w:p w14:paraId="73C7B645" w14:textId="77777777" w:rsidR="00E601E6" w:rsidRPr="000C4ABB" w:rsidRDefault="00E601E6" w:rsidP="00866790">
            <w:pPr>
              <w:pStyle w:val="TableBullet-H55"/>
              <w:rPr>
                <w:rFonts w:ascii="Arial" w:hAnsi="Arial" w:cs="Arial"/>
              </w:rPr>
            </w:pPr>
            <w:r w:rsidRPr="000C4ABB">
              <w:rPr>
                <w:rFonts w:ascii="Arial" w:hAnsi="Arial" w:cs="Arial"/>
              </w:rPr>
              <w:t>Use of antibiotics:</w:t>
            </w:r>
          </w:p>
          <w:p w14:paraId="4FA87A70" w14:textId="6E9E00D0" w:rsidR="00E601E6" w:rsidRPr="000C4ABB" w:rsidRDefault="00E601E6" w:rsidP="00C24317">
            <w:pPr>
              <w:pStyle w:val="TableBullet"/>
              <w:numPr>
                <w:ilvl w:val="1"/>
                <w:numId w:val="11"/>
              </w:numPr>
              <w:rPr>
                <w:rFonts w:ascii="Arial" w:hAnsi="Arial" w:cs="Arial"/>
                <w:lang w:val="en-US"/>
              </w:rPr>
            </w:pPr>
            <w:r w:rsidRPr="000C4ABB">
              <w:rPr>
                <w:rFonts w:ascii="Arial" w:hAnsi="Arial" w:cs="Arial"/>
                <w:lang w:val="en-US"/>
              </w:rPr>
              <w:t>Systemic antibiotic with Gram-positive cocci activity within 96 hours before Dose 1 of study</w:t>
            </w:r>
            <w:r w:rsidR="001B0687">
              <w:rPr>
                <w:rFonts w:ascii="Arial" w:hAnsi="Arial" w:cs="Arial"/>
                <w:lang w:val="en-US"/>
              </w:rPr>
              <w:t xml:space="preserve"> medicine</w:t>
            </w:r>
            <w:r w:rsidRPr="000C4ABB">
              <w:rPr>
                <w:rFonts w:ascii="Arial" w:hAnsi="Arial" w:cs="Arial"/>
                <w:lang w:val="en-US"/>
              </w:rPr>
              <w:t xml:space="preserve"> </w:t>
            </w:r>
          </w:p>
          <w:p w14:paraId="0D6E00D1" w14:textId="77777777" w:rsidR="00E601E6" w:rsidRPr="000C4ABB" w:rsidRDefault="00E601E6" w:rsidP="00C24317">
            <w:pPr>
              <w:pStyle w:val="TableBullet"/>
              <w:numPr>
                <w:ilvl w:val="1"/>
                <w:numId w:val="11"/>
              </w:numPr>
              <w:rPr>
                <w:rFonts w:ascii="Arial" w:hAnsi="Arial" w:cs="Arial"/>
                <w:lang w:val="en-US"/>
              </w:rPr>
            </w:pPr>
            <w:r w:rsidRPr="000C4ABB">
              <w:rPr>
                <w:rFonts w:ascii="Arial" w:hAnsi="Arial" w:cs="Arial"/>
                <w:lang w:val="en-US"/>
              </w:rPr>
              <w:t xml:space="preserve">Patients who failed prior therapy for the primary infection site </w:t>
            </w:r>
          </w:p>
          <w:p w14:paraId="50221B81" w14:textId="77777777" w:rsidR="00E601E6" w:rsidRPr="000C4ABB" w:rsidRDefault="00E601E6" w:rsidP="00C24317">
            <w:pPr>
              <w:pStyle w:val="TableBullet"/>
              <w:numPr>
                <w:ilvl w:val="1"/>
                <w:numId w:val="11"/>
              </w:numPr>
              <w:rPr>
                <w:rFonts w:ascii="Arial" w:hAnsi="Arial" w:cs="Arial"/>
                <w:lang w:val="en-US"/>
              </w:rPr>
            </w:pPr>
            <w:r w:rsidRPr="000C4ABB">
              <w:rPr>
                <w:rFonts w:ascii="Arial" w:hAnsi="Arial" w:cs="Arial"/>
                <w:lang w:val="en-US"/>
              </w:rPr>
              <w:t>Topical antibiotic on the primary lesion for antibiotic/antiseptic-coated dressing applied to clean, postsurgical wound</w:t>
            </w:r>
          </w:p>
          <w:p w14:paraId="47860BF0" w14:textId="77777777" w:rsidR="00E601E6" w:rsidRPr="000C4ABB" w:rsidRDefault="00E601E6" w:rsidP="00866790">
            <w:pPr>
              <w:pStyle w:val="TableBullet-H55"/>
              <w:rPr>
                <w:rFonts w:ascii="Arial" w:hAnsi="Arial" w:cs="Arial"/>
              </w:rPr>
            </w:pPr>
            <w:r w:rsidRPr="000C4ABB">
              <w:rPr>
                <w:rFonts w:ascii="Arial" w:eastAsia="TimesNewRoman" w:hAnsi="Arial" w:cs="Arial"/>
              </w:rPr>
              <w:t>Use of (within 14 days of Dose 1): MAOIs, SSRIs, tricyclic antidepressants, and serotonin 5-hydroxytryptamine (5-HT</w:t>
            </w:r>
            <w:r w:rsidRPr="000C4ABB">
              <w:rPr>
                <w:rStyle w:val="BodyText-SubScript"/>
                <w:rFonts w:ascii="Arial" w:eastAsia="TimesNewRoman" w:hAnsi="Arial" w:cs="Arial"/>
                <w:sz w:val="16"/>
                <w:szCs w:val="16"/>
              </w:rPr>
              <w:t>1</w:t>
            </w:r>
            <w:r w:rsidRPr="000C4ABB">
              <w:rPr>
                <w:rFonts w:ascii="Arial" w:eastAsia="TimesNewRoman" w:hAnsi="Arial" w:cs="Arial"/>
              </w:rPr>
              <w:t>) receptor agonists (triptans), meperidine, or buspirone</w:t>
            </w:r>
            <w:r w:rsidRPr="000C4ABB">
              <w:rPr>
                <w:rFonts w:ascii="Arial" w:eastAsiaTheme="minorHAnsi" w:hAnsi="Arial" w:cs="Arial"/>
              </w:rPr>
              <w:t xml:space="preserve"> </w:t>
            </w:r>
          </w:p>
        </w:tc>
        <w:tc>
          <w:tcPr>
            <w:tcW w:w="624" w:type="pct"/>
            <w:vAlign w:val="top"/>
            <w:hideMark/>
          </w:tcPr>
          <w:p w14:paraId="7C84DB7D"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Tedizolid phosphate (N=332):</w:t>
            </w:r>
          </w:p>
          <w:p w14:paraId="0FE53A6E" w14:textId="77777777" w:rsidR="00E601E6" w:rsidRPr="000C4ABB" w:rsidRDefault="00E601E6" w:rsidP="00866790">
            <w:pPr>
              <w:pStyle w:val="TableBullet-H55"/>
              <w:rPr>
                <w:rFonts w:ascii="Arial" w:hAnsi="Arial" w:cs="Arial"/>
              </w:rPr>
            </w:pPr>
            <w:r w:rsidRPr="000C4ABB">
              <w:rPr>
                <w:rFonts w:ascii="Arial" w:hAnsi="Arial" w:cs="Arial"/>
              </w:rPr>
              <w:t xml:space="preserve">Oral tedizolid phosphate 200 mg once-daily for 6 days followed by 4 days of matching placebo </w:t>
            </w:r>
          </w:p>
          <w:p w14:paraId="67FF56B7"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Linezolid (N=335):</w:t>
            </w:r>
          </w:p>
          <w:p w14:paraId="49AE92A1" w14:textId="77777777" w:rsidR="00E601E6" w:rsidRPr="000C4ABB" w:rsidRDefault="00E601E6" w:rsidP="00866790">
            <w:pPr>
              <w:pStyle w:val="TableBullet-H55"/>
              <w:rPr>
                <w:rFonts w:ascii="Arial" w:hAnsi="Arial" w:cs="Arial"/>
              </w:rPr>
            </w:pPr>
            <w:r w:rsidRPr="000C4ABB">
              <w:rPr>
                <w:rFonts w:ascii="Arial" w:hAnsi="Arial" w:cs="Arial"/>
              </w:rPr>
              <w:t xml:space="preserve">Oral linezolid 600 mg twice-daily for 10 days </w:t>
            </w:r>
          </w:p>
        </w:tc>
        <w:tc>
          <w:tcPr>
            <w:tcW w:w="982" w:type="pct"/>
            <w:vAlign w:val="top"/>
            <w:hideMark/>
          </w:tcPr>
          <w:p w14:paraId="493C16C2"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Primary:</w:t>
            </w:r>
          </w:p>
          <w:p w14:paraId="2141FC60" w14:textId="77777777" w:rsidR="00E601E6" w:rsidRPr="000C4ABB" w:rsidRDefault="00E601E6" w:rsidP="00A818D1">
            <w:pPr>
              <w:pStyle w:val="TableBodyText-H54"/>
              <w:rPr>
                <w:rFonts w:ascii="Arial" w:hAnsi="Arial" w:cs="Arial"/>
                <w:szCs w:val="16"/>
                <w:lang w:val="en-US" w:eastAsia="en-GB"/>
              </w:rPr>
            </w:pPr>
            <w:r w:rsidRPr="000C4ABB">
              <w:rPr>
                <w:rFonts w:ascii="Arial" w:hAnsi="Arial" w:cs="Arial"/>
                <w:szCs w:val="16"/>
                <w:lang w:val="en-US" w:eastAsia="en-GB"/>
              </w:rPr>
              <w:t>Non-inferiority of oral tedizolid phosphate compared with oral linezolid in the early clinical response, defined as cessation of spread of primary ABSSSI lesion compared with baseline as well as a temperature of ≤37.6°C at two consecutive visits taken within 24 hours, at the 48 Hour to 72 Hour Visit</w:t>
            </w:r>
          </w:p>
          <w:p w14:paraId="7B7BB7ED"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Secondary:</w:t>
            </w:r>
          </w:p>
          <w:p w14:paraId="544C031F" w14:textId="77777777" w:rsidR="00E601E6" w:rsidRPr="000C4ABB" w:rsidRDefault="00E601E6" w:rsidP="00866790">
            <w:pPr>
              <w:pStyle w:val="TableBullet-H55"/>
              <w:rPr>
                <w:rFonts w:ascii="Arial" w:eastAsia="MS Mincho" w:hAnsi="Arial" w:cs="Arial"/>
              </w:rPr>
            </w:pPr>
            <w:r w:rsidRPr="000C4ABB">
              <w:rPr>
                <w:rFonts w:ascii="Arial" w:hAnsi="Arial" w:cs="Arial"/>
              </w:rPr>
              <w:t xml:space="preserve">Sustained clinical response at the EOT Visit </w:t>
            </w:r>
            <w:r w:rsidRPr="000C4ABB">
              <w:rPr>
                <w:rFonts w:ascii="Arial" w:eastAsia="TimesNewRoman" w:hAnsi="Arial" w:cs="Arial"/>
              </w:rPr>
              <w:t xml:space="preserve">Investigator’s assessment of clinical success at the PTE Visit </w:t>
            </w:r>
          </w:p>
          <w:p w14:paraId="03209834" w14:textId="77777777" w:rsidR="00E601E6" w:rsidRPr="000C4ABB" w:rsidRDefault="00E601E6" w:rsidP="00866790">
            <w:pPr>
              <w:pStyle w:val="TableBullet-H55"/>
              <w:rPr>
                <w:rFonts w:ascii="Arial" w:eastAsia="MS Mincho" w:hAnsi="Arial" w:cs="Arial"/>
              </w:rPr>
            </w:pPr>
            <w:r w:rsidRPr="000C4ABB">
              <w:rPr>
                <w:rFonts w:ascii="Arial" w:eastAsia="TimesNewRoman" w:hAnsi="Arial" w:cs="Arial"/>
              </w:rPr>
              <w:t>Investigator’s assessment of clinical response at the 48 Hour to 72 Hour Visit and Day 7 Visit</w:t>
            </w:r>
          </w:p>
          <w:p w14:paraId="147BB180" w14:textId="77777777" w:rsidR="00E601E6" w:rsidRPr="000C4ABB" w:rsidRDefault="00E601E6" w:rsidP="00866790">
            <w:pPr>
              <w:pStyle w:val="TableBullet-H55"/>
              <w:rPr>
                <w:rFonts w:ascii="Arial" w:eastAsia="MS Mincho" w:hAnsi="Arial" w:cs="Arial"/>
              </w:rPr>
            </w:pPr>
            <w:r w:rsidRPr="000C4ABB">
              <w:rPr>
                <w:rFonts w:ascii="Arial" w:hAnsi="Arial" w:cs="Arial"/>
              </w:rPr>
              <w:t>Change from baseline in pain scores at each time point</w:t>
            </w:r>
          </w:p>
          <w:p w14:paraId="68552E3A" w14:textId="77777777" w:rsidR="00E601E6" w:rsidRPr="000C4ABB" w:rsidRDefault="00E601E6" w:rsidP="00866790">
            <w:pPr>
              <w:pStyle w:val="TableBullet-H55"/>
              <w:rPr>
                <w:rFonts w:ascii="Arial" w:eastAsia="MS Mincho" w:hAnsi="Arial" w:cs="Arial"/>
              </w:rPr>
            </w:pPr>
            <w:r w:rsidRPr="000C4ABB">
              <w:rPr>
                <w:rFonts w:ascii="Arial" w:hAnsi="Arial" w:cs="Arial"/>
              </w:rPr>
              <w:t>Change from baseline in lesion size, assessment of local signs and symptoms, and systemic signs (lymphadenopathy, percentage immature neutrophils, and WBC count)</w:t>
            </w:r>
          </w:p>
        </w:tc>
        <w:tc>
          <w:tcPr>
            <w:tcW w:w="668" w:type="pct"/>
            <w:vAlign w:val="top"/>
          </w:tcPr>
          <w:p w14:paraId="71D2E7E2" w14:textId="2F07A2EC" w:rsidR="00E601E6" w:rsidRPr="00BA604A" w:rsidRDefault="00B6358E" w:rsidP="0050068F">
            <w:pPr>
              <w:pStyle w:val="TableHeading-H56"/>
              <w:rPr>
                <w:rFonts w:ascii="Arial" w:hAnsi="Arial" w:cs="Arial"/>
                <w:b w:val="0"/>
                <w:szCs w:val="16"/>
                <w:lang w:val="en-US" w:eastAsia="en-GB"/>
              </w:rPr>
            </w:pPr>
            <w:r w:rsidRPr="00BA604A">
              <w:rPr>
                <w:rFonts w:ascii="Arial" w:hAnsi="Arial" w:cs="Arial"/>
                <w:b w:val="0"/>
                <w:szCs w:val="16"/>
                <w:lang w:val="en-US" w:eastAsia="en-GB"/>
              </w:rPr>
              <w:t>Prokocimer P, De Anda, C, Fang E, Mehra P and Das A. Tedizolid Phosphate vs Linezolid for the Treatment of Acute Bacterial Skin and Skin Structure Infections The ESTABLISH-1 Randomized Trial.</w:t>
            </w:r>
            <w:r w:rsidR="008B0AFA" w:rsidRPr="00BA604A">
              <w:rPr>
                <w:rFonts w:ascii="Arial" w:hAnsi="Arial" w:cs="Arial"/>
                <w:b w:val="0"/>
                <w:szCs w:val="16"/>
                <w:lang w:val="en-US" w:eastAsia="en-GB"/>
              </w:rPr>
              <w:t xml:space="preserve"> JAMA February 13, 2013. Vol 309(6): 559-569.</w:t>
            </w:r>
            <w:r w:rsidR="00A9019C">
              <w:rPr>
                <w:rFonts w:ascii="Arial" w:hAnsi="Arial" w:cs="Arial"/>
                <w:b w:val="0"/>
                <w:szCs w:val="16"/>
                <w:lang w:val="en-US" w:eastAsia="en-GB"/>
              </w:rPr>
              <w:t xml:space="preserve"> (</w:t>
            </w:r>
            <w:r w:rsidR="0050068F">
              <w:rPr>
                <w:rFonts w:ascii="Arial" w:hAnsi="Arial" w:cs="Arial"/>
                <w:b w:val="0"/>
                <w:szCs w:val="16"/>
                <w:lang w:val="en-US" w:eastAsia="en-GB"/>
              </w:rPr>
              <w:fldChar w:fldCharType="begin"/>
            </w:r>
            <w:r w:rsidR="0050068F">
              <w:rPr>
                <w:rFonts w:ascii="Arial" w:hAnsi="Arial" w:cs="Arial"/>
                <w:b w:val="0"/>
                <w:szCs w:val="16"/>
                <w:lang w:val="en-US" w:eastAsia="en-GB"/>
              </w:rPr>
              <w:instrText xml:space="preserve"> REF _Ref284485242 \r \h </w:instrText>
            </w:r>
            <w:r w:rsidR="0050068F">
              <w:rPr>
                <w:rFonts w:ascii="Arial" w:hAnsi="Arial" w:cs="Arial"/>
                <w:b w:val="0"/>
                <w:szCs w:val="16"/>
                <w:lang w:val="en-US" w:eastAsia="en-GB"/>
              </w:rPr>
            </w:r>
            <w:r w:rsidR="0050068F">
              <w:rPr>
                <w:rFonts w:ascii="Arial" w:hAnsi="Arial" w:cs="Arial"/>
                <w:b w:val="0"/>
                <w:szCs w:val="16"/>
                <w:lang w:val="en-US" w:eastAsia="en-GB"/>
              </w:rPr>
              <w:fldChar w:fldCharType="separate"/>
            </w:r>
            <w:r w:rsidR="00151A1C">
              <w:rPr>
                <w:rFonts w:ascii="Arial" w:hAnsi="Arial" w:cs="Arial"/>
                <w:b w:val="0"/>
                <w:szCs w:val="16"/>
                <w:lang w:val="en-US" w:eastAsia="en-GB"/>
              </w:rPr>
              <w:t>38</w:t>
            </w:r>
            <w:r w:rsidR="0050068F">
              <w:rPr>
                <w:rFonts w:ascii="Arial" w:hAnsi="Arial" w:cs="Arial"/>
                <w:b w:val="0"/>
                <w:szCs w:val="16"/>
                <w:lang w:val="en-US" w:eastAsia="en-GB"/>
              </w:rPr>
              <w:fldChar w:fldCharType="end"/>
            </w:r>
            <w:r w:rsidR="00A9019C">
              <w:rPr>
                <w:rFonts w:ascii="Arial" w:hAnsi="Arial" w:cs="Arial"/>
                <w:b w:val="0"/>
                <w:szCs w:val="16"/>
                <w:lang w:val="en-US" w:eastAsia="en-GB"/>
              </w:rPr>
              <w:t>)</w:t>
            </w:r>
          </w:p>
        </w:tc>
      </w:tr>
      <w:tr w:rsidR="000C4ABB" w:rsidRPr="00A62B3C" w14:paraId="762FEDBB" w14:textId="4316C6C2" w:rsidTr="00D97149">
        <w:trPr>
          <w:cnfStyle w:val="000000010000" w:firstRow="0" w:lastRow="0" w:firstColumn="0" w:lastColumn="0" w:oddVBand="0" w:evenVBand="0" w:oddHBand="0" w:evenHBand="1" w:firstRowFirstColumn="0" w:firstRowLastColumn="0" w:lastRowFirstColumn="0" w:lastRowLastColumn="0"/>
          <w:trHeight w:val="2878"/>
        </w:trPr>
        <w:tc>
          <w:tcPr>
            <w:tcW w:w="402" w:type="pct"/>
            <w:vAlign w:val="top"/>
            <w:hideMark/>
          </w:tcPr>
          <w:p w14:paraId="479D568E" w14:textId="1F41E049" w:rsidR="00E601E6" w:rsidRPr="000C4ABB" w:rsidRDefault="00E601E6" w:rsidP="00A818D1">
            <w:pPr>
              <w:pStyle w:val="TableBodyText-H54"/>
              <w:rPr>
                <w:rFonts w:ascii="Arial" w:hAnsi="Arial" w:cs="Arial"/>
                <w:b/>
                <w:szCs w:val="16"/>
                <w:lang w:val="en-US" w:eastAsia="en-GB"/>
              </w:rPr>
            </w:pPr>
            <w:r w:rsidRPr="000C4ABB">
              <w:rPr>
                <w:rFonts w:ascii="Arial" w:hAnsi="Arial" w:cs="Arial"/>
                <w:b/>
                <w:szCs w:val="16"/>
                <w:lang w:val="en-US" w:eastAsia="en-GB"/>
              </w:rPr>
              <w:t>ESTABLISH-2</w:t>
            </w:r>
            <w:r w:rsidR="004A0111">
              <w:rPr>
                <w:rFonts w:ascii="Arial" w:hAnsi="Arial" w:cs="Arial"/>
                <w:b/>
                <w:szCs w:val="16"/>
                <w:lang w:val="en-US"/>
              </w:rPr>
              <w:t xml:space="preserve"> </w:t>
            </w:r>
            <w:r w:rsidRPr="000C4ABB">
              <w:rPr>
                <w:rFonts w:ascii="Arial" w:hAnsi="Arial" w:cs="Arial"/>
                <w:b/>
                <w:szCs w:val="16"/>
                <w:lang w:val="en-US"/>
              </w:rPr>
              <w:t xml:space="preserve"> </w:t>
            </w:r>
          </w:p>
          <w:p w14:paraId="7A0E50E3" w14:textId="77777777" w:rsidR="00E601E6" w:rsidRPr="000C4ABB" w:rsidRDefault="00E601E6" w:rsidP="00A818D1">
            <w:pPr>
              <w:pStyle w:val="TableBodyText-H54"/>
              <w:rPr>
                <w:rFonts w:ascii="Arial" w:hAnsi="Arial" w:cs="Arial"/>
                <w:szCs w:val="16"/>
                <w:lang w:val="en-US" w:eastAsia="en-GB"/>
              </w:rPr>
            </w:pPr>
          </w:p>
        </w:tc>
        <w:tc>
          <w:tcPr>
            <w:tcW w:w="491" w:type="pct"/>
            <w:vAlign w:val="top"/>
          </w:tcPr>
          <w:p w14:paraId="54E6C6E0" w14:textId="1C3D2EF3" w:rsidR="00E601E6" w:rsidRPr="000C4ABB" w:rsidRDefault="00830AF7" w:rsidP="00A818D1">
            <w:pPr>
              <w:pStyle w:val="TableHeading-H56"/>
              <w:rPr>
                <w:rFonts w:ascii="Arial" w:hAnsi="Arial" w:cs="Arial"/>
                <w:b w:val="0"/>
                <w:szCs w:val="16"/>
                <w:lang w:val="en-US" w:eastAsia="en-GB"/>
              </w:rPr>
            </w:pPr>
            <w:r w:rsidRPr="000C4ABB">
              <w:rPr>
                <w:rFonts w:ascii="Arial" w:hAnsi="Arial" w:cs="Arial"/>
                <w:b w:val="0"/>
                <w:szCs w:val="16"/>
                <w:lang w:val="en-US"/>
              </w:rPr>
              <w:t>A</w:t>
            </w:r>
            <w:r w:rsidR="00E601E6" w:rsidRPr="000C4ABB">
              <w:rPr>
                <w:rFonts w:ascii="Arial" w:eastAsia="TimesNewRoman" w:hAnsi="Arial" w:cs="Arial"/>
                <w:b w:val="0"/>
                <w:szCs w:val="16"/>
                <w:lang w:val="en-US" w:eastAsia="en-GB"/>
              </w:rPr>
              <w:t xml:space="preserve"> </w:t>
            </w:r>
            <w:r w:rsidR="00E601E6" w:rsidRPr="000C4ABB">
              <w:rPr>
                <w:rFonts w:ascii="Arial" w:eastAsia="TimesNewRoman" w:hAnsi="Arial" w:cs="Arial"/>
                <w:b w:val="0"/>
                <w:szCs w:val="16"/>
                <w:lang w:val="en-US"/>
              </w:rPr>
              <w:t>Ph</w:t>
            </w:r>
            <w:r w:rsidRPr="000C4ABB">
              <w:rPr>
                <w:rFonts w:ascii="Arial" w:eastAsia="TimesNewRoman" w:hAnsi="Arial" w:cs="Arial"/>
                <w:b w:val="0"/>
                <w:szCs w:val="16"/>
                <w:lang w:val="en-US"/>
              </w:rPr>
              <w:t>ase 3, non-inferiority, randomis</w:t>
            </w:r>
            <w:r w:rsidR="00E601E6" w:rsidRPr="000C4ABB">
              <w:rPr>
                <w:rFonts w:ascii="Arial" w:eastAsia="TimesNewRoman" w:hAnsi="Arial" w:cs="Arial"/>
                <w:b w:val="0"/>
                <w:szCs w:val="16"/>
                <w:lang w:val="en-US"/>
              </w:rPr>
              <w:t xml:space="preserve">ed, two-arm, parallel group, double-blind, </w:t>
            </w:r>
            <w:r w:rsidR="0023798D" w:rsidRPr="000C4ABB">
              <w:rPr>
                <w:rFonts w:ascii="Arial" w:eastAsia="TimesNewRoman" w:hAnsi="Arial" w:cs="Arial"/>
                <w:b w:val="0"/>
                <w:szCs w:val="16"/>
                <w:lang w:val="en-US"/>
              </w:rPr>
              <w:t>double-dummy, global, multicent</w:t>
            </w:r>
            <w:r w:rsidR="00E601E6" w:rsidRPr="000C4ABB">
              <w:rPr>
                <w:rFonts w:ascii="Arial" w:eastAsia="TimesNewRoman" w:hAnsi="Arial" w:cs="Arial"/>
                <w:b w:val="0"/>
                <w:szCs w:val="16"/>
                <w:lang w:val="en-US"/>
              </w:rPr>
              <w:t>r</w:t>
            </w:r>
            <w:r w:rsidR="0023798D" w:rsidRPr="000C4ABB">
              <w:rPr>
                <w:rFonts w:ascii="Arial" w:eastAsia="TimesNewRoman" w:hAnsi="Arial" w:cs="Arial"/>
                <w:b w:val="0"/>
                <w:szCs w:val="16"/>
                <w:lang w:val="en-US"/>
              </w:rPr>
              <w:t>e</w:t>
            </w:r>
            <w:r w:rsidR="00E601E6" w:rsidRPr="000C4ABB">
              <w:rPr>
                <w:rFonts w:ascii="Arial" w:eastAsia="TimesNewRoman" w:hAnsi="Arial" w:cs="Arial"/>
                <w:b w:val="0"/>
                <w:szCs w:val="16"/>
                <w:lang w:val="en-US"/>
              </w:rPr>
              <w:t xml:space="preserve"> study</w:t>
            </w:r>
          </w:p>
        </w:tc>
        <w:tc>
          <w:tcPr>
            <w:tcW w:w="1833" w:type="pct"/>
            <w:vAlign w:val="top"/>
            <w:hideMark/>
          </w:tcPr>
          <w:p w14:paraId="1242035D" w14:textId="35107F0C"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Key inclusion criteria:</w:t>
            </w:r>
          </w:p>
          <w:p w14:paraId="0987B3AC" w14:textId="77777777" w:rsidR="00E601E6" w:rsidRPr="000C4ABB" w:rsidRDefault="00E601E6" w:rsidP="00866790">
            <w:pPr>
              <w:pStyle w:val="TableBullet-H55"/>
              <w:rPr>
                <w:rFonts w:ascii="Arial" w:hAnsi="Arial" w:cs="Arial"/>
              </w:rPr>
            </w:pPr>
            <w:r w:rsidRPr="000C4ABB">
              <w:rPr>
                <w:rFonts w:ascii="Arial" w:hAnsi="Arial" w:cs="Arial"/>
              </w:rPr>
              <w:t xml:space="preserve">Males or females ≥12 years of age </w:t>
            </w:r>
          </w:p>
          <w:p w14:paraId="36047965" w14:textId="77777777" w:rsidR="00E601E6" w:rsidRPr="000C4ABB" w:rsidRDefault="00E601E6" w:rsidP="00866790">
            <w:pPr>
              <w:pStyle w:val="TableBullet-H55"/>
              <w:rPr>
                <w:rFonts w:ascii="Arial" w:hAnsi="Arial" w:cs="Arial"/>
              </w:rPr>
            </w:pPr>
            <w:r w:rsidRPr="000C4ABB">
              <w:rPr>
                <w:rFonts w:ascii="Arial" w:hAnsi="Arial" w:cs="Arial"/>
              </w:rPr>
              <w:t>ABSSSI meeting at least one of the following clinical syndromes and requiring systemic oral antibiotic therapy (local symptoms must have started within 7 days before the screening visit):</w:t>
            </w:r>
          </w:p>
          <w:p w14:paraId="64B1DC19" w14:textId="77777777" w:rsidR="00E601E6" w:rsidRPr="000C4ABB" w:rsidRDefault="00E601E6" w:rsidP="00C24317">
            <w:pPr>
              <w:pStyle w:val="TableBullet-H55"/>
              <w:numPr>
                <w:ilvl w:val="1"/>
                <w:numId w:val="11"/>
              </w:numPr>
              <w:ind w:left="1134" w:hanging="425"/>
              <w:rPr>
                <w:rFonts w:ascii="Arial" w:hAnsi="Arial" w:cs="Arial"/>
              </w:rPr>
            </w:pPr>
            <w:r w:rsidRPr="000C4ABB">
              <w:rPr>
                <w:rFonts w:ascii="Arial" w:hAnsi="Arial" w:cs="Arial"/>
              </w:rPr>
              <w:t>Cellulitis/erysipelas</w:t>
            </w:r>
          </w:p>
          <w:p w14:paraId="1655A511" w14:textId="77777777" w:rsidR="00E601E6" w:rsidRPr="000C4ABB" w:rsidRDefault="00E601E6" w:rsidP="00C24317">
            <w:pPr>
              <w:pStyle w:val="TableBullet-H55"/>
              <w:numPr>
                <w:ilvl w:val="1"/>
                <w:numId w:val="11"/>
              </w:numPr>
              <w:ind w:left="1134" w:hanging="425"/>
              <w:rPr>
                <w:rFonts w:ascii="Arial" w:hAnsi="Arial" w:cs="Arial"/>
              </w:rPr>
            </w:pPr>
            <w:r w:rsidRPr="000C4ABB">
              <w:rPr>
                <w:rFonts w:ascii="Arial" w:hAnsi="Arial" w:cs="Arial"/>
              </w:rPr>
              <w:t>Major cutaneous abscess</w:t>
            </w:r>
          </w:p>
          <w:p w14:paraId="6EAA4BEC" w14:textId="77777777" w:rsidR="00E601E6" w:rsidRPr="000C4ABB" w:rsidRDefault="00E601E6" w:rsidP="00C24317">
            <w:pPr>
              <w:pStyle w:val="TableBullet-H55"/>
              <w:numPr>
                <w:ilvl w:val="1"/>
                <w:numId w:val="11"/>
              </w:numPr>
              <w:ind w:left="1134" w:hanging="425"/>
              <w:rPr>
                <w:rFonts w:ascii="Arial" w:hAnsi="Arial" w:cs="Arial"/>
              </w:rPr>
            </w:pPr>
            <w:r w:rsidRPr="000C4ABB">
              <w:rPr>
                <w:rFonts w:ascii="Arial" w:hAnsi="Arial" w:cs="Arial"/>
              </w:rPr>
              <w:t>Wound infection</w:t>
            </w:r>
          </w:p>
          <w:p w14:paraId="162F9945" w14:textId="77777777" w:rsidR="00E601E6" w:rsidRPr="000C4ABB" w:rsidRDefault="00E601E6" w:rsidP="00866790">
            <w:pPr>
              <w:pStyle w:val="TableBullet-H55"/>
              <w:rPr>
                <w:rFonts w:ascii="Arial" w:hAnsi="Arial" w:cs="Arial"/>
              </w:rPr>
            </w:pPr>
            <w:r w:rsidRPr="000C4ABB">
              <w:rPr>
                <w:rFonts w:ascii="Arial" w:hAnsi="Arial" w:cs="Arial"/>
              </w:rPr>
              <w:t>Suspected or documented Gram-positive infection from baseline Gram stain or culture</w:t>
            </w:r>
          </w:p>
          <w:p w14:paraId="3B179B59" w14:textId="77777777" w:rsidR="00E601E6" w:rsidRPr="000C4ABB" w:rsidRDefault="00E601E6" w:rsidP="00866790">
            <w:pPr>
              <w:pStyle w:val="TableBullet-H55"/>
              <w:rPr>
                <w:rFonts w:ascii="Arial" w:hAnsi="Arial" w:cs="Arial"/>
              </w:rPr>
            </w:pPr>
            <w:r w:rsidRPr="000C4ABB">
              <w:rPr>
                <w:rFonts w:ascii="Arial" w:hAnsi="Arial" w:cs="Arial"/>
              </w:rPr>
              <w:t>Patient able to give informed consent and willing to comply with all required study procedures</w:t>
            </w:r>
          </w:p>
          <w:p w14:paraId="13AF706A" w14:textId="05169906" w:rsidR="00E601E6" w:rsidRPr="000C4ABB" w:rsidRDefault="00E601E6" w:rsidP="00866790">
            <w:pPr>
              <w:pStyle w:val="TableBullet-H55"/>
              <w:rPr>
                <w:rFonts w:ascii="Arial" w:hAnsi="Arial" w:cs="Arial"/>
              </w:rPr>
            </w:pPr>
            <w:r w:rsidRPr="000C4ABB">
              <w:rPr>
                <w:rFonts w:ascii="Arial" w:hAnsi="Arial" w:cs="Arial"/>
              </w:rPr>
              <w:t xml:space="preserve">Patients to grant adequate venous access for a minimum of 2 IV doses of study </w:t>
            </w:r>
            <w:r w:rsidR="001B0687">
              <w:rPr>
                <w:rFonts w:ascii="Arial" w:hAnsi="Arial" w:cs="Arial"/>
              </w:rPr>
              <w:t>medicine</w:t>
            </w:r>
          </w:p>
          <w:p w14:paraId="4C784622"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Key exclusion criteria:</w:t>
            </w:r>
          </w:p>
          <w:p w14:paraId="3D2765F6" w14:textId="77777777" w:rsidR="00E601E6" w:rsidRPr="000C4ABB" w:rsidRDefault="00E601E6" w:rsidP="00866790">
            <w:pPr>
              <w:pStyle w:val="TableBullet-H55"/>
              <w:rPr>
                <w:rFonts w:ascii="Arial" w:hAnsi="Arial" w:cs="Arial"/>
              </w:rPr>
            </w:pPr>
            <w:r w:rsidRPr="000C4ABB">
              <w:rPr>
                <w:rFonts w:ascii="Arial" w:hAnsi="Arial" w:cs="Arial"/>
              </w:rPr>
              <w:t xml:space="preserve">uSSSI such as furuncles, minor abscesses, impetiginous lesions, superficial, or limited cellulitis/erysipelas, and minor wound infections </w:t>
            </w:r>
          </w:p>
          <w:p w14:paraId="2B7F5F84" w14:textId="77777777" w:rsidR="00E601E6" w:rsidRPr="000C4ABB" w:rsidRDefault="00E601E6" w:rsidP="00866790">
            <w:pPr>
              <w:pStyle w:val="TableBullet-H55"/>
              <w:rPr>
                <w:rFonts w:ascii="Arial" w:hAnsi="Arial" w:cs="Arial"/>
              </w:rPr>
            </w:pPr>
            <w:r w:rsidRPr="000C4ABB">
              <w:rPr>
                <w:rFonts w:ascii="Arial" w:hAnsi="Arial" w:cs="Arial"/>
              </w:rPr>
              <w:t>Infections associated with, or in close proximity to, a prosthetic device</w:t>
            </w:r>
          </w:p>
          <w:p w14:paraId="508019ED" w14:textId="77777777" w:rsidR="00E601E6" w:rsidRPr="000C4ABB" w:rsidRDefault="00E601E6" w:rsidP="00866790">
            <w:pPr>
              <w:pStyle w:val="TableBullet-H55"/>
              <w:rPr>
                <w:rFonts w:ascii="Arial" w:hAnsi="Arial" w:cs="Arial"/>
              </w:rPr>
            </w:pPr>
            <w:r w:rsidRPr="000C4ABB">
              <w:rPr>
                <w:rFonts w:ascii="Arial" w:hAnsi="Arial" w:cs="Arial"/>
              </w:rPr>
              <w:t>Severe sepsis or septic shock</w:t>
            </w:r>
          </w:p>
          <w:p w14:paraId="5D6F842B" w14:textId="77777777" w:rsidR="00E601E6" w:rsidRPr="000C4ABB" w:rsidRDefault="00E601E6" w:rsidP="00866790">
            <w:pPr>
              <w:pStyle w:val="TableBullet-H55"/>
              <w:rPr>
                <w:rFonts w:ascii="Arial" w:hAnsi="Arial" w:cs="Arial"/>
              </w:rPr>
            </w:pPr>
            <w:r w:rsidRPr="000C4ABB">
              <w:rPr>
                <w:rFonts w:ascii="Arial" w:hAnsi="Arial" w:cs="Arial"/>
              </w:rPr>
              <w:t>Known bacteremia at time of screening</w:t>
            </w:r>
          </w:p>
          <w:p w14:paraId="1A2E551E" w14:textId="77777777" w:rsidR="00E601E6" w:rsidRPr="000C4ABB" w:rsidRDefault="00E601E6" w:rsidP="00866790">
            <w:pPr>
              <w:pStyle w:val="TableBullet-H55"/>
              <w:rPr>
                <w:rFonts w:ascii="Arial" w:hAnsi="Arial" w:cs="Arial"/>
              </w:rPr>
            </w:pPr>
            <w:r w:rsidRPr="000C4ABB">
              <w:rPr>
                <w:rFonts w:ascii="Arial" w:hAnsi="Arial" w:cs="Arial"/>
              </w:rPr>
              <w:t>ABSSSI due to or associated with:</w:t>
            </w:r>
          </w:p>
          <w:p w14:paraId="7E841E29" w14:textId="77777777" w:rsidR="00E601E6" w:rsidRPr="00094DBD" w:rsidRDefault="00E601E6" w:rsidP="00C24317">
            <w:pPr>
              <w:pStyle w:val="TableBullet"/>
              <w:numPr>
                <w:ilvl w:val="1"/>
                <w:numId w:val="11"/>
              </w:numPr>
              <w:ind w:left="1134" w:hanging="425"/>
              <w:rPr>
                <w:rFonts w:ascii="Arial" w:hAnsi="Arial" w:cs="Arial"/>
                <w:lang w:val="en-US"/>
              </w:rPr>
            </w:pPr>
            <w:r w:rsidRPr="000C4ABB">
              <w:rPr>
                <w:rFonts w:ascii="Arial" w:hAnsi="Arial" w:cs="Arial"/>
                <w:lang w:val="en-US"/>
              </w:rPr>
              <w:t xml:space="preserve">Gram-negative pathogens in patients with cellulitis/erysipelas or major cutaneous abscesses that require an antibiotic. Those with wound infections where Gram-negative adjunctive therapy </w:t>
            </w:r>
            <w:r w:rsidRPr="00094DBD">
              <w:rPr>
                <w:rFonts w:ascii="Arial" w:hAnsi="Arial" w:cs="Arial"/>
                <w:lang w:val="en-US"/>
              </w:rPr>
              <w:t>is warranted could be enrolled if they met the other inclusion criteria</w:t>
            </w:r>
          </w:p>
          <w:p w14:paraId="2D8608ED" w14:textId="77777777" w:rsidR="00E601E6" w:rsidRPr="00094DBD"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t>Diabetic foot infections, gangrene, or perianal abscess</w:t>
            </w:r>
          </w:p>
          <w:p w14:paraId="0A1133A8" w14:textId="77777777" w:rsidR="00E601E6" w:rsidRPr="00094DBD"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t>Concomitant infection at another site not including a secondary ABSSSI lesion</w:t>
            </w:r>
          </w:p>
          <w:p w14:paraId="50F7796A" w14:textId="77777777" w:rsidR="00E601E6" w:rsidRPr="00094DBD"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t>Infected burns</w:t>
            </w:r>
          </w:p>
          <w:p w14:paraId="40F9B8FD" w14:textId="77777777" w:rsidR="00E601E6" w:rsidRPr="00094DBD"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t xml:space="preserve">Decubitus or chronic skin ulcer, or ischemic ulcer due to peripheral vascular disease </w:t>
            </w:r>
          </w:p>
          <w:p w14:paraId="473AA7D0" w14:textId="77777777" w:rsidR="00E601E6" w:rsidRPr="00094DBD"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lastRenderedPageBreak/>
              <w:t>Infected human or animal bites (arthropod bites were allowed)</w:t>
            </w:r>
          </w:p>
          <w:p w14:paraId="3044B19A" w14:textId="77777777" w:rsidR="00E601E6" w:rsidRPr="00094DBD" w:rsidRDefault="00E601E6" w:rsidP="00094DBD">
            <w:pPr>
              <w:pStyle w:val="TableBullet-H55"/>
              <w:rPr>
                <w:rFonts w:ascii="Arial" w:hAnsi="Arial"/>
              </w:rPr>
            </w:pPr>
            <w:r w:rsidRPr="00094DBD">
              <w:rPr>
                <w:rFonts w:ascii="Arial" w:hAnsi="Arial"/>
              </w:rPr>
              <w:t>Use of antibiotics:</w:t>
            </w:r>
          </w:p>
          <w:p w14:paraId="565E2F05" w14:textId="0CAB3EDC" w:rsidR="00E601E6" w:rsidRPr="000C4ABB" w:rsidRDefault="00E601E6" w:rsidP="00C24317">
            <w:pPr>
              <w:pStyle w:val="TableBullet"/>
              <w:numPr>
                <w:ilvl w:val="1"/>
                <w:numId w:val="11"/>
              </w:numPr>
              <w:ind w:left="1134" w:hanging="425"/>
              <w:rPr>
                <w:rFonts w:ascii="Arial" w:hAnsi="Arial" w:cs="Arial"/>
                <w:lang w:val="en-US"/>
              </w:rPr>
            </w:pPr>
            <w:r w:rsidRPr="00094DBD">
              <w:rPr>
                <w:rFonts w:ascii="Arial" w:hAnsi="Arial" w:cs="Arial"/>
                <w:lang w:val="en-US"/>
              </w:rPr>
              <w:t>Systemic antibiotic</w:t>
            </w:r>
            <w:r w:rsidRPr="000C4ABB">
              <w:rPr>
                <w:rFonts w:ascii="Arial" w:hAnsi="Arial" w:cs="Arial"/>
                <w:lang w:val="en-US"/>
              </w:rPr>
              <w:t xml:space="preserve"> with Gram-positive cocci activity within 96 hours before Dose 1 of study </w:t>
            </w:r>
            <w:r w:rsidR="001B0687">
              <w:rPr>
                <w:rFonts w:ascii="Arial" w:hAnsi="Arial" w:cs="Arial"/>
                <w:lang w:val="en-US"/>
              </w:rPr>
              <w:t>medicine</w:t>
            </w:r>
          </w:p>
          <w:p w14:paraId="763EB6FE" w14:textId="77777777" w:rsidR="00E601E6" w:rsidRPr="000C4ABB" w:rsidRDefault="00E601E6" w:rsidP="00C24317">
            <w:pPr>
              <w:pStyle w:val="TableBullet"/>
              <w:numPr>
                <w:ilvl w:val="1"/>
                <w:numId w:val="11"/>
              </w:numPr>
              <w:rPr>
                <w:rFonts w:ascii="Arial" w:hAnsi="Arial" w:cs="Arial"/>
                <w:lang w:val="en-US"/>
              </w:rPr>
            </w:pPr>
            <w:r w:rsidRPr="000C4ABB">
              <w:rPr>
                <w:rFonts w:ascii="Arial" w:hAnsi="Arial" w:cs="Arial"/>
                <w:lang w:val="en-US"/>
              </w:rPr>
              <w:t xml:space="preserve">Patients who failed prior therapy for the primary infection site </w:t>
            </w:r>
          </w:p>
          <w:p w14:paraId="5EFF28DB" w14:textId="77777777" w:rsidR="00E601E6" w:rsidRPr="000C4ABB" w:rsidRDefault="00E601E6" w:rsidP="00C24317">
            <w:pPr>
              <w:pStyle w:val="TableBullet"/>
              <w:numPr>
                <w:ilvl w:val="1"/>
                <w:numId w:val="11"/>
              </w:numPr>
              <w:rPr>
                <w:rFonts w:ascii="Arial" w:hAnsi="Arial" w:cs="Arial"/>
                <w:lang w:val="en-US"/>
              </w:rPr>
            </w:pPr>
            <w:r w:rsidRPr="000C4ABB">
              <w:rPr>
                <w:rFonts w:ascii="Arial" w:hAnsi="Arial" w:cs="Arial"/>
                <w:lang w:val="en-US"/>
              </w:rPr>
              <w:t>Topical antibiotic on the primary lesion for antibiotic/antiseptic-coated dressing applied to clean, postsurgical wound</w:t>
            </w:r>
          </w:p>
          <w:p w14:paraId="7DCF39B0" w14:textId="77777777" w:rsidR="00E601E6" w:rsidRPr="000C4ABB" w:rsidRDefault="00E601E6" w:rsidP="00866790">
            <w:pPr>
              <w:pStyle w:val="TableBullet-H55"/>
              <w:rPr>
                <w:rFonts w:ascii="Arial" w:hAnsi="Arial" w:cs="Arial"/>
              </w:rPr>
            </w:pPr>
            <w:r w:rsidRPr="000C4ABB">
              <w:rPr>
                <w:rFonts w:ascii="Arial" w:eastAsia="TimesNewRoman" w:hAnsi="Arial" w:cs="Arial"/>
              </w:rPr>
              <w:t>Use of (within 14 days of Dose 1): MAOIs, SSRIs, tricyclic antidepressants, and serotonin 5-hydroxytryptamine (5-HT</w:t>
            </w:r>
            <w:r w:rsidRPr="000C4ABB">
              <w:rPr>
                <w:rStyle w:val="BodyText-SubScript"/>
                <w:rFonts w:ascii="Arial" w:eastAsia="TimesNewRoman" w:hAnsi="Arial" w:cs="Arial"/>
                <w:sz w:val="16"/>
                <w:szCs w:val="16"/>
              </w:rPr>
              <w:t>1</w:t>
            </w:r>
            <w:r w:rsidRPr="000C4ABB">
              <w:rPr>
                <w:rFonts w:ascii="Arial" w:eastAsia="TimesNewRoman" w:hAnsi="Arial" w:cs="Arial"/>
              </w:rPr>
              <w:t>) receptor agonists (triptans), meperidine, or buspirone</w:t>
            </w:r>
          </w:p>
        </w:tc>
        <w:tc>
          <w:tcPr>
            <w:tcW w:w="624" w:type="pct"/>
            <w:vAlign w:val="top"/>
            <w:hideMark/>
          </w:tcPr>
          <w:p w14:paraId="11E516DE"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lastRenderedPageBreak/>
              <w:t>Tedizolid phosphate (N=332):</w:t>
            </w:r>
          </w:p>
          <w:p w14:paraId="1CAAF4EE" w14:textId="77777777" w:rsidR="00E601E6" w:rsidRPr="000C4ABB" w:rsidRDefault="00E601E6" w:rsidP="00866790">
            <w:pPr>
              <w:pStyle w:val="TableBullet-H55"/>
              <w:rPr>
                <w:rFonts w:ascii="Arial" w:hAnsi="Arial" w:cs="Arial"/>
              </w:rPr>
            </w:pPr>
            <w:r w:rsidRPr="000C4ABB">
              <w:rPr>
                <w:rFonts w:ascii="Arial" w:hAnsi="Arial" w:cs="Arial"/>
              </w:rPr>
              <w:t>Tedizolid phosphate 200 mg once-daily (IV to oral) for 6 days of treatment followed by 4 days of placebo</w:t>
            </w:r>
          </w:p>
          <w:p w14:paraId="6582FD5D"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 xml:space="preserve">Linezolid (N=334): </w:t>
            </w:r>
          </w:p>
          <w:p w14:paraId="6D3ECDBF" w14:textId="77777777" w:rsidR="00E601E6" w:rsidRPr="000C4ABB" w:rsidRDefault="00E601E6" w:rsidP="00866790">
            <w:pPr>
              <w:pStyle w:val="TableBullet-H55"/>
              <w:rPr>
                <w:rFonts w:ascii="Arial" w:hAnsi="Arial" w:cs="Arial"/>
              </w:rPr>
            </w:pPr>
            <w:r w:rsidRPr="000C4ABB">
              <w:rPr>
                <w:rFonts w:ascii="Arial" w:hAnsi="Arial" w:cs="Arial"/>
              </w:rPr>
              <w:t xml:space="preserve">Linezolid 600 mg twice-daily (IV to oral) for 10 days of treatment </w:t>
            </w:r>
          </w:p>
        </w:tc>
        <w:tc>
          <w:tcPr>
            <w:tcW w:w="982" w:type="pct"/>
            <w:vAlign w:val="top"/>
            <w:hideMark/>
          </w:tcPr>
          <w:p w14:paraId="1D6806FC"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Primary:</w:t>
            </w:r>
          </w:p>
          <w:p w14:paraId="3AE0A8EB" w14:textId="201EC98C" w:rsidR="00E601E6" w:rsidRPr="000C4ABB" w:rsidRDefault="00E601E6" w:rsidP="00A818D1">
            <w:pPr>
              <w:pStyle w:val="TableBodyText-H54"/>
              <w:rPr>
                <w:rFonts w:ascii="Arial" w:hAnsi="Arial" w:cs="Arial"/>
                <w:szCs w:val="16"/>
                <w:lang w:val="en-US" w:eastAsia="en-GB"/>
              </w:rPr>
            </w:pPr>
            <w:r w:rsidRPr="000C4ABB">
              <w:rPr>
                <w:rFonts w:ascii="Arial" w:hAnsi="Arial" w:cs="Arial"/>
                <w:szCs w:val="16"/>
                <w:lang w:val="en-US" w:eastAsia="en-GB"/>
              </w:rPr>
              <w:t>Non-inferiority of IV</w:t>
            </w:r>
            <w:r w:rsidRPr="000C4ABB">
              <w:rPr>
                <w:rFonts w:ascii="Arial" w:hAnsi="Arial" w:cs="Arial"/>
                <w:szCs w:val="16"/>
                <w:lang w:val="en-US"/>
              </w:rPr>
              <w:t>-</w:t>
            </w:r>
            <w:r w:rsidRPr="000C4ABB">
              <w:rPr>
                <w:rFonts w:ascii="Arial" w:hAnsi="Arial" w:cs="Arial"/>
                <w:szCs w:val="16"/>
                <w:lang w:val="en-US" w:eastAsia="en-GB"/>
              </w:rPr>
              <w:t>to</w:t>
            </w:r>
            <w:r w:rsidRPr="000C4ABB">
              <w:rPr>
                <w:rFonts w:ascii="Arial" w:hAnsi="Arial" w:cs="Arial"/>
                <w:szCs w:val="16"/>
                <w:lang w:val="en-US"/>
              </w:rPr>
              <w:t>-</w:t>
            </w:r>
            <w:r w:rsidRPr="000C4ABB">
              <w:rPr>
                <w:rFonts w:ascii="Arial" w:hAnsi="Arial" w:cs="Arial"/>
                <w:szCs w:val="16"/>
                <w:lang w:val="en-US" w:eastAsia="en-GB"/>
              </w:rPr>
              <w:t>oral tedizolid phosphate compared with IV</w:t>
            </w:r>
            <w:r w:rsidRPr="000C4ABB">
              <w:rPr>
                <w:rFonts w:ascii="Arial" w:hAnsi="Arial" w:cs="Arial"/>
                <w:szCs w:val="16"/>
                <w:lang w:val="en-US"/>
              </w:rPr>
              <w:t>-</w:t>
            </w:r>
            <w:r w:rsidRPr="000C4ABB">
              <w:rPr>
                <w:rFonts w:ascii="Arial" w:hAnsi="Arial" w:cs="Arial"/>
                <w:szCs w:val="16"/>
                <w:lang w:val="en-US" w:eastAsia="en-GB"/>
              </w:rPr>
              <w:t>to</w:t>
            </w:r>
            <w:r w:rsidRPr="000C4ABB">
              <w:rPr>
                <w:rFonts w:ascii="Arial" w:hAnsi="Arial" w:cs="Arial"/>
                <w:szCs w:val="16"/>
                <w:lang w:val="en-US"/>
              </w:rPr>
              <w:t>-</w:t>
            </w:r>
            <w:r w:rsidRPr="000C4ABB">
              <w:rPr>
                <w:rFonts w:ascii="Arial" w:hAnsi="Arial" w:cs="Arial"/>
                <w:szCs w:val="16"/>
                <w:lang w:val="en-US" w:eastAsia="en-GB"/>
              </w:rPr>
              <w:t xml:space="preserve">oral linezolid in early clinical response, defined as ≥20% reduction in area of erythema, </w:t>
            </w:r>
            <w:r w:rsidR="00F96837" w:rsidRPr="000C4ABB">
              <w:rPr>
                <w:rFonts w:ascii="Arial" w:hAnsi="Arial" w:cs="Arial"/>
                <w:szCs w:val="16"/>
                <w:lang w:val="en-US" w:eastAsia="en-GB"/>
              </w:rPr>
              <w:t>oedema</w:t>
            </w:r>
            <w:r w:rsidRPr="000C4ABB">
              <w:rPr>
                <w:rFonts w:ascii="Arial" w:hAnsi="Arial" w:cs="Arial"/>
                <w:szCs w:val="16"/>
                <w:lang w:val="en-US" w:eastAsia="en-GB"/>
              </w:rPr>
              <w:t xml:space="preserve">, and/or induration of the primary ABSSSI lesion compared with baseline, at the 48 Hour to 72 Hour Visit </w:t>
            </w:r>
          </w:p>
          <w:p w14:paraId="57BD2220" w14:textId="77777777" w:rsidR="00E601E6" w:rsidRPr="000C4ABB" w:rsidRDefault="00E601E6" w:rsidP="00A818D1">
            <w:pPr>
              <w:pStyle w:val="TableHeading-H56"/>
              <w:rPr>
                <w:rFonts w:ascii="Arial" w:hAnsi="Arial" w:cs="Arial"/>
                <w:szCs w:val="16"/>
                <w:lang w:val="en-US" w:eastAsia="en-GB"/>
              </w:rPr>
            </w:pPr>
            <w:r w:rsidRPr="000C4ABB">
              <w:rPr>
                <w:rFonts w:ascii="Arial" w:hAnsi="Arial" w:cs="Arial"/>
                <w:szCs w:val="16"/>
                <w:lang w:val="en-US" w:eastAsia="en-GB"/>
              </w:rPr>
              <w:t>Secondary:</w:t>
            </w:r>
          </w:p>
          <w:p w14:paraId="0DD30EE7" w14:textId="77777777" w:rsidR="00E601E6" w:rsidRPr="000C4ABB" w:rsidRDefault="00E601E6" w:rsidP="00866790">
            <w:pPr>
              <w:pStyle w:val="TableBullet-H55"/>
              <w:rPr>
                <w:rFonts w:ascii="Arial" w:hAnsi="Arial" w:cs="Arial"/>
              </w:rPr>
            </w:pPr>
            <w:r w:rsidRPr="000C4ABB">
              <w:rPr>
                <w:rFonts w:ascii="Arial" w:hAnsi="Arial" w:cs="Arial"/>
              </w:rPr>
              <w:t xml:space="preserve">Clinical response at the EOT visit </w:t>
            </w:r>
          </w:p>
          <w:p w14:paraId="74EF6F42" w14:textId="77777777" w:rsidR="00E601E6" w:rsidRPr="000C4ABB" w:rsidRDefault="00E601E6" w:rsidP="00866790">
            <w:pPr>
              <w:pStyle w:val="TableBullet-H55"/>
              <w:rPr>
                <w:rFonts w:ascii="Arial" w:hAnsi="Arial" w:cs="Arial"/>
              </w:rPr>
            </w:pPr>
            <w:r w:rsidRPr="000C4ABB">
              <w:rPr>
                <w:rFonts w:ascii="Arial" w:hAnsi="Arial" w:cs="Arial"/>
              </w:rPr>
              <w:t xml:space="preserve">Investigator’s assessment of clinical success at the PTE Visit </w:t>
            </w:r>
          </w:p>
          <w:p w14:paraId="208C31C9" w14:textId="77777777" w:rsidR="00E601E6" w:rsidRPr="000C4ABB" w:rsidRDefault="00E601E6" w:rsidP="00866790">
            <w:pPr>
              <w:pStyle w:val="TableBullet-H55"/>
              <w:rPr>
                <w:rFonts w:ascii="Arial" w:hAnsi="Arial" w:cs="Arial"/>
              </w:rPr>
            </w:pPr>
            <w:r w:rsidRPr="000C4ABB">
              <w:rPr>
                <w:rFonts w:ascii="Arial" w:hAnsi="Arial" w:cs="Arial"/>
              </w:rPr>
              <w:t>Investigator’s assessment of clinical response at 48 Hour to 72 Hour Visit and Day 7 Visit</w:t>
            </w:r>
          </w:p>
          <w:p w14:paraId="3D5EBAC5" w14:textId="77777777" w:rsidR="00E601E6" w:rsidRPr="000C4ABB" w:rsidRDefault="00E601E6" w:rsidP="00866790">
            <w:pPr>
              <w:pStyle w:val="TableBullet-H55"/>
              <w:rPr>
                <w:rFonts w:ascii="Arial" w:hAnsi="Arial" w:cs="Arial"/>
              </w:rPr>
            </w:pPr>
            <w:r w:rsidRPr="000C4ABB">
              <w:rPr>
                <w:rFonts w:ascii="Arial" w:hAnsi="Arial" w:cs="Arial"/>
              </w:rPr>
              <w:t>Change from baseline in pain scores at each time point</w:t>
            </w:r>
          </w:p>
        </w:tc>
        <w:tc>
          <w:tcPr>
            <w:tcW w:w="668" w:type="pct"/>
            <w:vAlign w:val="top"/>
          </w:tcPr>
          <w:p w14:paraId="5BD3CB7A" w14:textId="15AF15E0" w:rsidR="00E601E6" w:rsidRPr="00BA604A" w:rsidRDefault="008B0AFA" w:rsidP="00A818D1">
            <w:pPr>
              <w:pStyle w:val="TableHeading-H56"/>
              <w:rPr>
                <w:rFonts w:ascii="Arial" w:hAnsi="Arial" w:cs="Arial"/>
                <w:b w:val="0"/>
                <w:szCs w:val="16"/>
                <w:lang w:val="en-US" w:eastAsia="en-GB"/>
              </w:rPr>
            </w:pPr>
            <w:r w:rsidRPr="00BA604A">
              <w:rPr>
                <w:rFonts w:ascii="Arial" w:hAnsi="Arial" w:cs="Arial"/>
                <w:b w:val="0"/>
                <w:szCs w:val="16"/>
                <w:lang w:val="en-US" w:eastAsia="en-GB"/>
              </w:rPr>
              <w:t xml:space="preserve">Moran GJ, Fang E, Corey GR, Das AF, De Anda C and Prokocimer P. Tedizolid for 6 days versus linezolid for ten days for acute bacterial skin and skin-structure infections (ESTABLISH-2): a randomised, double-blind, phase 3, non-inferiority trial. Lancet Infect Dis 2014. Published online </w:t>
            </w:r>
            <w:hyperlink r:id="rId23" w:history="1">
              <w:r w:rsidR="00A9019C" w:rsidRPr="00FD3770">
                <w:rPr>
                  <w:rStyle w:val="Hyperlink"/>
                  <w:rFonts w:ascii="Arial" w:hAnsi="Arial" w:cs="Arial"/>
                  <w:b w:val="0"/>
                  <w:szCs w:val="16"/>
                  <w:lang w:val="en-US" w:eastAsia="en-GB"/>
                </w:rPr>
                <w:t>http://dx.doi.org/10.1016/S1473-3099(14)70737-6</w:t>
              </w:r>
            </w:hyperlink>
            <w:r w:rsidR="00A9019C">
              <w:rPr>
                <w:rFonts w:ascii="Arial" w:hAnsi="Arial" w:cs="Arial"/>
                <w:b w:val="0"/>
                <w:szCs w:val="16"/>
                <w:lang w:val="en-US" w:eastAsia="en-GB"/>
              </w:rPr>
              <w:t xml:space="preserve"> (</w:t>
            </w:r>
            <w:r w:rsidR="00A9019C">
              <w:rPr>
                <w:rFonts w:ascii="Arial" w:hAnsi="Arial" w:cs="Arial"/>
                <w:b w:val="0"/>
                <w:szCs w:val="16"/>
                <w:lang w:val="en-US" w:eastAsia="en-GB"/>
              </w:rPr>
              <w:fldChar w:fldCharType="begin"/>
            </w:r>
            <w:r w:rsidR="00A9019C">
              <w:rPr>
                <w:rFonts w:ascii="Arial" w:hAnsi="Arial" w:cs="Arial"/>
                <w:b w:val="0"/>
                <w:szCs w:val="16"/>
                <w:lang w:val="en-US" w:eastAsia="en-GB"/>
              </w:rPr>
              <w:instrText xml:space="preserve"> REF _Ref284170919 \r \h </w:instrText>
            </w:r>
            <w:r w:rsidR="00A9019C">
              <w:rPr>
                <w:rFonts w:ascii="Arial" w:hAnsi="Arial" w:cs="Arial"/>
                <w:b w:val="0"/>
                <w:szCs w:val="16"/>
                <w:lang w:val="en-US" w:eastAsia="en-GB"/>
              </w:rPr>
            </w:r>
            <w:r w:rsidR="00A9019C">
              <w:rPr>
                <w:rFonts w:ascii="Arial" w:hAnsi="Arial" w:cs="Arial"/>
                <w:b w:val="0"/>
                <w:szCs w:val="16"/>
                <w:lang w:val="en-US" w:eastAsia="en-GB"/>
              </w:rPr>
              <w:fldChar w:fldCharType="separate"/>
            </w:r>
            <w:r w:rsidR="00151A1C">
              <w:rPr>
                <w:rFonts w:ascii="Arial" w:hAnsi="Arial" w:cs="Arial"/>
                <w:b w:val="0"/>
                <w:szCs w:val="16"/>
                <w:lang w:val="en-US" w:eastAsia="en-GB"/>
              </w:rPr>
              <w:t>40</w:t>
            </w:r>
            <w:r w:rsidR="00A9019C">
              <w:rPr>
                <w:rFonts w:ascii="Arial" w:hAnsi="Arial" w:cs="Arial"/>
                <w:b w:val="0"/>
                <w:szCs w:val="16"/>
                <w:lang w:val="en-US" w:eastAsia="en-GB"/>
              </w:rPr>
              <w:fldChar w:fldCharType="end"/>
            </w:r>
            <w:r w:rsidR="00A9019C">
              <w:rPr>
                <w:rFonts w:ascii="Arial" w:hAnsi="Arial" w:cs="Arial"/>
                <w:b w:val="0"/>
                <w:szCs w:val="16"/>
                <w:lang w:val="en-US" w:eastAsia="en-GB"/>
              </w:rPr>
              <w:t>).</w:t>
            </w:r>
          </w:p>
        </w:tc>
      </w:tr>
    </w:tbl>
    <w:p w14:paraId="27C01ACB" w14:textId="3581234D" w:rsidR="00866790" w:rsidRPr="00290E7B" w:rsidRDefault="00866790" w:rsidP="00290E7B">
      <w:pPr>
        <w:pStyle w:val="TableNote-H58"/>
        <w:spacing w:before="0" w:after="0"/>
        <w:jc w:val="left"/>
        <w:rPr>
          <w:rFonts w:ascii="Arial" w:hAnsi="Arial" w:cs="Arial"/>
          <w:sz w:val="16"/>
          <w:szCs w:val="16"/>
          <w:lang w:val="en-US"/>
        </w:rPr>
      </w:pPr>
      <w:r w:rsidRPr="00830AF7">
        <w:rPr>
          <w:rFonts w:ascii="Arial" w:hAnsi="Arial" w:cs="Arial"/>
          <w:sz w:val="16"/>
          <w:szCs w:val="16"/>
          <w:lang w:val="en-US"/>
        </w:rPr>
        <w:lastRenderedPageBreak/>
        <w:t>SOURCE</w:t>
      </w:r>
      <w:r w:rsidR="00830AF7">
        <w:rPr>
          <w:rFonts w:ascii="Arial" w:hAnsi="Arial" w:cs="Arial"/>
          <w:sz w:val="16"/>
          <w:szCs w:val="16"/>
          <w:lang w:val="en-US"/>
        </w:rPr>
        <w:t>S</w:t>
      </w:r>
      <w:r w:rsidRPr="00830AF7">
        <w:rPr>
          <w:rFonts w:ascii="Arial" w:hAnsi="Arial" w:cs="Arial"/>
          <w:sz w:val="16"/>
          <w:szCs w:val="16"/>
          <w:lang w:val="en-US"/>
        </w:rPr>
        <w:t xml:space="preserve">: </w:t>
      </w:r>
      <w:r w:rsidR="00A9019C">
        <w:rPr>
          <w:rFonts w:ascii="Arial" w:hAnsi="Arial" w:cs="Arial"/>
          <w:sz w:val="16"/>
          <w:szCs w:val="16"/>
          <w:lang w:val="en-US"/>
        </w:rPr>
        <w:t>(</w:t>
      </w:r>
      <w:r w:rsidR="0050068F">
        <w:rPr>
          <w:rFonts w:ascii="Arial" w:hAnsi="Arial" w:cs="Arial"/>
          <w:sz w:val="16"/>
          <w:szCs w:val="16"/>
          <w:lang w:val="en-US"/>
        </w:rPr>
        <w:fldChar w:fldCharType="begin"/>
      </w:r>
      <w:r w:rsidR="0050068F">
        <w:rPr>
          <w:rFonts w:ascii="Arial" w:hAnsi="Arial" w:cs="Arial"/>
          <w:sz w:val="16"/>
          <w:szCs w:val="16"/>
          <w:lang w:val="en-US"/>
        </w:rPr>
        <w:instrText xml:space="preserve"> REF _Ref284485242 \r \h </w:instrText>
      </w:r>
      <w:r w:rsidR="0050068F">
        <w:rPr>
          <w:rFonts w:ascii="Arial" w:hAnsi="Arial" w:cs="Arial"/>
          <w:sz w:val="16"/>
          <w:szCs w:val="16"/>
          <w:lang w:val="en-US"/>
        </w:rPr>
      </w:r>
      <w:r w:rsidR="0050068F">
        <w:rPr>
          <w:rFonts w:ascii="Arial" w:hAnsi="Arial" w:cs="Arial"/>
          <w:sz w:val="16"/>
          <w:szCs w:val="16"/>
          <w:lang w:val="en-US"/>
        </w:rPr>
        <w:fldChar w:fldCharType="separate"/>
      </w:r>
      <w:r w:rsidR="00151A1C">
        <w:rPr>
          <w:rFonts w:ascii="Arial" w:hAnsi="Arial" w:cs="Arial"/>
          <w:sz w:val="16"/>
          <w:szCs w:val="16"/>
          <w:lang w:val="en-US"/>
        </w:rPr>
        <w:t>38</w:t>
      </w:r>
      <w:r w:rsidR="0050068F">
        <w:rPr>
          <w:rFonts w:ascii="Arial" w:hAnsi="Arial" w:cs="Arial"/>
          <w:sz w:val="16"/>
          <w:szCs w:val="16"/>
          <w:lang w:val="en-US"/>
        </w:rPr>
        <w:fldChar w:fldCharType="end"/>
      </w:r>
      <w:r w:rsidR="00A9019C">
        <w:rPr>
          <w:rFonts w:ascii="Arial" w:hAnsi="Arial" w:cs="Arial"/>
          <w:sz w:val="16"/>
          <w:szCs w:val="16"/>
          <w:lang w:val="en-US"/>
        </w:rPr>
        <w:t>) (</w:t>
      </w:r>
      <w:r w:rsidR="00A9019C">
        <w:rPr>
          <w:rFonts w:ascii="Arial" w:hAnsi="Arial" w:cs="Arial"/>
          <w:sz w:val="16"/>
          <w:szCs w:val="16"/>
          <w:lang w:val="en-US"/>
        </w:rPr>
        <w:fldChar w:fldCharType="begin"/>
      </w:r>
      <w:r w:rsidR="00A9019C">
        <w:rPr>
          <w:rFonts w:ascii="Arial" w:hAnsi="Arial" w:cs="Arial"/>
          <w:sz w:val="16"/>
          <w:szCs w:val="16"/>
          <w:lang w:val="en-US"/>
        </w:rPr>
        <w:instrText xml:space="preserve"> REF _Ref284170919 \r \h </w:instrText>
      </w:r>
      <w:r w:rsidR="00A9019C">
        <w:rPr>
          <w:rFonts w:ascii="Arial" w:hAnsi="Arial" w:cs="Arial"/>
          <w:sz w:val="16"/>
          <w:szCs w:val="16"/>
          <w:lang w:val="en-US"/>
        </w:rPr>
      </w:r>
      <w:r w:rsidR="00A9019C">
        <w:rPr>
          <w:rFonts w:ascii="Arial" w:hAnsi="Arial" w:cs="Arial"/>
          <w:sz w:val="16"/>
          <w:szCs w:val="16"/>
          <w:lang w:val="en-US"/>
        </w:rPr>
        <w:fldChar w:fldCharType="separate"/>
      </w:r>
      <w:r w:rsidR="00151A1C">
        <w:rPr>
          <w:rFonts w:ascii="Arial" w:hAnsi="Arial" w:cs="Arial"/>
          <w:sz w:val="16"/>
          <w:szCs w:val="16"/>
          <w:lang w:val="en-US"/>
        </w:rPr>
        <w:t>40</w:t>
      </w:r>
      <w:r w:rsidR="00A9019C">
        <w:rPr>
          <w:rFonts w:ascii="Arial" w:hAnsi="Arial" w:cs="Arial"/>
          <w:sz w:val="16"/>
          <w:szCs w:val="16"/>
          <w:lang w:val="en-US"/>
        </w:rPr>
        <w:fldChar w:fldCharType="end"/>
      </w:r>
      <w:r w:rsidR="00A9019C">
        <w:rPr>
          <w:rFonts w:ascii="Arial" w:hAnsi="Arial" w:cs="Arial"/>
          <w:sz w:val="16"/>
          <w:szCs w:val="16"/>
          <w:lang w:val="en-US"/>
        </w:rPr>
        <w:t xml:space="preserve">) </w:t>
      </w:r>
      <w:r w:rsidRPr="00830AF7">
        <w:rPr>
          <w:rFonts w:ascii="Arial" w:hAnsi="Arial" w:cs="Arial"/>
          <w:sz w:val="16"/>
          <w:szCs w:val="16"/>
          <w:lang w:val="en-US"/>
        </w:rPr>
        <w:t>ESTABLISH-1 CSR</w:t>
      </w:r>
      <w:r w:rsidR="00A9019C">
        <w:rPr>
          <w:rFonts w:ascii="Arial" w:hAnsi="Arial" w:cs="Arial"/>
          <w:sz w:val="16"/>
          <w:szCs w:val="16"/>
          <w:lang w:val="en-US"/>
        </w:rPr>
        <w:t xml:space="preserve"> (</w:t>
      </w:r>
      <w:r w:rsidR="00A9019C">
        <w:rPr>
          <w:rFonts w:ascii="Arial" w:hAnsi="Arial" w:cs="Arial"/>
          <w:sz w:val="16"/>
          <w:szCs w:val="16"/>
          <w:lang w:val="en-US"/>
        </w:rPr>
        <w:fldChar w:fldCharType="begin"/>
      </w:r>
      <w:r w:rsidR="00A9019C">
        <w:rPr>
          <w:rFonts w:ascii="Arial" w:hAnsi="Arial" w:cs="Arial"/>
          <w:sz w:val="16"/>
          <w:szCs w:val="16"/>
          <w:lang w:val="en-US"/>
        </w:rPr>
        <w:instrText xml:space="preserve"> REF _Ref284171334 \r \h </w:instrText>
      </w:r>
      <w:r w:rsidR="00A9019C">
        <w:rPr>
          <w:rFonts w:ascii="Arial" w:hAnsi="Arial" w:cs="Arial"/>
          <w:sz w:val="16"/>
          <w:szCs w:val="16"/>
          <w:lang w:val="en-US"/>
        </w:rPr>
      </w:r>
      <w:r w:rsidR="00A9019C">
        <w:rPr>
          <w:rFonts w:ascii="Arial" w:hAnsi="Arial" w:cs="Arial"/>
          <w:sz w:val="16"/>
          <w:szCs w:val="16"/>
          <w:lang w:val="en-US"/>
        </w:rPr>
        <w:fldChar w:fldCharType="separate"/>
      </w:r>
      <w:r w:rsidR="00151A1C">
        <w:rPr>
          <w:rFonts w:ascii="Arial" w:hAnsi="Arial" w:cs="Arial"/>
          <w:sz w:val="16"/>
          <w:szCs w:val="16"/>
          <w:lang w:val="en-US"/>
        </w:rPr>
        <w:t>41</w:t>
      </w:r>
      <w:r w:rsidR="00A9019C">
        <w:rPr>
          <w:rFonts w:ascii="Arial" w:hAnsi="Arial" w:cs="Arial"/>
          <w:sz w:val="16"/>
          <w:szCs w:val="16"/>
          <w:lang w:val="en-US"/>
        </w:rPr>
        <w:fldChar w:fldCharType="end"/>
      </w:r>
      <w:r w:rsidR="00A9019C">
        <w:rPr>
          <w:rFonts w:ascii="Arial" w:hAnsi="Arial" w:cs="Arial"/>
          <w:sz w:val="16"/>
          <w:szCs w:val="16"/>
          <w:lang w:val="en-US"/>
        </w:rPr>
        <w:t>)</w:t>
      </w:r>
      <w:r w:rsidRPr="00830AF7">
        <w:rPr>
          <w:rFonts w:ascii="Arial" w:hAnsi="Arial" w:cs="Arial"/>
          <w:sz w:val="16"/>
          <w:szCs w:val="16"/>
          <w:lang w:val="en-US"/>
        </w:rPr>
        <w:t>: section 8, 9.1, 9.2, 9.3.1, 9.3.2 and 9.4.1; ESTABLISH-2 CSR</w:t>
      </w:r>
      <w:r w:rsidR="00A9019C">
        <w:rPr>
          <w:rFonts w:ascii="Arial" w:hAnsi="Arial" w:cs="Arial"/>
          <w:sz w:val="16"/>
          <w:szCs w:val="16"/>
          <w:lang w:val="en-US"/>
        </w:rPr>
        <w:t xml:space="preserve"> (</w:t>
      </w:r>
      <w:r w:rsidR="00A9019C">
        <w:rPr>
          <w:rFonts w:ascii="Arial" w:hAnsi="Arial" w:cs="Arial"/>
          <w:sz w:val="16"/>
          <w:szCs w:val="16"/>
          <w:lang w:val="en-US"/>
        </w:rPr>
        <w:fldChar w:fldCharType="begin"/>
      </w:r>
      <w:r w:rsidR="00A9019C">
        <w:rPr>
          <w:rFonts w:ascii="Arial" w:hAnsi="Arial" w:cs="Arial"/>
          <w:sz w:val="16"/>
          <w:szCs w:val="16"/>
          <w:lang w:val="en-US"/>
        </w:rPr>
        <w:instrText xml:space="preserve"> REF _Ref284171394 \r \h </w:instrText>
      </w:r>
      <w:r w:rsidR="00A9019C">
        <w:rPr>
          <w:rFonts w:ascii="Arial" w:hAnsi="Arial" w:cs="Arial"/>
          <w:sz w:val="16"/>
          <w:szCs w:val="16"/>
          <w:lang w:val="en-US"/>
        </w:rPr>
      </w:r>
      <w:r w:rsidR="00A9019C">
        <w:rPr>
          <w:rFonts w:ascii="Arial" w:hAnsi="Arial" w:cs="Arial"/>
          <w:sz w:val="16"/>
          <w:szCs w:val="16"/>
          <w:lang w:val="en-US"/>
        </w:rPr>
        <w:fldChar w:fldCharType="separate"/>
      </w:r>
      <w:r w:rsidR="00151A1C">
        <w:rPr>
          <w:rFonts w:ascii="Arial" w:hAnsi="Arial" w:cs="Arial"/>
          <w:sz w:val="16"/>
          <w:szCs w:val="16"/>
          <w:lang w:val="en-US"/>
        </w:rPr>
        <w:t>42</w:t>
      </w:r>
      <w:r w:rsidR="00A9019C">
        <w:rPr>
          <w:rFonts w:ascii="Arial" w:hAnsi="Arial" w:cs="Arial"/>
          <w:sz w:val="16"/>
          <w:szCs w:val="16"/>
          <w:lang w:val="en-US"/>
        </w:rPr>
        <w:fldChar w:fldCharType="end"/>
      </w:r>
      <w:r w:rsidR="00A9019C">
        <w:rPr>
          <w:rFonts w:ascii="Arial" w:hAnsi="Arial" w:cs="Arial"/>
          <w:sz w:val="16"/>
          <w:szCs w:val="16"/>
          <w:lang w:val="en-US"/>
        </w:rPr>
        <w:t>)</w:t>
      </w:r>
      <w:r w:rsidRPr="00830AF7">
        <w:rPr>
          <w:rFonts w:ascii="Arial" w:hAnsi="Arial" w:cs="Arial"/>
          <w:sz w:val="16"/>
          <w:szCs w:val="16"/>
          <w:lang w:val="en-US"/>
        </w:rPr>
        <w:t>: section 8, 9.1, 9.2, 9.3.1, 9.3.2 and 9.4.1</w:t>
      </w:r>
      <w:r w:rsidR="00A9019C">
        <w:rPr>
          <w:rFonts w:ascii="Arial" w:hAnsi="Arial" w:cs="Arial"/>
          <w:sz w:val="16"/>
          <w:szCs w:val="16"/>
          <w:lang w:val="en-US"/>
        </w:rPr>
        <w:t>.</w:t>
      </w:r>
    </w:p>
    <w:p w14:paraId="0FD09AF7" w14:textId="77777777" w:rsidR="00866790" w:rsidRPr="00290E7B" w:rsidRDefault="00866790" w:rsidP="00290E7B">
      <w:pPr>
        <w:pStyle w:val="TableNote-H58"/>
        <w:spacing w:before="0" w:after="0"/>
        <w:jc w:val="left"/>
        <w:rPr>
          <w:rFonts w:ascii="Arial" w:hAnsi="Arial" w:cs="Arial"/>
          <w:sz w:val="16"/>
          <w:szCs w:val="16"/>
          <w:lang w:val="en-US"/>
        </w:rPr>
      </w:pPr>
      <w:r w:rsidRPr="00290E7B">
        <w:rPr>
          <w:rFonts w:ascii="Arial" w:hAnsi="Arial" w:cs="Arial"/>
          <w:sz w:val="16"/>
          <w:szCs w:val="16"/>
          <w:lang w:val="en-US"/>
        </w:rPr>
        <w:t>Note: Inclusion and exclusion criteria presented here are not exhaustive</w:t>
      </w:r>
    </w:p>
    <w:p w14:paraId="7CDCA001" w14:textId="29225063" w:rsidR="00E601E6" w:rsidRPr="00255521" w:rsidRDefault="00866790" w:rsidP="00290E7B">
      <w:pPr>
        <w:pStyle w:val="TableNote-H58"/>
        <w:spacing w:before="0" w:after="0"/>
        <w:jc w:val="left"/>
        <w:rPr>
          <w:rFonts w:eastAsiaTheme="majorEastAsia"/>
          <w:lang w:val="en-US"/>
        </w:rPr>
        <w:sectPr w:rsidR="00E601E6" w:rsidRPr="00255521" w:rsidSect="000E10A6">
          <w:pgSz w:w="16838" w:h="11906" w:orient="landscape"/>
          <w:pgMar w:top="709" w:right="1440" w:bottom="1276" w:left="1440" w:header="709" w:footer="709" w:gutter="0"/>
          <w:cols w:space="708"/>
          <w:docGrid w:linePitch="360"/>
        </w:sectPr>
      </w:pPr>
      <w:r w:rsidRPr="00290E7B">
        <w:rPr>
          <w:rFonts w:ascii="Arial" w:hAnsi="Arial" w:cs="Arial"/>
          <w:sz w:val="16"/>
          <w:szCs w:val="16"/>
          <w:lang w:val="en-US"/>
        </w:rPr>
        <w:t>ABSSSI: Acute bacterial skin and skin structure infection; EOT: End of therapy; IV: Intravenous; N: Number of patients in population; PTE: Post therapy evaluation; MAOs: Monoamine oxidase inhibitors; SSRIs: Selective serotonin reuptake inhibitors; USSSI: Uncomplicated Skin and Skin Structure Infection;</w:t>
      </w:r>
      <w:r w:rsidR="0023798D" w:rsidRPr="00290E7B">
        <w:rPr>
          <w:rFonts w:ascii="Arial" w:hAnsi="Arial" w:cs="Arial"/>
          <w:sz w:val="16"/>
          <w:szCs w:val="16"/>
          <w:lang w:val="en-US"/>
        </w:rPr>
        <w:t xml:space="preserve"> WBC: White blood ce</w:t>
      </w:r>
      <w:r w:rsidR="00290E7B">
        <w:rPr>
          <w:rFonts w:ascii="Arial" w:hAnsi="Arial" w:cs="Arial"/>
          <w:sz w:val="16"/>
          <w:szCs w:val="16"/>
          <w:lang w:val="en-US"/>
        </w:rPr>
        <w:t>l</w:t>
      </w:r>
      <w:r w:rsidR="0023798D" w:rsidRPr="00290E7B">
        <w:rPr>
          <w:rFonts w:ascii="Arial" w:hAnsi="Arial" w:cs="Arial"/>
          <w:sz w:val="16"/>
          <w:szCs w:val="16"/>
          <w:lang w:val="en-US"/>
        </w:rPr>
        <w:t>l</w:t>
      </w:r>
    </w:p>
    <w:p w14:paraId="3F9B5472" w14:textId="2C457960" w:rsidR="008E4E92" w:rsidRPr="00B80D9D" w:rsidRDefault="0087796C" w:rsidP="000A719F">
      <w:pPr>
        <w:autoSpaceDE w:val="0"/>
        <w:autoSpaceDN w:val="0"/>
        <w:adjustRightInd w:val="0"/>
        <w:rPr>
          <w:rFonts w:cs="Arial"/>
          <w:b/>
          <w:bCs/>
          <w:sz w:val="22"/>
          <w:szCs w:val="22"/>
          <w:lang w:eastAsia="ja-JP"/>
        </w:rPr>
      </w:pPr>
      <w:r w:rsidRPr="00B80D9D">
        <w:rPr>
          <w:rFonts w:cs="Arial"/>
          <w:b/>
          <w:bCs/>
          <w:sz w:val="22"/>
          <w:szCs w:val="22"/>
          <w:lang w:eastAsia="ja-JP"/>
        </w:rPr>
        <w:lastRenderedPageBreak/>
        <w:t>3.3</w:t>
      </w:r>
      <w:r w:rsidR="00B42028" w:rsidRPr="00B80D9D">
        <w:rPr>
          <w:rFonts w:cs="Arial"/>
          <w:b/>
          <w:bCs/>
          <w:sz w:val="22"/>
          <w:szCs w:val="22"/>
          <w:lang w:eastAsia="ja-JP"/>
        </w:rPr>
        <w:t xml:space="preserve"> </w:t>
      </w:r>
      <w:r w:rsidR="008E4E92" w:rsidRPr="00B80D9D">
        <w:rPr>
          <w:rFonts w:cs="Arial"/>
          <w:b/>
          <w:bCs/>
          <w:sz w:val="22"/>
          <w:szCs w:val="22"/>
          <w:lang w:eastAsia="ja-JP"/>
        </w:rPr>
        <w:t>ESTABLISH-1</w:t>
      </w:r>
    </w:p>
    <w:p w14:paraId="3A33BB4C" w14:textId="77777777" w:rsidR="001C67E1" w:rsidRPr="00B80D9D" w:rsidRDefault="001C67E1" w:rsidP="000A719F">
      <w:pPr>
        <w:autoSpaceDE w:val="0"/>
        <w:autoSpaceDN w:val="0"/>
        <w:adjustRightInd w:val="0"/>
        <w:rPr>
          <w:rFonts w:cs="Arial"/>
          <w:b/>
          <w:bCs/>
          <w:sz w:val="22"/>
          <w:szCs w:val="22"/>
          <w:lang w:eastAsia="ja-JP"/>
        </w:rPr>
      </w:pPr>
    </w:p>
    <w:p w14:paraId="34E9F14D" w14:textId="789E7027" w:rsidR="009C6A33" w:rsidRPr="00B80D9D" w:rsidRDefault="00EC4726" w:rsidP="000A719F">
      <w:pPr>
        <w:autoSpaceDE w:val="0"/>
        <w:autoSpaceDN w:val="0"/>
        <w:adjustRightInd w:val="0"/>
        <w:rPr>
          <w:rFonts w:cs="Arial"/>
          <w:sz w:val="22"/>
          <w:szCs w:val="22"/>
          <w:lang w:eastAsia="ja-JP"/>
        </w:rPr>
      </w:pPr>
      <w:r w:rsidRPr="00B80D9D">
        <w:rPr>
          <w:rFonts w:cs="Arial"/>
          <w:b/>
          <w:bCs/>
          <w:sz w:val="22"/>
          <w:szCs w:val="22"/>
          <w:lang w:eastAsia="ja-JP"/>
        </w:rPr>
        <w:t xml:space="preserve">Study </w:t>
      </w:r>
      <w:r w:rsidR="00165ED7" w:rsidRPr="00B80D9D">
        <w:rPr>
          <w:rFonts w:cs="Arial"/>
          <w:b/>
          <w:bCs/>
          <w:sz w:val="22"/>
          <w:szCs w:val="22"/>
          <w:lang w:eastAsia="ja-JP"/>
        </w:rPr>
        <w:t xml:space="preserve">title and </w:t>
      </w:r>
      <w:r w:rsidR="009C6A33" w:rsidRPr="00B80D9D">
        <w:rPr>
          <w:rFonts w:cs="Arial"/>
          <w:b/>
          <w:bCs/>
          <w:sz w:val="22"/>
          <w:szCs w:val="22"/>
          <w:lang w:eastAsia="ja-JP"/>
        </w:rPr>
        <w:t>name:</w:t>
      </w:r>
      <w:r w:rsidRPr="00B80D9D">
        <w:rPr>
          <w:rFonts w:cs="Arial"/>
          <w:bCs/>
          <w:sz w:val="22"/>
          <w:szCs w:val="22"/>
          <w:lang w:eastAsia="ja-JP"/>
        </w:rPr>
        <w:t xml:space="preserve"> </w:t>
      </w:r>
      <w:r w:rsidR="008E4E92" w:rsidRPr="00B80D9D">
        <w:rPr>
          <w:rFonts w:cs="Arial"/>
          <w:bCs/>
          <w:sz w:val="22"/>
          <w:szCs w:val="22"/>
          <w:lang w:eastAsia="ja-JP"/>
        </w:rPr>
        <w:t xml:space="preserve">The </w:t>
      </w:r>
      <w:r w:rsidR="008E4E92" w:rsidRPr="00B80D9D">
        <w:rPr>
          <w:rFonts w:cs="Arial"/>
          <w:sz w:val="22"/>
          <w:szCs w:val="22"/>
          <w:lang w:eastAsia="ja-JP"/>
        </w:rPr>
        <w:t>Efficacy and Safety of 6-day Oral Tedizolid in</w:t>
      </w:r>
      <w:r w:rsidR="009C6A33" w:rsidRPr="00B80D9D">
        <w:rPr>
          <w:rFonts w:cs="Arial"/>
          <w:sz w:val="22"/>
          <w:szCs w:val="22"/>
          <w:lang w:eastAsia="ja-JP"/>
        </w:rPr>
        <w:t xml:space="preserve"> </w:t>
      </w:r>
      <w:r w:rsidR="008E4E92" w:rsidRPr="00B80D9D">
        <w:rPr>
          <w:rFonts w:cs="Arial"/>
          <w:sz w:val="22"/>
          <w:szCs w:val="22"/>
          <w:lang w:eastAsia="ja-JP"/>
        </w:rPr>
        <w:t>Acute Bacterial Skin and Skin Structure Infections vs</w:t>
      </w:r>
      <w:r w:rsidR="009C6A33" w:rsidRPr="00B80D9D">
        <w:rPr>
          <w:rFonts w:cs="Arial"/>
          <w:sz w:val="22"/>
          <w:szCs w:val="22"/>
          <w:lang w:eastAsia="ja-JP"/>
        </w:rPr>
        <w:t xml:space="preserve"> 10-day Oral Linezolid Therapy (</w:t>
      </w:r>
      <w:r w:rsidR="008E4E92" w:rsidRPr="00B80D9D">
        <w:rPr>
          <w:rFonts w:cs="Arial"/>
          <w:sz w:val="22"/>
          <w:szCs w:val="22"/>
          <w:lang w:eastAsia="ja-JP"/>
        </w:rPr>
        <w:t>ESTABLISH-1</w:t>
      </w:r>
      <w:r w:rsidR="009C6A33" w:rsidRPr="00133192">
        <w:rPr>
          <w:rFonts w:cs="Arial"/>
          <w:sz w:val="22"/>
          <w:szCs w:val="22"/>
          <w:lang w:eastAsia="ja-JP"/>
        </w:rPr>
        <w:t>)</w:t>
      </w:r>
      <w:r w:rsidR="0087796C" w:rsidRPr="00133192">
        <w:rPr>
          <w:rFonts w:cs="Arial"/>
          <w:sz w:val="22"/>
          <w:szCs w:val="22"/>
          <w:lang w:eastAsia="ja-JP"/>
        </w:rPr>
        <w:t>(</w:t>
      </w:r>
      <w:r w:rsidR="0050068F">
        <w:rPr>
          <w:rFonts w:cs="Arial"/>
          <w:sz w:val="22"/>
          <w:szCs w:val="22"/>
          <w:lang w:eastAsia="ja-JP"/>
        </w:rPr>
        <w:fldChar w:fldCharType="begin"/>
      </w:r>
      <w:r w:rsidR="0050068F">
        <w:rPr>
          <w:rFonts w:cs="Arial"/>
          <w:sz w:val="22"/>
          <w:szCs w:val="22"/>
          <w:lang w:eastAsia="ja-JP"/>
        </w:rPr>
        <w:instrText xml:space="preserve"> REF _Ref284485242 \r \h </w:instrText>
      </w:r>
      <w:r w:rsidR="0050068F">
        <w:rPr>
          <w:rFonts w:cs="Arial"/>
          <w:sz w:val="22"/>
          <w:szCs w:val="22"/>
          <w:lang w:eastAsia="ja-JP"/>
        </w:rPr>
      </w:r>
      <w:r w:rsidR="0050068F">
        <w:rPr>
          <w:rFonts w:cs="Arial"/>
          <w:sz w:val="22"/>
          <w:szCs w:val="22"/>
          <w:lang w:eastAsia="ja-JP"/>
        </w:rPr>
        <w:fldChar w:fldCharType="separate"/>
      </w:r>
      <w:r w:rsidR="00151A1C">
        <w:rPr>
          <w:rFonts w:cs="Arial"/>
          <w:sz w:val="22"/>
          <w:szCs w:val="22"/>
          <w:lang w:eastAsia="ja-JP"/>
        </w:rPr>
        <w:t>38</w:t>
      </w:r>
      <w:r w:rsidR="0050068F">
        <w:rPr>
          <w:rFonts w:cs="Arial"/>
          <w:sz w:val="22"/>
          <w:szCs w:val="22"/>
          <w:lang w:eastAsia="ja-JP"/>
        </w:rPr>
        <w:fldChar w:fldCharType="end"/>
      </w:r>
      <w:r w:rsidR="0087796C" w:rsidRPr="00133192">
        <w:rPr>
          <w:rFonts w:cs="Arial"/>
          <w:sz w:val="22"/>
          <w:szCs w:val="22"/>
          <w:lang w:eastAsia="ja-JP"/>
        </w:rPr>
        <w:t>).</w:t>
      </w:r>
    </w:p>
    <w:p w14:paraId="6421FFAD" w14:textId="77777777" w:rsidR="008E4E92" w:rsidRPr="00D2736A" w:rsidRDefault="008E4E92" w:rsidP="000A719F">
      <w:pPr>
        <w:autoSpaceDE w:val="0"/>
        <w:autoSpaceDN w:val="0"/>
        <w:adjustRightInd w:val="0"/>
        <w:rPr>
          <w:rFonts w:cs="Arial"/>
          <w:b/>
          <w:bCs/>
          <w:sz w:val="22"/>
          <w:szCs w:val="22"/>
          <w:lang w:eastAsia="ja-JP"/>
        </w:rPr>
      </w:pPr>
    </w:p>
    <w:p w14:paraId="7E42ED6B" w14:textId="403BA0D0" w:rsidR="00EC4726" w:rsidRPr="00D2736A" w:rsidRDefault="002E314E" w:rsidP="000A719F">
      <w:pPr>
        <w:autoSpaceDE w:val="0"/>
        <w:autoSpaceDN w:val="0"/>
        <w:adjustRightInd w:val="0"/>
        <w:rPr>
          <w:rFonts w:cs="Arial"/>
          <w:b/>
          <w:bCs/>
          <w:sz w:val="22"/>
          <w:szCs w:val="22"/>
          <w:lang w:eastAsia="ja-JP"/>
        </w:rPr>
      </w:pPr>
      <w:r>
        <w:rPr>
          <w:rFonts w:cs="Arial"/>
          <w:b/>
          <w:bCs/>
          <w:sz w:val="22"/>
          <w:szCs w:val="22"/>
          <w:lang w:eastAsia="ja-JP"/>
        </w:rPr>
        <w:t>3.3</w:t>
      </w:r>
      <w:r w:rsidR="009C6A33" w:rsidRPr="00D2736A">
        <w:rPr>
          <w:rFonts w:cs="Arial"/>
          <w:b/>
          <w:bCs/>
          <w:sz w:val="22"/>
          <w:szCs w:val="22"/>
          <w:lang w:eastAsia="ja-JP"/>
        </w:rPr>
        <w:t>.1</w:t>
      </w:r>
      <w:r w:rsidR="009C6A33" w:rsidRPr="00D2736A">
        <w:rPr>
          <w:rFonts w:cs="Arial"/>
          <w:b/>
          <w:bCs/>
          <w:sz w:val="22"/>
          <w:szCs w:val="22"/>
          <w:lang w:eastAsia="ja-JP"/>
        </w:rPr>
        <w:tab/>
      </w:r>
      <w:r w:rsidR="00EC4726" w:rsidRPr="00D2736A">
        <w:rPr>
          <w:rFonts w:cs="Arial"/>
          <w:b/>
          <w:bCs/>
          <w:sz w:val="22"/>
          <w:szCs w:val="22"/>
          <w:lang w:eastAsia="ja-JP"/>
        </w:rPr>
        <w:t>Objective</w:t>
      </w:r>
      <w:r w:rsidR="0087796C" w:rsidRPr="00D2736A">
        <w:rPr>
          <w:rFonts w:cs="Arial"/>
          <w:b/>
          <w:bCs/>
          <w:sz w:val="22"/>
          <w:szCs w:val="22"/>
          <w:lang w:eastAsia="ja-JP"/>
        </w:rPr>
        <w:t>:</w:t>
      </w:r>
      <w:r w:rsidR="00D2736A" w:rsidRPr="00D2736A">
        <w:rPr>
          <w:rFonts w:cs="Arial"/>
          <w:b/>
          <w:bCs/>
          <w:sz w:val="22"/>
          <w:szCs w:val="22"/>
          <w:lang w:eastAsia="ja-JP"/>
        </w:rPr>
        <w:t xml:space="preserve"> </w:t>
      </w:r>
      <w:r w:rsidR="00D2736A" w:rsidRPr="00D2736A">
        <w:rPr>
          <w:rFonts w:cs="Arial"/>
          <w:bCs/>
          <w:sz w:val="22"/>
          <w:szCs w:val="22"/>
          <w:lang w:eastAsia="ja-JP"/>
        </w:rPr>
        <w:t>To establish the non-inferiority of tedizolid phosphate vs. linezolid in treating ABSSSIs and to compare the safety of the two agents.</w:t>
      </w:r>
    </w:p>
    <w:p w14:paraId="689B1D6D" w14:textId="77777777" w:rsidR="00EC4726" w:rsidRPr="00B80D9D" w:rsidRDefault="00EC4726" w:rsidP="000A719F">
      <w:pPr>
        <w:autoSpaceDE w:val="0"/>
        <w:autoSpaceDN w:val="0"/>
        <w:adjustRightInd w:val="0"/>
        <w:rPr>
          <w:rFonts w:cs="Arial"/>
          <w:b/>
          <w:bCs/>
          <w:color w:val="FF0000"/>
          <w:sz w:val="22"/>
          <w:szCs w:val="22"/>
          <w:lang w:eastAsia="ja-JP"/>
        </w:rPr>
      </w:pPr>
    </w:p>
    <w:p w14:paraId="3DFE09C0" w14:textId="7515CDDE" w:rsidR="006D23BE" w:rsidRPr="00B80D9D" w:rsidRDefault="002E314E" w:rsidP="000A719F">
      <w:pPr>
        <w:autoSpaceDE w:val="0"/>
        <w:autoSpaceDN w:val="0"/>
        <w:adjustRightInd w:val="0"/>
        <w:rPr>
          <w:rFonts w:cs="Arial"/>
          <w:b/>
          <w:bCs/>
          <w:sz w:val="22"/>
          <w:szCs w:val="22"/>
          <w:lang w:eastAsia="ja-JP"/>
        </w:rPr>
      </w:pPr>
      <w:r>
        <w:rPr>
          <w:rFonts w:cs="Arial"/>
          <w:b/>
          <w:bCs/>
          <w:sz w:val="22"/>
          <w:szCs w:val="22"/>
          <w:lang w:eastAsia="ja-JP"/>
        </w:rPr>
        <w:t>3.3</w:t>
      </w:r>
      <w:r w:rsidR="009C6A33" w:rsidRPr="00B80D9D">
        <w:rPr>
          <w:rFonts w:cs="Arial"/>
          <w:b/>
          <w:bCs/>
          <w:sz w:val="22"/>
          <w:szCs w:val="22"/>
          <w:lang w:eastAsia="ja-JP"/>
        </w:rPr>
        <w:t>.2</w:t>
      </w:r>
      <w:r w:rsidR="009C6A33" w:rsidRPr="00B80D9D">
        <w:rPr>
          <w:rFonts w:cs="Arial"/>
          <w:b/>
          <w:bCs/>
          <w:sz w:val="22"/>
          <w:szCs w:val="22"/>
          <w:lang w:eastAsia="ja-JP"/>
        </w:rPr>
        <w:tab/>
      </w:r>
      <w:r w:rsidR="0087796C" w:rsidRPr="00B80D9D">
        <w:rPr>
          <w:rFonts w:cs="Arial"/>
          <w:b/>
          <w:bCs/>
          <w:sz w:val="22"/>
          <w:szCs w:val="22"/>
          <w:lang w:eastAsia="ja-JP"/>
        </w:rPr>
        <w:t xml:space="preserve">Study design: </w:t>
      </w:r>
      <w:r w:rsidR="006D23BE" w:rsidRPr="00B80D9D">
        <w:rPr>
          <w:sz w:val="22"/>
          <w:szCs w:val="22"/>
          <w:lang w:val="en-US"/>
        </w:rPr>
        <w:t xml:space="preserve">ESTABLISH-1 was a Phase 3, randomised, double-blind, double-dummy, non-inferiority </w:t>
      </w:r>
      <w:r w:rsidR="00BA2D46" w:rsidRPr="00B80D9D">
        <w:rPr>
          <w:sz w:val="22"/>
          <w:szCs w:val="22"/>
          <w:lang w:val="en-US"/>
        </w:rPr>
        <w:t>study comparing oral tedizolid phosphate with oral linezolid in adults patients wit</w:t>
      </w:r>
      <w:r w:rsidR="00B80D9D" w:rsidRPr="00B80D9D">
        <w:rPr>
          <w:sz w:val="22"/>
          <w:szCs w:val="22"/>
          <w:lang w:val="en-US"/>
        </w:rPr>
        <w:t>h ABSSSI. It was conducted at 81</w:t>
      </w:r>
      <w:r w:rsidR="00BA2D46" w:rsidRPr="00B80D9D">
        <w:rPr>
          <w:sz w:val="22"/>
          <w:szCs w:val="22"/>
          <w:lang w:val="en-US"/>
        </w:rPr>
        <w:t xml:space="preserve"> study cent</w:t>
      </w:r>
      <w:r w:rsidR="006D23BE" w:rsidRPr="00B80D9D">
        <w:rPr>
          <w:sz w:val="22"/>
          <w:szCs w:val="22"/>
          <w:lang w:val="en-US"/>
        </w:rPr>
        <w:t>r</w:t>
      </w:r>
      <w:r w:rsidR="00BA2D46" w:rsidRPr="00B80D9D">
        <w:rPr>
          <w:sz w:val="22"/>
          <w:szCs w:val="22"/>
          <w:lang w:val="en-US"/>
        </w:rPr>
        <w:t>e</w:t>
      </w:r>
      <w:r w:rsidR="006D23BE" w:rsidRPr="00B80D9D">
        <w:rPr>
          <w:sz w:val="22"/>
          <w:szCs w:val="22"/>
          <w:lang w:val="en-US"/>
        </w:rPr>
        <w:t xml:space="preserve">s in North America, Latin America, and Europe. </w:t>
      </w:r>
    </w:p>
    <w:p w14:paraId="4BB40E32" w14:textId="77777777" w:rsidR="00EC4726" w:rsidRPr="00B80D9D" w:rsidRDefault="00EC4726" w:rsidP="000A719F">
      <w:pPr>
        <w:autoSpaceDE w:val="0"/>
        <w:autoSpaceDN w:val="0"/>
        <w:adjustRightInd w:val="0"/>
        <w:rPr>
          <w:rFonts w:cs="Arial"/>
          <w:b/>
          <w:bCs/>
          <w:sz w:val="22"/>
          <w:szCs w:val="22"/>
          <w:lang w:eastAsia="ja-JP"/>
        </w:rPr>
      </w:pPr>
    </w:p>
    <w:p w14:paraId="15EC8F72" w14:textId="66B97F9B" w:rsidR="00EC4726" w:rsidRPr="00B80D9D" w:rsidRDefault="002E314E" w:rsidP="000A719F">
      <w:pPr>
        <w:autoSpaceDE w:val="0"/>
        <w:autoSpaceDN w:val="0"/>
        <w:adjustRightInd w:val="0"/>
        <w:rPr>
          <w:rFonts w:cs="Arial"/>
          <w:b/>
          <w:bCs/>
          <w:sz w:val="22"/>
          <w:szCs w:val="22"/>
          <w:lang w:eastAsia="ja-JP"/>
        </w:rPr>
      </w:pPr>
      <w:r>
        <w:rPr>
          <w:rFonts w:cs="Arial"/>
          <w:b/>
          <w:bCs/>
          <w:sz w:val="22"/>
          <w:szCs w:val="22"/>
          <w:lang w:eastAsia="ja-JP"/>
        </w:rPr>
        <w:t>3.3</w:t>
      </w:r>
      <w:r w:rsidR="009C6A33" w:rsidRPr="00B80D9D">
        <w:rPr>
          <w:rFonts w:cs="Arial"/>
          <w:b/>
          <w:bCs/>
          <w:sz w:val="22"/>
          <w:szCs w:val="22"/>
          <w:lang w:eastAsia="ja-JP"/>
        </w:rPr>
        <w:t>.3</w:t>
      </w:r>
      <w:r w:rsidR="009C6A33" w:rsidRPr="00B80D9D">
        <w:rPr>
          <w:rFonts w:cs="Arial"/>
          <w:b/>
          <w:bCs/>
          <w:sz w:val="22"/>
          <w:szCs w:val="22"/>
          <w:lang w:eastAsia="ja-JP"/>
        </w:rPr>
        <w:tab/>
      </w:r>
      <w:r w:rsidR="00EC4726" w:rsidRPr="00B80D9D">
        <w:rPr>
          <w:rFonts w:cs="Arial"/>
          <w:b/>
          <w:bCs/>
          <w:sz w:val="22"/>
          <w:szCs w:val="22"/>
          <w:lang w:eastAsia="ja-JP"/>
        </w:rPr>
        <w:t>Inclusion and exclusion criteria</w:t>
      </w:r>
      <w:r w:rsidR="00B80D9D" w:rsidRPr="00B80D9D">
        <w:rPr>
          <w:rFonts w:cs="Arial"/>
          <w:b/>
          <w:bCs/>
          <w:sz w:val="22"/>
          <w:szCs w:val="22"/>
          <w:lang w:eastAsia="ja-JP"/>
        </w:rPr>
        <w:t xml:space="preserve">: </w:t>
      </w:r>
      <w:r w:rsidR="006D23BE" w:rsidRPr="00B80D9D">
        <w:rPr>
          <w:sz w:val="22"/>
          <w:szCs w:val="22"/>
          <w:lang w:val="en-US"/>
        </w:rPr>
        <w:t xml:space="preserve">The study enrolled patients </w:t>
      </w:r>
      <w:r w:rsidR="006D23BE" w:rsidRPr="00B80D9D">
        <w:rPr>
          <w:rFonts w:eastAsia="MS Gothic"/>
          <w:sz w:val="22"/>
          <w:szCs w:val="22"/>
        </w:rPr>
        <w:t xml:space="preserve">≥18 years of age </w:t>
      </w:r>
      <w:r w:rsidR="006D23BE" w:rsidRPr="00B80D9D">
        <w:rPr>
          <w:sz w:val="22"/>
          <w:szCs w:val="22"/>
          <w:lang w:val="en-US"/>
        </w:rPr>
        <w:t>with ABSSSI as defined by the FDA</w:t>
      </w:r>
      <w:r w:rsidR="00945987">
        <w:rPr>
          <w:sz w:val="22"/>
          <w:szCs w:val="22"/>
          <w:lang w:val="en-US"/>
        </w:rPr>
        <w:t xml:space="preserve"> (</w:t>
      </w:r>
      <w:r w:rsidR="00EE1920">
        <w:rPr>
          <w:sz w:val="22"/>
          <w:szCs w:val="22"/>
          <w:lang w:val="en-US"/>
        </w:rPr>
        <w:fldChar w:fldCharType="begin"/>
      </w:r>
      <w:r w:rsidR="00EE1920">
        <w:rPr>
          <w:sz w:val="22"/>
          <w:szCs w:val="22"/>
          <w:lang w:val="en-US"/>
        </w:rPr>
        <w:instrText xml:space="preserve"> REF _Ref284168857 \r \h </w:instrText>
      </w:r>
      <w:r w:rsidR="00EE1920">
        <w:rPr>
          <w:sz w:val="22"/>
          <w:szCs w:val="22"/>
          <w:lang w:val="en-US"/>
        </w:rPr>
      </w:r>
      <w:r w:rsidR="00EE1920">
        <w:rPr>
          <w:sz w:val="22"/>
          <w:szCs w:val="22"/>
          <w:lang w:val="en-US"/>
        </w:rPr>
        <w:fldChar w:fldCharType="separate"/>
      </w:r>
      <w:r w:rsidR="00151A1C">
        <w:rPr>
          <w:sz w:val="22"/>
          <w:szCs w:val="22"/>
          <w:lang w:val="en-US"/>
        </w:rPr>
        <w:t>7</w:t>
      </w:r>
      <w:r w:rsidR="00EE1920">
        <w:rPr>
          <w:sz w:val="22"/>
          <w:szCs w:val="22"/>
          <w:lang w:val="en-US"/>
        </w:rPr>
        <w:fldChar w:fldCharType="end"/>
      </w:r>
      <w:r w:rsidR="00945987">
        <w:rPr>
          <w:sz w:val="22"/>
          <w:szCs w:val="22"/>
          <w:lang w:val="en-US"/>
        </w:rPr>
        <w:t>)</w:t>
      </w:r>
      <w:r w:rsidR="006D23BE" w:rsidRPr="00B80D9D">
        <w:rPr>
          <w:sz w:val="22"/>
          <w:szCs w:val="22"/>
          <w:lang w:val="en-US"/>
        </w:rPr>
        <w:t>, specifically patients with cellulitis/erysipelas, major cutaneous abscess, and wound infection.</w:t>
      </w:r>
      <w:r w:rsidR="00BA2D46" w:rsidRPr="00B80D9D">
        <w:rPr>
          <w:sz w:val="22"/>
          <w:szCs w:val="22"/>
          <w:lang w:val="en-US"/>
        </w:rPr>
        <w:t xml:space="preserve"> Key inclusion and exclusion criteria are listed in </w:t>
      </w:r>
      <w:r w:rsidR="00D1121B">
        <w:rPr>
          <w:sz w:val="22"/>
          <w:szCs w:val="22"/>
          <w:lang w:val="en-US"/>
        </w:rPr>
        <w:fldChar w:fldCharType="begin"/>
      </w:r>
      <w:r w:rsidR="00D1121B">
        <w:rPr>
          <w:sz w:val="22"/>
          <w:szCs w:val="22"/>
          <w:lang w:val="en-US"/>
        </w:rPr>
        <w:instrText xml:space="preserve"> REF _Ref280715057 \h </w:instrText>
      </w:r>
      <w:r w:rsidR="00D1121B">
        <w:rPr>
          <w:sz w:val="22"/>
          <w:szCs w:val="22"/>
          <w:lang w:val="en-US"/>
        </w:rPr>
      </w:r>
      <w:r w:rsidR="00D1121B">
        <w:rPr>
          <w:sz w:val="22"/>
          <w:szCs w:val="22"/>
          <w:lang w:val="en-US"/>
        </w:rPr>
        <w:fldChar w:fldCharType="separate"/>
      </w:r>
      <w:r w:rsidR="00151A1C" w:rsidRPr="000E10A6">
        <w:rPr>
          <w:sz w:val="22"/>
          <w:szCs w:val="22"/>
          <w:lang w:val="en-US"/>
        </w:rPr>
        <w:t xml:space="preserve">Table </w:t>
      </w:r>
      <w:r w:rsidR="00151A1C">
        <w:rPr>
          <w:noProof/>
          <w:sz w:val="22"/>
          <w:szCs w:val="22"/>
          <w:lang w:val="en-US"/>
        </w:rPr>
        <w:t>1</w:t>
      </w:r>
      <w:r w:rsidR="00D1121B">
        <w:rPr>
          <w:sz w:val="22"/>
          <w:szCs w:val="22"/>
          <w:lang w:val="en-US"/>
        </w:rPr>
        <w:fldChar w:fldCharType="end"/>
      </w:r>
      <w:r w:rsidR="00BA2D46" w:rsidRPr="00B80D9D">
        <w:rPr>
          <w:sz w:val="22"/>
          <w:szCs w:val="22"/>
          <w:lang w:val="en-US"/>
        </w:rPr>
        <w:t xml:space="preserve"> above.</w:t>
      </w:r>
    </w:p>
    <w:p w14:paraId="7EF1D06B" w14:textId="77777777" w:rsidR="00001C6F" w:rsidRPr="00BA2D46" w:rsidRDefault="00001C6F" w:rsidP="000A719F">
      <w:pPr>
        <w:autoSpaceDE w:val="0"/>
        <w:autoSpaceDN w:val="0"/>
        <w:adjustRightInd w:val="0"/>
        <w:rPr>
          <w:rFonts w:cs="Arial"/>
          <w:b/>
          <w:bCs/>
          <w:color w:val="FF0000"/>
          <w:sz w:val="22"/>
          <w:szCs w:val="22"/>
          <w:lang w:eastAsia="ja-JP"/>
        </w:rPr>
      </w:pPr>
    </w:p>
    <w:p w14:paraId="64714BC6" w14:textId="04B757B7" w:rsidR="00BA2D46" w:rsidRPr="00D44228" w:rsidRDefault="002E314E" w:rsidP="000A719F">
      <w:pPr>
        <w:autoSpaceDE w:val="0"/>
        <w:autoSpaceDN w:val="0"/>
        <w:adjustRightInd w:val="0"/>
        <w:rPr>
          <w:rFonts w:cs="Arial"/>
          <w:sz w:val="22"/>
          <w:szCs w:val="22"/>
          <w:lang w:eastAsia="ja-JP"/>
        </w:rPr>
      </w:pPr>
      <w:r>
        <w:rPr>
          <w:rFonts w:cs="Arial"/>
          <w:b/>
          <w:bCs/>
          <w:sz w:val="22"/>
          <w:szCs w:val="22"/>
          <w:lang w:eastAsia="ja-JP"/>
        </w:rPr>
        <w:t>3.3</w:t>
      </w:r>
      <w:r w:rsidR="00165ED7" w:rsidRPr="009224D7">
        <w:rPr>
          <w:rFonts w:cs="Arial"/>
          <w:b/>
          <w:bCs/>
          <w:sz w:val="22"/>
          <w:szCs w:val="22"/>
          <w:lang w:eastAsia="ja-JP"/>
        </w:rPr>
        <w:t>.4</w:t>
      </w:r>
      <w:r w:rsidR="001B3148" w:rsidRPr="009224D7">
        <w:rPr>
          <w:rFonts w:cs="Arial"/>
          <w:b/>
          <w:bCs/>
          <w:sz w:val="22"/>
          <w:szCs w:val="22"/>
          <w:lang w:eastAsia="ja-JP"/>
        </w:rPr>
        <w:tab/>
        <w:t>Intervention</w:t>
      </w:r>
      <w:r w:rsidR="00165ED7" w:rsidRPr="009224D7">
        <w:rPr>
          <w:rFonts w:cs="Arial"/>
          <w:b/>
          <w:bCs/>
          <w:sz w:val="22"/>
          <w:szCs w:val="22"/>
          <w:lang w:eastAsia="ja-JP"/>
        </w:rPr>
        <w:t>s</w:t>
      </w:r>
      <w:r w:rsidR="00D44228">
        <w:rPr>
          <w:rFonts w:cs="Arial"/>
          <w:b/>
          <w:bCs/>
          <w:sz w:val="22"/>
          <w:szCs w:val="22"/>
          <w:lang w:eastAsia="ja-JP"/>
        </w:rPr>
        <w:t>:</w:t>
      </w:r>
      <w:r w:rsidR="008E4E92" w:rsidRPr="009224D7">
        <w:rPr>
          <w:rFonts w:cs="Arial"/>
          <w:b/>
          <w:bCs/>
          <w:sz w:val="22"/>
          <w:szCs w:val="22"/>
          <w:lang w:eastAsia="ja-JP"/>
        </w:rPr>
        <w:t xml:space="preserve"> </w:t>
      </w:r>
      <w:r w:rsidR="00E24312" w:rsidRPr="009224D7">
        <w:rPr>
          <w:sz w:val="22"/>
          <w:szCs w:val="22"/>
          <w:lang w:val="en-US"/>
        </w:rPr>
        <w:t>Patients were randomis</w:t>
      </w:r>
      <w:r w:rsidR="002547EC" w:rsidRPr="009224D7">
        <w:rPr>
          <w:sz w:val="22"/>
          <w:szCs w:val="22"/>
          <w:lang w:val="en-US"/>
        </w:rPr>
        <w:t>ed in a 1:1 ratio to receive either oral tedizolid phosphate 200 mg once-daily for 6 days or oral linezolid 600 mg twice-daily</w:t>
      </w:r>
      <w:r w:rsidR="00BA2D46" w:rsidRPr="009224D7">
        <w:rPr>
          <w:sz w:val="22"/>
          <w:szCs w:val="22"/>
          <w:lang w:val="en-US"/>
        </w:rPr>
        <w:t xml:space="preserve"> for 10 days. Randomis</w:t>
      </w:r>
      <w:r w:rsidR="002547EC" w:rsidRPr="009224D7">
        <w:rPr>
          <w:sz w:val="22"/>
          <w:szCs w:val="22"/>
          <w:lang w:val="en-US"/>
        </w:rPr>
        <w:t>ation</w:t>
      </w:r>
      <w:r w:rsidR="008231FB" w:rsidRPr="009224D7">
        <w:rPr>
          <w:sz w:val="22"/>
          <w:szCs w:val="22"/>
          <w:lang w:val="en-US"/>
        </w:rPr>
        <w:t xml:space="preserve"> was stratified by the presence or </w:t>
      </w:r>
      <w:r w:rsidR="002547EC" w:rsidRPr="009224D7">
        <w:rPr>
          <w:sz w:val="22"/>
          <w:szCs w:val="22"/>
          <w:lang w:val="en-US"/>
        </w:rPr>
        <w:t>absence of fever at baseline, geographic region, and clinical syndrome (cellulitis/erysipelas, major cutaneous abscess, and wound infection).</w:t>
      </w:r>
      <w:r w:rsidR="007E75A4" w:rsidRPr="00D44228">
        <w:rPr>
          <w:rFonts w:cs="Arial"/>
          <w:sz w:val="22"/>
          <w:szCs w:val="22"/>
          <w:lang w:eastAsia="ja-JP"/>
        </w:rPr>
        <w:t xml:space="preserve"> </w:t>
      </w:r>
    </w:p>
    <w:p w14:paraId="41D57268" w14:textId="77777777" w:rsidR="00BA2D46" w:rsidRPr="009224D7" w:rsidRDefault="00BA2D46" w:rsidP="000A719F">
      <w:pPr>
        <w:pStyle w:val="BodyText"/>
        <w:rPr>
          <w:sz w:val="22"/>
          <w:szCs w:val="22"/>
          <w:lang w:val="en-US"/>
        </w:rPr>
      </w:pPr>
    </w:p>
    <w:p w14:paraId="66896B29" w14:textId="08ACADEC" w:rsidR="002547EC" w:rsidRPr="009224D7" w:rsidRDefault="002547EC" w:rsidP="000A719F">
      <w:pPr>
        <w:pStyle w:val="BodyText"/>
        <w:rPr>
          <w:sz w:val="22"/>
          <w:szCs w:val="22"/>
          <w:lang w:val="en-US"/>
        </w:rPr>
      </w:pPr>
      <w:r w:rsidRPr="009224D7">
        <w:rPr>
          <w:sz w:val="22"/>
          <w:szCs w:val="22"/>
          <w:lang w:val="en-US"/>
        </w:rPr>
        <w:t xml:space="preserve">All patients received three tablets of study treatment daily, as per the double-dummy design. No dose escalations or reductions were allowed during the course of the study. </w:t>
      </w:r>
    </w:p>
    <w:p w14:paraId="40E0EBD2" w14:textId="7C9512D1" w:rsidR="002547EC" w:rsidRPr="009224D7" w:rsidRDefault="002547EC" w:rsidP="000A719F">
      <w:pPr>
        <w:pStyle w:val="BodyText"/>
        <w:rPr>
          <w:sz w:val="22"/>
          <w:szCs w:val="22"/>
          <w:lang w:val="en-US"/>
        </w:rPr>
      </w:pPr>
      <w:r w:rsidRPr="009224D7">
        <w:rPr>
          <w:sz w:val="22"/>
          <w:szCs w:val="22"/>
          <w:lang w:val="en-US"/>
        </w:rPr>
        <w:t xml:space="preserve">The daily dose schedule according to treatment groups is described in </w:t>
      </w:r>
      <w:r w:rsidR="003530AD">
        <w:rPr>
          <w:sz w:val="22"/>
          <w:szCs w:val="22"/>
          <w:lang w:val="en-US"/>
        </w:rPr>
        <w:fldChar w:fldCharType="begin"/>
      </w:r>
      <w:r w:rsidR="003530AD">
        <w:rPr>
          <w:sz w:val="22"/>
          <w:szCs w:val="22"/>
          <w:lang w:val="en-US"/>
        </w:rPr>
        <w:instrText xml:space="preserve"> REF _Ref381373610 \h </w:instrText>
      </w:r>
      <w:r w:rsidR="003530AD">
        <w:rPr>
          <w:sz w:val="22"/>
          <w:szCs w:val="22"/>
          <w:lang w:val="en-US"/>
        </w:rPr>
      </w:r>
      <w:r w:rsidR="003530AD">
        <w:rPr>
          <w:sz w:val="22"/>
          <w:szCs w:val="22"/>
          <w:lang w:val="en-US"/>
        </w:rPr>
        <w:fldChar w:fldCharType="separate"/>
      </w:r>
      <w:r w:rsidR="00151A1C" w:rsidRPr="00D44228">
        <w:rPr>
          <w:sz w:val="22"/>
          <w:szCs w:val="22"/>
          <w:lang w:val="en-US"/>
        </w:rPr>
        <w:t xml:space="preserve">Table </w:t>
      </w:r>
      <w:r w:rsidR="00151A1C">
        <w:rPr>
          <w:noProof/>
          <w:sz w:val="22"/>
          <w:szCs w:val="22"/>
          <w:lang w:val="en-US"/>
        </w:rPr>
        <w:t>2</w:t>
      </w:r>
      <w:r w:rsidR="003530AD">
        <w:rPr>
          <w:sz w:val="22"/>
          <w:szCs w:val="22"/>
          <w:lang w:val="en-US"/>
        </w:rPr>
        <w:fldChar w:fldCharType="end"/>
      </w:r>
      <w:r w:rsidRPr="009224D7">
        <w:rPr>
          <w:sz w:val="22"/>
          <w:szCs w:val="22"/>
          <w:lang w:val="en-US"/>
        </w:rPr>
        <w:t>.</w:t>
      </w:r>
    </w:p>
    <w:p w14:paraId="0FC3AEA9" w14:textId="77777777" w:rsidR="002547EC" w:rsidRPr="009224D7" w:rsidRDefault="002547EC" w:rsidP="002547EC">
      <w:pPr>
        <w:pStyle w:val="Caption"/>
        <w:rPr>
          <w:sz w:val="22"/>
          <w:szCs w:val="22"/>
          <w:lang w:val="en-US"/>
        </w:rPr>
      </w:pPr>
      <w:bookmarkStart w:id="53" w:name="_Ref381373610"/>
      <w:bookmarkStart w:id="54" w:name="_Toc396058428"/>
      <w:r w:rsidRPr="00D44228">
        <w:rPr>
          <w:rFonts w:ascii="Arial" w:hAnsi="Arial"/>
          <w:sz w:val="22"/>
          <w:szCs w:val="22"/>
          <w:lang w:val="en-US"/>
        </w:rPr>
        <w:lastRenderedPageBreak/>
        <w:t xml:space="preserve">Table </w:t>
      </w:r>
      <w:r w:rsidRPr="00D44228">
        <w:rPr>
          <w:rFonts w:ascii="Arial" w:hAnsi="Arial"/>
          <w:sz w:val="22"/>
          <w:szCs w:val="22"/>
          <w:lang w:val="en-US"/>
        </w:rPr>
        <w:fldChar w:fldCharType="begin"/>
      </w:r>
      <w:r w:rsidRPr="00D44228">
        <w:rPr>
          <w:rFonts w:ascii="Arial" w:hAnsi="Arial"/>
          <w:sz w:val="22"/>
          <w:szCs w:val="22"/>
          <w:lang w:val="en-US"/>
        </w:rPr>
        <w:instrText xml:space="preserve"> SEQ Table \* ARABIC </w:instrText>
      </w:r>
      <w:r w:rsidRPr="00D44228">
        <w:rPr>
          <w:rFonts w:ascii="Arial" w:hAnsi="Arial"/>
          <w:sz w:val="22"/>
          <w:szCs w:val="22"/>
          <w:lang w:val="en-US"/>
        </w:rPr>
        <w:fldChar w:fldCharType="separate"/>
      </w:r>
      <w:r w:rsidR="00151A1C">
        <w:rPr>
          <w:rFonts w:ascii="Arial" w:hAnsi="Arial"/>
          <w:noProof/>
          <w:sz w:val="22"/>
          <w:szCs w:val="22"/>
          <w:lang w:val="en-US"/>
        </w:rPr>
        <w:t>2</w:t>
      </w:r>
      <w:r w:rsidRPr="00D44228">
        <w:rPr>
          <w:rFonts w:ascii="Arial" w:hAnsi="Arial"/>
          <w:sz w:val="22"/>
          <w:szCs w:val="22"/>
          <w:lang w:val="en-US"/>
        </w:rPr>
        <w:fldChar w:fldCharType="end"/>
      </w:r>
      <w:bookmarkEnd w:id="53"/>
      <w:r w:rsidRPr="00D44228">
        <w:rPr>
          <w:rFonts w:ascii="Arial" w:hAnsi="Arial"/>
          <w:sz w:val="22"/>
          <w:szCs w:val="22"/>
          <w:lang w:val="en-US"/>
        </w:rPr>
        <w:t>: Daily dosing schedule by treatment group in ESTABLISH-</w:t>
      </w:r>
      <w:r w:rsidRPr="009224D7">
        <w:rPr>
          <w:sz w:val="22"/>
          <w:szCs w:val="22"/>
          <w:lang w:val="en-US"/>
        </w:rPr>
        <w:t>1</w:t>
      </w:r>
      <w:bookmarkEnd w:id="54"/>
    </w:p>
    <w:tbl>
      <w:tblPr>
        <w:tblStyle w:val="Table-HERONplain"/>
        <w:tblW w:w="0" w:type="auto"/>
        <w:tblLook w:val="04A0" w:firstRow="1" w:lastRow="0" w:firstColumn="1" w:lastColumn="0" w:noHBand="0" w:noVBand="1"/>
      </w:tblPr>
      <w:tblGrid>
        <w:gridCol w:w="970"/>
        <w:gridCol w:w="1961"/>
        <w:gridCol w:w="2092"/>
        <w:gridCol w:w="1945"/>
        <w:gridCol w:w="1935"/>
      </w:tblGrid>
      <w:tr w:rsidR="002547EC" w:rsidRPr="00D44228" w14:paraId="2A525F5F" w14:textId="77777777" w:rsidTr="00D97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14:paraId="611034ED" w14:textId="77777777" w:rsidR="002547EC" w:rsidRPr="00D44228" w:rsidRDefault="002547EC" w:rsidP="00325FFE">
            <w:pPr>
              <w:pStyle w:val="TableBodyText-H54"/>
              <w:rPr>
                <w:rFonts w:ascii="Arial" w:hAnsi="Arial"/>
                <w:sz w:val="20"/>
                <w:lang w:val="en-US" w:eastAsia="en-GB"/>
              </w:rPr>
            </w:pPr>
            <w:r w:rsidRPr="00D44228">
              <w:rPr>
                <w:rFonts w:ascii="Arial" w:hAnsi="Arial"/>
                <w:sz w:val="20"/>
                <w:lang w:val="en-US" w:eastAsia="en-GB"/>
              </w:rPr>
              <w:t>Days</w:t>
            </w:r>
          </w:p>
        </w:tc>
        <w:tc>
          <w:tcPr>
            <w:tcW w:w="1984" w:type="dxa"/>
            <w:shd w:val="clear" w:color="auto" w:fill="auto"/>
            <w:hideMark/>
          </w:tcPr>
          <w:p w14:paraId="45CB5664" w14:textId="77777777" w:rsidR="002547EC" w:rsidRPr="00D44228" w:rsidRDefault="002547EC" w:rsidP="00325FFE">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Route of administration</w:t>
            </w:r>
          </w:p>
        </w:tc>
        <w:tc>
          <w:tcPr>
            <w:tcW w:w="2181" w:type="dxa"/>
            <w:shd w:val="clear" w:color="auto" w:fill="auto"/>
            <w:hideMark/>
          </w:tcPr>
          <w:p w14:paraId="24BE228E" w14:textId="77777777" w:rsidR="002547EC" w:rsidRPr="00D44228" w:rsidRDefault="002547EC" w:rsidP="00325FFE">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Dose</w:t>
            </w:r>
          </w:p>
        </w:tc>
        <w:tc>
          <w:tcPr>
            <w:tcW w:w="1991" w:type="dxa"/>
            <w:shd w:val="clear" w:color="auto" w:fill="auto"/>
            <w:hideMark/>
          </w:tcPr>
          <w:p w14:paraId="2D406E77" w14:textId="77777777" w:rsidR="002547EC" w:rsidRPr="00D44228" w:rsidRDefault="002547EC" w:rsidP="00325FFE">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Tedizolid phosphate group</w:t>
            </w:r>
          </w:p>
        </w:tc>
        <w:tc>
          <w:tcPr>
            <w:tcW w:w="1985" w:type="dxa"/>
            <w:shd w:val="clear" w:color="auto" w:fill="auto"/>
            <w:hideMark/>
          </w:tcPr>
          <w:p w14:paraId="1BDA8CA5" w14:textId="77777777" w:rsidR="002547EC" w:rsidRPr="00D44228" w:rsidRDefault="002547EC" w:rsidP="00325FFE">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Linezolid group</w:t>
            </w:r>
          </w:p>
        </w:tc>
      </w:tr>
      <w:tr w:rsidR="002547EC" w:rsidRPr="00D44228" w14:paraId="70DA10F3" w14:textId="77777777" w:rsidTr="00D97149">
        <w:trPr>
          <w:trHeight w:val="196"/>
        </w:trPr>
        <w:tc>
          <w:tcPr>
            <w:cnfStyle w:val="001000000000" w:firstRow="0" w:lastRow="0" w:firstColumn="1" w:lastColumn="0" w:oddVBand="0" w:evenVBand="0" w:oddHBand="0" w:evenHBand="0" w:firstRowFirstColumn="0" w:firstRowLastColumn="0" w:lastRowFirstColumn="0" w:lastRowLastColumn="0"/>
            <w:tcW w:w="988" w:type="dxa"/>
            <w:vMerge w:val="restart"/>
            <w:shd w:val="clear" w:color="auto" w:fill="auto"/>
            <w:hideMark/>
          </w:tcPr>
          <w:p w14:paraId="352199A7" w14:textId="77777777" w:rsidR="002547EC" w:rsidRPr="00D44228" w:rsidRDefault="002547EC" w:rsidP="00325FFE">
            <w:pPr>
              <w:pStyle w:val="TableBodyText-H54"/>
              <w:rPr>
                <w:rFonts w:ascii="Arial" w:hAnsi="Arial"/>
                <w:sz w:val="20"/>
                <w:lang w:val="en-US" w:eastAsia="en-GB"/>
              </w:rPr>
            </w:pPr>
            <w:r w:rsidRPr="00D44228">
              <w:rPr>
                <w:rFonts w:ascii="Arial" w:hAnsi="Arial"/>
                <w:sz w:val="20"/>
                <w:lang w:val="en-US" w:eastAsia="en-GB"/>
              </w:rPr>
              <w:t>1-6</w:t>
            </w:r>
          </w:p>
        </w:tc>
        <w:tc>
          <w:tcPr>
            <w:tcW w:w="1984" w:type="dxa"/>
            <w:hideMark/>
          </w:tcPr>
          <w:p w14:paraId="651062D9"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Oral</w:t>
            </w:r>
          </w:p>
        </w:tc>
        <w:tc>
          <w:tcPr>
            <w:tcW w:w="2181" w:type="dxa"/>
            <w:hideMark/>
          </w:tcPr>
          <w:p w14:paraId="40AD0E1A"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Dose 1</w:t>
            </w:r>
          </w:p>
        </w:tc>
        <w:tc>
          <w:tcPr>
            <w:tcW w:w="1991" w:type="dxa"/>
            <w:vAlign w:val="top"/>
            <w:hideMark/>
          </w:tcPr>
          <w:p w14:paraId="4A02CB2B"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Active tedizolid phosphate + placebo linezolid</w:t>
            </w:r>
          </w:p>
        </w:tc>
        <w:tc>
          <w:tcPr>
            <w:tcW w:w="1985" w:type="dxa"/>
            <w:hideMark/>
          </w:tcPr>
          <w:p w14:paraId="683914A6"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Placebo tedizolid phosphate + active linezolid</w:t>
            </w:r>
          </w:p>
        </w:tc>
      </w:tr>
      <w:tr w:rsidR="002547EC" w:rsidRPr="00D44228" w14:paraId="0C197834" w14:textId="77777777" w:rsidTr="00D97149">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hideMark/>
          </w:tcPr>
          <w:p w14:paraId="78C922A6" w14:textId="77777777" w:rsidR="002547EC" w:rsidRPr="00D44228" w:rsidRDefault="002547EC" w:rsidP="00325FFE">
            <w:pPr>
              <w:rPr>
                <w:sz w:val="20"/>
                <w:lang w:val="en-US" w:eastAsia="en-GB"/>
              </w:rPr>
            </w:pPr>
          </w:p>
        </w:tc>
        <w:tc>
          <w:tcPr>
            <w:tcW w:w="1984" w:type="dxa"/>
            <w:hideMark/>
          </w:tcPr>
          <w:p w14:paraId="57433B8E"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Oral</w:t>
            </w:r>
          </w:p>
        </w:tc>
        <w:tc>
          <w:tcPr>
            <w:tcW w:w="2181" w:type="dxa"/>
            <w:hideMark/>
          </w:tcPr>
          <w:p w14:paraId="49509D2A"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Dose 2</w:t>
            </w:r>
          </w:p>
        </w:tc>
        <w:tc>
          <w:tcPr>
            <w:tcW w:w="1991" w:type="dxa"/>
            <w:vAlign w:val="top"/>
            <w:hideMark/>
          </w:tcPr>
          <w:p w14:paraId="34AA2149"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Placebo linezolid</w:t>
            </w:r>
          </w:p>
        </w:tc>
        <w:tc>
          <w:tcPr>
            <w:tcW w:w="1985" w:type="dxa"/>
            <w:hideMark/>
          </w:tcPr>
          <w:p w14:paraId="7DCBBCDD"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Active linezolid</w:t>
            </w:r>
          </w:p>
        </w:tc>
      </w:tr>
      <w:tr w:rsidR="002547EC" w:rsidRPr="00D44228" w14:paraId="7C66E087" w14:textId="77777777" w:rsidTr="00D97149">
        <w:trPr>
          <w:trHeight w:val="196"/>
        </w:trPr>
        <w:tc>
          <w:tcPr>
            <w:cnfStyle w:val="001000000000" w:firstRow="0" w:lastRow="0" w:firstColumn="1" w:lastColumn="0" w:oddVBand="0" w:evenVBand="0" w:oddHBand="0" w:evenHBand="0" w:firstRowFirstColumn="0" w:firstRowLastColumn="0" w:lastRowFirstColumn="0" w:lastRowLastColumn="0"/>
            <w:tcW w:w="988" w:type="dxa"/>
            <w:vMerge w:val="restart"/>
            <w:shd w:val="clear" w:color="auto" w:fill="auto"/>
            <w:hideMark/>
          </w:tcPr>
          <w:p w14:paraId="48251791" w14:textId="77777777" w:rsidR="002547EC" w:rsidRPr="00D44228" w:rsidRDefault="002547EC" w:rsidP="00325FFE">
            <w:pPr>
              <w:pStyle w:val="TableBodyText-H54"/>
              <w:rPr>
                <w:rFonts w:ascii="Arial" w:hAnsi="Arial"/>
                <w:sz w:val="20"/>
                <w:lang w:val="en-US" w:eastAsia="en-GB"/>
              </w:rPr>
            </w:pPr>
            <w:r w:rsidRPr="00D44228">
              <w:rPr>
                <w:rFonts w:ascii="Arial" w:hAnsi="Arial"/>
                <w:sz w:val="20"/>
                <w:lang w:val="en-US" w:eastAsia="en-GB"/>
              </w:rPr>
              <w:t xml:space="preserve">7-10 </w:t>
            </w:r>
          </w:p>
        </w:tc>
        <w:tc>
          <w:tcPr>
            <w:tcW w:w="1984" w:type="dxa"/>
            <w:hideMark/>
          </w:tcPr>
          <w:p w14:paraId="5205E3C0"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Oral</w:t>
            </w:r>
          </w:p>
        </w:tc>
        <w:tc>
          <w:tcPr>
            <w:tcW w:w="2181" w:type="dxa"/>
            <w:hideMark/>
          </w:tcPr>
          <w:p w14:paraId="46FF20EE"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Dose 1</w:t>
            </w:r>
          </w:p>
        </w:tc>
        <w:tc>
          <w:tcPr>
            <w:tcW w:w="1991" w:type="dxa"/>
            <w:hideMark/>
          </w:tcPr>
          <w:p w14:paraId="449F1EAE"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Placebo tedizolid phosphate + placebo linezolid</w:t>
            </w:r>
          </w:p>
        </w:tc>
        <w:tc>
          <w:tcPr>
            <w:tcW w:w="1985" w:type="dxa"/>
            <w:hideMark/>
          </w:tcPr>
          <w:p w14:paraId="2768D959" w14:textId="77777777" w:rsidR="002547EC" w:rsidRPr="00D44228" w:rsidRDefault="002547EC" w:rsidP="00325FFE">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D44228">
              <w:rPr>
                <w:rFonts w:ascii="Arial" w:hAnsi="Arial"/>
                <w:sz w:val="20"/>
                <w:lang w:val="en-US" w:eastAsia="en-GB"/>
              </w:rPr>
              <w:t>Placebo tedizolid phosphate + active linezolid</w:t>
            </w:r>
          </w:p>
        </w:tc>
      </w:tr>
      <w:tr w:rsidR="002547EC" w:rsidRPr="00D44228" w14:paraId="31F01562" w14:textId="77777777" w:rsidTr="00D97149">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hideMark/>
          </w:tcPr>
          <w:p w14:paraId="11C099E6" w14:textId="77777777" w:rsidR="002547EC" w:rsidRPr="00D44228" w:rsidRDefault="002547EC" w:rsidP="00325FFE">
            <w:pPr>
              <w:rPr>
                <w:sz w:val="20"/>
                <w:lang w:val="en-US" w:eastAsia="en-GB"/>
              </w:rPr>
            </w:pPr>
          </w:p>
        </w:tc>
        <w:tc>
          <w:tcPr>
            <w:tcW w:w="1984" w:type="dxa"/>
            <w:hideMark/>
          </w:tcPr>
          <w:p w14:paraId="24DCD3F7"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Oral</w:t>
            </w:r>
          </w:p>
        </w:tc>
        <w:tc>
          <w:tcPr>
            <w:tcW w:w="2181" w:type="dxa"/>
            <w:hideMark/>
          </w:tcPr>
          <w:p w14:paraId="46BC622D"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Dose 2</w:t>
            </w:r>
          </w:p>
        </w:tc>
        <w:tc>
          <w:tcPr>
            <w:tcW w:w="1991" w:type="dxa"/>
            <w:hideMark/>
          </w:tcPr>
          <w:p w14:paraId="440F4212"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Placebo linezolid</w:t>
            </w:r>
          </w:p>
        </w:tc>
        <w:tc>
          <w:tcPr>
            <w:tcW w:w="1985" w:type="dxa"/>
            <w:hideMark/>
          </w:tcPr>
          <w:p w14:paraId="186691B2" w14:textId="77777777" w:rsidR="002547EC" w:rsidRPr="00D44228" w:rsidRDefault="002547EC" w:rsidP="00325FFE">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D44228">
              <w:rPr>
                <w:rFonts w:ascii="Arial" w:hAnsi="Arial"/>
                <w:sz w:val="20"/>
                <w:lang w:val="en-US" w:eastAsia="en-GB"/>
              </w:rPr>
              <w:t>Active linezolid</w:t>
            </w:r>
          </w:p>
        </w:tc>
      </w:tr>
    </w:tbl>
    <w:p w14:paraId="05EB2012" w14:textId="486F5E6C" w:rsidR="002547EC" w:rsidRPr="00511D47" w:rsidRDefault="002547EC" w:rsidP="00C26E98">
      <w:pPr>
        <w:pStyle w:val="TableNote-H58"/>
        <w:rPr>
          <w:rFonts w:ascii="Arial" w:hAnsi="Arial"/>
          <w:sz w:val="16"/>
          <w:szCs w:val="16"/>
          <w:lang w:val="en-US"/>
        </w:rPr>
      </w:pPr>
      <w:r w:rsidRPr="00511D47">
        <w:rPr>
          <w:rStyle w:val="CommentReference"/>
          <w:rFonts w:ascii="Arial" w:eastAsiaTheme="majorEastAsia" w:hAnsi="Arial"/>
          <w:sz w:val="16"/>
          <w:szCs w:val="16"/>
          <w:lang w:val="en-US"/>
        </w:rPr>
        <w:t xml:space="preserve">SOURCE: </w:t>
      </w:r>
      <w:r w:rsidRPr="00511D47">
        <w:rPr>
          <w:rFonts w:ascii="Arial" w:hAnsi="Arial"/>
          <w:sz w:val="16"/>
          <w:szCs w:val="16"/>
          <w:lang w:val="en-US"/>
        </w:rPr>
        <w:t>ESTABLISH-1 CSR</w:t>
      </w:r>
      <w:r w:rsidR="00133192">
        <w:rPr>
          <w:rFonts w:ascii="Arial" w:hAnsi="Arial"/>
          <w:sz w:val="16"/>
          <w:szCs w:val="16"/>
          <w:lang w:val="en-US"/>
        </w:rPr>
        <w:t xml:space="preserve"> (</w:t>
      </w:r>
      <w:r w:rsidR="00133192">
        <w:rPr>
          <w:rFonts w:ascii="Arial" w:hAnsi="Arial"/>
          <w:sz w:val="16"/>
          <w:szCs w:val="16"/>
          <w:lang w:val="en-US"/>
        </w:rPr>
        <w:fldChar w:fldCharType="begin"/>
      </w:r>
      <w:r w:rsidR="00133192">
        <w:rPr>
          <w:rFonts w:ascii="Arial" w:hAnsi="Arial"/>
          <w:sz w:val="16"/>
          <w:szCs w:val="16"/>
          <w:lang w:val="en-US"/>
        </w:rPr>
        <w:instrText xml:space="preserve"> REF _Ref284171334 \r \h </w:instrText>
      </w:r>
      <w:r w:rsidR="00133192">
        <w:rPr>
          <w:rFonts w:ascii="Arial" w:hAnsi="Arial"/>
          <w:sz w:val="16"/>
          <w:szCs w:val="16"/>
          <w:lang w:val="en-US"/>
        </w:rPr>
      </w:r>
      <w:r w:rsidR="00133192">
        <w:rPr>
          <w:rFonts w:ascii="Arial" w:hAnsi="Arial"/>
          <w:sz w:val="16"/>
          <w:szCs w:val="16"/>
          <w:lang w:val="en-US"/>
        </w:rPr>
        <w:fldChar w:fldCharType="separate"/>
      </w:r>
      <w:r w:rsidR="00151A1C">
        <w:rPr>
          <w:rFonts w:ascii="Arial" w:hAnsi="Arial"/>
          <w:sz w:val="16"/>
          <w:szCs w:val="16"/>
          <w:lang w:val="en-US"/>
        </w:rPr>
        <w:t>41</w:t>
      </w:r>
      <w:r w:rsidR="00133192">
        <w:rPr>
          <w:rFonts w:ascii="Arial" w:hAnsi="Arial"/>
          <w:sz w:val="16"/>
          <w:szCs w:val="16"/>
          <w:lang w:val="en-US"/>
        </w:rPr>
        <w:fldChar w:fldCharType="end"/>
      </w:r>
      <w:r w:rsidR="00133192">
        <w:rPr>
          <w:rFonts w:ascii="Arial" w:hAnsi="Arial"/>
          <w:sz w:val="16"/>
          <w:szCs w:val="16"/>
          <w:lang w:val="en-US"/>
        </w:rPr>
        <w:t>):</w:t>
      </w:r>
      <w:r w:rsidRPr="00511D47">
        <w:rPr>
          <w:rStyle w:val="CommentReference"/>
          <w:rFonts w:ascii="Arial" w:eastAsiaTheme="majorEastAsia" w:hAnsi="Arial"/>
          <w:sz w:val="16"/>
          <w:szCs w:val="16"/>
          <w:lang w:val="en-US"/>
        </w:rPr>
        <w:t xml:space="preserve"> </w:t>
      </w:r>
      <w:r w:rsidRPr="00511D47">
        <w:rPr>
          <w:rFonts w:ascii="Arial" w:hAnsi="Arial"/>
          <w:sz w:val="16"/>
          <w:szCs w:val="16"/>
          <w:lang w:val="en-US"/>
        </w:rPr>
        <w:t>section 9.4.1 Table 9-1</w:t>
      </w:r>
      <w:r w:rsidRPr="00511D47">
        <w:rPr>
          <w:rStyle w:val="CommentReference"/>
          <w:rFonts w:ascii="Arial" w:eastAsiaTheme="majorEastAsia" w:hAnsi="Arial"/>
          <w:sz w:val="16"/>
          <w:szCs w:val="16"/>
          <w:lang w:val="en-US"/>
        </w:rPr>
        <w:t xml:space="preserve"> </w:t>
      </w:r>
    </w:p>
    <w:p w14:paraId="161A2499" w14:textId="7BA9045B" w:rsidR="00C77783" w:rsidRPr="00EE1920" w:rsidRDefault="002E314E" w:rsidP="0050068F">
      <w:pPr>
        <w:jc w:val="both"/>
        <w:rPr>
          <w:rFonts w:eastAsia="Times New Roman" w:cs="Arial"/>
          <w:b/>
          <w:bCs/>
          <w:sz w:val="22"/>
          <w:szCs w:val="22"/>
        </w:rPr>
      </w:pPr>
      <w:r w:rsidRPr="00AD2DF8">
        <w:rPr>
          <w:rFonts w:cs="Arial"/>
          <w:b/>
          <w:sz w:val="22"/>
          <w:szCs w:val="22"/>
          <w:lang w:eastAsia="ja-JP"/>
        </w:rPr>
        <w:t>3.3</w:t>
      </w:r>
      <w:r w:rsidR="00165ED7" w:rsidRPr="00AD2DF8">
        <w:rPr>
          <w:rFonts w:cs="Arial"/>
          <w:b/>
          <w:sz w:val="22"/>
          <w:szCs w:val="22"/>
          <w:lang w:eastAsia="ja-JP"/>
        </w:rPr>
        <w:t xml:space="preserve">.5 </w:t>
      </w:r>
      <w:r w:rsidR="00325673" w:rsidRPr="00AD2DF8">
        <w:rPr>
          <w:rFonts w:cs="Arial"/>
          <w:b/>
          <w:sz w:val="22"/>
          <w:szCs w:val="22"/>
          <w:lang w:eastAsia="ja-JP"/>
        </w:rPr>
        <w:t xml:space="preserve">  </w:t>
      </w:r>
      <w:r w:rsidR="00165ED7" w:rsidRPr="00AD2DF8">
        <w:rPr>
          <w:rFonts w:cs="Arial"/>
          <w:b/>
          <w:sz w:val="22"/>
          <w:szCs w:val="22"/>
          <w:lang w:eastAsia="ja-JP"/>
        </w:rPr>
        <w:t>Permitted and disallowed concomitant medications</w:t>
      </w:r>
      <w:r w:rsidR="00D44228" w:rsidRPr="00AD2DF8">
        <w:rPr>
          <w:rFonts w:cs="Arial"/>
          <w:b/>
          <w:sz w:val="22"/>
          <w:szCs w:val="22"/>
          <w:lang w:eastAsia="ja-JP"/>
        </w:rPr>
        <w:t>:</w:t>
      </w:r>
      <w:r w:rsidR="00165ED7" w:rsidRPr="00AD2DF8">
        <w:rPr>
          <w:rFonts w:cs="Arial"/>
          <w:b/>
          <w:sz w:val="22"/>
          <w:szCs w:val="22"/>
          <w:lang w:eastAsia="ja-JP"/>
        </w:rPr>
        <w:t xml:space="preserve"> </w:t>
      </w:r>
      <w:r w:rsidR="00C77783" w:rsidRPr="00AD2DF8">
        <w:rPr>
          <w:rFonts w:cs="Arial"/>
          <w:sz w:val="22"/>
          <w:szCs w:val="22"/>
          <w:lang w:eastAsia="ja-JP"/>
        </w:rPr>
        <w:t>Details of the concomitant therapy rules, as well as a list of prohibited and permitted medications are provided in</w:t>
      </w:r>
      <w:r w:rsidR="00C9570A" w:rsidRPr="00AD2DF8">
        <w:rPr>
          <w:rFonts w:cs="Arial"/>
          <w:sz w:val="22"/>
          <w:szCs w:val="22"/>
          <w:lang w:eastAsia="ja-JP"/>
        </w:rPr>
        <w:t xml:space="preserve"> </w:t>
      </w:r>
      <w:r w:rsidR="0050068F">
        <w:rPr>
          <w:rFonts w:cs="Arial"/>
          <w:sz w:val="22"/>
          <w:szCs w:val="22"/>
          <w:lang w:eastAsia="ja-JP"/>
        </w:rPr>
        <w:t>Table 3.</w:t>
      </w:r>
    </w:p>
    <w:p w14:paraId="227FD8D9" w14:textId="77777777" w:rsidR="00CF4756" w:rsidRDefault="00CF4756">
      <w:pPr>
        <w:ind w:left="357" w:hanging="357"/>
        <w:jc w:val="both"/>
        <w:rPr>
          <w:rFonts w:eastAsia="Times New Roman" w:cs="Arial"/>
          <w:b/>
          <w:bCs/>
          <w:sz w:val="22"/>
          <w:szCs w:val="22"/>
        </w:rPr>
      </w:pPr>
      <w:bookmarkStart w:id="55" w:name="_Ref283818102"/>
      <w:r>
        <w:rPr>
          <w:rFonts w:cs="Arial"/>
          <w:sz w:val="22"/>
          <w:szCs w:val="22"/>
        </w:rPr>
        <w:br w:type="page"/>
      </w:r>
    </w:p>
    <w:p w14:paraId="473C5704" w14:textId="11EF403B" w:rsidR="007E2CDF" w:rsidRPr="00AD2DF8" w:rsidRDefault="00C9570A" w:rsidP="00C9570A">
      <w:pPr>
        <w:pStyle w:val="Caption"/>
        <w:rPr>
          <w:rFonts w:ascii="Arial" w:hAnsi="Arial" w:cs="Arial"/>
          <w:sz w:val="22"/>
          <w:szCs w:val="22"/>
        </w:rPr>
      </w:pPr>
      <w:r w:rsidRPr="00AD2DF8">
        <w:rPr>
          <w:rFonts w:ascii="Arial" w:hAnsi="Arial" w:cs="Arial"/>
          <w:sz w:val="22"/>
          <w:szCs w:val="22"/>
        </w:rPr>
        <w:lastRenderedPageBreak/>
        <w:t xml:space="preserve">Table </w:t>
      </w:r>
      <w:r w:rsidRPr="00AD2DF8">
        <w:rPr>
          <w:rFonts w:ascii="Arial" w:hAnsi="Arial" w:cs="Arial"/>
          <w:sz w:val="22"/>
          <w:szCs w:val="22"/>
        </w:rPr>
        <w:fldChar w:fldCharType="begin"/>
      </w:r>
      <w:r w:rsidRPr="00AD2DF8">
        <w:rPr>
          <w:rFonts w:ascii="Arial" w:hAnsi="Arial" w:cs="Arial"/>
          <w:sz w:val="22"/>
          <w:szCs w:val="22"/>
        </w:rPr>
        <w:instrText xml:space="preserve"> SEQ Table \* ARABIC </w:instrText>
      </w:r>
      <w:r w:rsidRPr="00AD2DF8">
        <w:rPr>
          <w:rFonts w:ascii="Arial" w:hAnsi="Arial" w:cs="Arial"/>
          <w:sz w:val="22"/>
          <w:szCs w:val="22"/>
        </w:rPr>
        <w:fldChar w:fldCharType="separate"/>
      </w:r>
      <w:r w:rsidR="00151A1C">
        <w:rPr>
          <w:rFonts w:ascii="Arial" w:hAnsi="Arial" w:cs="Arial"/>
          <w:noProof/>
          <w:sz w:val="22"/>
          <w:szCs w:val="22"/>
        </w:rPr>
        <w:t>3</w:t>
      </w:r>
      <w:r w:rsidRPr="00AD2DF8">
        <w:rPr>
          <w:rFonts w:ascii="Arial" w:hAnsi="Arial" w:cs="Arial"/>
          <w:sz w:val="22"/>
          <w:szCs w:val="22"/>
        </w:rPr>
        <w:fldChar w:fldCharType="end"/>
      </w:r>
      <w:bookmarkEnd w:id="55"/>
      <w:r w:rsidRPr="00AD2DF8">
        <w:rPr>
          <w:rFonts w:ascii="Arial" w:hAnsi="Arial" w:cs="Arial"/>
          <w:sz w:val="22"/>
          <w:szCs w:val="22"/>
        </w:rPr>
        <w:t xml:space="preserve">: </w:t>
      </w:r>
      <w:r w:rsidR="007E2CDF" w:rsidRPr="00AD2DF8">
        <w:rPr>
          <w:rFonts w:ascii="Arial" w:hAnsi="Arial" w:cs="Arial"/>
          <w:sz w:val="22"/>
          <w:szCs w:val="22"/>
        </w:rPr>
        <w:t xml:space="preserve">Concomitant therapy rules, including list of prohibited and allowed therapies </w:t>
      </w:r>
    </w:p>
    <w:p w14:paraId="70E300F4" w14:textId="77777777" w:rsidR="007E2CDF" w:rsidRPr="00AD2DF8" w:rsidRDefault="007E2CDF" w:rsidP="007E2CDF">
      <w:pPr>
        <w:rPr>
          <w:b/>
        </w:rPr>
      </w:pPr>
    </w:p>
    <w:tbl>
      <w:tblPr>
        <w:tblStyle w:val="TableGrid"/>
        <w:tblW w:w="9322" w:type="dxa"/>
        <w:tblLook w:val="04A0" w:firstRow="1" w:lastRow="0" w:firstColumn="1" w:lastColumn="0" w:noHBand="0" w:noVBand="1"/>
      </w:tblPr>
      <w:tblGrid>
        <w:gridCol w:w="1242"/>
        <w:gridCol w:w="4435"/>
        <w:gridCol w:w="3645"/>
      </w:tblGrid>
      <w:tr w:rsidR="007E2CDF" w:rsidRPr="00AD2DF8" w14:paraId="7F7D673E" w14:textId="77777777" w:rsidTr="00C9570A">
        <w:tc>
          <w:tcPr>
            <w:tcW w:w="1242" w:type="dxa"/>
          </w:tcPr>
          <w:p w14:paraId="4FA87BF0" w14:textId="77777777" w:rsidR="007E2CDF" w:rsidRPr="00AD2DF8" w:rsidRDefault="007E2CDF" w:rsidP="00C9570A">
            <w:pPr>
              <w:rPr>
                <w:rFonts w:cs="Arial"/>
                <w:b/>
                <w:sz w:val="20"/>
              </w:rPr>
            </w:pPr>
            <w:r w:rsidRPr="00AD2DF8">
              <w:rPr>
                <w:rFonts w:cs="Arial"/>
                <w:b/>
                <w:sz w:val="20"/>
              </w:rPr>
              <w:t>Category</w:t>
            </w:r>
          </w:p>
        </w:tc>
        <w:tc>
          <w:tcPr>
            <w:tcW w:w="4435" w:type="dxa"/>
          </w:tcPr>
          <w:p w14:paraId="0DA7843A" w14:textId="77777777" w:rsidR="007E2CDF" w:rsidRPr="00AD2DF8" w:rsidRDefault="007E2CDF" w:rsidP="00C9570A">
            <w:pPr>
              <w:rPr>
                <w:rFonts w:cs="Arial"/>
                <w:b/>
                <w:sz w:val="20"/>
              </w:rPr>
            </w:pPr>
            <w:r w:rsidRPr="00AD2DF8">
              <w:rPr>
                <w:rFonts w:cs="Arial"/>
                <w:b/>
                <w:sz w:val="20"/>
              </w:rPr>
              <w:t xml:space="preserve">Medication and Procedures </w:t>
            </w:r>
          </w:p>
        </w:tc>
        <w:tc>
          <w:tcPr>
            <w:tcW w:w="3645" w:type="dxa"/>
          </w:tcPr>
          <w:p w14:paraId="6E8856F8" w14:textId="77777777" w:rsidR="007E2CDF" w:rsidRPr="00AD2DF8" w:rsidRDefault="007E2CDF" w:rsidP="00C9570A">
            <w:pPr>
              <w:rPr>
                <w:rFonts w:cs="Arial"/>
                <w:b/>
                <w:sz w:val="20"/>
              </w:rPr>
            </w:pPr>
            <w:r w:rsidRPr="00AD2DF8">
              <w:rPr>
                <w:rFonts w:cs="Arial"/>
                <w:b/>
                <w:sz w:val="20"/>
              </w:rPr>
              <w:t>Comments on Use</w:t>
            </w:r>
          </w:p>
        </w:tc>
      </w:tr>
      <w:tr w:rsidR="007E2CDF" w:rsidRPr="00AD2DF8" w14:paraId="0EF3FBAD" w14:textId="77777777" w:rsidTr="00C9570A">
        <w:tc>
          <w:tcPr>
            <w:tcW w:w="1242" w:type="dxa"/>
            <w:vMerge w:val="restart"/>
          </w:tcPr>
          <w:p w14:paraId="08EEBF2C" w14:textId="77777777" w:rsidR="007E2CDF" w:rsidRPr="00AD2DF8" w:rsidRDefault="007E2CDF" w:rsidP="00C9570A">
            <w:pPr>
              <w:rPr>
                <w:rFonts w:cs="Arial"/>
                <w:b/>
                <w:sz w:val="20"/>
              </w:rPr>
            </w:pPr>
            <w:r w:rsidRPr="00AD2DF8">
              <w:rPr>
                <w:rFonts w:cs="Arial"/>
                <w:b/>
                <w:sz w:val="20"/>
              </w:rPr>
              <w:t>Prohibited</w:t>
            </w:r>
          </w:p>
        </w:tc>
        <w:tc>
          <w:tcPr>
            <w:tcW w:w="4435" w:type="dxa"/>
          </w:tcPr>
          <w:p w14:paraId="4A28A206" w14:textId="77777777" w:rsidR="007E2CDF" w:rsidRPr="00AD2DF8" w:rsidRDefault="007E2CDF" w:rsidP="00C9570A">
            <w:pPr>
              <w:widowControl w:val="0"/>
              <w:autoSpaceDE w:val="0"/>
              <w:autoSpaceDN w:val="0"/>
              <w:adjustRightInd w:val="0"/>
              <w:rPr>
                <w:rFonts w:cs="Arial"/>
                <w:sz w:val="20"/>
              </w:rPr>
            </w:pPr>
            <w:r w:rsidRPr="00AD2DF8">
              <w:rPr>
                <w:rFonts w:cs="Arial"/>
                <w:sz w:val="20"/>
              </w:rPr>
              <w:t>Concomitant systemic antibiotics (except adjunctive aztreonam and/or metronidazole in patients with wound infections). If therapy is required to treat an infection other than that associated with the primary ABSSSI, such antibiotic therapy should not have overlapping antibacterial activity with the study drug for the pathogen isolated from the ABSSSI lesion at baseline, if possible</w:t>
            </w:r>
          </w:p>
        </w:tc>
        <w:tc>
          <w:tcPr>
            <w:tcW w:w="3645" w:type="dxa"/>
          </w:tcPr>
          <w:p w14:paraId="13DC8C03" w14:textId="77777777" w:rsidR="007E2CDF" w:rsidRPr="00AD2DF8" w:rsidRDefault="007E2CDF" w:rsidP="00C9570A">
            <w:pPr>
              <w:widowControl w:val="0"/>
              <w:autoSpaceDE w:val="0"/>
              <w:autoSpaceDN w:val="0"/>
              <w:adjustRightInd w:val="0"/>
              <w:rPr>
                <w:rFonts w:cs="Arial"/>
                <w:sz w:val="20"/>
              </w:rPr>
            </w:pPr>
            <w:r w:rsidRPr="00AD2DF8">
              <w:rPr>
                <w:rFonts w:cs="Arial"/>
                <w:sz w:val="20"/>
              </w:rPr>
              <w:t>Prohibited 96 hours prior to Dose 1 through the LFU Visit. Antibiotics with activity against ABSSSI pathogens or those with local activity such as norfloxacin, nalidixic acid, pipemedic acid, or oral vancomycin are allowed as they are not expected to interfere with the clinical and microbiological response assessments of the primary lesion or for clinical failure of study drug</w:t>
            </w:r>
          </w:p>
        </w:tc>
      </w:tr>
      <w:tr w:rsidR="007E2CDF" w:rsidRPr="00AD2DF8" w14:paraId="53655821" w14:textId="77777777" w:rsidTr="00C9570A">
        <w:tc>
          <w:tcPr>
            <w:tcW w:w="1242" w:type="dxa"/>
            <w:vMerge/>
          </w:tcPr>
          <w:p w14:paraId="410AD23F" w14:textId="77777777" w:rsidR="007E2CDF" w:rsidRPr="00AD2DF8" w:rsidRDefault="007E2CDF" w:rsidP="00C9570A">
            <w:pPr>
              <w:rPr>
                <w:rFonts w:cs="Arial"/>
                <w:b/>
                <w:sz w:val="20"/>
              </w:rPr>
            </w:pPr>
          </w:p>
        </w:tc>
        <w:tc>
          <w:tcPr>
            <w:tcW w:w="4435" w:type="dxa"/>
          </w:tcPr>
          <w:p w14:paraId="57308FC8" w14:textId="77777777" w:rsidR="007E2CDF" w:rsidRPr="00AD2DF8" w:rsidRDefault="007E2CDF" w:rsidP="00C9570A">
            <w:pPr>
              <w:widowControl w:val="0"/>
              <w:autoSpaceDE w:val="0"/>
              <w:autoSpaceDN w:val="0"/>
              <w:adjustRightInd w:val="0"/>
              <w:rPr>
                <w:rFonts w:cs="Arial"/>
                <w:sz w:val="20"/>
              </w:rPr>
            </w:pPr>
            <w:r w:rsidRPr="00AD2DF8">
              <w:rPr>
                <w:rFonts w:cs="Arial"/>
                <w:sz w:val="20"/>
              </w:rPr>
              <w:t>Topical antibiotic on the primary ABSSSI lesion except associated with surgical dressing on a clean wound</w:t>
            </w:r>
          </w:p>
        </w:tc>
        <w:tc>
          <w:tcPr>
            <w:tcW w:w="3645" w:type="dxa"/>
          </w:tcPr>
          <w:p w14:paraId="7D08BDC6" w14:textId="77777777" w:rsidR="007E2CDF" w:rsidRPr="00AD2DF8" w:rsidRDefault="007E2CDF" w:rsidP="00C9570A">
            <w:pPr>
              <w:widowControl w:val="0"/>
              <w:autoSpaceDE w:val="0"/>
              <w:autoSpaceDN w:val="0"/>
              <w:adjustRightInd w:val="0"/>
              <w:rPr>
                <w:rFonts w:cs="Arial"/>
                <w:sz w:val="20"/>
              </w:rPr>
            </w:pPr>
            <w:r w:rsidRPr="00AD2DF8">
              <w:rPr>
                <w:rFonts w:cs="Arial"/>
                <w:sz w:val="20"/>
              </w:rPr>
              <w:t>Prohibited 96 hours prior to Dose 1 through to the LFU Visit</w:t>
            </w:r>
          </w:p>
        </w:tc>
      </w:tr>
      <w:tr w:rsidR="007E2CDF" w:rsidRPr="00AD2DF8" w14:paraId="02CAE223" w14:textId="77777777" w:rsidTr="00C9570A">
        <w:tc>
          <w:tcPr>
            <w:tcW w:w="1242" w:type="dxa"/>
            <w:vMerge/>
          </w:tcPr>
          <w:p w14:paraId="71F2C5EC" w14:textId="77777777" w:rsidR="007E2CDF" w:rsidRPr="00AD2DF8" w:rsidRDefault="007E2CDF" w:rsidP="00C9570A">
            <w:pPr>
              <w:rPr>
                <w:rFonts w:cs="Arial"/>
                <w:b/>
                <w:sz w:val="20"/>
              </w:rPr>
            </w:pPr>
          </w:p>
        </w:tc>
        <w:tc>
          <w:tcPr>
            <w:tcW w:w="4435" w:type="dxa"/>
          </w:tcPr>
          <w:p w14:paraId="099FEA12" w14:textId="77777777" w:rsidR="007E2CDF" w:rsidRPr="00AD2DF8" w:rsidRDefault="007E2CDF" w:rsidP="00C9570A">
            <w:pPr>
              <w:widowControl w:val="0"/>
              <w:autoSpaceDE w:val="0"/>
              <w:autoSpaceDN w:val="0"/>
              <w:adjustRightInd w:val="0"/>
              <w:rPr>
                <w:rFonts w:cs="Arial"/>
                <w:sz w:val="20"/>
              </w:rPr>
            </w:pPr>
            <w:r w:rsidRPr="00AD2DF8">
              <w:rPr>
                <w:rFonts w:cs="Arial"/>
                <w:sz w:val="20"/>
              </w:rPr>
              <w:t xml:space="preserve">Any of the following medications: </w:t>
            </w:r>
          </w:p>
          <w:p w14:paraId="56E3676A" w14:textId="77777777" w:rsidR="007E2CDF" w:rsidRPr="00AD2DF8" w:rsidRDefault="007E2CDF" w:rsidP="00C35C1F">
            <w:pPr>
              <w:pStyle w:val="ListParagraph"/>
              <w:widowControl w:val="0"/>
              <w:numPr>
                <w:ilvl w:val="0"/>
                <w:numId w:val="66"/>
              </w:numPr>
              <w:autoSpaceDE w:val="0"/>
              <w:autoSpaceDN w:val="0"/>
              <w:adjustRightInd w:val="0"/>
              <w:rPr>
                <w:rFonts w:cs="Arial"/>
                <w:sz w:val="20"/>
              </w:rPr>
            </w:pPr>
            <w:r w:rsidRPr="00AD2DF8">
              <w:rPr>
                <w:rFonts w:cs="Arial"/>
                <w:sz w:val="20"/>
              </w:rPr>
              <w:t xml:space="preserve">Monoamine oxidase A and B inhibitors (eg, phenelzine, isocarboxazid) </w:t>
            </w:r>
          </w:p>
          <w:p w14:paraId="6D033428" w14:textId="77777777" w:rsidR="007E2CDF" w:rsidRPr="00AD2DF8" w:rsidRDefault="007E2CDF" w:rsidP="00C35C1F">
            <w:pPr>
              <w:pStyle w:val="ListParagraph"/>
              <w:widowControl w:val="0"/>
              <w:numPr>
                <w:ilvl w:val="0"/>
                <w:numId w:val="66"/>
              </w:numPr>
              <w:autoSpaceDE w:val="0"/>
              <w:autoSpaceDN w:val="0"/>
              <w:adjustRightInd w:val="0"/>
              <w:rPr>
                <w:rFonts w:cs="Arial"/>
                <w:sz w:val="20"/>
              </w:rPr>
            </w:pPr>
            <w:r w:rsidRPr="00AD2DF8">
              <w:rPr>
                <w:rFonts w:cs="Arial"/>
                <w:sz w:val="20"/>
              </w:rPr>
              <w:t>Serotonergic agents including antidepressants such as selective serotonin reuptake inhibitors, tricyclic antidepressants, serotonin 5-HT1 receptor agonists (triptans), meperidine, or buspirone</w:t>
            </w:r>
          </w:p>
        </w:tc>
        <w:tc>
          <w:tcPr>
            <w:tcW w:w="3645" w:type="dxa"/>
          </w:tcPr>
          <w:p w14:paraId="2EF4DCE4" w14:textId="77777777" w:rsidR="007E2CDF" w:rsidRPr="00AD2DF8" w:rsidRDefault="007E2CDF" w:rsidP="00C9570A">
            <w:pPr>
              <w:widowControl w:val="0"/>
              <w:autoSpaceDE w:val="0"/>
              <w:autoSpaceDN w:val="0"/>
              <w:adjustRightInd w:val="0"/>
              <w:rPr>
                <w:rFonts w:cs="Arial"/>
                <w:sz w:val="20"/>
              </w:rPr>
            </w:pPr>
            <w:r w:rsidRPr="00AD2DF8">
              <w:rPr>
                <w:rFonts w:cs="Arial"/>
                <w:sz w:val="20"/>
              </w:rPr>
              <w:t>Prohibited within 14 days before Dose 1 through the EOT Visit</w:t>
            </w:r>
          </w:p>
        </w:tc>
      </w:tr>
      <w:tr w:rsidR="007E2CDF" w:rsidRPr="00AD2DF8" w14:paraId="7F46DA03" w14:textId="77777777" w:rsidTr="00C9570A">
        <w:tc>
          <w:tcPr>
            <w:tcW w:w="1242" w:type="dxa"/>
            <w:vMerge/>
          </w:tcPr>
          <w:p w14:paraId="3C51FAE2" w14:textId="77777777" w:rsidR="007E2CDF" w:rsidRPr="00AD2DF8" w:rsidRDefault="007E2CDF" w:rsidP="00C9570A">
            <w:pPr>
              <w:rPr>
                <w:rFonts w:cs="Arial"/>
                <w:b/>
                <w:sz w:val="20"/>
              </w:rPr>
            </w:pPr>
          </w:p>
        </w:tc>
        <w:tc>
          <w:tcPr>
            <w:tcW w:w="4435" w:type="dxa"/>
          </w:tcPr>
          <w:p w14:paraId="3012835A" w14:textId="77777777" w:rsidR="007E2CDF" w:rsidRPr="00AD2DF8" w:rsidRDefault="007E2CDF" w:rsidP="00C9570A">
            <w:pPr>
              <w:widowControl w:val="0"/>
              <w:autoSpaceDE w:val="0"/>
              <w:autoSpaceDN w:val="0"/>
              <w:adjustRightInd w:val="0"/>
              <w:rPr>
                <w:rFonts w:cs="Arial"/>
                <w:sz w:val="20"/>
              </w:rPr>
            </w:pPr>
            <w:r w:rsidRPr="00AD2DF8">
              <w:rPr>
                <w:rFonts w:cs="Arial"/>
                <w:sz w:val="20"/>
              </w:rPr>
              <w:t>In patients with uncontrolled hypertension, pheochromocytoma, carcinoid syndrome, or thyrotoxicosis: systemic directly and indirectly acting sympathomimetic agents (eg, pseudoephedrine, phenylpropanolamine), vasopressive agents (eg, epinephrine, norepinephrine), or dopaminergic agents (eg, dopamine, dobutamine).</w:t>
            </w:r>
          </w:p>
        </w:tc>
        <w:tc>
          <w:tcPr>
            <w:tcW w:w="3645" w:type="dxa"/>
          </w:tcPr>
          <w:p w14:paraId="5145D69B" w14:textId="77777777" w:rsidR="007E2CDF" w:rsidRPr="00AD2DF8" w:rsidRDefault="007E2CDF" w:rsidP="00C9570A">
            <w:pPr>
              <w:widowControl w:val="0"/>
              <w:autoSpaceDE w:val="0"/>
              <w:autoSpaceDN w:val="0"/>
              <w:adjustRightInd w:val="0"/>
              <w:rPr>
                <w:rFonts w:cs="Arial"/>
                <w:sz w:val="20"/>
              </w:rPr>
            </w:pPr>
            <w:r w:rsidRPr="00AD2DF8">
              <w:rPr>
                <w:rFonts w:cs="Arial"/>
                <w:sz w:val="20"/>
              </w:rPr>
              <w:t>Prohibited within 2 days before Dose 1 through the EOT Visit. Use of a small amount of a vasoconstrictor (eg, lidocaine containing epinephrine) during a local surgical procedure (eg, incision and drainage) is allowed</w:t>
            </w:r>
          </w:p>
        </w:tc>
      </w:tr>
      <w:tr w:rsidR="007E2CDF" w:rsidRPr="00AD2DF8" w14:paraId="1C60F56B" w14:textId="77777777" w:rsidTr="00C9570A">
        <w:tc>
          <w:tcPr>
            <w:tcW w:w="1242" w:type="dxa"/>
            <w:vMerge/>
          </w:tcPr>
          <w:p w14:paraId="5C269FE5" w14:textId="77777777" w:rsidR="007E2CDF" w:rsidRPr="00AD2DF8" w:rsidRDefault="007E2CDF" w:rsidP="00C9570A">
            <w:pPr>
              <w:rPr>
                <w:rFonts w:cs="Arial"/>
                <w:b/>
                <w:sz w:val="20"/>
              </w:rPr>
            </w:pPr>
          </w:p>
        </w:tc>
        <w:tc>
          <w:tcPr>
            <w:tcW w:w="4435" w:type="dxa"/>
          </w:tcPr>
          <w:p w14:paraId="50D1094E" w14:textId="77777777" w:rsidR="007E2CDF" w:rsidRPr="00AD2DF8" w:rsidRDefault="007E2CDF" w:rsidP="00C9570A">
            <w:pPr>
              <w:widowControl w:val="0"/>
              <w:autoSpaceDE w:val="0"/>
              <w:autoSpaceDN w:val="0"/>
              <w:adjustRightInd w:val="0"/>
              <w:rPr>
                <w:rFonts w:cs="Arial"/>
                <w:sz w:val="20"/>
              </w:rPr>
            </w:pPr>
            <w:r w:rsidRPr="00AD2DF8">
              <w:rPr>
                <w:rFonts w:cs="Arial"/>
                <w:sz w:val="20"/>
              </w:rPr>
              <w:t>For wounds and abscesses: incision and drainage of the ABSSSI site not planned before</w:t>
            </w:r>
          </w:p>
          <w:p w14:paraId="7E5ECB80" w14:textId="77777777" w:rsidR="007E2CDF" w:rsidRPr="00AD2DF8" w:rsidRDefault="007E2CDF" w:rsidP="00C9570A">
            <w:pPr>
              <w:widowControl w:val="0"/>
              <w:autoSpaceDE w:val="0"/>
              <w:autoSpaceDN w:val="0"/>
              <w:adjustRightInd w:val="0"/>
              <w:rPr>
                <w:rFonts w:cs="Arial"/>
                <w:sz w:val="20"/>
              </w:rPr>
            </w:pPr>
            <w:r w:rsidRPr="00AD2DF8">
              <w:rPr>
                <w:rFonts w:cs="Arial"/>
                <w:sz w:val="20"/>
              </w:rPr>
              <w:t>randomisation and performed after Day 1 is</w:t>
            </w:r>
          </w:p>
          <w:p w14:paraId="15B1E95C" w14:textId="77777777" w:rsidR="007E2CDF" w:rsidRPr="00AD2DF8" w:rsidRDefault="007E2CDF" w:rsidP="00C9570A">
            <w:pPr>
              <w:widowControl w:val="0"/>
              <w:autoSpaceDE w:val="0"/>
              <w:autoSpaceDN w:val="0"/>
              <w:adjustRightInd w:val="0"/>
              <w:rPr>
                <w:rFonts w:cs="Arial"/>
                <w:sz w:val="20"/>
              </w:rPr>
            </w:pPr>
            <w:r w:rsidRPr="00AD2DF8">
              <w:rPr>
                <w:rFonts w:cs="Arial"/>
                <w:sz w:val="20"/>
              </w:rPr>
              <w:lastRenderedPageBreak/>
              <w:t>discouraged, but can be performed if clearly indicated by the clinical condition. For cellulitis: incision and drainage of the ABSSSI site not planned before randomisation and performed after the 48-72 Hour Visit is discouraged, but can be performed if clearly indicated by the clinical condition.</w:t>
            </w:r>
          </w:p>
        </w:tc>
        <w:tc>
          <w:tcPr>
            <w:tcW w:w="3645" w:type="dxa"/>
          </w:tcPr>
          <w:p w14:paraId="65522BA3" w14:textId="77777777" w:rsidR="007E2CDF" w:rsidRPr="00AD2DF8" w:rsidRDefault="007E2CDF" w:rsidP="00C9570A">
            <w:pPr>
              <w:rPr>
                <w:rFonts w:cs="Arial"/>
                <w:b/>
                <w:sz w:val="20"/>
              </w:rPr>
            </w:pPr>
          </w:p>
        </w:tc>
      </w:tr>
      <w:tr w:rsidR="007E2CDF" w:rsidRPr="00AD2DF8" w14:paraId="316ACBCA" w14:textId="77777777" w:rsidTr="00C9570A">
        <w:tc>
          <w:tcPr>
            <w:tcW w:w="1242" w:type="dxa"/>
            <w:vMerge/>
          </w:tcPr>
          <w:p w14:paraId="4EB3BE3F" w14:textId="77777777" w:rsidR="007E2CDF" w:rsidRPr="00AD2DF8" w:rsidRDefault="007E2CDF" w:rsidP="00C9570A">
            <w:pPr>
              <w:rPr>
                <w:rFonts w:cs="Arial"/>
                <w:b/>
                <w:sz w:val="20"/>
              </w:rPr>
            </w:pPr>
          </w:p>
        </w:tc>
        <w:tc>
          <w:tcPr>
            <w:tcW w:w="4435" w:type="dxa"/>
          </w:tcPr>
          <w:p w14:paraId="60964F73" w14:textId="77777777" w:rsidR="007E2CDF" w:rsidRPr="00AD2DF8" w:rsidRDefault="007E2CDF" w:rsidP="00C9570A">
            <w:pPr>
              <w:widowControl w:val="0"/>
              <w:autoSpaceDE w:val="0"/>
              <w:autoSpaceDN w:val="0"/>
              <w:adjustRightInd w:val="0"/>
              <w:rPr>
                <w:rFonts w:cs="Arial"/>
                <w:sz w:val="20"/>
              </w:rPr>
            </w:pPr>
            <w:r w:rsidRPr="00AD2DF8">
              <w:rPr>
                <w:rFonts w:cs="Arial"/>
                <w:sz w:val="20"/>
              </w:rPr>
              <w:t>Nonsteroidal anti-inflammatory drugs (NSAIDs) or oral steroids</w:t>
            </w:r>
          </w:p>
        </w:tc>
        <w:tc>
          <w:tcPr>
            <w:tcW w:w="3645" w:type="dxa"/>
          </w:tcPr>
          <w:p w14:paraId="0172E372" w14:textId="77777777" w:rsidR="007E2CDF" w:rsidRPr="00AD2DF8" w:rsidRDefault="007E2CDF" w:rsidP="00C9570A">
            <w:pPr>
              <w:widowControl w:val="0"/>
              <w:autoSpaceDE w:val="0"/>
              <w:autoSpaceDN w:val="0"/>
              <w:adjustRightInd w:val="0"/>
              <w:rPr>
                <w:rFonts w:cs="Arial"/>
                <w:sz w:val="20"/>
              </w:rPr>
            </w:pPr>
            <w:r w:rsidRPr="00AD2DF8">
              <w:rPr>
                <w:rFonts w:cs="Arial"/>
                <w:sz w:val="20"/>
              </w:rPr>
              <w:t>Prohibited between enrollment and the 48-72 Hour Visit unless used chronically prior to enrollment (eg, NSAID for arthropathy, low-dose aspirin for cardiovascular prophylaxis, etc); allowed after the 48-72 Hour</w:t>
            </w:r>
          </w:p>
          <w:p w14:paraId="2F8C38C6" w14:textId="77777777" w:rsidR="007E2CDF" w:rsidRPr="00AD2DF8" w:rsidRDefault="007E2CDF" w:rsidP="00C9570A">
            <w:pPr>
              <w:widowControl w:val="0"/>
              <w:autoSpaceDE w:val="0"/>
              <w:autoSpaceDN w:val="0"/>
              <w:adjustRightInd w:val="0"/>
              <w:rPr>
                <w:rFonts w:cs="Arial"/>
                <w:sz w:val="20"/>
              </w:rPr>
            </w:pPr>
            <w:r w:rsidRPr="00AD2DF8">
              <w:rPr>
                <w:rFonts w:cs="Arial"/>
                <w:sz w:val="20"/>
              </w:rPr>
              <w:t>Visit. Alternatives such as acetaminophen or morphinomimetic use are not  prohibited at any time</w:t>
            </w:r>
          </w:p>
        </w:tc>
      </w:tr>
      <w:tr w:rsidR="007E2CDF" w:rsidRPr="00AD2DF8" w14:paraId="0E673E2F" w14:textId="77777777" w:rsidTr="00C9570A">
        <w:tc>
          <w:tcPr>
            <w:tcW w:w="1242" w:type="dxa"/>
            <w:vMerge w:val="restart"/>
          </w:tcPr>
          <w:p w14:paraId="6918CAC7" w14:textId="77777777" w:rsidR="007E2CDF" w:rsidRPr="00AD2DF8" w:rsidRDefault="007E2CDF" w:rsidP="00C9570A">
            <w:pPr>
              <w:rPr>
                <w:rFonts w:cs="Arial"/>
                <w:b/>
                <w:sz w:val="20"/>
              </w:rPr>
            </w:pPr>
            <w:r w:rsidRPr="00AD2DF8">
              <w:rPr>
                <w:rFonts w:cs="Arial"/>
                <w:b/>
                <w:sz w:val="20"/>
              </w:rPr>
              <w:t>Allowed</w:t>
            </w:r>
          </w:p>
        </w:tc>
        <w:tc>
          <w:tcPr>
            <w:tcW w:w="4435" w:type="dxa"/>
          </w:tcPr>
          <w:p w14:paraId="772813F0" w14:textId="77777777" w:rsidR="007E2CDF" w:rsidRPr="00AD2DF8" w:rsidRDefault="007E2CDF" w:rsidP="00C9570A">
            <w:pPr>
              <w:widowControl w:val="0"/>
              <w:autoSpaceDE w:val="0"/>
              <w:autoSpaceDN w:val="0"/>
              <w:adjustRightInd w:val="0"/>
              <w:rPr>
                <w:rFonts w:cs="Arial"/>
                <w:sz w:val="20"/>
              </w:rPr>
            </w:pPr>
            <w:r w:rsidRPr="00AD2DF8">
              <w:rPr>
                <w:rFonts w:cs="Arial"/>
                <w:sz w:val="20"/>
              </w:rPr>
              <w:t>Adjunctive aztreonam and/or metronidazole in patients with wound infection</w:t>
            </w:r>
          </w:p>
        </w:tc>
        <w:tc>
          <w:tcPr>
            <w:tcW w:w="3645" w:type="dxa"/>
          </w:tcPr>
          <w:p w14:paraId="5791C609" w14:textId="77777777" w:rsidR="007E2CDF" w:rsidRPr="00AD2DF8" w:rsidRDefault="007E2CDF" w:rsidP="00C9570A">
            <w:pPr>
              <w:widowControl w:val="0"/>
              <w:autoSpaceDE w:val="0"/>
              <w:autoSpaceDN w:val="0"/>
              <w:adjustRightInd w:val="0"/>
              <w:rPr>
                <w:rFonts w:cs="Arial"/>
                <w:sz w:val="20"/>
              </w:rPr>
            </w:pPr>
            <w:r w:rsidRPr="00AD2DF8">
              <w:rPr>
                <w:rFonts w:cs="Arial"/>
                <w:sz w:val="20"/>
              </w:rPr>
              <w:t>When gram-negative pathogens are suspected or found</w:t>
            </w:r>
          </w:p>
        </w:tc>
      </w:tr>
      <w:tr w:rsidR="007E2CDF" w:rsidRPr="00AD2DF8" w14:paraId="472B93A0" w14:textId="77777777" w:rsidTr="00C9570A">
        <w:tc>
          <w:tcPr>
            <w:tcW w:w="1242" w:type="dxa"/>
            <w:vMerge/>
          </w:tcPr>
          <w:p w14:paraId="29C94EAB" w14:textId="77777777" w:rsidR="007E2CDF" w:rsidRPr="00AD2DF8" w:rsidRDefault="007E2CDF" w:rsidP="00C9570A">
            <w:pPr>
              <w:rPr>
                <w:rFonts w:cs="Arial"/>
                <w:b/>
                <w:sz w:val="20"/>
              </w:rPr>
            </w:pPr>
          </w:p>
        </w:tc>
        <w:tc>
          <w:tcPr>
            <w:tcW w:w="4435" w:type="dxa"/>
          </w:tcPr>
          <w:p w14:paraId="2ADBB570" w14:textId="77777777" w:rsidR="007E2CDF" w:rsidRPr="00AD2DF8" w:rsidRDefault="007E2CDF" w:rsidP="00C9570A">
            <w:pPr>
              <w:widowControl w:val="0"/>
              <w:autoSpaceDE w:val="0"/>
              <w:autoSpaceDN w:val="0"/>
              <w:adjustRightInd w:val="0"/>
              <w:rPr>
                <w:rFonts w:cs="Arial"/>
                <w:sz w:val="20"/>
              </w:rPr>
            </w:pPr>
            <w:r w:rsidRPr="00AD2DF8">
              <w:rPr>
                <w:rFonts w:cs="Arial"/>
                <w:sz w:val="20"/>
              </w:rPr>
              <w:t>Topical antiseptics, disinfectants, and soaps for</w:t>
            </w:r>
          </w:p>
          <w:p w14:paraId="49CC4FD2" w14:textId="77777777" w:rsidR="007E2CDF" w:rsidRPr="00AD2DF8" w:rsidRDefault="007E2CDF" w:rsidP="00C9570A">
            <w:pPr>
              <w:rPr>
                <w:rFonts w:cs="Arial"/>
                <w:b/>
                <w:sz w:val="20"/>
              </w:rPr>
            </w:pPr>
            <w:r w:rsidRPr="00AD2DF8">
              <w:rPr>
                <w:rFonts w:cs="Arial"/>
                <w:sz w:val="20"/>
              </w:rPr>
              <w:t>local care and body decontamination</w:t>
            </w:r>
          </w:p>
        </w:tc>
        <w:tc>
          <w:tcPr>
            <w:tcW w:w="3645" w:type="dxa"/>
          </w:tcPr>
          <w:p w14:paraId="3E1F05BA" w14:textId="77777777" w:rsidR="007E2CDF" w:rsidRPr="00AD2DF8" w:rsidRDefault="007E2CDF" w:rsidP="00C9570A">
            <w:pPr>
              <w:rPr>
                <w:rFonts w:cs="Arial"/>
                <w:b/>
                <w:sz w:val="20"/>
              </w:rPr>
            </w:pPr>
            <w:r w:rsidRPr="00AD2DF8">
              <w:rPr>
                <w:rFonts w:cs="Arial"/>
                <w:sz w:val="20"/>
              </w:rPr>
              <w:t>As needed for wound care</w:t>
            </w:r>
          </w:p>
        </w:tc>
      </w:tr>
      <w:tr w:rsidR="007E2CDF" w:rsidRPr="00AD2DF8" w14:paraId="487807CF" w14:textId="77777777" w:rsidTr="00C9570A">
        <w:tc>
          <w:tcPr>
            <w:tcW w:w="1242" w:type="dxa"/>
            <w:vMerge/>
          </w:tcPr>
          <w:p w14:paraId="6DCB3FE8" w14:textId="77777777" w:rsidR="007E2CDF" w:rsidRPr="00AD2DF8" w:rsidRDefault="007E2CDF" w:rsidP="00C9570A">
            <w:pPr>
              <w:rPr>
                <w:rFonts w:cs="Arial"/>
                <w:b/>
                <w:sz w:val="20"/>
              </w:rPr>
            </w:pPr>
          </w:p>
        </w:tc>
        <w:tc>
          <w:tcPr>
            <w:tcW w:w="4435" w:type="dxa"/>
          </w:tcPr>
          <w:p w14:paraId="295F9EDE" w14:textId="77777777" w:rsidR="007E2CDF" w:rsidRPr="00AD2DF8" w:rsidRDefault="007E2CDF" w:rsidP="00C9570A">
            <w:pPr>
              <w:rPr>
                <w:rFonts w:cs="Arial"/>
                <w:b/>
                <w:sz w:val="20"/>
              </w:rPr>
            </w:pPr>
            <w:r w:rsidRPr="00AD2DF8">
              <w:rPr>
                <w:rFonts w:cs="Arial"/>
                <w:sz w:val="20"/>
              </w:rPr>
              <w:t>Topical antibiotic outside the primary lesion</w:t>
            </w:r>
          </w:p>
        </w:tc>
        <w:tc>
          <w:tcPr>
            <w:tcW w:w="3645" w:type="dxa"/>
          </w:tcPr>
          <w:p w14:paraId="545E8097" w14:textId="77777777" w:rsidR="007E2CDF" w:rsidRPr="00AD2DF8" w:rsidRDefault="007E2CDF" w:rsidP="00C9570A">
            <w:pPr>
              <w:rPr>
                <w:rFonts w:cs="Arial"/>
                <w:b/>
                <w:sz w:val="20"/>
              </w:rPr>
            </w:pPr>
            <w:r w:rsidRPr="00AD2DF8">
              <w:rPr>
                <w:rFonts w:cs="Arial"/>
                <w:sz w:val="20"/>
              </w:rPr>
              <w:t>Prohibited on primary ABSSSI lesion</w:t>
            </w:r>
          </w:p>
        </w:tc>
      </w:tr>
      <w:tr w:rsidR="007E2CDF" w:rsidRPr="00AD2DF8" w14:paraId="7758D197" w14:textId="77777777" w:rsidTr="00C9570A">
        <w:tc>
          <w:tcPr>
            <w:tcW w:w="1242" w:type="dxa"/>
            <w:vMerge/>
          </w:tcPr>
          <w:p w14:paraId="3FD059B4" w14:textId="77777777" w:rsidR="007E2CDF" w:rsidRPr="00AD2DF8" w:rsidRDefault="007E2CDF" w:rsidP="00C9570A">
            <w:pPr>
              <w:rPr>
                <w:rFonts w:cs="Arial"/>
                <w:b/>
                <w:sz w:val="20"/>
              </w:rPr>
            </w:pPr>
          </w:p>
        </w:tc>
        <w:tc>
          <w:tcPr>
            <w:tcW w:w="4435" w:type="dxa"/>
          </w:tcPr>
          <w:p w14:paraId="370E2F80" w14:textId="77777777" w:rsidR="007E2CDF" w:rsidRPr="00AD2DF8" w:rsidRDefault="007E2CDF" w:rsidP="00C9570A">
            <w:pPr>
              <w:widowControl w:val="0"/>
              <w:autoSpaceDE w:val="0"/>
              <w:autoSpaceDN w:val="0"/>
              <w:adjustRightInd w:val="0"/>
              <w:rPr>
                <w:rFonts w:cs="Arial"/>
                <w:sz w:val="20"/>
              </w:rPr>
            </w:pPr>
            <w:r w:rsidRPr="00AD2DF8">
              <w:rPr>
                <w:rFonts w:cs="Arial"/>
                <w:sz w:val="20"/>
              </w:rPr>
              <w:t>Supportive measures for optimal medical care (such as debridement, wound packing, wound lavage, aspiration puncture, excision with or without grafting, etc)</w:t>
            </w:r>
          </w:p>
        </w:tc>
        <w:tc>
          <w:tcPr>
            <w:tcW w:w="3645" w:type="dxa"/>
          </w:tcPr>
          <w:p w14:paraId="36410490" w14:textId="77777777" w:rsidR="007E2CDF" w:rsidRPr="00AD2DF8" w:rsidRDefault="007E2CDF" w:rsidP="00C9570A">
            <w:pPr>
              <w:widowControl w:val="0"/>
              <w:autoSpaceDE w:val="0"/>
              <w:autoSpaceDN w:val="0"/>
              <w:adjustRightInd w:val="0"/>
              <w:rPr>
                <w:rFonts w:cs="Arial"/>
                <w:sz w:val="20"/>
              </w:rPr>
            </w:pPr>
            <w:r w:rsidRPr="00AD2DF8">
              <w:rPr>
                <w:rFonts w:cs="Arial"/>
                <w:sz w:val="20"/>
              </w:rPr>
              <w:t>As needed throughout study; detailed information is required to ensure appropriate clinical response categorisation</w:t>
            </w:r>
          </w:p>
        </w:tc>
      </w:tr>
      <w:tr w:rsidR="007E2CDF" w:rsidRPr="00AD2DF8" w14:paraId="41408511" w14:textId="77777777" w:rsidTr="00C9570A">
        <w:tc>
          <w:tcPr>
            <w:tcW w:w="1242" w:type="dxa"/>
            <w:vMerge/>
          </w:tcPr>
          <w:p w14:paraId="256D806C" w14:textId="77777777" w:rsidR="007E2CDF" w:rsidRPr="00AD2DF8" w:rsidRDefault="007E2CDF" w:rsidP="00C9570A">
            <w:pPr>
              <w:rPr>
                <w:rFonts w:cs="Arial"/>
                <w:b/>
                <w:sz w:val="20"/>
              </w:rPr>
            </w:pPr>
          </w:p>
        </w:tc>
        <w:tc>
          <w:tcPr>
            <w:tcW w:w="4435" w:type="dxa"/>
          </w:tcPr>
          <w:p w14:paraId="74E47EBB" w14:textId="77777777" w:rsidR="007E2CDF" w:rsidRPr="00AD2DF8" w:rsidRDefault="007E2CDF" w:rsidP="00C9570A">
            <w:pPr>
              <w:rPr>
                <w:rFonts w:cs="Arial"/>
                <w:b/>
                <w:sz w:val="20"/>
              </w:rPr>
            </w:pPr>
            <w:r w:rsidRPr="00AD2DF8">
              <w:rPr>
                <w:rFonts w:cs="Arial"/>
                <w:sz w:val="20"/>
              </w:rPr>
              <w:t>Analgesic medication</w:t>
            </w:r>
          </w:p>
        </w:tc>
        <w:tc>
          <w:tcPr>
            <w:tcW w:w="3645" w:type="dxa"/>
          </w:tcPr>
          <w:p w14:paraId="7CDEC16B" w14:textId="77777777" w:rsidR="007E2CDF" w:rsidRPr="00AD2DF8" w:rsidRDefault="007E2CDF" w:rsidP="00C9570A">
            <w:pPr>
              <w:widowControl w:val="0"/>
              <w:autoSpaceDE w:val="0"/>
              <w:autoSpaceDN w:val="0"/>
              <w:adjustRightInd w:val="0"/>
              <w:rPr>
                <w:rFonts w:cs="Arial"/>
                <w:sz w:val="20"/>
              </w:rPr>
            </w:pPr>
            <w:r w:rsidRPr="00AD2DF8">
              <w:rPr>
                <w:rFonts w:cs="Arial"/>
                <w:sz w:val="20"/>
              </w:rPr>
              <w:t>Recommended to use analgesic medication that does not have</w:t>
            </w:r>
          </w:p>
          <w:p w14:paraId="08AF1EE2" w14:textId="77777777" w:rsidR="007E2CDF" w:rsidRPr="00AD2DF8" w:rsidRDefault="007E2CDF" w:rsidP="00C9570A">
            <w:pPr>
              <w:widowControl w:val="0"/>
              <w:autoSpaceDE w:val="0"/>
              <w:autoSpaceDN w:val="0"/>
              <w:adjustRightInd w:val="0"/>
              <w:rPr>
                <w:rFonts w:cs="Arial"/>
                <w:sz w:val="20"/>
              </w:rPr>
            </w:pPr>
            <w:r w:rsidRPr="00AD2DF8">
              <w:rPr>
                <w:rFonts w:cs="Arial"/>
                <w:sz w:val="20"/>
              </w:rPr>
              <w:t>antipyretic effects until after the 48-72 Hour Visit</w:t>
            </w:r>
          </w:p>
        </w:tc>
      </w:tr>
      <w:tr w:rsidR="007E2CDF" w:rsidRPr="00AD2DF8" w14:paraId="1BA9E8F3" w14:textId="77777777" w:rsidTr="00C9570A">
        <w:tc>
          <w:tcPr>
            <w:tcW w:w="1242" w:type="dxa"/>
            <w:vMerge/>
          </w:tcPr>
          <w:p w14:paraId="633DA328" w14:textId="77777777" w:rsidR="007E2CDF" w:rsidRPr="00AD2DF8" w:rsidRDefault="007E2CDF" w:rsidP="00C9570A">
            <w:pPr>
              <w:rPr>
                <w:rFonts w:cs="Arial"/>
                <w:b/>
                <w:sz w:val="20"/>
              </w:rPr>
            </w:pPr>
          </w:p>
        </w:tc>
        <w:tc>
          <w:tcPr>
            <w:tcW w:w="4435" w:type="dxa"/>
          </w:tcPr>
          <w:p w14:paraId="4EA92865" w14:textId="77777777" w:rsidR="007E2CDF" w:rsidRPr="00AD2DF8" w:rsidRDefault="007E2CDF" w:rsidP="00C9570A">
            <w:pPr>
              <w:rPr>
                <w:rFonts w:cs="Arial"/>
                <w:b/>
                <w:sz w:val="20"/>
              </w:rPr>
            </w:pPr>
            <w:r w:rsidRPr="00AD2DF8">
              <w:rPr>
                <w:rFonts w:cs="Arial"/>
                <w:sz w:val="20"/>
              </w:rPr>
              <w:t>Antipyretic medication</w:t>
            </w:r>
          </w:p>
        </w:tc>
        <w:tc>
          <w:tcPr>
            <w:tcW w:w="3645" w:type="dxa"/>
          </w:tcPr>
          <w:p w14:paraId="4A7F95FD" w14:textId="77777777" w:rsidR="007E2CDF" w:rsidRPr="00AD2DF8" w:rsidRDefault="007E2CDF" w:rsidP="00C9570A">
            <w:pPr>
              <w:widowControl w:val="0"/>
              <w:autoSpaceDE w:val="0"/>
              <w:autoSpaceDN w:val="0"/>
              <w:adjustRightInd w:val="0"/>
              <w:rPr>
                <w:rFonts w:cs="Arial"/>
                <w:sz w:val="20"/>
              </w:rPr>
            </w:pPr>
            <w:r w:rsidRPr="00AD2DF8">
              <w:rPr>
                <w:rFonts w:cs="Arial"/>
                <w:sz w:val="20"/>
              </w:rPr>
              <w:t>Recommended to use only when patient temperature exceeds 38°C</w:t>
            </w:r>
          </w:p>
        </w:tc>
      </w:tr>
      <w:tr w:rsidR="007E2CDF" w:rsidRPr="00AD2DF8" w14:paraId="7C406C1C" w14:textId="77777777" w:rsidTr="00C9570A">
        <w:tc>
          <w:tcPr>
            <w:tcW w:w="1242" w:type="dxa"/>
            <w:vMerge/>
          </w:tcPr>
          <w:p w14:paraId="605A642E" w14:textId="77777777" w:rsidR="007E2CDF" w:rsidRPr="00AD2DF8" w:rsidRDefault="007E2CDF" w:rsidP="00C9570A">
            <w:pPr>
              <w:rPr>
                <w:rFonts w:cs="Arial"/>
                <w:b/>
                <w:sz w:val="20"/>
              </w:rPr>
            </w:pPr>
          </w:p>
        </w:tc>
        <w:tc>
          <w:tcPr>
            <w:tcW w:w="4435" w:type="dxa"/>
          </w:tcPr>
          <w:p w14:paraId="06C21181" w14:textId="77777777" w:rsidR="007E2CDF" w:rsidRPr="00AD2DF8" w:rsidRDefault="007E2CDF" w:rsidP="00C9570A">
            <w:pPr>
              <w:rPr>
                <w:rFonts w:cs="Arial"/>
                <w:b/>
                <w:sz w:val="20"/>
              </w:rPr>
            </w:pPr>
            <w:r w:rsidRPr="00AD2DF8">
              <w:rPr>
                <w:rFonts w:cs="Arial"/>
                <w:sz w:val="20"/>
              </w:rPr>
              <w:t>Antifungal or antiviral agents</w:t>
            </w:r>
          </w:p>
        </w:tc>
        <w:tc>
          <w:tcPr>
            <w:tcW w:w="3645" w:type="dxa"/>
          </w:tcPr>
          <w:p w14:paraId="5E263EB4" w14:textId="77777777" w:rsidR="007E2CDF" w:rsidRPr="00AD2DF8" w:rsidRDefault="007E2CDF" w:rsidP="00C9570A">
            <w:pPr>
              <w:widowControl w:val="0"/>
              <w:autoSpaceDE w:val="0"/>
              <w:autoSpaceDN w:val="0"/>
              <w:adjustRightInd w:val="0"/>
              <w:rPr>
                <w:rFonts w:cs="Arial"/>
                <w:sz w:val="20"/>
              </w:rPr>
            </w:pPr>
            <w:r w:rsidRPr="00AD2DF8">
              <w:rPr>
                <w:rFonts w:cs="Arial"/>
                <w:sz w:val="20"/>
              </w:rPr>
              <w:t>As needed at the discretion of the treating physician</w:t>
            </w:r>
          </w:p>
        </w:tc>
      </w:tr>
      <w:tr w:rsidR="007E2CDF" w:rsidRPr="00AD2DF8" w14:paraId="2484B9A3" w14:textId="77777777" w:rsidTr="00C9570A">
        <w:tc>
          <w:tcPr>
            <w:tcW w:w="1242" w:type="dxa"/>
            <w:vMerge/>
          </w:tcPr>
          <w:p w14:paraId="4E805D84" w14:textId="77777777" w:rsidR="007E2CDF" w:rsidRPr="00AD2DF8" w:rsidRDefault="007E2CDF" w:rsidP="00C9570A">
            <w:pPr>
              <w:rPr>
                <w:rFonts w:cs="Arial"/>
                <w:b/>
                <w:sz w:val="20"/>
              </w:rPr>
            </w:pPr>
          </w:p>
        </w:tc>
        <w:tc>
          <w:tcPr>
            <w:tcW w:w="4435" w:type="dxa"/>
          </w:tcPr>
          <w:p w14:paraId="2D9067CC" w14:textId="77777777" w:rsidR="007E2CDF" w:rsidRPr="00AD2DF8" w:rsidRDefault="007E2CDF" w:rsidP="00C9570A">
            <w:pPr>
              <w:rPr>
                <w:rFonts w:cs="Arial"/>
                <w:b/>
                <w:sz w:val="20"/>
              </w:rPr>
            </w:pPr>
            <w:r w:rsidRPr="00AD2DF8">
              <w:rPr>
                <w:rFonts w:cs="Arial"/>
                <w:sz w:val="20"/>
              </w:rPr>
              <w:t>Additional care for other medical issues</w:t>
            </w:r>
          </w:p>
        </w:tc>
        <w:tc>
          <w:tcPr>
            <w:tcW w:w="3645" w:type="dxa"/>
          </w:tcPr>
          <w:p w14:paraId="17EAC498" w14:textId="77777777" w:rsidR="007E2CDF" w:rsidRPr="00AD2DF8" w:rsidRDefault="007E2CDF" w:rsidP="00C9570A">
            <w:pPr>
              <w:widowControl w:val="0"/>
              <w:autoSpaceDE w:val="0"/>
              <w:autoSpaceDN w:val="0"/>
              <w:adjustRightInd w:val="0"/>
              <w:rPr>
                <w:rFonts w:cs="Arial"/>
                <w:sz w:val="20"/>
              </w:rPr>
            </w:pPr>
            <w:r w:rsidRPr="00AD2DF8">
              <w:rPr>
                <w:rFonts w:cs="Arial"/>
                <w:sz w:val="20"/>
              </w:rPr>
              <w:t>As needed at the discretion of the treating physician</w:t>
            </w:r>
          </w:p>
        </w:tc>
      </w:tr>
    </w:tbl>
    <w:p w14:paraId="12D26175" w14:textId="20190FBF" w:rsidR="007E2CDF" w:rsidRPr="00AD2DF8" w:rsidRDefault="007E2CDF" w:rsidP="007E2CDF">
      <w:pPr>
        <w:rPr>
          <w:rFonts w:cs="Arial"/>
          <w:sz w:val="16"/>
          <w:szCs w:val="16"/>
        </w:rPr>
      </w:pPr>
      <w:r w:rsidRPr="00AD2DF8">
        <w:rPr>
          <w:rFonts w:cs="Arial"/>
          <w:sz w:val="16"/>
          <w:szCs w:val="16"/>
        </w:rPr>
        <w:t xml:space="preserve">Source: </w:t>
      </w:r>
      <w:r w:rsidR="00133192" w:rsidRPr="00511D47">
        <w:rPr>
          <w:sz w:val="16"/>
          <w:szCs w:val="16"/>
          <w:lang w:val="en-US"/>
        </w:rPr>
        <w:t>ESTABLISH-1 CSR</w:t>
      </w:r>
      <w:r w:rsidR="00133192">
        <w:rPr>
          <w:sz w:val="16"/>
          <w:szCs w:val="16"/>
          <w:lang w:val="en-US"/>
        </w:rPr>
        <w:t xml:space="preserve"> (</w:t>
      </w:r>
      <w:r w:rsidR="00133192">
        <w:rPr>
          <w:sz w:val="16"/>
          <w:szCs w:val="16"/>
          <w:lang w:val="en-US"/>
        </w:rPr>
        <w:fldChar w:fldCharType="begin"/>
      </w:r>
      <w:r w:rsidR="00133192">
        <w:rPr>
          <w:sz w:val="16"/>
          <w:szCs w:val="16"/>
          <w:lang w:val="en-US"/>
        </w:rPr>
        <w:instrText xml:space="preserve"> REF _Ref284171334 \r \h </w:instrText>
      </w:r>
      <w:r w:rsidR="00133192">
        <w:rPr>
          <w:sz w:val="16"/>
          <w:szCs w:val="16"/>
          <w:lang w:val="en-US"/>
        </w:rPr>
      </w:r>
      <w:r w:rsidR="00133192">
        <w:rPr>
          <w:sz w:val="16"/>
          <w:szCs w:val="16"/>
          <w:lang w:val="en-US"/>
        </w:rPr>
        <w:fldChar w:fldCharType="separate"/>
      </w:r>
      <w:r w:rsidR="00151A1C">
        <w:rPr>
          <w:sz w:val="16"/>
          <w:szCs w:val="16"/>
          <w:lang w:val="en-US"/>
        </w:rPr>
        <w:t>41</w:t>
      </w:r>
      <w:r w:rsidR="00133192">
        <w:rPr>
          <w:sz w:val="16"/>
          <w:szCs w:val="16"/>
          <w:lang w:val="en-US"/>
        </w:rPr>
        <w:fldChar w:fldCharType="end"/>
      </w:r>
      <w:r w:rsidR="00133192">
        <w:rPr>
          <w:sz w:val="16"/>
          <w:szCs w:val="16"/>
          <w:lang w:val="en-US"/>
        </w:rPr>
        <w:t>):</w:t>
      </w:r>
      <w:r w:rsidR="00133192" w:rsidRPr="00511D47">
        <w:rPr>
          <w:rStyle w:val="CommentReference"/>
          <w:rFonts w:eastAsiaTheme="majorEastAsia"/>
          <w:sz w:val="16"/>
          <w:szCs w:val="16"/>
          <w:lang w:val="en-US"/>
        </w:rPr>
        <w:t xml:space="preserve"> </w:t>
      </w:r>
      <w:r w:rsidRPr="00AD2DF8">
        <w:rPr>
          <w:rFonts w:cs="Arial"/>
          <w:sz w:val="16"/>
          <w:szCs w:val="16"/>
        </w:rPr>
        <w:t>Table 9-2, section 9.4.7</w:t>
      </w:r>
    </w:p>
    <w:p w14:paraId="2BF184AC" w14:textId="77777777" w:rsidR="007E2CDF" w:rsidRPr="00AD2DF8" w:rsidRDefault="007E2CDF" w:rsidP="007E2CDF">
      <w:pPr>
        <w:widowControl w:val="0"/>
        <w:autoSpaceDE w:val="0"/>
        <w:autoSpaceDN w:val="0"/>
        <w:adjustRightInd w:val="0"/>
        <w:rPr>
          <w:rFonts w:cs="Arial"/>
          <w:sz w:val="16"/>
          <w:szCs w:val="16"/>
        </w:rPr>
      </w:pPr>
      <w:r w:rsidRPr="00AD2DF8">
        <w:rPr>
          <w:rFonts w:cs="Arial"/>
          <w:sz w:val="16"/>
          <w:szCs w:val="16"/>
        </w:rPr>
        <w:t>Abbreviations: 5-HT1=5-hydroxytryptamine; ABSSSI=acute bacterial skin and skin structure infection; EOT=end of therapy; LFU=late follow-up.</w:t>
      </w:r>
    </w:p>
    <w:p w14:paraId="37695F00" w14:textId="77777777" w:rsidR="008E4E92" w:rsidRPr="008E4E92" w:rsidRDefault="008E4E92" w:rsidP="008E4E92">
      <w:pPr>
        <w:autoSpaceDE w:val="0"/>
        <w:autoSpaceDN w:val="0"/>
        <w:adjustRightInd w:val="0"/>
        <w:rPr>
          <w:rFonts w:cs="Arial"/>
          <w:b/>
          <w:bCs/>
          <w:color w:val="231F20"/>
          <w:sz w:val="22"/>
          <w:szCs w:val="22"/>
          <w:lang w:eastAsia="ja-JP"/>
        </w:rPr>
      </w:pPr>
    </w:p>
    <w:p w14:paraId="73CB35E7" w14:textId="504F5A82" w:rsidR="00D922F4" w:rsidRPr="00D44228" w:rsidRDefault="002E314E" w:rsidP="00D44228">
      <w:pPr>
        <w:autoSpaceDE w:val="0"/>
        <w:autoSpaceDN w:val="0"/>
        <w:adjustRightInd w:val="0"/>
        <w:rPr>
          <w:rFonts w:cs="Arial"/>
          <w:b/>
          <w:bCs/>
          <w:sz w:val="22"/>
          <w:szCs w:val="22"/>
          <w:lang w:eastAsia="ja-JP"/>
        </w:rPr>
      </w:pPr>
      <w:r>
        <w:rPr>
          <w:rFonts w:cs="Arial"/>
          <w:b/>
          <w:bCs/>
          <w:sz w:val="22"/>
          <w:szCs w:val="22"/>
          <w:lang w:eastAsia="ja-JP"/>
        </w:rPr>
        <w:lastRenderedPageBreak/>
        <w:t>3.3</w:t>
      </w:r>
      <w:r w:rsidR="001B3148" w:rsidRPr="00D44228">
        <w:rPr>
          <w:rFonts w:cs="Arial"/>
          <w:b/>
          <w:bCs/>
          <w:sz w:val="22"/>
          <w:szCs w:val="22"/>
          <w:lang w:eastAsia="ja-JP"/>
        </w:rPr>
        <w:t>.6</w:t>
      </w:r>
      <w:r w:rsidR="001B3148" w:rsidRPr="00D44228">
        <w:rPr>
          <w:rFonts w:cs="Arial"/>
          <w:b/>
          <w:bCs/>
          <w:sz w:val="22"/>
          <w:szCs w:val="22"/>
          <w:lang w:eastAsia="ja-JP"/>
        </w:rPr>
        <w:tab/>
      </w:r>
      <w:r w:rsidR="00C26E98" w:rsidRPr="00D44228">
        <w:rPr>
          <w:rFonts w:cs="Arial"/>
          <w:b/>
          <w:bCs/>
          <w:sz w:val="22"/>
          <w:szCs w:val="22"/>
          <w:lang w:eastAsia="ja-JP"/>
        </w:rPr>
        <w:t>Time points for evaluation</w:t>
      </w:r>
      <w:r w:rsidR="00D44228" w:rsidRPr="00D44228">
        <w:rPr>
          <w:rFonts w:cs="Arial"/>
          <w:b/>
          <w:bCs/>
          <w:sz w:val="22"/>
          <w:szCs w:val="22"/>
          <w:lang w:eastAsia="ja-JP"/>
        </w:rPr>
        <w:t>:</w:t>
      </w:r>
      <w:r w:rsidR="00D44228">
        <w:rPr>
          <w:rFonts w:cs="Arial"/>
          <w:b/>
          <w:bCs/>
          <w:sz w:val="22"/>
          <w:szCs w:val="22"/>
          <w:lang w:eastAsia="ja-JP"/>
        </w:rPr>
        <w:t xml:space="preserve"> </w:t>
      </w:r>
      <w:r w:rsidR="00D922F4" w:rsidRPr="00D44228">
        <w:rPr>
          <w:rFonts w:cs="Arial"/>
          <w:sz w:val="22"/>
          <w:szCs w:val="22"/>
          <w:lang w:val="en-US" w:eastAsia="ja-JP"/>
        </w:rPr>
        <w:t xml:space="preserve">Patients’ response to treatment was assessed at the 48- to 72-hour visit after the first dose of study </w:t>
      </w:r>
      <w:r w:rsidR="001B0687">
        <w:rPr>
          <w:rFonts w:cs="Arial"/>
          <w:sz w:val="22"/>
          <w:szCs w:val="22"/>
          <w:lang w:val="en-US" w:eastAsia="ja-JP"/>
        </w:rPr>
        <w:t xml:space="preserve">medication </w:t>
      </w:r>
      <w:r w:rsidR="00D922F4" w:rsidRPr="00D44228">
        <w:rPr>
          <w:rFonts w:cs="Arial"/>
          <w:sz w:val="22"/>
          <w:szCs w:val="22"/>
          <w:lang w:val="en-US" w:eastAsia="ja-JP"/>
        </w:rPr>
        <w:t xml:space="preserve">had been administered, at the End-Of-Treatment (EOT; day 11 relative to the first dose of either study </w:t>
      </w:r>
      <w:r w:rsidR="001B0687">
        <w:rPr>
          <w:rFonts w:cs="Arial"/>
          <w:sz w:val="22"/>
          <w:szCs w:val="22"/>
          <w:lang w:val="en-US" w:eastAsia="ja-JP"/>
        </w:rPr>
        <w:t>medication</w:t>
      </w:r>
      <w:r w:rsidR="00D922F4" w:rsidRPr="00D44228">
        <w:rPr>
          <w:rFonts w:cs="Arial"/>
          <w:sz w:val="22"/>
          <w:szCs w:val="22"/>
          <w:lang w:val="en-US" w:eastAsia="ja-JP"/>
        </w:rPr>
        <w:t xml:space="preserve"> on day 1) visit, and at the Post-Therapy Evaluation (PTE; 7-14 days after the EOT) visit. The last day of active therapy was day 6 for patients in the tedizolid phosphate group and day 10 for those in the linezolid group.</w:t>
      </w:r>
    </w:p>
    <w:p w14:paraId="55DFE63D" w14:textId="77777777" w:rsidR="00D922F4" w:rsidRPr="00D44228" w:rsidRDefault="00D922F4" w:rsidP="00D922F4">
      <w:pPr>
        <w:autoSpaceDE w:val="0"/>
        <w:autoSpaceDN w:val="0"/>
        <w:adjustRightInd w:val="0"/>
        <w:rPr>
          <w:rFonts w:eastAsia="Shaker2Lancet-Bold" w:cs="Arial"/>
          <w:b/>
          <w:bCs/>
          <w:sz w:val="22"/>
          <w:szCs w:val="22"/>
          <w:lang w:eastAsia="ja-JP"/>
        </w:rPr>
      </w:pPr>
    </w:p>
    <w:p w14:paraId="76635E5E" w14:textId="6283280D" w:rsidR="00C26E98" w:rsidRPr="00D44228" w:rsidRDefault="00C26E98" w:rsidP="00C26E98">
      <w:pPr>
        <w:pStyle w:val="BodyText"/>
        <w:rPr>
          <w:sz w:val="22"/>
          <w:szCs w:val="22"/>
          <w:lang w:val="en-US"/>
        </w:rPr>
      </w:pPr>
      <w:r w:rsidRPr="00D44228">
        <w:rPr>
          <w:sz w:val="22"/>
          <w:szCs w:val="22"/>
          <w:lang w:val="en-US"/>
        </w:rPr>
        <w:t xml:space="preserve">The schedule of study visits is presented in </w:t>
      </w:r>
      <w:r w:rsidRPr="00D44228">
        <w:rPr>
          <w:sz w:val="22"/>
          <w:szCs w:val="22"/>
          <w:lang w:val="en-US"/>
        </w:rPr>
        <w:fldChar w:fldCharType="begin"/>
      </w:r>
      <w:r w:rsidRPr="00D44228">
        <w:rPr>
          <w:sz w:val="22"/>
          <w:szCs w:val="22"/>
          <w:lang w:val="en-US"/>
        </w:rPr>
        <w:instrText xml:space="preserve"> REF _Ref380663396 \h  \* MERGEFORMAT </w:instrText>
      </w:r>
      <w:r w:rsidRPr="00D44228">
        <w:rPr>
          <w:sz w:val="22"/>
          <w:szCs w:val="22"/>
          <w:lang w:val="en-US"/>
        </w:rPr>
      </w:r>
      <w:r w:rsidRPr="00D44228">
        <w:rPr>
          <w:sz w:val="22"/>
          <w:szCs w:val="22"/>
          <w:lang w:val="en-US"/>
        </w:rPr>
        <w:fldChar w:fldCharType="separate"/>
      </w:r>
      <w:r w:rsidR="00151A1C" w:rsidRPr="004F6A1D">
        <w:rPr>
          <w:sz w:val="22"/>
          <w:szCs w:val="22"/>
          <w:lang w:val="en-US"/>
        </w:rPr>
        <w:t xml:space="preserve">Figure </w:t>
      </w:r>
      <w:r w:rsidR="00151A1C">
        <w:rPr>
          <w:sz w:val="22"/>
          <w:szCs w:val="22"/>
          <w:lang w:val="en-US"/>
        </w:rPr>
        <w:t>1</w:t>
      </w:r>
      <w:r w:rsidRPr="00D44228">
        <w:rPr>
          <w:sz w:val="22"/>
          <w:szCs w:val="22"/>
          <w:lang w:val="en-US"/>
        </w:rPr>
        <w:fldChar w:fldCharType="end"/>
      </w:r>
      <w:r w:rsidRPr="00D44228">
        <w:rPr>
          <w:sz w:val="22"/>
          <w:szCs w:val="22"/>
          <w:lang w:val="en-US"/>
        </w:rPr>
        <w:t>.</w:t>
      </w:r>
    </w:p>
    <w:p w14:paraId="5D284185" w14:textId="77777777" w:rsidR="00C26E98" w:rsidRPr="004F6A1D" w:rsidRDefault="00C26E98" w:rsidP="00C26E98">
      <w:pPr>
        <w:pStyle w:val="Caption"/>
        <w:rPr>
          <w:rFonts w:ascii="Arial" w:hAnsi="Arial"/>
          <w:sz w:val="22"/>
          <w:szCs w:val="22"/>
          <w:lang w:val="en-US"/>
        </w:rPr>
      </w:pPr>
      <w:bookmarkStart w:id="56" w:name="_Ref380663396"/>
      <w:bookmarkStart w:id="57" w:name="_Toc396058364"/>
      <w:r w:rsidRPr="004F6A1D">
        <w:rPr>
          <w:rFonts w:ascii="Arial" w:hAnsi="Arial"/>
          <w:sz w:val="22"/>
          <w:szCs w:val="22"/>
          <w:lang w:val="en-US"/>
        </w:rPr>
        <w:lastRenderedPageBreak/>
        <w:t xml:space="preserve">Figure </w:t>
      </w:r>
      <w:r w:rsidRPr="004F6A1D">
        <w:rPr>
          <w:rFonts w:ascii="Arial" w:hAnsi="Arial"/>
          <w:sz w:val="22"/>
          <w:szCs w:val="22"/>
          <w:lang w:val="en-US"/>
        </w:rPr>
        <w:fldChar w:fldCharType="begin"/>
      </w:r>
      <w:r w:rsidRPr="004F6A1D">
        <w:rPr>
          <w:rFonts w:ascii="Arial" w:hAnsi="Arial"/>
          <w:sz w:val="22"/>
          <w:szCs w:val="22"/>
          <w:lang w:val="en-US"/>
        </w:rPr>
        <w:instrText xml:space="preserve"> SEQ Figure \* ARABIC </w:instrText>
      </w:r>
      <w:r w:rsidRPr="004F6A1D">
        <w:rPr>
          <w:rFonts w:ascii="Arial" w:hAnsi="Arial"/>
          <w:sz w:val="22"/>
          <w:szCs w:val="22"/>
          <w:lang w:val="en-US"/>
        </w:rPr>
        <w:fldChar w:fldCharType="separate"/>
      </w:r>
      <w:r w:rsidR="00151A1C">
        <w:rPr>
          <w:rFonts w:ascii="Arial" w:hAnsi="Arial"/>
          <w:noProof/>
          <w:sz w:val="22"/>
          <w:szCs w:val="22"/>
          <w:lang w:val="en-US"/>
        </w:rPr>
        <w:t>1</w:t>
      </w:r>
      <w:r w:rsidRPr="004F6A1D">
        <w:rPr>
          <w:rFonts w:ascii="Arial" w:hAnsi="Arial"/>
          <w:sz w:val="22"/>
          <w:szCs w:val="22"/>
          <w:lang w:val="en-US"/>
        </w:rPr>
        <w:fldChar w:fldCharType="end"/>
      </w:r>
      <w:bookmarkEnd w:id="56"/>
      <w:r w:rsidRPr="004F6A1D">
        <w:rPr>
          <w:rFonts w:ascii="Arial" w:hAnsi="Arial"/>
          <w:sz w:val="22"/>
          <w:szCs w:val="22"/>
          <w:lang w:val="en-US"/>
        </w:rPr>
        <w:t>: Study visits in ESTABLISH-1</w:t>
      </w:r>
      <w:bookmarkEnd w:id="57"/>
    </w:p>
    <w:p w14:paraId="6C667171" w14:textId="124CF96D" w:rsidR="00C26E98" w:rsidRPr="00D95C15" w:rsidRDefault="00672FDC" w:rsidP="00C26E98">
      <w:pPr>
        <w:pStyle w:val="TableNote-H58"/>
        <w:rPr>
          <w:lang w:val="en-US"/>
        </w:rPr>
      </w:pPr>
      <w:r>
        <w:rPr>
          <w:noProof/>
          <w:lang w:eastAsia="en-GB"/>
        </w:rPr>
        <mc:AlternateContent>
          <mc:Choice Requires="wpg">
            <w:drawing>
              <wp:inline distT="0" distB="0" distL="0" distR="0" wp14:anchorId="0411A03B" wp14:editId="10907E61">
                <wp:extent cx="5731510" cy="4415790"/>
                <wp:effectExtent l="19050" t="16510" r="21590" b="15875"/>
                <wp:docPr id="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415790"/>
                          <a:chOff x="1" y="0"/>
                          <a:chExt cx="6017548" cy="4416379"/>
                        </a:xfrm>
                      </wpg:grpSpPr>
                      <wps:wsp>
                        <wps:cNvPr id="36" name="Straight Arrow Connector 160"/>
                        <wps:cNvCnPr>
                          <a:cxnSpLocks noChangeShapeType="1"/>
                        </wps:cNvCnPr>
                        <wps:spPr bwMode="auto">
                          <a:xfrm>
                            <a:off x="3013862" y="1770279"/>
                            <a:ext cx="0" cy="162560"/>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37" name="Straight Arrow Connector 161"/>
                        <wps:cNvCnPr>
                          <a:cxnSpLocks noChangeShapeType="1"/>
                        </wps:cNvCnPr>
                        <wps:spPr bwMode="auto">
                          <a:xfrm>
                            <a:off x="3013862" y="1199693"/>
                            <a:ext cx="0" cy="25590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g:grpSp>
                        <wpg:cNvPr id="38" name="Group 162"/>
                        <wpg:cNvGrpSpPr>
                          <a:grpSpLocks/>
                        </wpg:cNvGrpSpPr>
                        <wpg:grpSpPr bwMode="auto">
                          <a:xfrm>
                            <a:off x="1" y="0"/>
                            <a:ext cx="6017548" cy="1202055"/>
                            <a:chOff x="0" y="0"/>
                            <a:chExt cx="6018075" cy="1202091"/>
                          </a:xfrm>
                        </wpg:grpSpPr>
                        <wpg:grpSp>
                          <wpg:cNvPr id="39" name="Group 173"/>
                          <wpg:cNvGrpSpPr>
                            <a:grpSpLocks/>
                          </wpg:cNvGrpSpPr>
                          <wpg:grpSpPr bwMode="auto">
                            <a:xfrm>
                              <a:off x="2370125" y="0"/>
                              <a:ext cx="2451459" cy="439337"/>
                              <a:chOff x="2370125" y="0"/>
                              <a:chExt cx="2451459" cy="439337"/>
                            </a:xfrm>
                          </wpg:grpSpPr>
                          <wps:wsp>
                            <wps:cNvPr id="41" name="Straight Connector 183"/>
                            <wps:cNvCnPr>
                              <a:cxnSpLocks noChangeShapeType="1"/>
                            </wps:cNvCnPr>
                            <wps:spPr bwMode="auto">
                              <a:xfrm>
                                <a:off x="2999232" y="270663"/>
                                <a:ext cx="0" cy="168674"/>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42" name="Straight Connector 184"/>
                            <wps:cNvCnPr>
                              <a:cxnSpLocks noChangeShapeType="1"/>
                            </wps:cNvCnPr>
                            <wps:spPr bwMode="auto">
                              <a:xfrm>
                                <a:off x="3006547" y="438912"/>
                                <a:ext cx="1815037"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43" name="Rectangle 185"/>
                            <wps:cNvSpPr>
                              <a:spLocks noChangeArrowheads="1"/>
                            </wps:cNvSpPr>
                            <wps:spPr bwMode="auto">
                              <a:xfrm>
                                <a:off x="2370125" y="0"/>
                                <a:ext cx="1248551" cy="317827"/>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33CB5DA" w14:textId="77777777" w:rsidR="00151A1C" w:rsidRDefault="00151A1C" w:rsidP="00C26E98">
                                  <w:pPr>
                                    <w:pStyle w:val="TableHeadingCentre-H57"/>
                                  </w:pPr>
                                  <w:r>
                                    <w:t>Screening (Day 1)</w:t>
                                  </w:r>
                                </w:p>
                              </w:txbxContent>
                            </wps:txbx>
                            <wps:bodyPr rot="0" vert="horz" wrap="square" lIns="91440" tIns="45720" rIns="91440" bIns="45720" anchor="ctr" anchorCtr="0" upright="1">
                              <a:noAutofit/>
                            </wps:bodyPr>
                          </wps:wsp>
                        </wpg:grpSp>
                        <wpg:grpSp>
                          <wpg:cNvPr id="44" name="Group 174"/>
                          <wpg:cNvGrpSpPr>
                            <a:grpSpLocks/>
                          </wpg:cNvGrpSpPr>
                          <wpg:grpSpPr bwMode="auto">
                            <a:xfrm>
                              <a:off x="0" y="438820"/>
                              <a:ext cx="6018075" cy="763271"/>
                              <a:chOff x="0" y="438820"/>
                              <a:chExt cx="6018075" cy="763271"/>
                            </a:xfrm>
                          </wpg:grpSpPr>
                          <wps:wsp>
                            <wps:cNvPr id="45" name="Straight Connector 175"/>
                            <wps:cNvCnPr>
                              <a:cxnSpLocks noChangeShapeType="1"/>
                            </wps:cNvCnPr>
                            <wps:spPr bwMode="auto">
                              <a:xfrm>
                                <a:off x="1192378" y="1199693"/>
                                <a:ext cx="3630073"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46" name="Straight Connector 176"/>
                            <wps:cNvCnPr>
                              <a:cxnSpLocks noChangeShapeType="1"/>
                            </wps:cNvCnPr>
                            <wps:spPr bwMode="auto">
                              <a:xfrm flipH="1">
                                <a:off x="1185062" y="438912"/>
                                <a:ext cx="1810399"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47" name="Straight Arrow Connector 177"/>
                            <wps:cNvCnPr>
                              <a:cxnSpLocks noChangeShapeType="1"/>
                              <a:endCxn id="51" idx="0"/>
                            </wps:cNvCnPr>
                            <wps:spPr bwMode="auto">
                              <a:xfrm>
                                <a:off x="1194105" y="438820"/>
                                <a:ext cx="45" cy="183596"/>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48" name="Straight Arrow Connector 178"/>
                            <wps:cNvCnPr>
                              <a:cxnSpLocks noChangeShapeType="1"/>
                              <a:endCxn id="52" idx="0"/>
                            </wps:cNvCnPr>
                            <wps:spPr bwMode="auto">
                              <a:xfrm>
                                <a:off x="4820533" y="438866"/>
                                <a:ext cx="2500" cy="183550"/>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49" name="Straight Connector 179"/>
                            <wps:cNvCnPr>
                              <a:cxnSpLocks noChangeShapeType="1"/>
                            </wps:cNvCnPr>
                            <wps:spPr bwMode="auto">
                              <a:xfrm>
                                <a:off x="1185062" y="972922"/>
                                <a:ext cx="0" cy="229169"/>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50" name="Straight Connector 180"/>
                            <wps:cNvCnPr>
                              <a:cxnSpLocks noChangeShapeType="1"/>
                            </wps:cNvCnPr>
                            <wps:spPr bwMode="auto">
                              <a:xfrm>
                                <a:off x="4828032" y="972922"/>
                                <a:ext cx="0" cy="229169"/>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51" name="Rectangle 181"/>
                            <wps:cNvSpPr>
                              <a:spLocks noChangeArrowheads="1"/>
                            </wps:cNvSpPr>
                            <wps:spPr bwMode="auto">
                              <a:xfrm>
                                <a:off x="0" y="622416"/>
                                <a:ext cx="2388300" cy="468048"/>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B192B6F" w14:textId="77777777" w:rsidR="00151A1C" w:rsidRDefault="00151A1C" w:rsidP="00C26E98">
                                  <w:pPr>
                                    <w:pStyle w:val="TableHeadingCentre-H57"/>
                                  </w:pPr>
                                  <w:r>
                                    <w:t>Tedizolid phosphate 200 mg once-daily oral (6-day course)</w:t>
                                  </w:r>
                                </w:p>
                              </w:txbxContent>
                            </wps:txbx>
                            <wps:bodyPr rot="0" vert="horz" wrap="square" lIns="91440" tIns="45720" rIns="91440" bIns="45720" anchor="ctr" anchorCtr="0" upright="1">
                              <a:noAutofit/>
                            </wps:bodyPr>
                          </wps:wsp>
                          <wps:wsp>
                            <wps:cNvPr id="52" name="Rectangle 182"/>
                            <wps:cNvSpPr>
                              <a:spLocks noChangeArrowheads="1"/>
                            </wps:cNvSpPr>
                            <wps:spPr bwMode="auto">
                              <a:xfrm>
                                <a:off x="3627991" y="622416"/>
                                <a:ext cx="2390084" cy="468048"/>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4FA426DA" w14:textId="77777777" w:rsidR="00151A1C" w:rsidRDefault="00151A1C" w:rsidP="00C26E98">
                                  <w:pPr>
                                    <w:pStyle w:val="TableHeadingCentre-H57"/>
                                  </w:pPr>
                                  <w:r>
                                    <w:t>Linezolid 600 mg twice-daily oral (10-day course)</w:t>
                                  </w:r>
                                </w:p>
                              </w:txbxContent>
                            </wps:txbx>
                            <wps:bodyPr rot="0" vert="horz" wrap="square" lIns="91440" tIns="45720" rIns="91440" bIns="45720" anchor="ctr" anchorCtr="0" upright="1">
                              <a:noAutofit/>
                            </wps:bodyPr>
                          </wps:wsp>
                        </wpg:grpSp>
                      </wpg:grpSp>
                      <wps:wsp>
                        <wps:cNvPr id="53" name="Rectangle 163"/>
                        <wps:cNvSpPr>
                          <a:spLocks noChangeArrowheads="1"/>
                        </wps:cNvSpPr>
                        <wps:spPr bwMode="auto">
                          <a:xfrm>
                            <a:off x="1741767" y="2889172"/>
                            <a:ext cx="2522408"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677357C1" w14:textId="77777777" w:rsidR="00151A1C" w:rsidRDefault="00151A1C" w:rsidP="00C26E98">
                              <w:pPr>
                                <w:pStyle w:val="TableHeadingCentre-H57"/>
                              </w:pPr>
                              <w:r>
                                <w:t>EOT Visit (Day 11; +2 days after last dose)</w:t>
                              </w:r>
                            </w:p>
                          </w:txbxContent>
                        </wps:txbx>
                        <wps:bodyPr rot="0" vert="horz" wrap="square" lIns="91440" tIns="45720" rIns="91440" bIns="45720" anchor="ctr" anchorCtr="0" upright="1">
                          <a:noAutofit/>
                        </wps:bodyPr>
                      </wps:wsp>
                      <wps:wsp>
                        <wps:cNvPr id="54" name="Rectangle 164"/>
                        <wps:cNvSpPr>
                          <a:spLocks noChangeArrowheads="1"/>
                        </wps:cNvSpPr>
                        <wps:spPr bwMode="auto">
                          <a:xfrm>
                            <a:off x="1741767" y="1455558"/>
                            <a:ext cx="2522408"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4EFA69CB" w14:textId="77777777" w:rsidR="00151A1C" w:rsidRDefault="00151A1C" w:rsidP="00C26E98">
                              <w:pPr>
                                <w:pStyle w:val="TableHeadingCentre-H57"/>
                              </w:pPr>
                              <w:r>
                                <w:t>Day 2 Visit</w:t>
                              </w:r>
                            </w:p>
                          </w:txbxContent>
                        </wps:txbx>
                        <wps:bodyPr rot="0" vert="horz" wrap="square" lIns="91440" tIns="45720" rIns="91440" bIns="45720" anchor="ctr" anchorCtr="0" upright="1">
                          <a:noAutofit/>
                        </wps:bodyPr>
                      </wps:wsp>
                      <wps:wsp>
                        <wps:cNvPr id="55" name="Rectangle 165"/>
                        <wps:cNvSpPr>
                          <a:spLocks noChangeArrowheads="1"/>
                        </wps:cNvSpPr>
                        <wps:spPr bwMode="auto">
                          <a:xfrm>
                            <a:off x="1741767" y="1938306"/>
                            <a:ext cx="2522408"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77B9730D" w14:textId="77777777" w:rsidR="00151A1C" w:rsidRDefault="00151A1C" w:rsidP="00C26E98">
                              <w:pPr>
                                <w:pStyle w:val="TableHeadingCentre-H57"/>
                              </w:pPr>
                              <w:r>
                                <w:t>48 Hour to 72 Hour Visit</w:t>
                              </w:r>
                            </w:p>
                          </w:txbxContent>
                        </wps:txbx>
                        <wps:bodyPr rot="0" vert="horz" wrap="square" lIns="91440" tIns="45720" rIns="91440" bIns="45720" anchor="ctr" anchorCtr="0" upright="1">
                          <a:noAutofit/>
                        </wps:bodyPr>
                      </wps:wsp>
                      <wps:wsp>
                        <wps:cNvPr id="56" name="Rectangle 166"/>
                        <wps:cNvSpPr>
                          <a:spLocks noChangeArrowheads="1"/>
                        </wps:cNvSpPr>
                        <wps:spPr bwMode="auto">
                          <a:xfrm>
                            <a:off x="1741767" y="2406424"/>
                            <a:ext cx="2522408"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207F9F8D" w14:textId="77777777" w:rsidR="00151A1C" w:rsidRDefault="00151A1C" w:rsidP="00C26E98">
                              <w:pPr>
                                <w:pStyle w:val="TableHeadingCentre-H57"/>
                              </w:pPr>
                              <w:r>
                                <w:t>Day 7 Visit (+2 days)*</w:t>
                              </w:r>
                            </w:p>
                          </w:txbxContent>
                        </wps:txbx>
                        <wps:bodyPr rot="0" vert="horz" wrap="square" lIns="91440" tIns="45720" rIns="91440" bIns="45720" anchor="ctr" anchorCtr="0" upright="1">
                          <a:noAutofit/>
                        </wps:bodyPr>
                      </wps:wsp>
                      <wps:wsp>
                        <wps:cNvPr id="57" name="Rectangle 167"/>
                        <wps:cNvSpPr>
                          <a:spLocks noChangeArrowheads="1"/>
                        </wps:cNvSpPr>
                        <wps:spPr bwMode="auto">
                          <a:xfrm>
                            <a:off x="1741767" y="3356964"/>
                            <a:ext cx="2522408" cy="468034"/>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5B18B85E" w14:textId="77777777" w:rsidR="00151A1C" w:rsidRDefault="00151A1C" w:rsidP="00C26E98">
                              <w:pPr>
                                <w:pStyle w:val="TableHeadingCentre-H57"/>
                              </w:pPr>
                              <w:r>
                                <w:t>PTE Visit (Day 18 to Day 25; 7-14 days after EOT Visit)</w:t>
                              </w:r>
                            </w:p>
                          </w:txbxContent>
                        </wps:txbx>
                        <wps:bodyPr rot="0" vert="horz" wrap="square" lIns="91440" tIns="45720" rIns="91440" bIns="45720" anchor="ctr" anchorCtr="0" upright="1">
                          <a:noAutofit/>
                        </wps:bodyPr>
                      </wps:wsp>
                      <wps:wsp>
                        <wps:cNvPr id="58" name="Rectangle 168"/>
                        <wps:cNvSpPr>
                          <a:spLocks noChangeArrowheads="1"/>
                        </wps:cNvSpPr>
                        <wps:spPr bwMode="auto">
                          <a:xfrm>
                            <a:off x="1741600" y="3948345"/>
                            <a:ext cx="2522408" cy="468034"/>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5E65C750" w14:textId="77777777" w:rsidR="00151A1C" w:rsidRDefault="00151A1C" w:rsidP="00C26E98">
                              <w:pPr>
                                <w:pStyle w:val="TableHeadingCentre-H57"/>
                              </w:pPr>
                              <w:r>
                                <w:t>Late follow-up Visit (Day 29 to Day 36; 18-25 days after EOT Visit)</w:t>
                              </w:r>
                            </w:p>
                            <w:p w14:paraId="019C27C0" w14:textId="77777777" w:rsidR="00151A1C" w:rsidRDefault="00151A1C" w:rsidP="00C26E98">
                              <w:pPr>
                                <w:pStyle w:val="TableHeadingCentre-H57"/>
                              </w:pPr>
                            </w:p>
                            <w:p w14:paraId="5EADA280" w14:textId="77777777" w:rsidR="00151A1C" w:rsidRDefault="00151A1C" w:rsidP="00C26E98">
                              <w:pPr>
                                <w:pStyle w:val="TableHeadingCentre-H57"/>
                              </w:pPr>
                            </w:p>
                            <w:p w14:paraId="463FF9B8" w14:textId="77777777" w:rsidR="00151A1C" w:rsidRDefault="00151A1C" w:rsidP="00C26E98">
                              <w:pPr>
                                <w:pStyle w:val="TableHeadingCentre-H57"/>
                              </w:pPr>
                            </w:p>
                            <w:p w14:paraId="1F5BD865" w14:textId="77777777" w:rsidR="00151A1C" w:rsidRDefault="00151A1C" w:rsidP="00C26E98">
                              <w:pPr>
                                <w:pStyle w:val="TableHeadingCentre-H57"/>
                              </w:pPr>
                            </w:p>
                            <w:p w14:paraId="21895849" w14:textId="77777777" w:rsidR="00151A1C" w:rsidRDefault="00151A1C" w:rsidP="00C26E98">
                              <w:pPr>
                                <w:pStyle w:val="TableHeadingCentre-H57"/>
                              </w:pPr>
                            </w:p>
                            <w:p w14:paraId="2D0CA7D6" w14:textId="77777777" w:rsidR="00151A1C" w:rsidRDefault="00151A1C" w:rsidP="00C26E98">
                              <w:pPr>
                                <w:pStyle w:val="TableHeadingCentre-H57"/>
                              </w:pPr>
                            </w:p>
                            <w:p w14:paraId="598F82E0" w14:textId="77777777" w:rsidR="00151A1C" w:rsidRDefault="00151A1C" w:rsidP="00C26E98">
                              <w:pPr>
                                <w:pStyle w:val="TableHeadingCentre-H57"/>
                              </w:pPr>
                            </w:p>
                            <w:p w14:paraId="719CA5D0" w14:textId="77777777" w:rsidR="00151A1C" w:rsidRDefault="00151A1C" w:rsidP="00C26E98">
                              <w:pPr>
                                <w:pStyle w:val="TableHeadingCentre-H57"/>
                              </w:pPr>
                            </w:p>
                            <w:p w14:paraId="2191FF9F" w14:textId="77777777" w:rsidR="00151A1C" w:rsidRDefault="00151A1C" w:rsidP="00C26E98">
                              <w:pPr>
                                <w:pStyle w:val="TableHeadingCentre-H57"/>
                              </w:pPr>
                            </w:p>
                            <w:p w14:paraId="79082F54" w14:textId="77777777" w:rsidR="00151A1C" w:rsidRDefault="00151A1C" w:rsidP="00C26E98">
                              <w:pPr>
                                <w:pStyle w:val="TableHeadingCentre-H57"/>
                              </w:pPr>
                            </w:p>
                            <w:p w14:paraId="4A0CAF0A" w14:textId="77777777" w:rsidR="00151A1C" w:rsidRDefault="00151A1C" w:rsidP="00C26E98">
                              <w:pPr>
                                <w:pStyle w:val="TableHeadingCentre-H57"/>
                              </w:pPr>
                            </w:p>
                            <w:p w14:paraId="63A3E07B" w14:textId="77777777" w:rsidR="00151A1C" w:rsidRDefault="00151A1C" w:rsidP="00C26E98">
                              <w:pPr>
                                <w:pStyle w:val="TableHeadingCentre-H57"/>
                              </w:pPr>
                            </w:p>
                            <w:p w14:paraId="20E7C453" w14:textId="77777777" w:rsidR="00151A1C" w:rsidRDefault="00151A1C" w:rsidP="00C26E98">
                              <w:pPr>
                                <w:pStyle w:val="TableHeadingCentre-H57"/>
                                <w:rPr>
                                  <w:rFonts w:ascii="Arial" w:hAnsi="Arial"/>
                                </w:rPr>
                              </w:pPr>
                              <w:r>
                                <w:rPr>
                                  <w:rFonts w:ascii="Arial" w:hAnsi="Arial"/>
                                </w:rPr>
                                <w:t>18-25 days after EOT visit</w:t>
                              </w:r>
                            </w:p>
                          </w:txbxContent>
                        </wps:txbx>
                        <wps:bodyPr rot="0" vert="horz" wrap="square" lIns="91440" tIns="45720" rIns="91440" bIns="45720" anchor="ctr" anchorCtr="0" upright="1">
                          <a:noAutofit/>
                        </wps:bodyPr>
                      </wps:wsp>
                      <wps:wsp>
                        <wps:cNvPr id="59" name="Straight Arrow Connector 169"/>
                        <wps:cNvCnPr>
                          <a:cxnSpLocks noChangeShapeType="1"/>
                        </wps:cNvCnPr>
                        <wps:spPr bwMode="auto">
                          <a:xfrm flipH="1">
                            <a:off x="3013862" y="2253082"/>
                            <a:ext cx="0" cy="15176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60" name="Straight Arrow Connector 170"/>
                        <wps:cNvCnPr>
                          <a:cxnSpLocks noChangeShapeType="1"/>
                        </wps:cNvCnPr>
                        <wps:spPr bwMode="auto">
                          <a:xfrm>
                            <a:off x="3013862" y="2721255"/>
                            <a:ext cx="0" cy="162560"/>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61" name="Straight Arrow Connector 171"/>
                        <wps:cNvCnPr>
                          <a:cxnSpLocks noChangeShapeType="1"/>
                        </wps:cNvCnPr>
                        <wps:spPr bwMode="auto">
                          <a:xfrm flipH="1">
                            <a:off x="3013862" y="3204058"/>
                            <a:ext cx="0" cy="15176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62" name="Straight Arrow Connector 172"/>
                        <wps:cNvCnPr>
                          <a:cxnSpLocks noChangeShapeType="1"/>
                        </wps:cNvCnPr>
                        <wps:spPr bwMode="auto">
                          <a:xfrm flipH="1">
                            <a:off x="3002804" y="3824998"/>
                            <a:ext cx="167" cy="123347"/>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g:wgp>
                  </a:graphicData>
                </a:graphic>
              </wp:inline>
            </w:drawing>
          </mc:Choice>
          <mc:Fallback>
            <w:pict>
              <v:group w14:anchorId="0411A03B" id="Group 101" o:spid="_x0000_s1026" style="width:451.3pt;height:347.7pt;mso-position-horizontal-relative:char;mso-position-vertical-relative:line" coordorigin="" coordsize="60175,4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">
                <v:shapetype id="_x0000_t32" coordsize="21600,21600" o:spt="32" o:oned="t" path="m,l21600,21600e" filled="f">
                  <v:path arrowok="t" fillok="f" o:connecttype="none"/>
                  <o:lock v:ext="edit" shapetype="t"/>
                </v:shapetype>
                <v:shape id="Straight Arrow Connector 160" o:spid="_x0000_s1027" type="#_x0000_t32" style="position:absolute;left:30138;top:17702;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Lv8UAAADbAAAADwAAAGRycy9kb3ducmV2LnhtbESPQWvCQBSE74X+h+UVeil1Yy1Soquo&#10;INRCDxoFj4/sMwlm38bsq4n/3i0Uehxm5htmOu9dra7UhsqzgeEgAUWce1txYWCfrV8/QAVBtlh7&#10;JgM3CjCfPT5MMbW+4y1dd1KoCOGQooFSpEm1DnlJDsPAN8TRO/nWoUTZFtq22EW4q/Vbkoy1w4rj&#10;QokNrUrKz7sfZ+A92S+z5mUr2fdhI93hqz4uLkNjnp/6xQSUUC//4b/2pzUwGsPvl/gD9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yLv8UAAADbAAAADwAAAAAAAAAA&#10;AAAAAAChAgAAZHJzL2Rvd25yZXYueG1sUEsFBgAAAAAEAAQA+QAAAJMDAAAAAA==&#10;" strokecolor="black [3040]">
                  <v:stroke endarrow="open"/>
                  <v:shadow on="t" opacity="22936f" origin=",.5" offset="0,.63889mm"/>
                </v:shape>
                <v:shape id="Straight Arrow Connector 161" o:spid="_x0000_s1028" type="#_x0000_t32" style="position:absolute;left:30138;top:11996;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uJMYAAADbAAAADwAAAGRycy9kb3ducmV2LnhtbESPQWvCQBSE7wX/w/IEL6VutEVL6ioq&#10;FNpCDxqFHh/ZZxLMvo3Zp0n/fbdQ6HGYmW+Yxap3tbpRGyrPBibjBBRx7m3FhYFD9vrwDCoIssXa&#10;Mxn4pgCr5eBugan1He/otpdCRQiHFA2UIk2qdchLchjGviGO3sm3DiXKttC2xS7CXa2nSTLTDiuO&#10;CyU2tC0pP++vzsBTcthkzf1Oss/ju3THj/prfZkYMxr26xdQQr38h//ab9bA4xx+v8Qf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LiTGAAAA2wAAAA8AAAAAAAAA&#10;AAAAAAAAoQIAAGRycy9kb3ducmV2LnhtbFBLBQYAAAAABAAEAPkAAACUAwAAAAA=&#10;" strokecolor="black [3040]">
                  <v:stroke endarrow="open"/>
                  <v:shadow on="t" opacity="22936f" origin=",.5" offset="0,.63889mm"/>
                </v:shape>
                <v:group id="Group 162" o:spid="_x0000_s1029" style="position:absolute;width:60175;height:12020" coordsize="60180,1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73" o:spid="_x0000_s1030" style="position:absolute;left:23701;width:24514;height:4393" coordorigin="23701" coordsize="24514,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Straight Connector 183" o:spid="_x0000_s1031" style="position:absolute;visibility:visible;mso-wrap-style:square" from="29992,2706" to="29992,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visIAAADbAAAADwAAAGRycy9kb3ducmV2LnhtbESPQYvCMBSE74L/ITxhL7ImFhGppiKC&#10;rOBpVXCPj+bZljYvtclq999vBMHjMDPfMKt1bxtxp85XjjVMJwoEce5MxYWG82n3uQDhA7LBxjFp&#10;+CMP62w4WGFq3IO/6X4MhYgQ9ilqKENoUyl9XpJFP3EtcfSurrMYouwKaTp8RLhtZKLUXFqsOC6U&#10;2NK2pLw+/loN0u1/+s3XWB2S2yWp8aBuRaK0/hj1myWIQH14h1/tvdEwm8Lz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GvisIAAADbAAAADwAAAAAAAAAAAAAA&#10;AAChAgAAZHJzL2Rvd25yZXYueG1sUEsFBgAAAAAEAAQA+QAAAJADAAAAAA==&#10;" strokecolor="black [3040]">
                      <v:shadow on="t" opacity="22936f" origin=",.5" offset="0,.63889mm"/>
                    </v:line>
                    <v:line id="Straight Connector 184" o:spid="_x0000_s1032" style="position:absolute;visibility:visible;mso-wrap-style:square" from="30065,4389" to="48215,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x/cIAAADbAAAADwAAAGRycy9kb3ducmV2LnhtbESPQYvCMBSE7wv+h/AEL4smG2SRahQR&#10;FgVPugvr8dE822LzUpuo9d8bQfA4zMw3zGzRuVpcqQ2VZwNfIwWCOPe24sLA3+/PcAIiRGSLtWcy&#10;cKcAi3nvY4aZ9Tfe0XUfC5EgHDI0UMbYZFKGvCSHYeQb4uQdfeswJtkW0rZ4S3BXS63Ut3RYcVoo&#10;saFVSflpf3EGpN8cuuX6U231+V+fcKvOhVbGDPrdcgoiUhff4Vd7Yw2MNTy/p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Mx/cIAAADbAAAADwAAAAAAAAAAAAAA&#10;AAChAgAAZHJzL2Rvd25yZXYueG1sUEsFBgAAAAAEAAQA+QAAAJADAAAAAA==&#10;" strokecolor="black [3040]">
                      <v:shadow on="t" opacity="22936f" origin=",.5" offset="0,.63889mm"/>
                    </v:line>
                    <v:rect id="Rectangle 185" o:spid="_x0000_s1033" style="position:absolute;left:23701;width:12485;height: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F78MA&#10;AADbAAAADwAAAGRycy9kb3ducmV2LnhtbESP3YrCMBSE74V9h3AWvNPUH8StRpGFBUFWsLr3h+bY&#10;ljYnpYkaffqNIHg5zMw3zHIdTCOu1LnKsoLRMAFBnFtdcaHgdPwZzEE4j6yxsUwK7uRgvfroLTHV&#10;9sYHuma+EBHCLkUFpfdtKqXLSzLohrYljt7ZdgZ9lF0hdYe3CDeNHCfJTBqsOC6U2NJ3SXmdXYyC&#10;zThcHvnvfXb6ko/R7m9fGxNqpfqfYbMA4Sn4d/jV3moF0w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F78MAAADbAAAADwAAAAAAAAAAAAAAAACYAgAAZHJzL2Rv&#10;d25yZXYueG1sUEsFBgAAAAAEAAQA9QAAAIgDAAAAAA==&#10;" fillcolor="white [3201]" strokecolor="#4f81bd [3204]" strokeweight="2pt">
                      <v:textbox>
                        <w:txbxContent>
                          <w:p w14:paraId="333CB5DA" w14:textId="77777777" w:rsidR="00151A1C" w:rsidRDefault="00151A1C" w:rsidP="00C26E98">
                            <w:pPr>
                              <w:pStyle w:val="TableHeadingCentre-H57"/>
                            </w:pPr>
                            <w:r>
                              <w:t>Screening (Day 1)</w:t>
                            </w:r>
                          </w:p>
                        </w:txbxContent>
                      </v:textbox>
                    </v:rect>
                  </v:group>
                  <v:group id="Group 174" o:spid="_x0000_s1034" style="position:absolute;top:4388;width:60180;height:7632" coordorigin=",4388" coordsize="60180,7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175" o:spid="_x0000_s1035" style="position:absolute;visibility:visible;mso-wrap-style:square" from="11923,11996" to="48224,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picIAAADbAAAADwAAAGRycy9kb3ducmV2LnhtbESPT4vCMBTE78J+h/AWvMiaWFZZqlFE&#10;EAVP/gE9PppnW2xeahO1fnuzIHgcZuY3zGTW2krcqfGlYw2DvgJBnDlTcq7hsF/+/IHwAdlg5Zg0&#10;PMnDbPrVmWBq3IO3dN+FXEQI+xQ1FCHUqZQ+K8ii77uaOHpn11gMUTa5NA0+ItxWMlFqJC2WHBcK&#10;rGlRUHbZ3awG6dandr7qqU1yPSYX3Khrniitu9/tfAwiUBs+4Xd7bTT8DuH/S/wB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qpicIAAADbAAAADwAAAAAAAAAAAAAA&#10;AAChAgAAZHJzL2Rvd25yZXYueG1sUEsFBgAAAAAEAAQA+QAAAJADAAAAAA==&#10;" strokecolor="black [3040]">
                      <v:shadow on="t" opacity="22936f" origin=",.5" offset="0,.63889mm"/>
                    </v:line>
                    <v:line id="Straight Connector 176" o:spid="_x0000_s1036" style="position:absolute;flip:x;visibility:visible;mso-wrap-style:square" from="11850,4389" to="29954,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Pa8MAAADbAAAADwAAAGRycy9kb3ducmV2LnhtbESPQWvCQBSE7wX/w/IEb3Wj2KCpq4g0&#10;0EMuUX/AY/eZpGbfhuzWJP++Wyj0OMzMN8z+ONpWPKn3jWMFq2UCglg703Cl4HbNX7cgfEA22Dom&#10;BRN5OB5mL3vMjBu4pOclVCJC2GeooA6hy6T0uiaLfuk64ujdXW8xRNlX0vQ4RLht5TpJUmmx4bhQ&#10;Y0fnmvTj8m0jZZdfp+JLv92SYVWcyrX+KKVWajEfT+8gAo3hP/zX/jQKNin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Hj2vDAAAA2wAAAA8AAAAAAAAAAAAA&#10;AAAAoQIAAGRycy9kb3ducmV2LnhtbFBLBQYAAAAABAAEAPkAAACRAwAAAAA=&#10;" strokecolor="black [3040]">
                      <v:shadow on="t" opacity="22936f" origin=",.5" offset="0,.63889mm"/>
                    </v:line>
                    <v:shape id="Straight Arrow Connector 177" o:spid="_x0000_s1037" type="#_x0000_t32" style="position:absolute;left:11941;top:4388;width:0;height:1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dWcUAAADbAAAADwAAAGRycy9kb3ducmV2LnhtbESPQWvCQBSE74L/YXlCL6IbS2lLdBUV&#10;Cm2hB42Cx0f2mQSzb2P21aT/vlsoeBxmvhlmsepdrW7Uhsqzgdk0AUWce1txYeCQvU1eQQVBtlh7&#10;JgM/FGC1HA4WmFrf8Y5ueylULOGQooFSpEm1DnlJDsPUN8TRO/vWoUTZFtq22MVyV+vHJHnWDiuO&#10;CyU2tC0pv+y/nYGn5LDJmvFOsq/jh3THz/q0vs6MeRj16zkooV7u4X/63UbuBf6+xB+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dWcUAAADbAAAADwAAAAAAAAAA&#10;AAAAAAChAgAAZHJzL2Rvd25yZXYueG1sUEsFBgAAAAAEAAQA+QAAAJMDAAAAAA==&#10;" strokecolor="black [3040]">
                      <v:stroke endarrow="open"/>
                      <v:shadow on="t" opacity="22936f" origin=",.5" offset="0,.63889mm"/>
                    </v:shape>
                    <v:shape id="Straight Arrow Connector 178" o:spid="_x0000_s1038" type="#_x0000_t32" style="position:absolute;left:48205;top:4388;width:25;height:1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JK8IAAADbAAAADwAAAGRycy9kb3ducmV2LnhtbERPTUvDQBC9C/6HZQQv0m5aRErabamC&#10;UAUPbVrocchOk2B2NmbHJv575yB4fLzv1WYMrblSn5rIDmbTDAxxGX3DlYNj8TpZgEmC7LGNTA5+&#10;KMFmfXuzwtzHgfd0PUhlNIRTjg5qkS63NpU1BUzT2BErd4l9QFHYV9b3OGh4aO08y55swIa1ocaO&#10;XmoqPw/fwcFjdnwuuoe9FB+nNxlO7+15+zVz7v5u3C7BCI3yL/5z77z6dKx+0R9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nJK8IAAADbAAAADwAAAAAAAAAAAAAA&#10;AAChAgAAZHJzL2Rvd25yZXYueG1sUEsFBgAAAAAEAAQA+QAAAJADAAAAAA==&#10;" strokecolor="black [3040]">
                      <v:stroke endarrow="open"/>
                      <v:shadow on="t" opacity="22936f" origin=",.5" offset="0,.63889mm"/>
                    </v:shape>
                    <v:line id="Straight Connector 179" o:spid="_x0000_s1039" style="position:absolute;visibility:visible;mso-wrap-style:square" from="11850,9729" to="1185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jMIAAADbAAAADwAAAGRycy9kb3ducmV2LnhtbESPT4vCMBTE78J+h/AWvMiaWBZxq1FE&#10;EAVP/gE9PppnW2xeahO1fnuzIHgcZuY3zGTW2krcqfGlYw2DvgJBnDlTcq7hsF/+jED4gGywckwa&#10;nuRhNv3qTDA17sFbuu9CLiKEfYoaihDqVEqfFWTR911NHL2zayyGKJtcmgYfEW4rmSg1lBZLjgsF&#10;1rQoKLvsblaDdOtTO1/11Ca5HpMLbtQ1T5TW3e92PgYRqA2f8Lu9Nhp+/+D/S/wB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jjMIAAADbAAAADwAAAAAAAAAAAAAA&#10;AAChAgAAZHJzL2Rvd25yZXYueG1sUEsFBgAAAAAEAAQA+QAAAJADAAAAAA==&#10;" strokecolor="black [3040]">
                      <v:shadow on="t" opacity="22936f" origin=",.5" offset="0,.63889mm"/>
                    </v:line>
                    <v:line id="Straight Connector 180" o:spid="_x0000_s1040" style="position:absolute;visibility:visible;mso-wrap-style:square" from="48280,9729" to="4828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czMAAAADbAAAADwAAAGRycy9kb3ducmV2LnhtbERPy4rCMBTdC/MP4Q64kTGxoEhtWkQQ&#10;BVc+wFlemmtbbG5qE7Xz95PFwCwP550Vg23Fi3rfONYwmyoQxKUzDVcaLuft1xKED8gGW8ek4Yc8&#10;FPnHKMPUuDcf6XUKlYgh7FPUUIfQpVL6siaLfuo64sjdXG8xRNhX0vT4juG2lYlSC2mx4dhQY0eb&#10;msr76Wk1SLf/Hta7iTokj2tyx4N6VInSevw5rFcgAg3hX/zn3hsN87g+fok/QO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EnMzAAAAA2wAAAA8AAAAAAAAAAAAAAAAA&#10;oQIAAGRycy9kb3ducmV2LnhtbFBLBQYAAAAABAAEAPkAAACOAwAAAAA=&#10;" strokecolor="black [3040]">
                      <v:shadow on="t" opacity="22936f" origin=",.5" offset="0,.63889mm"/>
                    </v:line>
                    <v:rect id="Rectangle 181" o:spid="_x0000_s1041" style="position:absolute;top:6224;width:2388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o3sIA&#10;AADbAAAADwAAAGRycy9kb3ducmV2LnhtbESPQYvCMBSE74L/ITzBm6YVFLdrFFlYWFgU1O790bxt&#10;S5uX0kSN/nojCB6HmfmGWW2CacWFeldbVpBOExDEhdU1lwry0/dkCcJ5ZI2tZVJwIweb9XCwwkzb&#10;Kx/ocvSliBB2GSqovO8yKV1RkUE3tR1x9P5tb9BH2ZdS93iNcNPKWZIspMGa40KFHX1VVDTHs1Gw&#10;nYXzvdjdFvmHvKe/f/vGmNAoNR6F7ScIT8G/w6/2j1Yw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CjewgAAANsAAAAPAAAAAAAAAAAAAAAAAJgCAABkcnMvZG93&#10;bnJldi54bWxQSwUGAAAAAAQABAD1AAAAhwMAAAAA&#10;" fillcolor="white [3201]" strokecolor="#4f81bd [3204]" strokeweight="2pt">
                      <v:textbox>
                        <w:txbxContent>
                          <w:p w14:paraId="3B192B6F" w14:textId="77777777" w:rsidR="00151A1C" w:rsidRDefault="00151A1C" w:rsidP="00C26E98">
                            <w:pPr>
                              <w:pStyle w:val="TableHeadingCentre-H57"/>
                            </w:pPr>
                            <w:r>
                              <w:t>Tedizolid phosphate 200 mg once-daily oral (6-day course)</w:t>
                            </w:r>
                          </w:p>
                        </w:txbxContent>
                      </v:textbox>
                    </v:rect>
                    <v:rect id="Rectangle 182" o:spid="_x0000_s1042" style="position:absolute;left:36279;top:6224;width:2390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2qcQA&#10;AADbAAAADwAAAGRycy9kb3ducmV2LnhtbESPzWrDMBCE74W+g9hCb40cQ03jRAkhEAiEFpqf+2Jt&#10;bGNrZSw5kf30VaHQ4zAz3zCrTTCtuFPvassK5rMEBHFhdc2lgst5//YBwnlkja1lUjCSg836+WmF&#10;ubYP/qb7yZciQtjlqKDyvsuldEVFBt3MdsTRu9neoI+yL6Xu8RHhppVpkmTSYM1xocKOdhUVzWkw&#10;CrZpGKbic8wuCznNj9evxpjQKPX6ErZLEJ6C/w//tQ9awXs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tqnEAAAA2wAAAA8AAAAAAAAAAAAAAAAAmAIAAGRycy9k&#10;b3ducmV2LnhtbFBLBQYAAAAABAAEAPUAAACJAwAAAAA=&#10;" fillcolor="white [3201]" strokecolor="#4f81bd [3204]" strokeweight="2pt">
                      <v:textbox>
                        <w:txbxContent>
                          <w:p w14:paraId="4FA426DA" w14:textId="77777777" w:rsidR="00151A1C" w:rsidRDefault="00151A1C" w:rsidP="00C26E98">
                            <w:pPr>
                              <w:pStyle w:val="TableHeadingCentre-H57"/>
                            </w:pPr>
                            <w:r>
                              <w:t>Linezolid 600 mg twice-daily oral (10-day course)</w:t>
                            </w:r>
                          </w:p>
                        </w:txbxContent>
                      </v:textbox>
                    </v:rect>
                  </v:group>
                </v:group>
                <v:rect id="Rectangle 163" o:spid="_x0000_s1043" style="position:absolute;left:17417;top:28891;width:2522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TMsIA&#10;AADbAAAADwAAAGRycy9kb3ducmV2LnhtbESPQYvCMBSE78L+h/AWvGmqorjVKLKwIMgKVvf+aJ5t&#10;afNSmqjRX78RBI/DzHzDLNfBNOJKnassKxgNExDEudUVFwpOx5/BHITzyBoby6TgTg7Wq4/eElNt&#10;b3yga+YLESHsUlRQet+mUrq8JINuaFvi6J1tZ9BH2RVSd3iLcNPIcZLMpMGK40KJLX2XlNfZxSjY&#10;jMPlkf/eZ6cv+Rjt/va1MaFWqv8ZNgsQnoJ/h1/trVYwncD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hMywgAAANsAAAAPAAAAAAAAAAAAAAAAAJgCAABkcnMvZG93&#10;bnJldi54bWxQSwUGAAAAAAQABAD1AAAAhwMAAAAA&#10;" fillcolor="white [3201]" strokecolor="#4f81bd [3204]" strokeweight="2pt">
                  <v:textbox>
                    <w:txbxContent>
                      <w:p w14:paraId="677357C1" w14:textId="77777777" w:rsidR="00151A1C" w:rsidRDefault="00151A1C" w:rsidP="00C26E98">
                        <w:pPr>
                          <w:pStyle w:val="TableHeadingCentre-H57"/>
                        </w:pPr>
                        <w:r>
                          <w:t>EOT Visit (Day 11; +2 days after last dose)</w:t>
                        </w:r>
                      </w:p>
                    </w:txbxContent>
                  </v:textbox>
                </v:rect>
                <v:rect id="Rectangle 164" o:spid="_x0000_s1044" style="position:absolute;left:17417;top:14555;width:2522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LRsIA&#10;AADbAAAADwAAAGRycy9kb3ducmV2LnhtbESPQYvCMBSE78L+h/AWvGmqqLjVKLKwIMgKVvf+aJ5t&#10;afNSmqjRX78RBI/DzHzDLNfBNOJKnassKxgNExDEudUVFwpOx5/BHITzyBoby6TgTg7Wq4/eElNt&#10;b3yga+YLESHsUlRQet+mUrq8JINuaFvi6J1tZ9BH2RVSd3iLcNPIcZLMpMGK40KJLX2XlNfZxSjY&#10;jMPlkf/eZ6cv+Rjt/va1MaFWqv8ZNgsQnoJ/h1/trVYwncD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4tGwgAAANsAAAAPAAAAAAAAAAAAAAAAAJgCAABkcnMvZG93&#10;bnJldi54bWxQSwUGAAAAAAQABAD1AAAAhwMAAAAA&#10;" fillcolor="white [3201]" strokecolor="#4f81bd [3204]" strokeweight="2pt">
                  <v:textbox>
                    <w:txbxContent>
                      <w:p w14:paraId="4EFA69CB" w14:textId="77777777" w:rsidR="00151A1C" w:rsidRDefault="00151A1C" w:rsidP="00C26E98">
                        <w:pPr>
                          <w:pStyle w:val="TableHeadingCentre-H57"/>
                        </w:pPr>
                        <w:r>
                          <w:t>Day 2 Visit</w:t>
                        </w:r>
                      </w:p>
                    </w:txbxContent>
                  </v:textbox>
                </v:rect>
                <v:rect id="Rectangle 165" o:spid="_x0000_s1045" style="position:absolute;left:17417;top:19383;width:2522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u3cIA&#10;AADbAAAADwAAAGRycy9kb3ducmV2LnhtbESPQYvCMBSE7wv+h/AEb2uqoOxWYymCIIgLunp/NM+2&#10;tHkpTdTorzcLwh6HmfmGWWbBtOJGvastK5iMExDEhdU1lwpOv5vPLxDOI2tsLZOCBznIVoOPJaba&#10;3vlAt6MvRYSwS1FB5X2XSumKigy6se2Io3exvUEfZV9K3eM9wk0rp0kylwZrjgsVdrSuqGiOV6Mg&#10;n4brs9g/5qdv+Zzszj+NMaFRajQM+QKEp+D/w+/2ViuYze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y7dwgAAANsAAAAPAAAAAAAAAAAAAAAAAJgCAABkcnMvZG93&#10;bnJldi54bWxQSwUGAAAAAAQABAD1AAAAhwMAAAAA&#10;" fillcolor="white [3201]" strokecolor="#4f81bd [3204]" strokeweight="2pt">
                  <v:textbox>
                    <w:txbxContent>
                      <w:p w14:paraId="77B9730D" w14:textId="77777777" w:rsidR="00151A1C" w:rsidRDefault="00151A1C" w:rsidP="00C26E98">
                        <w:pPr>
                          <w:pStyle w:val="TableHeadingCentre-H57"/>
                        </w:pPr>
                        <w:r>
                          <w:t>48 Hour to 72 Hour Visit</w:t>
                        </w:r>
                      </w:p>
                    </w:txbxContent>
                  </v:textbox>
                </v:rect>
                <v:rect id="Rectangle 166" o:spid="_x0000_s1046" style="position:absolute;left:17417;top:24064;width:2522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wqsQA&#10;AADbAAAADwAAAGRycy9kb3ducmV2LnhtbESPwWrDMBBE74X8g9hAb40cQ03rRgmhUCiUBJq498Xa&#10;2sbWylhyIvvro0Chx2Fm3jCbXTCduNDgGssK1qsEBHFpdcOVguL88fQCwnlkjZ1lUjCRg9128bDB&#10;XNsrf9Pl5CsRIexyVFB73+dSurImg25le+Lo/drBoI9yqKQe8BrhppNpkmTSYMNxocae3msq29No&#10;FOzTMM7lYcqKVzmvv36OrTGhVepxGfZvIDwF/x/+a39qBc8Z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sKrEAAAA2wAAAA8AAAAAAAAAAAAAAAAAmAIAAGRycy9k&#10;b3ducmV2LnhtbFBLBQYAAAAABAAEAPUAAACJAwAAAAA=&#10;" fillcolor="white [3201]" strokecolor="#4f81bd [3204]" strokeweight="2pt">
                  <v:textbox>
                    <w:txbxContent>
                      <w:p w14:paraId="207F9F8D" w14:textId="77777777" w:rsidR="00151A1C" w:rsidRDefault="00151A1C" w:rsidP="00C26E98">
                        <w:pPr>
                          <w:pStyle w:val="TableHeadingCentre-H57"/>
                        </w:pPr>
                        <w:r>
                          <w:t>Day 7 Visit (+2 days)*</w:t>
                        </w:r>
                      </w:p>
                    </w:txbxContent>
                  </v:textbox>
                </v:rect>
                <v:rect id="Rectangle 167" o:spid="_x0000_s1047" style="position:absolute;left:17417;top:33569;width:2522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VMcMA&#10;AADbAAAADwAAAGRycy9kb3ducmV2LnhtbESP3YrCMBSE74V9h3AWvNNUwZ+tRpGFBUFWsLr3h+bY&#10;ljYnpYkaffqNIHg5zMw3zHIdTCOu1LnKsoLRMAFBnFtdcaHgdPwZzEE4j6yxsUwK7uRgvfroLTHV&#10;9sYHuma+EBHCLkUFpfdtKqXLSzLohrYljt7ZdgZ9lF0hdYe3CDeNHCfJVBqsOC6U2NJ3SXmdXYyC&#10;zThcHvnvfXr6ko/R7m9fGxNqpfqfYbMA4Sn4d/jV3moFkx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VMcMAAADbAAAADwAAAAAAAAAAAAAAAACYAgAAZHJzL2Rv&#10;d25yZXYueG1sUEsFBgAAAAAEAAQA9QAAAIgDAAAAAA==&#10;" fillcolor="white [3201]" strokecolor="#4f81bd [3204]" strokeweight="2pt">
                  <v:textbox>
                    <w:txbxContent>
                      <w:p w14:paraId="5B18B85E" w14:textId="77777777" w:rsidR="00151A1C" w:rsidRDefault="00151A1C" w:rsidP="00C26E98">
                        <w:pPr>
                          <w:pStyle w:val="TableHeadingCentre-H57"/>
                        </w:pPr>
                        <w:r>
                          <w:t>PTE Visit (Day 18 to Day 25; 7-14 days after EOT Visit)</w:t>
                        </w:r>
                      </w:p>
                    </w:txbxContent>
                  </v:textbox>
                </v:rect>
                <v:rect id="Rectangle 168" o:spid="_x0000_s1048" style="position:absolute;left:17416;top:39483;width:2522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BQ8EA&#10;AADbAAAADwAAAGRycy9kb3ducmV2LnhtbERPW2uDMBR+L+w/hDPYWxsVVlbbKDIYDMYK6+X9YM5U&#10;NCdi0jb21zcPgz1+fPddGcwgrjS5zrKCdJWAIK6t7rhRcDp+LN9AOI+scbBMCmZyUBZPix3m2t74&#10;h64H34gYwi5HBa33Yy6lq1sy6FZ2JI7cr50M+ginRuoJbzHcDDJLkrU02HFsaHGk95bq/nAxCqos&#10;XO7197w+beQ9/Trve2NCr9TLc6i2IDwF/y/+c39qBa9xbP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gUPBAAAA2wAAAA8AAAAAAAAAAAAAAAAAmAIAAGRycy9kb3du&#10;cmV2LnhtbFBLBQYAAAAABAAEAPUAAACGAwAAAAA=&#10;" fillcolor="white [3201]" strokecolor="#4f81bd [3204]" strokeweight="2pt">
                  <v:textbox>
                    <w:txbxContent>
                      <w:p w14:paraId="5E65C750" w14:textId="77777777" w:rsidR="00151A1C" w:rsidRDefault="00151A1C" w:rsidP="00C26E98">
                        <w:pPr>
                          <w:pStyle w:val="TableHeadingCentre-H57"/>
                        </w:pPr>
                        <w:r>
                          <w:t>Late follow-up Visit (Day 29 to Day 36; 18-25 days after EOT Visit)</w:t>
                        </w:r>
                      </w:p>
                      <w:p w14:paraId="019C27C0" w14:textId="77777777" w:rsidR="00151A1C" w:rsidRDefault="00151A1C" w:rsidP="00C26E98">
                        <w:pPr>
                          <w:pStyle w:val="TableHeadingCentre-H57"/>
                        </w:pPr>
                      </w:p>
                      <w:p w14:paraId="5EADA280" w14:textId="77777777" w:rsidR="00151A1C" w:rsidRDefault="00151A1C" w:rsidP="00C26E98">
                        <w:pPr>
                          <w:pStyle w:val="TableHeadingCentre-H57"/>
                        </w:pPr>
                      </w:p>
                      <w:p w14:paraId="463FF9B8" w14:textId="77777777" w:rsidR="00151A1C" w:rsidRDefault="00151A1C" w:rsidP="00C26E98">
                        <w:pPr>
                          <w:pStyle w:val="TableHeadingCentre-H57"/>
                        </w:pPr>
                      </w:p>
                      <w:p w14:paraId="1F5BD865" w14:textId="77777777" w:rsidR="00151A1C" w:rsidRDefault="00151A1C" w:rsidP="00C26E98">
                        <w:pPr>
                          <w:pStyle w:val="TableHeadingCentre-H57"/>
                        </w:pPr>
                      </w:p>
                      <w:p w14:paraId="21895849" w14:textId="77777777" w:rsidR="00151A1C" w:rsidRDefault="00151A1C" w:rsidP="00C26E98">
                        <w:pPr>
                          <w:pStyle w:val="TableHeadingCentre-H57"/>
                        </w:pPr>
                      </w:p>
                      <w:p w14:paraId="2D0CA7D6" w14:textId="77777777" w:rsidR="00151A1C" w:rsidRDefault="00151A1C" w:rsidP="00C26E98">
                        <w:pPr>
                          <w:pStyle w:val="TableHeadingCentre-H57"/>
                        </w:pPr>
                      </w:p>
                      <w:p w14:paraId="598F82E0" w14:textId="77777777" w:rsidR="00151A1C" w:rsidRDefault="00151A1C" w:rsidP="00C26E98">
                        <w:pPr>
                          <w:pStyle w:val="TableHeadingCentre-H57"/>
                        </w:pPr>
                      </w:p>
                      <w:p w14:paraId="719CA5D0" w14:textId="77777777" w:rsidR="00151A1C" w:rsidRDefault="00151A1C" w:rsidP="00C26E98">
                        <w:pPr>
                          <w:pStyle w:val="TableHeadingCentre-H57"/>
                        </w:pPr>
                      </w:p>
                      <w:p w14:paraId="2191FF9F" w14:textId="77777777" w:rsidR="00151A1C" w:rsidRDefault="00151A1C" w:rsidP="00C26E98">
                        <w:pPr>
                          <w:pStyle w:val="TableHeadingCentre-H57"/>
                        </w:pPr>
                      </w:p>
                      <w:p w14:paraId="79082F54" w14:textId="77777777" w:rsidR="00151A1C" w:rsidRDefault="00151A1C" w:rsidP="00C26E98">
                        <w:pPr>
                          <w:pStyle w:val="TableHeadingCentre-H57"/>
                        </w:pPr>
                      </w:p>
                      <w:p w14:paraId="4A0CAF0A" w14:textId="77777777" w:rsidR="00151A1C" w:rsidRDefault="00151A1C" w:rsidP="00C26E98">
                        <w:pPr>
                          <w:pStyle w:val="TableHeadingCentre-H57"/>
                        </w:pPr>
                      </w:p>
                      <w:p w14:paraId="63A3E07B" w14:textId="77777777" w:rsidR="00151A1C" w:rsidRDefault="00151A1C" w:rsidP="00C26E98">
                        <w:pPr>
                          <w:pStyle w:val="TableHeadingCentre-H57"/>
                        </w:pPr>
                      </w:p>
                      <w:p w14:paraId="20E7C453" w14:textId="77777777" w:rsidR="00151A1C" w:rsidRDefault="00151A1C" w:rsidP="00C26E98">
                        <w:pPr>
                          <w:pStyle w:val="TableHeadingCentre-H57"/>
                          <w:rPr>
                            <w:rFonts w:ascii="Arial" w:hAnsi="Arial"/>
                          </w:rPr>
                        </w:pPr>
                        <w:r>
                          <w:rPr>
                            <w:rFonts w:ascii="Arial" w:hAnsi="Arial"/>
                          </w:rPr>
                          <w:t>18-25 days after EOT visit</w:t>
                        </w:r>
                      </w:p>
                    </w:txbxContent>
                  </v:textbox>
                </v:rect>
                <v:shape id="Straight Arrow Connector 169" o:spid="_x0000_s1049" type="#_x0000_t32" style="position:absolute;left:30138;top:22530;width:0;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dqcQAAADbAAAADwAAAGRycy9kb3ducmV2LnhtbESPzWrDMBCE74G+g9hCb4mcQkLrRAnB&#10;/aHQU52Cc1ysjW3iXRlJjd23rwqFHoeZ+YbZ7ifu1ZV86JwYWC4yUCS1s500Bj6PL/MHUCGiWOyd&#10;kIFvCrDf3cy2mFs3ygddy9ioBJGQo4E2xiHXOtQtMYaFG0iSd3aeMSbpG209jgnOvb7PsrVm7CQt&#10;tDhQ0VJ9Kb/YQFbw4YnH06pYvy7fh7KvntlXxtzdTocNqEhT/A//td+sgdUj/H5JP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F2pxAAAANsAAAAPAAAAAAAAAAAA&#10;AAAAAKECAABkcnMvZG93bnJldi54bWxQSwUGAAAAAAQABAD5AAAAkgMAAAAA&#10;" strokecolor="black [3040]">
                  <v:stroke endarrow="open"/>
                  <v:shadow on="t" opacity="22936f" origin=",.5" offset="0,.63889mm"/>
                </v:shape>
                <v:shape id="Straight Arrow Connector 170" o:spid="_x0000_s1050" type="#_x0000_t32" style="position:absolute;left:30138;top:27212;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ZTcIAAADbAAAADwAAAGRycy9kb3ducmV2LnhtbERPTWvCQBC9F/wPywheSt0oRUp0FS0U&#10;bMGDRsHjkB2TYHY2ZkeT/nv3UOjx8b4Xq97V6kFtqDwbmIwTUMS5txUXBo7Z19sHqCDIFmvPZOCX&#10;AqyWg5cFptZ3vKfHQQoVQzikaKAUaVKtQ16SwzD2DXHkLr51KBG2hbYtdjHc1XqaJDPtsOLYUGJD&#10;nyXl18PdGXhPjpused1Ltjt9S3f6qc/r28SY0bBfz0EJ9fIv/nNvrYFZXB+/xB+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qZTcIAAADbAAAADwAAAAAAAAAAAAAA&#10;AAChAgAAZHJzL2Rvd25yZXYueG1sUEsFBgAAAAAEAAQA+QAAAJADAAAAAA==&#10;" strokecolor="black [3040]">
                  <v:stroke endarrow="open"/>
                  <v:shadow on="t" opacity="22936f" origin=",.5" offset="0,.63889mm"/>
                </v:shape>
                <v:shape id="Straight Arrow Connector 171" o:spid="_x0000_s1051" type="#_x0000_t32" style="position:absolute;left:30138;top:32040;width:0;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bEsMAAADbAAAADwAAAGRycy9kb3ducmV2LnhtbESPQUvDQBSE70L/w/IK3uwmQoPEbktJ&#10;tQieTIV6fGSfSWje27C7NvHfu4LgcZiZb5jNbuZBXcmH3omBfJWBImmc7aU18H56vnsAFSKKxcEJ&#10;GfimALvt4maDpXWTvNG1jq1KEAklGuhiHEutQ9MRY1i5kSR5n84zxiR9q63HKcF50PdZVmjGXtJC&#10;hyNVHTWX+osNZBXvDzx9rKvimL+O9XB+Yn825nY57x9BRZrjf/iv/WINFDn8fk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2mxLDAAAA2wAAAA8AAAAAAAAAAAAA&#10;AAAAoQIAAGRycy9kb3ducmV2LnhtbFBLBQYAAAAABAAEAPkAAACRAwAAAAA=&#10;" strokecolor="black [3040]">
                  <v:stroke endarrow="open"/>
                  <v:shadow on="t" opacity="22936f" origin=",.5" offset="0,.63889mm"/>
                </v:shape>
                <v:shape id="Straight Arrow Connector 172" o:spid="_x0000_s1052" type="#_x0000_t32" style="position:absolute;left:30028;top:38249;width:1;height:12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FZcMAAADbAAAADwAAAGRycy9kb3ducmV2LnhtbESPQUvDQBSE7wX/w/IEb+2mBYPEbkuJ&#10;Vgo9GYV6fGSfSTDvbdjdNvHfdwuCx2FmvmHW24l7dSEfOicGlosMFEntbCeNgc+P/fwJVIgoFnsn&#10;ZOCXAmw3d7M1FtaN8k6XKjYqQSQUaKCNcSi0DnVLjGHhBpLkfTvPGJP0jbYexwTnXq+yLNeMnaSF&#10;FgcqW6p/qjMbyErevfD49Vjmb8vjUPWnV/YnYx7up90zqEhT/A//tQ/WQL6C25f0A/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kBWXDAAAA2wAAAA8AAAAAAAAAAAAA&#10;AAAAoQIAAGRycy9kb3ducmV2LnhtbFBLBQYAAAAABAAEAPkAAACRAwAAAAA=&#10;" strokecolor="black [3040]">
                  <v:stroke endarrow="open"/>
                  <v:shadow on="t" opacity="22936f" origin=",.5" offset="0,.63889mm"/>
                </v:shape>
                <w10:anchorlock/>
              </v:group>
            </w:pict>
          </mc:Fallback>
        </mc:AlternateContent>
      </w:r>
    </w:p>
    <w:p w14:paraId="671FBEEB" w14:textId="3B4430E8" w:rsidR="00EF6D1E" w:rsidRPr="00EF6D1E" w:rsidRDefault="00C26E98" w:rsidP="00EF6D1E">
      <w:pPr>
        <w:pStyle w:val="FigureNote-H23"/>
        <w:spacing w:before="0" w:after="0"/>
        <w:rPr>
          <w:rFonts w:ascii="Arial" w:hAnsi="Arial"/>
          <w:sz w:val="16"/>
          <w:lang w:val="en-US"/>
        </w:rPr>
      </w:pPr>
      <w:r w:rsidRPr="00EF6D1E">
        <w:rPr>
          <w:rFonts w:ascii="Arial" w:hAnsi="Arial"/>
          <w:sz w:val="16"/>
          <w:lang w:val="en-US"/>
        </w:rPr>
        <w:t xml:space="preserve">SOURCE: </w:t>
      </w:r>
      <w:r w:rsidR="00023175">
        <w:rPr>
          <w:rFonts w:ascii="Arial" w:hAnsi="Arial"/>
          <w:sz w:val="16"/>
          <w:lang w:val="en-US"/>
        </w:rPr>
        <w:t>Prokocimer, 2013</w:t>
      </w:r>
      <w:r w:rsidR="00133192">
        <w:rPr>
          <w:rFonts w:ascii="Arial" w:hAnsi="Arial"/>
          <w:sz w:val="16"/>
          <w:lang w:val="en-US"/>
        </w:rPr>
        <w:t xml:space="preserve"> (</w:t>
      </w:r>
      <w:r w:rsidR="008953E6">
        <w:rPr>
          <w:rFonts w:ascii="Arial" w:hAnsi="Arial"/>
          <w:sz w:val="16"/>
          <w:lang w:val="en-US"/>
        </w:rPr>
        <w:fldChar w:fldCharType="begin"/>
      </w:r>
      <w:r w:rsidR="008953E6">
        <w:rPr>
          <w:rFonts w:ascii="Arial" w:hAnsi="Arial"/>
          <w:sz w:val="16"/>
          <w:lang w:val="en-US"/>
        </w:rPr>
        <w:instrText xml:space="preserve"> REF _Ref284485242 \r \h </w:instrText>
      </w:r>
      <w:r w:rsidR="008953E6">
        <w:rPr>
          <w:rFonts w:ascii="Arial" w:hAnsi="Arial"/>
          <w:sz w:val="16"/>
          <w:lang w:val="en-US"/>
        </w:rPr>
      </w:r>
      <w:r w:rsidR="008953E6">
        <w:rPr>
          <w:rFonts w:ascii="Arial" w:hAnsi="Arial"/>
          <w:sz w:val="16"/>
          <w:lang w:val="en-US"/>
        </w:rPr>
        <w:fldChar w:fldCharType="separate"/>
      </w:r>
      <w:r w:rsidR="00151A1C">
        <w:rPr>
          <w:rFonts w:ascii="Arial" w:hAnsi="Arial"/>
          <w:sz w:val="16"/>
          <w:lang w:val="en-US"/>
        </w:rPr>
        <w:t>38</w:t>
      </w:r>
      <w:r w:rsidR="008953E6">
        <w:rPr>
          <w:rFonts w:ascii="Arial" w:hAnsi="Arial"/>
          <w:sz w:val="16"/>
          <w:lang w:val="en-US"/>
        </w:rPr>
        <w:fldChar w:fldCharType="end"/>
      </w:r>
      <w:r w:rsidR="00133192">
        <w:rPr>
          <w:rFonts w:ascii="Arial" w:hAnsi="Arial"/>
          <w:sz w:val="16"/>
          <w:lang w:val="en-US"/>
        </w:rPr>
        <w:t>)</w:t>
      </w:r>
    </w:p>
    <w:p w14:paraId="70DC577F" w14:textId="48B58E6C" w:rsidR="00C26E98" w:rsidRPr="00EF6D1E" w:rsidRDefault="005F509A" w:rsidP="00EF6D1E">
      <w:pPr>
        <w:pStyle w:val="FigureNote-H23"/>
        <w:spacing w:before="0" w:after="0"/>
        <w:rPr>
          <w:rFonts w:ascii="Arial" w:hAnsi="Arial"/>
          <w:sz w:val="16"/>
          <w:lang w:val="en-US"/>
        </w:rPr>
      </w:pPr>
      <w:r>
        <w:rPr>
          <w:rFonts w:ascii="Arial" w:hAnsi="Arial"/>
          <w:sz w:val="16"/>
          <w:lang w:val="en-US"/>
        </w:rPr>
        <w:t>*Certain assessm</w:t>
      </w:r>
      <w:r w:rsidR="00C26E98" w:rsidRPr="00EF6D1E">
        <w:rPr>
          <w:rFonts w:ascii="Arial" w:hAnsi="Arial"/>
          <w:sz w:val="16"/>
          <w:lang w:val="en-US"/>
        </w:rPr>
        <w:t>e</w:t>
      </w:r>
      <w:r>
        <w:rPr>
          <w:rFonts w:ascii="Arial" w:hAnsi="Arial"/>
          <w:sz w:val="16"/>
          <w:lang w:val="en-US"/>
        </w:rPr>
        <w:t>n</w:t>
      </w:r>
      <w:r w:rsidR="00C26E98" w:rsidRPr="00EF6D1E">
        <w:rPr>
          <w:rFonts w:ascii="Arial" w:hAnsi="Arial"/>
          <w:sz w:val="16"/>
          <w:lang w:val="en-US"/>
        </w:rPr>
        <w:t>ts were performed on day 7, while others were performed between days 7-9, as indicated in the CSR.</w:t>
      </w:r>
    </w:p>
    <w:p w14:paraId="763DFB81" w14:textId="44A74FB3" w:rsidR="00C26E98" w:rsidRDefault="00C26E98" w:rsidP="00EF6D1E">
      <w:pPr>
        <w:pStyle w:val="TableNote-H58"/>
        <w:spacing w:before="0" w:after="0"/>
        <w:rPr>
          <w:rFonts w:ascii="Arial" w:hAnsi="Arial"/>
          <w:sz w:val="16"/>
          <w:szCs w:val="16"/>
          <w:lang w:val="en-US"/>
        </w:rPr>
      </w:pPr>
      <w:r w:rsidRPr="00EF6D1E">
        <w:rPr>
          <w:rFonts w:ascii="Arial" w:hAnsi="Arial"/>
          <w:sz w:val="16"/>
          <w:szCs w:val="16"/>
          <w:lang w:val="en-US"/>
        </w:rPr>
        <w:t>EOT: End of therapy; PTE: Post-therapy evaluation</w:t>
      </w:r>
    </w:p>
    <w:p w14:paraId="2B57A7E4" w14:textId="77777777" w:rsidR="00EF6D1E" w:rsidRPr="00EF6D1E" w:rsidRDefault="00EF6D1E" w:rsidP="00EF6D1E">
      <w:pPr>
        <w:pStyle w:val="TableNote-H58"/>
        <w:spacing w:before="0" w:after="0"/>
        <w:rPr>
          <w:rFonts w:ascii="Arial" w:hAnsi="Arial"/>
          <w:sz w:val="16"/>
          <w:szCs w:val="16"/>
          <w:lang w:val="en-US"/>
        </w:rPr>
      </w:pPr>
    </w:p>
    <w:p w14:paraId="165E7B65" w14:textId="344013F3" w:rsidR="00D922F4" w:rsidRPr="00EF6D1E" w:rsidRDefault="002E314E" w:rsidP="00EF6D1E">
      <w:pPr>
        <w:autoSpaceDE w:val="0"/>
        <w:autoSpaceDN w:val="0"/>
        <w:adjustRightInd w:val="0"/>
        <w:rPr>
          <w:rFonts w:cs="Arial"/>
          <w:b/>
          <w:bCs/>
          <w:sz w:val="22"/>
          <w:szCs w:val="22"/>
          <w:lang w:eastAsia="ja-JP"/>
        </w:rPr>
      </w:pPr>
      <w:r>
        <w:rPr>
          <w:rFonts w:cs="Arial"/>
          <w:b/>
          <w:bCs/>
          <w:sz w:val="22"/>
          <w:szCs w:val="22"/>
          <w:lang w:eastAsia="ja-JP"/>
        </w:rPr>
        <w:t>3.3</w:t>
      </w:r>
      <w:r w:rsidR="00D922F4" w:rsidRPr="00EF6D1E">
        <w:rPr>
          <w:rFonts w:cs="Arial"/>
          <w:b/>
          <w:bCs/>
          <w:sz w:val="22"/>
          <w:szCs w:val="22"/>
          <w:lang w:eastAsia="ja-JP"/>
        </w:rPr>
        <w:t>.7 Study populations and analysis sets</w:t>
      </w:r>
      <w:r w:rsidR="00EF6D1E" w:rsidRPr="00EF6D1E">
        <w:rPr>
          <w:rFonts w:cs="Arial"/>
          <w:b/>
          <w:bCs/>
          <w:sz w:val="22"/>
          <w:szCs w:val="22"/>
          <w:lang w:eastAsia="ja-JP"/>
        </w:rPr>
        <w:t xml:space="preserve">: </w:t>
      </w:r>
      <w:r w:rsidR="00D922F4" w:rsidRPr="00EF6D1E">
        <w:rPr>
          <w:rFonts w:cs="Arial"/>
          <w:sz w:val="22"/>
          <w:szCs w:val="22"/>
          <w:lang w:val="en-US" w:eastAsia="ja-JP"/>
        </w:rPr>
        <w:t xml:space="preserve">The intent-to-treat (ITT) analysis set </w:t>
      </w:r>
      <w:r w:rsidR="001F72EB" w:rsidRPr="00EF6D1E">
        <w:rPr>
          <w:rFonts w:cs="Arial"/>
          <w:sz w:val="22"/>
          <w:szCs w:val="22"/>
          <w:lang w:val="en-US" w:eastAsia="ja-JP"/>
        </w:rPr>
        <w:t xml:space="preserve">(n=667) </w:t>
      </w:r>
      <w:r>
        <w:rPr>
          <w:rFonts w:cs="Arial"/>
          <w:sz w:val="22"/>
          <w:szCs w:val="22"/>
          <w:lang w:val="en-US" w:eastAsia="ja-JP"/>
        </w:rPr>
        <w:t>incl</w:t>
      </w:r>
      <w:r w:rsidR="00D922F4" w:rsidRPr="00EF6D1E">
        <w:rPr>
          <w:rFonts w:cs="Arial"/>
          <w:sz w:val="22"/>
          <w:szCs w:val="22"/>
          <w:lang w:val="en-US" w:eastAsia="ja-JP"/>
        </w:rPr>
        <w:t>uded all randomised patients. The safety analysis set</w:t>
      </w:r>
      <w:r w:rsidR="001F72EB" w:rsidRPr="00EF6D1E">
        <w:rPr>
          <w:rFonts w:cs="Arial"/>
          <w:sz w:val="22"/>
          <w:szCs w:val="22"/>
          <w:lang w:val="en-US" w:eastAsia="ja-JP"/>
        </w:rPr>
        <w:t xml:space="preserve"> (n=666)</w:t>
      </w:r>
      <w:r w:rsidR="00D922F4" w:rsidRPr="00EF6D1E">
        <w:rPr>
          <w:rFonts w:cs="Arial"/>
          <w:sz w:val="22"/>
          <w:szCs w:val="22"/>
          <w:lang w:val="en-US" w:eastAsia="ja-JP"/>
        </w:rPr>
        <w:t xml:space="preserve"> included all patients who were randomised and received at least 1 dose of </w:t>
      </w:r>
      <w:r w:rsidR="001B0687">
        <w:rPr>
          <w:rFonts w:cs="Arial"/>
          <w:sz w:val="22"/>
          <w:szCs w:val="22"/>
          <w:lang w:val="en-US" w:eastAsia="ja-JP"/>
        </w:rPr>
        <w:t>study drug.</w:t>
      </w:r>
      <w:r w:rsidR="00D922F4" w:rsidRPr="00EF6D1E">
        <w:rPr>
          <w:rFonts w:cs="Arial"/>
          <w:sz w:val="22"/>
          <w:szCs w:val="22"/>
          <w:lang w:val="en-US" w:eastAsia="ja-JP"/>
        </w:rPr>
        <w:t xml:space="preserve"> The clinically </w:t>
      </w:r>
      <w:r w:rsidR="00D922F4" w:rsidRPr="00EF6D1E">
        <w:rPr>
          <w:rFonts w:cs="Arial"/>
          <w:sz w:val="22"/>
          <w:szCs w:val="22"/>
          <w:lang w:val="en-US" w:eastAsia="ja-JP"/>
        </w:rPr>
        <w:lastRenderedPageBreak/>
        <w:t>evaluable (CE) analysis set included all patients in the ITT set who complied with the protocol without major violations and completed specified assessments for a particular outcome.</w:t>
      </w:r>
    </w:p>
    <w:p w14:paraId="41B0A1CA" w14:textId="77777777" w:rsidR="00D922F4" w:rsidRPr="00EF6D1E" w:rsidRDefault="00D922F4" w:rsidP="00D922F4">
      <w:pPr>
        <w:widowControl w:val="0"/>
        <w:autoSpaceDE w:val="0"/>
        <w:autoSpaceDN w:val="0"/>
        <w:adjustRightInd w:val="0"/>
        <w:rPr>
          <w:rFonts w:cs="Arial"/>
          <w:sz w:val="22"/>
          <w:szCs w:val="22"/>
          <w:lang w:val="en-US" w:eastAsia="ja-JP"/>
        </w:rPr>
      </w:pPr>
    </w:p>
    <w:p w14:paraId="14F514E0" w14:textId="7D77501B" w:rsidR="0039063B" w:rsidRDefault="00D922F4" w:rsidP="0039063B">
      <w:pPr>
        <w:widowControl w:val="0"/>
        <w:autoSpaceDE w:val="0"/>
        <w:autoSpaceDN w:val="0"/>
        <w:adjustRightInd w:val="0"/>
        <w:rPr>
          <w:rFonts w:cs="Arial"/>
          <w:sz w:val="22"/>
          <w:szCs w:val="22"/>
          <w:lang w:val="en-US" w:eastAsia="ja-JP"/>
        </w:rPr>
      </w:pPr>
      <w:r w:rsidRPr="00EF6D1E">
        <w:rPr>
          <w:rFonts w:cs="Arial"/>
          <w:sz w:val="22"/>
          <w:szCs w:val="22"/>
          <w:lang w:val="en-US" w:eastAsia="ja-JP"/>
        </w:rPr>
        <w:t xml:space="preserve">There were two CE sets. Patients in the CE-EOT analysis set </w:t>
      </w:r>
      <w:r w:rsidR="001F72EB" w:rsidRPr="00EF6D1E">
        <w:rPr>
          <w:rFonts w:cs="Arial"/>
          <w:sz w:val="22"/>
          <w:szCs w:val="22"/>
          <w:lang w:val="en-US" w:eastAsia="ja-JP"/>
        </w:rPr>
        <w:t xml:space="preserve">(n=559) </w:t>
      </w:r>
      <w:r w:rsidRPr="00EF6D1E">
        <w:rPr>
          <w:rFonts w:cs="Arial"/>
          <w:sz w:val="22"/>
          <w:szCs w:val="22"/>
          <w:lang w:val="en-US" w:eastAsia="ja-JP"/>
        </w:rPr>
        <w:t xml:space="preserve">completed the 48- to 72-hour and EOT assessments without major protocol violations or receiving treatments that might confound outcomes (that is, non-steroidal anti-inflammatory </w:t>
      </w:r>
      <w:r w:rsidR="001B0687">
        <w:rPr>
          <w:rFonts w:cs="Arial"/>
          <w:sz w:val="22"/>
          <w:szCs w:val="22"/>
          <w:lang w:val="en-US" w:eastAsia="ja-JP"/>
        </w:rPr>
        <w:t xml:space="preserve">medicines </w:t>
      </w:r>
      <w:r w:rsidRPr="00EF6D1E">
        <w:rPr>
          <w:rFonts w:cs="Arial"/>
          <w:sz w:val="22"/>
          <w:szCs w:val="22"/>
          <w:lang w:val="en-US" w:eastAsia="ja-JP"/>
        </w:rPr>
        <w:t xml:space="preserve">or oral steroids up to 72 hours or concomitant antibiotics at any time). Patients in the CE-PTE analysis set </w:t>
      </w:r>
      <w:r w:rsidR="001F72EB" w:rsidRPr="00EF6D1E">
        <w:rPr>
          <w:rFonts w:cs="Arial"/>
          <w:sz w:val="22"/>
          <w:szCs w:val="22"/>
          <w:lang w:val="en-US" w:eastAsia="ja-JP"/>
        </w:rPr>
        <w:t xml:space="preserve">(n=559) </w:t>
      </w:r>
      <w:r w:rsidRPr="00EF6D1E">
        <w:rPr>
          <w:rFonts w:cs="Arial"/>
          <w:sz w:val="22"/>
          <w:szCs w:val="22"/>
          <w:lang w:val="en-US" w:eastAsia="ja-JP"/>
        </w:rPr>
        <w:t>completed the investigator’s assessment of outcome at the PTE visit without major protocol violations or receipt of treatments that might confound outcomes.</w:t>
      </w:r>
    </w:p>
    <w:p w14:paraId="29DA5E25" w14:textId="77777777" w:rsidR="0039063B" w:rsidRDefault="0039063B" w:rsidP="0039063B">
      <w:pPr>
        <w:widowControl w:val="0"/>
        <w:autoSpaceDE w:val="0"/>
        <w:autoSpaceDN w:val="0"/>
        <w:adjustRightInd w:val="0"/>
        <w:rPr>
          <w:rFonts w:cs="Arial"/>
          <w:sz w:val="22"/>
          <w:szCs w:val="22"/>
          <w:lang w:val="en-US" w:eastAsia="ja-JP"/>
        </w:rPr>
      </w:pPr>
    </w:p>
    <w:p w14:paraId="004814A8" w14:textId="3E697A50" w:rsidR="004C2E1E" w:rsidRPr="00E723AF" w:rsidRDefault="00D953BA" w:rsidP="008953E6">
      <w:pPr>
        <w:jc w:val="both"/>
        <w:rPr>
          <w:sz w:val="22"/>
          <w:szCs w:val="22"/>
          <w:lang w:val="en-US"/>
        </w:rPr>
      </w:pPr>
      <w:r w:rsidRPr="00EF6D1E">
        <w:rPr>
          <w:sz w:val="22"/>
          <w:szCs w:val="22"/>
          <w:lang w:val="en-US" w:eastAsia="ja-JP"/>
        </w:rPr>
        <w:t xml:space="preserve">The MITT analysis set (n=418) comprised all patients in the ITT population who had a baseline Gram-positive bacterial pathogen known to cause ABSSSI. </w:t>
      </w:r>
      <w:r w:rsidR="008D5ECA" w:rsidRPr="00EF6D1E">
        <w:rPr>
          <w:rFonts w:cs="Arial"/>
          <w:bCs/>
          <w:sz w:val="22"/>
          <w:szCs w:val="22"/>
          <w:lang w:eastAsia="ja-JP"/>
        </w:rPr>
        <w:t>The</w:t>
      </w:r>
      <w:r w:rsidR="00EF6D1E">
        <w:rPr>
          <w:rFonts w:cs="Arial"/>
          <w:bCs/>
          <w:sz w:val="22"/>
          <w:szCs w:val="22"/>
          <w:lang w:eastAsia="ja-JP"/>
        </w:rPr>
        <w:t>se</w:t>
      </w:r>
      <w:r w:rsidR="008D5ECA" w:rsidRPr="00EF6D1E">
        <w:rPr>
          <w:rFonts w:cs="Arial"/>
          <w:bCs/>
          <w:sz w:val="22"/>
          <w:szCs w:val="22"/>
          <w:lang w:eastAsia="ja-JP"/>
        </w:rPr>
        <w:t xml:space="preserve"> different study populations are described in </w:t>
      </w:r>
      <w:r w:rsidR="008953E6">
        <w:rPr>
          <w:rFonts w:cs="Arial"/>
          <w:bCs/>
          <w:sz w:val="22"/>
          <w:szCs w:val="22"/>
          <w:lang w:eastAsia="ja-JP"/>
        </w:rPr>
        <w:t>Table 4.</w:t>
      </w:r>
    </w:p>
    <w:p w14:paraId="621D1092" w14:textId="77777777" w:rsidR="00AD2DF8" w:rsidRDefault="00AD2DF8" w:rsidP="00AD2DF8">
      <w:pPr>
        <w:ind w:left="357" w:hanging="357"/>
        <w:jc w:val="both"/>
        <w:rPr>
          <w:sz w:val="22"/>
          <w:szCs w:val="22"/>
          <w:lang w:val="en-US"/>
        </w:rPr>
      </w:pPr>
      <w:bookmarkStart w:id="58" w:name="_Ref381373751"/>
      <w:bookmarkStart w:id="59" w:name="_Toc396058432"/>
    </w:p>
    <w:p w14:paraId="71AF6A35" w14:textId="2923EBE2" w:rsidR="004C2E1E" w:rsidRDefault="004C2E1E" w:rsidP="00AD2DF8">
      <w:pPr>
        <w:ind w:left="357" w:hanging="357"/>
        <w:jc w:val="both"/>
        <w:rPr>
          <w:b/>
          <w:sz w:val="22"/>
          <w:szCs w:val="22"/>
          <w:lang w:val="en-US"/>
        </w:rPr>
      </w:pPr>
      <w:r w:rsidRPr="00AD2DF8">
        <w:rPr>
          <w:b/>
          <w:sz w:val="22"/>
          <w:szCs w:val="22"/>
          <w:lang w:val="en-US"/>
        </w:rPr>
        <w:t xml:space="preserve">Table </w:t>
      </w:r>
      <w:r w:rsidRPr="00AD2DF8">
        <w:rPr>
          <w:b/>
          <w:sz w:val="22"/>
          <w:szCs w:val="22"/>
          <w:lang w:val="en-US"/>
        </w:rPr>
        <w:fldChar w:fldCharType="begin"/>
      </w:r>
      <w:r w:rsidRPr="00AD2DF8">
        <w:rPr>
          <w:b/>
          <w:sz w:val="22"/>
          <w:szCs w:val="22"/>
          <w:lang w:val="en-US"/>
        </w:rPr>
        <w:instrText xml:space="preserve"> SEQ Table \* ARABIC </w:instrText>
      </w:r>
      <w:r w:rsidRPr="00AD2DF8">
        <w:rPr>
          <w:b/>
          <w:sz w:val="22"/>
          <w:szCs w:val="22"/>
          <w:lang w:val="en-US"/>
        </w:rPr>
        <w:fldChar w:fldCharType="separate"/>
      </w:r>
      <w:r w:rsidR="00151A1C">
        <w:rPr>
          <w:b/>
          <w:noProof/>
          <w:sz w:val="22"/>
          <w:szCs w:val="22"/>
          <w:lang w:val="en-US"/>
        </w:rPr>
        <w:t>4</w:t>
      </w:r>
      <w:r w:rsidRPr="00AD2DF8">
        <w:rPr>
          <w:b/>
          <w:sz w:val="22"/>
          <w:szCs w:val="22"/>
          <w:lang w:val="en-US"/>
        </w:rPr>
        <w:fldChar w:fldCharType="end"/>
      </w:r>
      <w:bookmarkEnd w:id="58"/>
      <w:r w:rsidRPr="00AD2DF8">
        <w:rPr>
          <w:b/>
          <w:sz w:val="22"/>
          <w:szCs w:val="22"/>
          <w:lang w:val="en-US"/>
        </w:rPr>
        <w:t>: Different study populations used in ESTABLISH-1</w:t>
      </w:r>
      <w:bookmarkEnd w:id="59"/>
      <w:r w:rsidRPr="00AD2DF8">
        <w:rPr>
          <w:b/>
          <w:sz w:val="22"/>
          <w:szCs w:val="22"/>
          <w:lang w:val="en-US"/>
        </w:rPr>
        <w:t xml:space="preserve"> </w:t>
      </w:r>
    </w:p>
    <w:p w14:paraId="10119838" w14:textId="77777777" w:rsidR="00AD2DF8" w:rsidRPr="00AD2DF8" w:rsidRDefault="00AD2DF8" w:rsidP="00AD2DF8">
      <w:pPr>
        <w:ind w:left="357" w:hanging="357"/>
        <w:jc w:val="both"/>
        <w:rPr>
          <w:rFonts w:eastAsia="Times New Roman"/>
          <w:b/>
          <w:bCs/>
          <w:sz w:val="22"/>
          <w:szCs w:val="22"/>
          <w:lang w:val="en-US"/>
        </w:rPr>
      </w:pPr>
    </w:p>
    <w:tbl>
      <w:tblPr>
        <w:tblStyle w:val="Table-HERONplain"/>
        <w:tblW w:w="0" w:type="auto"/>
        <w:tblLook w:val="04A0" w:firstRow="1" w:lastRow="0" w:firstColumn="1" w:lastColumn="0" w:noHBand="0" w:noVBand="1"/>
      </w:tblPr>
      <w:tblGrid>
        <w:gridCol w:w="1413"/>
        <w:gridCol w:w="6946"/>
      </w:tblGrid>
      <w:tr w:rsidR="004C2E1E" w:rsidRPr="00511D47" w14:paraId="29D52338" w14:textId="77777777" w:rsidTr="00D97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18A7733"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rPr>
              <w:t>Population</w:t>
            </w:r>
          </w:p>
        </w:tc>
        <w:tc>
          <w:tcPr>
            <w:tcW w:w="6946" w:type="dxa"/>
            <w:shd w:val="clear" w:color="auto" w:fill="auto"/>
            <w:hideMark/>
          </w:tcPr>
          <w:p w14:paraId="680BDAC8" w14:textId="77777777" w:rsidR="004C2E1E" w:rsidRPr="00511D47" w:rsidRDefault="004C2E1E" w:rsidP="00D271AF">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511D47">
              <w:rPr>
                <w:rFonts w:ascii="Arial" w:hAnsi="Arial"/>
                <w:sz w:val="20"/>
                <w:lang w:val="en-US" w:eastAsia="en-GB"/>
              </w:rPr>
              <w:t>Definitions</w:t>
            </w:r>
          </w:p>
        </w:tc>
      </w:tr>
      <w:tr w:rsidR="004C2E1E" w:rsidRPr="00511D47" w14:paraId="03BEFD4B" w14:textId="77777777" w:rsidTr="00D97149">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0B4D8C8"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eastAsia="en-GB"/>
              </w:rPr>
              <w:t>ITT</w:t>
            </w:r>
          </w:p>
        </w:tc>
        <w:tc>
          <w:tcPr>
            <w:tcW w:w="6946" w:type="dxa"/>
            <w:hideMark/>
          </w:tcPr>
          <w:p w14:paraId="64ED6EC2" w14:textId="15155399" w:rsidR="004C2E1E" w:rsidRPr="00511D47" w:rsidRDefault="008D5ECA" w:rsidP="00D271AF">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511D47">
              <w:rPr>
                <w:rFonts w:ascii="Arial" w:hAnsi="Arial"/>
                <w:sz w:val="20"/>
                <w:lang w:val="en-US" w:eastAsia="en-GB"/>
              </w:rPr>
              <w:t>All randomis</w:t>
            </w:r>
            <w:r w:rsidR="004C2E1E" w:rsidRPr="00511D47">
              <w:rPr>
                <w:rFonts w:ascii="Arial" w:hAnsi="Arial"/>
                <w:sz w:val="20"/>
                <w:lang w:val="en-US" w:eastAsia="en-GB"/>
              </w:rPr>
              <w:t>ed patients</w:t>
            </w:r>
          </w:p>
        </w:tc>
      </w:tr>
      <w:tr w:rsidR="004C2E1E" w:rsidRPr="00511D47" w14:paraId="01CAB82F" w14:textId="77777777" w:rsidTr="00D9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5107E08A"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eastAsia="en-GB"/>
              </w:rPr>
              <w:t>MITT</w:t>
            </w:r>
          </w:p>
        </w:tc>
        <w:tc>
          <w:tcPr>
            <w:tcW w:w="6946" w:type="dxa"/>
            <w:hideMark/>
          </w:tcPr>
          <w:p w14:paraId="363DF41C" w14:textId="77777777" w:rsidR="004C2E1E" w:rsidRPr="00511D47" w:rsidRDefault="004C2E1E" w:rsidP="00D271AF">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511D47">
              <w:rPr>
                <w:rFonts w:ascii="Arial" w:hAnsi="Arial"/>
                <w:sz w:val="20"/>
                <w:lang w:val="en-US" w:eastAsia="en-GB"/>
              </w:rPr>
              <w:t xml:space="preserve">All patients in the ITT </w:t>
            </w:r>
            <w:r w:rsidRPr="00511D47">
              <w:rPr>
                <w:rFonts w:ascii="Arial" w:hAnsi="Arial"/>
                <w:sz w:val="20"/>
                <w:lang w:val="en-US"/>
              </w:rPr>
              <w:t>population</w:t>
            </w:r>
            <w:r w:rsidRPr="00511D47">
              <w:rPr>
                <w:rFonts w:ascii="Arial" w:hAnsi="Arial"/>
                <w:sz w:val="20"/>
                <w:lang w:val="en-US" w:eastAsia="en-GB"/>
              </w:rPr>
              <w:t xml:space="preserve"> who had a baseline Gram-positive bacterial pathogen known to cause ABSSSI</w:t>
            </w:r>
          </w:p>
        </w:tc>
      </w:tr>
      <w:tr w:rsidR="004C2E1E" w:rsidRPr="00511D47" w14:paraId="3989A7A0" w14:textId="77777777" w:rsidTr="00D97149">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590886AA"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eastAsia="en-GB"/>
              </w:rPr>
              <w:t>CE-EOT</w:t>
            </w:r>
          </w:p>
        </w:tc>
        <w:tc>
          <w:tcPr>
            <w:tcW w:w="6946" w:type="dxa"/>
            <w:hideMark/>
          </w:tcPr>
          <w:p w14:paraId="37230C51" w14:textId="77777777" w:rsidR="004C2E1E" w:rsidRPr="00511D47" w:rsidRDefault="004C2E1E" w:rsidP="00D271AF">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511D47">
              <w:rPr>
                <w:rFonts w:ascii="Arial" w:hAnsi="Arial"/>
                <w:sz w:val="20"/>
                <w:lang w:val="en-US" w:eastAsia="en-GB"/>
              </w:rPr>
              <w:t xml:space="preserve">All patients in the ITT </w:t>
            </w:r>
            <w:r w:rsidRPr="00511D47">
              <w:rPr>
                <w:rFonts w:ascii="Arial" w:hAnsi="Arial"/>
                <w:sz w:val="20"/>
                <w:lang w:val="en-US"/>
              </w:rPr>
              <w:t>population</w:t>
            </w:r>
            <w:r w:rsidRPr="00511D47">
              <w:rPr>
                <w:rFonts w:ascii="Arial" w:hAnsi="Arial"/>
                <w:sz w:val="20"/>
                <w:lang w:val="en-US" w:eastAsia="en-GB"/>
              </w:rPr>
              <w:t xml:space="preserve"> who complied with the protocol with no major violations and met the following criteria:</w:t>
            </w:r>
          </w:p>
          <w:p w14:paraId="569C40C3" w14:textId="77777777" w:rsidR="004C2E1E" w:rsidRPr="00511D47" w:rsidRDefault="004C2E1E" w:rsidP="00D271AF">
            <w:pPr>
              <w:pStyle w:val="TableBullet-H55"/>
              <w:cnfStyle w:val="000000000000" w:firstRow="0" w:lastRow="0" w:firstColumn="0" w:lastColumn="0" w:oddVBand="0" w:evenVBand="0" w:oddHBand="0" w:evenHBand="0" w:firstRowFirstColumn="0" w:firstRowLastColumn="0" w:lastRowFirstColumn="0" w:lastRowLastColumn="0"/>
              <w:rPr>
                <w:rFonts w:ascii="Arial" w:eastAsia="TimesNewRoman" w:hAnsi="Arial"/>
                <w:sz w:val="20"/>
                <w:szCs w:val="20"/>
              </w:rPr>
            </w:pPr>
            <w:r w:rsidRPr="00511D47">
              <w:rPr>
                <w:rFonts w:ascii="Arial" w:hAnsi="Arial"/>
                <w:sz w:val="20"/>
                <w:szCs w:val="20"/>
              </w:rPr>
              <w:t xml:space="preserve">Completed the </w:t>
            </w:r>
            <w:r w:rsidRPr="00511D47">
              <w:rPr>
                <w:rFonts w:ascii="Arial" w:eastAsia="TimesNewRoman" w:hAnsi="Arial"/>
                <w:sz w:val="20"/>
                <w:szCs w:val="20"/>
              </w:rPr>
              <w:t>primary outcome assessment at the 48-Hour to 72-Hour Visit unless the patient was a failure (for sustained clinical response) at the EOT Visit</w:t>
            </w:r>
          </w:p>
          <w:p w14:paraId="436D61AA" w14:textId="77777777" w:rsidR="004C2E1E" w:rsidRPr="00511D47" w:rsidRDefault="004C2E1E" w:rsidP="00D271AF">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511D47">
              <w:rPr>
                <w:rFonts w:ascii="Arial" w:hAnsi="Arial"/>
                <w:sz w:val="20"/>
                <w:szCs w:val="20"/>
              </w:rPr>
              <w:t>Completed the clinical response outcome assessment at the EOT Visit</w:t>
            </w:r>
          </w:p>
          <w:p w14:paraId="56489504" w14:textId="77777777" w:rsidR="004C2E1E" w:rsidRPr="00511D47" w:rsidRDefault="004C2E1E" w:rsidP="00D271AF">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511D47">
              <w:rPr>
                <w:rFonts w:ascii="Arial" w:hAnsi="Arial"/>
                <w:sz w:val="20"/>
                <w:szCs w:val="20"/>
              </w:rPr>
              <w:t>No concomitant systemic antibiotic therapy or topical antibiotic from the first infusion of the study drug through the EOT Visit that is potentially effective against the baseline pathogen except adjunctive aztreonam and/or metronidazole in patients with wound infections</w:t>
            </w:r>
          </w:p>
        </w:tc>
      </w:tr>
      <w:tr w:rsidR="004C2E1E" w:rsidRPr="00511D47" w14:paraId="65F12A31" w14:textId="77777777" w:rsidTr="00D9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0F0718D"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eastAsia="en-GB"/>
              </w:rPr>
              <w:lastRenderedPageBreak/>
              <w:t>CE-PTE</w:t>
            </w:r>
          </w:p>
        </w:tc>
        <w:tc>
          <w:tcPr>
            <w:tcW w:w="6946" w:type="dxa"/>
            <w:hideMark/>
          </w:tcPr>
          <w:p w14:paraId="5341128D" w14:textId="77777777" w:rsidR="004C2E1E" w:rsidRPr="00511D47" w:rsidRDefault="004C2E1E" w:rsidP="00D271AF">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511D47">
              <w:rPr>
                <w:rFonts w:ascii="Arial" w:hAnsi="Arial"/>
                <w:sz w:val="20"/>
                <w:lang w:val="en-US" w:eastAsia="en-GB"/>
              </w:rPr>
              <w:t xml:space="preserve">All patients in the ITT </w:t>
            </w:r>
            <w:r w:rsidRPr="00511D47">
              <w:rPr>
                <w:rFonts w:ascii="Arial" w:hAnsi="Arial"/>
                <w:sz w:val="20"/>
                <w:lang w:val="en-US"/>
              </w:rPr>
              <w:t>population</w:t>
            </w:r>
            <w:r w:rsidRPr="00511D47">
              <w:rPr>
                <w:rFonts w:ascii="Arial" w:hAnsi="Arial"/>
                <w:sz w:val="20"/>
                <w:lang w:val="en-US" w:eastAsia="en-GB"/>
              </w:rPr>
              <w:t xml:space="preserve"> who complied with the protocol with no major violations and who met the following criteria:</w:t>
            </w:r>
          </w:p>
          <w:p w14:paraId="02718D75" w14:textId="77777777" w:rsidR="004C2E1E" w:rsidRPr="00511D47" w:rsidRDefault="004C2E1E" w:rsidP="00D271AF">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511D47">
              <w:rPr>
                <w:rFonts w:ascii="Arial" w:hAnsi="Arial"/>
                <w:sz w:val="20"/>
                <w:szCs w:val="20"/>
              </w:rPr>
              <w:t>Completed the investigator’s assessment of clinical response at the PTE Visit</w:t>
            </w:r>
          </w:p>
          <w:p w14:paraId="594C7A00" w14:textId="77777777" w:rsidR="004C2E1E" w:rsidRPr="00511D47" w:rsidRDefault="004C2E1E" w:rsidP="00D271AF">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511D47">
              <w:rPr>
                <w:rFonts w:ascii="Arial" w:hAnsi="Arial"/>
                <w:sz w:val="20"/>
                <w:szCs w:val="20"/>
              </w:rPr>
              <w:t>No concomitant systemic antibiotic therapy or topical antibiotic from the first infusion of the study drug through the PTE Visit that is potentially effective against the baseline pathogen except adjunctive aztreonam and/or metronidazole in patients with wound infections</w:t>
            </w:r>
          </w:p>
        </w:tc>
      </w:tr>
      <w:tr w:rsidR="004C2E1E" w:rsidRPr="00511D47" w14:paraId="6A3A26EB" w14:textId="77777777" w:rsidTr="00D97149">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6FEC829F" w14:textId="77777777" w:rsidR="004C2E1E" w:rsidRPr="00511D47" w:rsidRDefault="004C2E1E" w:rsidP="00D271AF">
            <w:pPr>
              <w:pStyle w:val="TableBodyText-H54"/>
              <w:rPr>
                <w:rFonts w:ascii="Arial" w:hAnsi="Arial"/>
                <w:sz w:val="20"/>
                <w:lang w:val="en-US" w:eastAsia="en-GB"/>
              </w:rPr>
            </w:pPr>
            <w:r w:rsidRPr="00511D47">
              <w:rPr>
                <w:rFonts w:ascii="Arial" w:hAnsi="Arial"/>
                <w:sz w:val="20"/>
                <w:lang w:val="en-US" w:eastAsia="en-GB"/>
              </w:rPr>
              <w:t xml:space="preserve">Safety </w:t>
            </w:r>
          </w:p>
        </w:tc>
        <w:tc>
          <w:tcPr>
            <w:tcW w:w="6946" w:type="dxa"/>
            <w:vAlign w:val="top"/>
            <w:hideMark/>
          </w:tcPr>
          <w:p w14:paraId="5F5C1262" w14:textId="77777777" w:rsidR="004C2E1E" w:rsidRPr="00511D47" w:rsidRDefault="004C2E1E" w:rsidP="00D271AF">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511D47">
              <w:rPr>
                <w:rFonts w:ascii="Arial" w:hAnsi="Arial"/>
                <w:sz w:val="20"/>
                <w:lang w:val="en-US" w:eastAsia="en-GB"/>
              </w:rPr>
              <w:t xml:space="preserve">All patients in the ITT </w:t>
            </w:r>
            <w:r w:rsidRPr="00511D47">
              <w:rPr>
                <w:rFonts w:ascii="Arial" w:hAnsi="Arial"/>
                <w:sz w:val="20"/>
                <w:lang w:val="en-US"/>
              </w:rPr>
              <w:t>population</w:t>
            </w:r>
            <w:r w:rsidRPr="00511D47">
              <w:rPr>
                <w:rFonts w:ascii="Arial" w:hAnsi="Arial"/>
                <w:sz w:val="20"/>
                <w:lang w:val="en-US" w:eastAsia="en-GB"/>
              </w:rPr>
              <w:t xml:space="preserve"> who received at least one dose of active drug</w:t>
            </w:r>
          </w:p>
        </w:tc>
      </w:tr>
    </w:tbl>
    <w:p w14:paraId="53F40619" w14:textId="62346DDB" w:rsidR="004C2E1E" w:rsidRPr="00511D47" w:rsidRDefault="004C2E1E" w:rsidP="00511D47">
      <w:pPr>
        <w:pStyle w:val="TableNote-H58"/>
        <w:spacing w:before="0" w:after="0"/>
        <w:rPr>
          <w:rFonts w:ascii="Arial" w:hAnsi="Arial"/>
          <w:sz w:val="16"/>
          <w:szCs w:val="16"/>
          <w:lang w:val="en-US"/>
        </w:rPr>
      </w:pPr>
      <w:r w:rsidRPr="00511D47">
        <w:rPr>
          <w:rFonts w:ascii="Arial" w:hAnsi="Arial"/>
          <w:sz w:val="16"/>
          <w:szCs w:val="16"/>
          <w:lang w:val="en-US"/>
        </w:rPr>
        <w:t xml:space="preserve">SOURCE: </w:t>
      </w:r>
      <w:r w:rsidR="00133192" w:rsidRPr="00511D47">
        <w:rPr>
          <w:rFonts w:ascii="Arial" w:hAnsi="Arial"/>
          <w:sz w:val="16"/>
          <w:szCs w:val="16"/>
          <w:lang w:val="en-US"/>
        </w:rPr>
        <w:t>ESTABLISH-1 CSR</w:t>
      </w:r>
      <w:r w:rsidR="00133192">
        <w:rPr>
          <w:rFonts w:ascii="Arial" w:hAnsi="Arial"/>
          <w:sz w:val="16"/>
          <w:szCs w:val="16"/>
          <w:lang w:val="en-US"/>
        </w:rPr>
        <w:t xml:space="preserve"> (</w:t>
      </w:r>
      <w:r w:rsidR="00133192">
        <w:rPr>
          <w:rFonts w:ascii="Arial" w:hAnsi="Arial"/>
          <w:sz w:val="16"/>
          <w:szCs w:val="16"/>
          <w:lang w:val="en-US"/>
        </w:rPr>
        <w:fldChar w:fldCharType="begin"/>
      </w:r>
      <w:r w:rsidR="00133192">
        <w:rPr>
          <w:rFonts w:ascii="Arial" w:hAnsi="Arial"/>
          <w:sz w:val="16"/>
          <w:szCs w:val="16"/>
          <w:lang w:val="en-US"/>
        </w:rPr>
        <w:instrText xml:space="preserve"> REF _Ref284171334 \r \h </w:instrText>
      </w:r>
      <w:r w:rsidR="00133192">
        <w:rPr>
          <w:rFonts w:ascii="Arial" w:hAnsi="Arial"/>
          <w:sz w:val="16"/>
          <w:szCs w:val="16"/>
          <w:lang w:val="en-US"/>
        </w:rPr>
      </w:r>
      <w:r w:rsidR="00133192">
        <w:rPr>
          <w:rFonts w:ascii="Arial" w:hAnsi="Arial"/>
          <w:sz w:val="16"/>
          <w:szCs w:val="16"/>
          <w:lang w:val="en-US"/>
        </w:rPr>
        <w:fldChar w:fldCharType="separate"/>
      </w:r>
      <w:r w:rsidR="00151A1C">
        <w:rPr>
          <w:rFonts w:ascii="Arial" w:hAnsi="Arial"/>
          <w:sz w:val="16"/>
          <w:szCs w:val="16"/>
          <w:lang w:val="en-US"/>
        </w:rPr>
        <w:t>41</w:t>
      </w:r>
      <w:r w:rsidR="00133192">
        <w:rPr>
          <w:rFonts w:ascii="Arial" w:hAnsi="Arial"/>
          <w:sz w:val="16"/>
          <w:szCs w:val="16"/>
          <w:lang w:val="en-US"/>
        </w:rPr>
        <w:fldChar w:fldCharType="end"/>
      </w:r>
      <w:r w:rsidR="00133192">
        <w:rPr>
          <w:rFonts w:ascii="Arial" w:hAnsi="Arial"/>
          <w:sz w:val="16"/>
          <w:szCs w:val="16"/>
          <w:lang w:val="en-US"/>
        </w:rPr>
        <w:t>)</w:t>
      </w:r>
      <w:r w:rsidRPr="00511D47">
        <w:rPr>
          <w:rFonts w:ascii="Arial" w:hAnsi="Arial"/>
          <w:sz w:val="16"/>
          <w:szCs w:val="16"/>
          <w:lang w:val="en-US"/>
        </w:rPr>
        <w:t xml:space="preserve">: section 9.7.1.1 Table 9-9 </w:t>
      </w:r>
    </w:p>
    <w:p w14:paraId="684D1F1C" w14:textId="23A7450C" w:rsidR="004C2E1E" w:rsidRPr="00511D47" w:rsidRDefault="004C2E1E" w:rsidP="00511D47">
      <w:pPr>
        <w:pStyle w:val="TableNote-H58"/>
        <w:spacing w:before="0" w:after="0"/>
        <w:rPr>
          <w:rFonts w:ascii="Arial" w:hAnsi="Arial"/>
          <w:bCs w:val="0"/>
          <w:sz w:val="16"/>
          <w:szCs w:val="16"/>
          <w:lang w:val="en-US"/>
        </w:rPr>
      </w:pPr>
      <w:r w:rsidRPr="00511D47">
        <w:rPr>
          <w:rFonts w:ascii="Arial" w:hAnsi="Arial"/>
          <w:sz w:val="16"/>
          <w:szCs w:val="16"/>
          <w:lang w:val="en-US"/>
        </w:rPr>
        <w:t>ABSSSI: Acute bacterial skin and skin structure infection; CE-EOT: Clinically evaluable at end of therapy; CE-PTE: Clinically evaluable at post-therapy evaluation; EOT: End of therapy; ITT: Intent-to-treat; ME: Microbiologically evaluable; MITT: Microbiological intent-to-treat; PTE: Post-therapy evaluation</w:t>
      </w:r>
    </w:p>
    <w:p w14:paraId="49389ADA" w14:textId="77777777" w:rsidR="00AD2DF8" w:rsidRDefault="00AD2DF8" w:rsidP="008E4E92">
      <w:pPr>
        <w:autoSpaceDE w:val="0"/>
        <w:autoSpaceDN w:val="0"/>
        <w:adjustRightInd w:val="0"/>
        <w:rPr>
          <w:rFonts w:cs="Arial"/>
          <w:b/>
          <w:bCs/>
          <w:sz w:val="22"/>
          <w:szCs w:val="22"/>
          <w:lang w:eastAsia="ja-JP"/>
        </w:rPr>
      </w:pPr>
    </w:p>
    <w:p w14:paraId="520597D9" w14:textId="59568341" w:rsidR="00C805F2" w:rsidRPr="003833D2" w:rsidRDefault="002E314E" w:rsidP="008E4E92">
      <w:pPr>
        <w:autoSpaceDE w:val="0"/>
        <w:autoSpaceDN w:val="0"/>
        <w:adjustRightInd w:val="0"/>
        <w:rPr>
          <w:rFonts w:cs="Arial"/>
          <w:b/>
          <w:bCs/>
          <w:sz w:val="22"/>
          <w:szCs w:val="22"/>
          <w:lang w:eastAsia="ja-JP"/>
        </w:rPr>
      </w:pPr>
      <w:r>
        <w:rPr>
          <w:rFonts w:cs="Arial"/>
          <w:b/>
          <w:bCs/>
          <w:sz w:val="22"/>
          <w:szCs w:val="22"/>
          <w:lang w:eastAsia="ja-JP"/>
        </w:rPr>
        <w:t>3.3</w:t>
      </w:r>
      <w:r w:rsidR="001B3148" w:rsidRPr="003833D2">
        <w:rPr>
          <w:rFonts w:cs="Arial"/>
          <w:b/>
          <w:bCs/>
          <w:sz w:val="22"/>
          <w:szCs w:val="22"/>
          <w:lang w:eastAsia="ja-JP"/>
        </w:rPr>
        <w:t>.7</w:t>
      </w:r>
      <w:r w:rsidR="001B3148" w:rsidRPr="003833D2">
        <w:rPr>
          <w:rFonts w:cs="Arial"/>
          <w:b/>
          <w:bCs/>
          <w:sz w:val="22"/>
          <w:szCs w:val="22"/>
          <w:lang w:eastAsia="ja-JP"/>
        </w:rPr>
        <w:tab/>
      </w:r>
      <w:r w:rsidR="006E484B" w:rsidRPr="003833D2">
        <w:rPr>
          <w:rFonts w:cs="Arial"/>
          <w:b/>
          <w:bCs/>
          <w:sz w:val="22"/>
          <w:szCs w:val="22"/>
          <w:lang w:eastAsia="ja-JP"/>
        </w:rPr>
        <w:t xml:space="preserve">Main </w:t>
      </w:r>
      <w:r w:rsidR="00165ED7" w:rsidRPr="003833D2">
        <w:rPr>
          <w:rFonts w:cs="Arial"/>
          <w:b/>
          <w:bCs/>
          <w:sz w:val="22"/>
          <w:szCs w:val="22"/>
          <w:lang w:eastAsia="ja-JP"/>
        </w:rPr>
        <w:t>Outcome Measure</w:t>
      </w:r>
      <w:r w:rsidR="00E24312" w:rsidRPr="003833D2">
        <w:rPr>
          <w:rFonts w:cs="Arial"/>
          <w:b/>
          <w:bCs/>
          <w:sz w:val="22"/>
          <w:szCs w:val="22"/>
          <w:lang w:eastAsia="ja-JP"/>
        </w:rPr>
        <w:t>s</w:t>
      </w:r>
      <w:r w:rsidR="00511D47" w:rsidRPr="003833D2">
        <w:rPr>
          <w:rFonts w:cs="Arial"/>
          <w:b/>
          <w:bCs/>
          <w:sz w:val="22"/>
          <w:szCs w:val="22"/>
          <w:lang w:eastAsia="ja-JP"/>
        </w:rPr>
        <w:t xml:space="preserve">: </w:t>
      </w:r>
    </w:p>
    <w:p w14:paraId="23324D24" w14:textId="77777777" w:rsidR="00A15486" w:rsidRPr="00A15486" w:rsidRDefault="00A15486" w:rsidP="008E4E92">
      <w:pPr>
        <w:autoSpaceDE w:val="0"/>
        <w:autoSpaceDN w:val="0"/>
        <w:adjustRightInd w:val="0"/>
        <w:rPr>
          <w:rFonts w:cs="Arial"/>
          <w:b/>
          <w:bCs/>
          <w:color w:val="FF0000"/>
          <w:sz w:val="22"/>
          <w:szCs w:val="22"/>
          <w:lang w:eastAsia="ja-JP"/>
        </w:rPr>
      </w:pPr>
    </w:p>
    <w:p w14:paraId="49A4FFD5" w14:textId="283F3435" w:rsidR="0044763C" w:rsidRPr="00A210AA" w:rsidRDefault="003937CA" w:rsidP="00A210AA">
      <w:pPr>
        <w:pStyle w:val="ListParagraph"/>
        <w:numPr>
          <w:ilvl w:val="0"/>
          <w:numId w:val="36"/>
        </w:numPr>
        <w:autoSpaceDE w:val="0"/>
        <w:autoSpaceDN w:val="0"/>
        <w:adjustRightInd w:val="0"/>
        <w:ind w:left="360"/>
        <w:rPr>
          <w:rFonts w:eastAsia="Shaker2Lancet-Bold" w:cs="Arial"/>
          <w:b/>
          <w:bCs/>
          <w:sz w:val="22"/>
          <w:szCs w:val="22"/>
          <w:lang w:eastAsia="ja-JP"/>
        </w:rPr>
      </w:pPr>
      <w:r w:rsidRPr="000A719F">
        <w:rPr>
          <w:rFonts w:eastAsia="Shaker2Lancet-Bold" w:cs="Arial"/>
          <w:b/>
          <w:bCs/>
          <w:sz w:val="22"/>
          <w:szCs w:val="22"/>
          <w:lang w:eastAsia="ja-JP"/>
        </w:rPr>
        <w:t xml:space="preserve">Primary </w:t>
      </w:r>
      <w:r w:rsidR="00A658EC" w:rsidRPr="000A719F">
        <w:rPr>
          <w:rFonts w:eastAsia="Shaker2Lancet-Bold" w:cs="Arial"/>
          <w:b/>
          <w:bCs/>
          <w:sz w:val="22"/>
          <w:szCs w:val="22"/>
          <w:lang w:eastAsia="ja-JP"/>
        </w:rPr>
        <w:t>outcome</w:t>
      </w:r>
      <w:r w:rsidR="000A719F" w:rsidRPr="000A719F">
        <w:rPr>
          <w:rFonts w:eastAsia="Shaker2Lancet-Bold" w:cs="Arial"/>
          <w:b/>
          <w:bCs/>
          <w:sz w:val="22"/>
          <w:szCs w:val="22"/>
          <w:lang w:eastAsia="ja-JP"/>
        </w:rPr>
        <w:t xml:space="preserve">: </w:t>
      </w:r>
      <w:r w:rsidRPr="000A719F">
        <w:rPr>
          <w:sz w:val="22"/>
          <w:szCs w:val="22"/>
          <w:lang w:val="en-US"/>
        </w:rPr>
        <w:t>The primary outcome of ESTABLISH-1 was</w:t>
      </w:r>
      <w:r w:rsidR="00A210AA">
        <w:rPr>
          <w:sz w:val="22"/>
          <w:szCs w:val="22"/>
          <w:lang w:val="en-US"/>
        </w:rPr>
        <w:t xml:space="preserve"> </w:t>
      </w:r>
      <w:r w:rsidRPr="00A210AA">
        <w:rPr>
          <w:sz w:val="22"/>
          <w:szCs w:val="22"/>
          <w:lang w:val="en-US"/>
        </w:rPr>
        <w:t>the early clinical response at the 48-Hour to 72-Hour Visit in the ITT population. Early clinical response at the 48-Hour to 72-Hour Visit was defined as cessation of spread of primary ABSSSI lesion compared with baseline as well as a temperature of ≤37.6°C at two consecutive visits taken within 24 hours</w:t>
      </w:r>
      <w:r w:rsidR="0044763C" w:rsidRPr="00A210AA">
        <w:rPr>
          <w:sz w:val="22"/>
          <w:szCs w:val="22"/>
          <w:lang w:val="en-US"/>
        </w:rPr>
        <w:t>.</w:t>
      </w:r>
    </w:p>
    <w:p w14:paraId="15B104B4" w14:textId="77777777" w:rsidR="00D841A7" w:rsidRPr="00A21E46" w:rsidRDefault="00D841A7" w:rsidP="000A719F">
      <w:pPr>
        <w:pStyle w:val="BodyText"/>
        <w:rPr>
          <w:sz w:val="22"/>
          <w:szCs w:val="22"/>
          <w:lang w:val="en-US"/>
        </w:rPr>
      </w:pPr>
    </w:p>
    <w:p w14:paraId="0A3F45FA" w14:textId="10CB7434" w:rsidR="003937CA" w:rsidRPr="00A21E46" w:rsidRDefault="003937CA" w:rsidP="000A719F">
      <w:pPr>
        <w:pStyle w:val="BodyText"/>
        <w:ind w:left="360"/>
        <w:rPr>
          <w:sz w:val="22"/>
          <w:szCs w:val="22"/>
          <w:lang w:val="en-US"/>
        </w:rPr>
      </w:pPr>
      <w:r w:rsidRPr="00A21E46">
        <w:rPr>
          <w:sz w:val="22"/>
          <w:szCs w:val="22"/>
          <w:lang w:val="en-US"/>
        </w:rPr>
        <w:t xml:space="preserve">This definition was </w:t>
      </w:r>
      <w:r w:rsidR="00F57DB4" w:rsidRPr="00A21E46">
        <w:rPr>
          <w:sz w:val="22"/>
          <w:szCs w:val="22"/>
          <w:lang w:val="en-US"/>
        </w:rPr>
        <w:t>in accordance with</w:t>
      </w:r>
      <w:r w:rsidRPr="00A21E46">
        <w:rPr>
          <w:sz w:val="22"/>
          <w:szCs w:val="22"/>
          <w:lang w:val="en-US"/>
        </w:rPr>
        <w:t xml:space="preserve"> the draft FDA guidelines</w:t>
      </w:r>
      <w:r w:rsidR="0032793F" w:rsidRPr="00A21E46">
        <w:rPr>
          <w:sz w:val="22"/>
          <w:szCs w:val="22"/>
          <w:lang w:val="en-US"/>
        </w:rPr>
        <w:t xml:space="preserve"> </w:t>
      </w:r>
      <w:r w:rsidR="00D87711" w:rsidRPr="00A21E46">
        <w:rPr>
          <w:sz w:val="22"/>
          <w:szCs w:val="22"/>
          <w:lang w:val="en-US"/>
        </w:rPr>
        <w:t>that</w:t>
      </w:r>
      <w:r w:rsidR="0044763C" w:rsidRPr="00A21E46">
        <w:rPr>
          <w:sz w:val="22"/>
          <w:szCs w:val="22"/>
          <w:lang w:val="en-US"/>
        </w:rPr>
        <w:t xml:space="preserve"> were current </w:t>
      </w:r>
      <w:r w:rsidR="0032793F" w:rsidRPr="00A21E46">
        <w:rPr>
          <w:sz w:val="22"/>
          <w:szCs w:val="22"/>
          <w:lang w:val="en-US"/>
        </w:rPr>
        <w:t xml:space="preserve">at the time of </w:t>
      </w:r>
      <w:r w:rsidR="0044763C" w:rsidRPr="00A21E46">
        <w:rPr>
          <w:sz w:val="22"/>
          <w:szCs w:val="22"/>
          <w:lang w:val="en-US"/>
        </w:rPr>
        <w:t xml:space="preserve">finalisation of the study protocol. </w:t>
      </w:r>
      <w:r w:rsidRPr="00A21E46">
        <w:rPr>
          <w:sz w:val="22"/>
          <w:szCs w:val="22"/>
          <w:lang w:val="en-US"/>
        </w:rPr>
        <w:t>Although the FDA updated the recommendation</w:t>
      </w:r>
      <w:r w:rsidR="0044763C" w:rsidRPr="00A21E46">
        <w:rPr>
          <w:sz w:val="22"/>
          <w:szCs w:val="22"/>
          <w:lang w:val="en-US"/>
        </w:rPr>
        <w:t xml:space="preserve"> subsequently to recommend that early clinical response be defined as a reduction of ≥20% in lesion size compared with baseline with no fever component</w:t>
      </w:r>
      <w:r w:rsidRPr="00A21E46">
        <w:rPr>
          <w:sz w:val="22"/>
          <w:szCs w:val="22"/>
          <w:lang w:val="en-US"/>
        </w:rPr>
        <w:t xml:space="preserve">, the protocol </w:t>
      </w:r>
      <w:r w:rsidR="00A658EC" w:rsidRPr="00A21E46">
        <w:rPr>
          <w:sz w:val="22"/>
          <w:szCs w:val="22"/>
          <w:lang w:val="en-US"/>
        </w:rPr>
        <w:t xml:space="preserve">for ESTABLISH-1 </w:t>
      </w:r>
      <w:r w:rsidRPr="00A21E46">
        <w:rPr>
          <w:sz w:val="22"/>
          <w:szCs w:val="22"/>
          <w:lang w:val="en-US"/>
        </w:rPr>
        <w:t xml:space="preserve">was </w:t>
      </w:r>
      <w:r w:rsidR="0044763C" w:rsidRPr="00A21E46">
        <w:rPr>
          <w:sz w:val="22"/>
          <w:szCs w:val="22"/>
          <w:lang w:val="en-US"/>
        </w:rPr>
        <w:t>not changed</w:t>
      </w:r>
      <w:r w:rsidRPr="00A21E46">
        <w:rPr>
          <w:sz w:val="22"/>
          <w:szCs w:val="22"/>
          <w:lang w:val="en-US"/>
        </w:rPr>
        <w:t xml:space="preserve"> and </w:t>
      </w:r>
      <w:r w:rsidR="00A658EC" w:rsidRPr="00A21E46">
        <w:rPr>
          <w:sz w:val="22"/>
          <w:szCs w:val="22"/>
          <w:lang w:val="en-US"/>
        </w:rPr>
        <w:t xml:space="preserve">the </w:t>
      </w:r>
      <w:r w:rsidRPr="00A21E46">
        <w:rPr>
          <w:sz w:val="22"/>
          <w:szCs w:val="22"/>
          <w:lang w:val="en-US"/>
        </w:rPr>
        <w:t>analysis plans were not modified</w:t>
      </w:r>
      <w:r w:rsidR="00A658EC" w:rsidRPr="00A21E46">
        <w:rPr>
          <w:sz w:val="22"/>
          <w:szCs w:val="22"/>
          <w:lang w:val="en-US"/>
        </w:rPr>
        <w:t xml:space="preserve">, although sensitivity analyses were conducted on the primary outcome (see section </w:t>
      </w:r>
      <w:r w:rsidR="00D66F03" w:rsidRPr="00A21E46">
        <w:rPr>
          <w:sz w:val="22"/>
          <w:szCs w:val="22"/>
          <w:lang w:val="en-US"/>
        </w:rPr>
        <w:t>3.2.11</w:t>
      </w:r>
      <w:r w:rsidR="00A658EC" w:rsidRPr="00A21E46">
        <w:rPr>
          <w:sz w:val="22"/>
          <w:szCs w:val="22"/>
          <w:lang w:val="en-US"/>
        </w:rPr>
        <w:t xml:space="preserve"> below)</w:t>
      </w:r>
      <w:r w:rsidR="00A214EB">
        <w:rPr>
          <w:sz w:val="22"/>
          <w:szCs w:val="22"/>
          <w:lang w:val="en-US"/>
        </w:rPr>
        <w:t>(</w:t>
      </w:r>
      <w:r w:rsidR="00A214EB">
        <w:rPr>
          <w:sz w:val="22"/>
          <w:szCs w:val="22"/>
          <w:lang w:val="en-US"/>
        </w:rPr>
        <w:fldChar w:fldCharType="begin"/>
      </w:r>
      <w:r w:rsidR="00A214EB">
        <w:rPr>
          <w:sz w:val="22"/>
          <w:szCs w:val="22"/>
          <w:lang w:val="en-US"/>
        </w:rPr>
        <w:instrText xml:space="preserve"> REF _Ref284171334 \r \h </w:instrText>
      </w:r>
      <w:r w:rsidR="00A214EB">
        <w:rPr>
          <w:sz w:val="22"/>
          <w:szCs w:val="22"/>
          <w:lang w:val="en-US"/>
        </w:rPr>
      </w:r>
      <w:r w:rsidR="00A214EB">
        <w:rPr>
          <w:sz w:val="22"/>
          <w:szCs w:val="22"/>
          <w:lang w:val="en-US"/>
        </w:rPr>
        <w:fldChar w:fldCharType="separate"/>
      </w:r>
      <w:r w:rsidR="00151A1C">
        <w:rPr>
          <w:sz w:val="22"/>
          <w:szCs w:val="22"/>
          <w:lang w:val="en-US"/>
        </w:rPr>
        <w:t>41</w:t>
      </w:r>
      <w:r w:rsidR="00A214EB">
        <w:rPr>
          <w:sz w:val="22"/>
          <w:szCs w:val="22"/>
          <w:lang w:val="en-US"/>
        </w:rPr>
        <w:fldChar w:fldCharType="end"/>
      </w:r>
      <w:r w:rsidR="00A214EB">
        <w:rPr>
          <w:sz w:val="22"/>
          <w:szCs w:val="22"/>
          <w:lang w:val="en-US"/>
        </w:rPr>
        <w:t>).</w:t>
      </w:r>
      <w:r w:rsidR="00A214EB" w:rsidRPr="00A21E46">
        <w:rPr>
          <w:sz w:val="22"/>
          <w:szCs w:val="22"/>
          <w:lang w:val="en-US"/>
        </w:rPr>
        <w:t xml:space="preserve"> </w:t>
      </w:r>
    </w:p>
    <w:p w14:paraId="3D74171F" w14:textId="77777777" w:rsidR="00D77663" w:rsidRPr="00A21E46" w:rsidRDefault="00D77663" w:rsidP="000A719F">
      <w:pPr>
        <w:pStyle w:val="BodyText"/>
        <w:ind w:left="360"/>
        <w:rPr>
          <w:sz w:val="22"/>
          <w:szCs w:val="22"/>
          <w:lang w:val="en-US"/>
        </w:rPr>
      </w:pPr>
    </w:p>
    <w:p w14:paraId="2C549FCC" w14:textId="27129466" w:rsidR="00AC04AB" w:rsidRPr="00A21E46" w:rsidRDefault="00D841A7" w:rsidP="000A719F">
      <w:pPr>
        <w:widowControl w:val="0"/>
        <w:autoSpaceDE w:val="0"/>
        <w:autoSpaceDN w:val="0"/>
        <w:adjustRightInd w:val="0"/>
        <w:ind w:left="360"/>
        <w:rPr>
          <w:sz w:val="22"/>
          <w:szCs w:val="22"/>
          <w:lang w:val="en-US" w:eastAsia="ja-JP"/>
        </w:rPr>
      </w:pPr>
      <w:r w:rsidRPr="00A21E46">
        <w:rPr>
          <w:rFonts w:cs="Arial"/>
          <w:sz w:val="22"/>
          <w:szCs w:val="22"/>
          <w:lang w:eastAsia="ja-JP"/>
        </w:rPr>
        <w:t>As noted in section 3.1 above, a 10% non-inferiority margin was pre-defined</w:t>
      </w:r>
      <w:r w:rsidR="00AC04AB" w:rsidRPr="00A21E46">
        <w:rPr>
          <w:rFonts w:cs="Arial"/>
          <w:sz w:val="22"/>
          <w:szCs w:val="22"/>
          <w:lang w:eastAsia="ja-JP"/>
        </w:rPr>
        <w:t xml:space="preserve"> </w:t>
      </w:r>
      <w:r w:rsidR="00AC04AB" w:rsidRPr="00A21E46">
        <w:rPr>
          <w:sz w:val="22"/>
          <w:szCs w:val="22"/>
          <w:lang w:val="en-US" w:eastAsia="ja-JP"/>
        </w:rPr>
        <w:t>based on linezolid eff</w:t>
      </w:r>
      <w:r w:rsidR="00D66F03" w:rsidRPr="00A21E46">
        <w:rPr>
          <w:sz w:val="22"/>
          <w:szCs w:val="22"/>
          <w:lang w:val="en-US" w:eastAsia="ja-JP"/>
        </w:rPr>
        <w:t>ic</w:t>
      </w:r>
      <w:r w:rsidR="00AC04AB" w:rsidRPr="00A21E46">
        <w:rPr>
          <w:sz w:val="22"/>
          <w:szCs w:val="22"/>
          <w:lang w:val="en-US" w:eastAsia="ja-JP"/>
        </w:rPr>
        <w:t xml:space="preserve">acy, and was agreed upon in a special protocol </w:t>
      </w:r>
      <w:r w:rsidR="000A719F" w:rsidRPr="00A21E46">
        <w:rPr>
          <w:sz w:val="22"/>
          <w:szCs w:val="22"/>
          <w:lang w:val="en-US" w:eastAsia="ja-JP"/>
        </w:rPr>
        <w:t>amendment</w:t>
      </w:r>
      <w:r w:rsidR="00AC04AB" w:rsidRPr="00A21E46">
        <w:rPr>
          <w:sz w:val="22"/>
          <w:szCs w:val="22"/>
          <w:lang w:val="en-US" w:eastAsia="ja-JP"/>
        </w:rPr>
        <w:t xml:space="preserve"> with the </w:t>
      </w:r>
      <w:r w:rsidR="00AC04AB" w:rsidRPr="00A21E46">
        <w:rPr>
          <w:sz w:val="22"/>
          <w:szCs w:val="22"/>
          <w:lang w:val="en-US" w:eastAsia="ja-JP"/>
        </w:rPr>
        <w:lastRenderedPageBreak/>
        <w:t>FDA.</w:t>
      </w:r>
    </w:p>
    <w:p w14:paraId="386C3CF2" w14:textId="77777777" w:rsidR="003937CA" w:rsidRPr="00A21E46" w:rsidRDefault="003937CA" w:rsidP="003937CA">
      <w:pPr>
        <w:autoSpaceDE w:val="0"/>
        <w:autoSpaceDN w:val="0"/>
        <w:adjustRightInd w:val="0"/>
        <w:rPr>
          <w:rFonts w:eastAsia="Shaker2Lancet-Bold" w:cs="Arial"/>
          <w:b/>
          <w:bCs/>
          <w:sz w:val="22"/>
          <w:szCs w:val="22"/>
          <w:lang w:eastAsia="ja-JP"/>
        </w:rPr>
      </w:pPr>
    </w:p>
    <w:p w14:paraId="3E575124" w14:textId="43D51C17" w:rsidR="003937CA" w:rsidRPr="00A21E46" w:rsidRDefault="003937CA" w:rsidP="00C24317">
      <w:pPr>
        <w:pStyle w:val="ListParagraph"/>
        <w:numPr>
          <w:ilvl w:val="0"/>
          <w:numId w:val="36"/>
        </w:numPr>
        <w:autoSpaceDE w:val="0"/>
        <w:autoSpaceDN w:val="0"/>
        <w:adjustRightInd w:val="0"/>
        <w:ind w:left="360"/>
        <w:rPr>
          <w:rFonts w:eastAsia="Shaker2Lancet-Bold" w:cs="Arial"/>
          <w:b/>
          <w:bCs/>
          <w:sz w:val="22"/>
          <w:szCs w:val="22"/>
          <w:lang w:eastAsia="ja-JP"/>
        </w:rPr>
      </w:pPr>
      <w:r w:rsidRPr="00A21E46">
        <w:rPr>
          <w:rFonts w:eastAsia="Shaker2Lancet-Bold" w:cs="Arial"/>
          <w:b/>
          <w:bCs/>
          <w:sz w:val="22"/>
          <w:szCs w:val="22"/>
          <w:lang w:eastAsia="ja-JP"/>
        </w:rPr>
        <w:t xml:space="preserve">Secondary </w:t>
      </w:r>
      <w:r w:rsidR="00A658EC" w:rsidRPr="00A21E46">
        <w:rPr>
          <w:rFonts w:eastAsia="Shaker2Lancet-Bold" w:cs="Arial"/>
          <w:b/>
          <w:bCs/>
          <w:sz w:val="22"/>
          <w:szCs w:val="22"/>
          <w:lang w:eastAsia="ja-JP"/>
        </w:rPr>
        <w:t>outcomes</w:t>
      </w:r>
      <w:r w:rsidR="000A719F" w:rsidRPr="00A21E46">
        <w:rPr>
          <w:rFonts w:eastAsia="Shaker2Lancet-Bold" w:cs="Arial"/>
          <w:b/>
          <w:bCs/>
          <w:sz w:val="22"/>
          <w:szCs w:val="22"/>
          <w:lang w:eastAsia="ja-JP"/>
        </w:rPr>
        <w:t xml:space="preserve">: </w:t>
      </w:r>
      <w:r w:rsidRPr="00A21E46">
        <w:rPr>
          <w:sz w:val="22"/>
          <w:szCs w:val="22"/>
          <w:lang w:val="en-US"/>
        </w:rPr>
        <w:t>The secondary outcomes of ESTABLISH-1 were as follows:</w:t>
      </w:r>
    </w:p>
    <w:p w14:paraId="36D0A88C" w14:textId="77777777" w:rsidR="003937CA" w:rsidRPr="00A21E46" w:rsidRDefault="003937CA" w:rsidP="000B0CB7">
      <w:pPr>
        <w:pStyle w:val="ListBullet-H41"/>
        <w:spacing w:before="0" w:after="0"/>
        <w:ind w:left="714" w:hanging="357"/>
        <w:rPr>
          <w:rFonts w:ascii="Arial" w:hAnsi="Arial"/>
          <w:sz w:val="22"/>
          <w:szCs w:val="22"/>
          <w:lang w:val="en-US"/>
        </w:rPr>
      </w:pPr>
      <w:r w:rsidRPr="00A21E46">
        <w:rPr>
          <w:rFonts w:ascii="Arial" w:hAnsi="Arial"/>
          <w:sz w:val="22"/>
          <w:szCs w:val="22"/>
          <w:lang w:val="en-US"/>
        </w:rPr>
        <w:t>Sustained clinical response at the EOT Visit (ITT and CE-EOT population)</w:t>
      </w:r>
    </w:p>
    <w:p w14:paraId="7DDECDDC" w14:textId="6E5BAB61" w:rsidR="003937CA" w:rsidRPr="00A21E46" w:rsidRDefault="003937CA" w:rsidP="000C4ABB">
      <w:pPr>
        <w:pStyle w:val="ListBullet-H41"/>
        <w:spacing w:before="0" w:after="0"/>
        <w:ind w:left="714" w:hanging="357"/>
        <w:jc w:val="left"/>
        <w:rPr>
          <w:rFonts w:ascii="Arial" w:hAnsi="Arial"/>
          <w:sz w:val="22"/>
          <w:szCs w:val="22"/>
          <w:lang w:val="en-US"/>
        </w:rPr>
      </w:pPr>
      <w:r w:rsidRPr="00A21E46">
        <w:rPr>
          <w:rFonts w:ascii="Arial" w:hAnsi="Arial"/>
          <w:sz w:val="22"/>
          <w:szCs w:val="22"/>
          <w:lang w:val="en-US"/>
        </w:rPr>
        <w:t>Investigator's assessment of clinical success at the PTE Visit (ITT and CE-PTE p</w:t>
      </w:r>
      <w:r w:rsidR="00E06428" w:rsidRPr="00A21E46">
        <w:rPr>
          <w:rFonts w:ascii="Arial" w:hAnsi="Arial"/>
          <w:sz w:val="22"/>
          <w:szCs w:val="22"/>
          <w:lang w:val="en-US"/>
        </w:rPr>
        <w:t>opulation) (also known as “Test of cure” (TOC), which was the EMA-preferred efficacy outcome);</w:t>
      </w:r>
    </w:p>
    <w:p w14:paraId="678C6A4E" w14:textId="77777777" w:rsidR="003937CA" w:rsidRPr="00A21E46" w:rsidRDefault="003937CA" w:rsidP="000C4ABB">
      <w:pPr>
        <w:pStyle w:val="ListBullet-H41"/>
        <w:spacing w:before="0" w:after="0"/>
        <w:ind w:left="714" w:hanging="357"/>
        <w:jc w:val="left"/>
        <w:rPr>
          <w:rFonts w:ascii="Arial" w:hAnsi="Arial"/>
          <w:sz w:val="22"/>
          <w:szCs w:val="22"/>
          <w:lang w:val="en-US"/>
        </w:rPr>
      </w:pPr>
      <w:r w:rsidRPr="00A21E46">
        <w:rPr>
          <w:rFonts w:ascii="Arial" w:hAnsi="Arial"/>
          <w:sz w:val="22"/>
          <w:szCs w:val="22"/>
          <w:lang w:val="en-US"/>
        </w:rPr>
        <w:t>Investigator's assessment of clinical response at the 48-Hour to 72-Hour Visit and Day 7 Visit</w:t>
      </w:r>
    </w:p>
    <w:p w14:paraId="10D71612" w14:textId="77777777" w:rsidR="003937CA" w:rsidRPr="00A21E46" w:rsidRDefault="003937CA" w:rsidP="000C4ABB">
      <w:pPr>
        <w:pStyle w:val="ListBullet-H41"/>
        <w:spacing w:before="0" w:after="0"/>
        <w:ind w:left="714" w:hanging="357"/>
        <w:jc w:val="left"/>
        <w:rPr>
          <w:rFonts w:ascii="Arial" w:hAnsi="Arial"/>
          <w:sz w:val="22"/>
          <w:szCs w:val="22"/>
          <w:lang w:val="en-US"/>
        </w:rPr>
      </w:pPr>
      <w:r w:rsidRPr="00A21E46">
        <w:rPr>
          <w:rFonts w:ascii="Arial" w:hAnsi="Arial"/>
          <w:sz w:val="22"/>
          <w:szCs w:val="22"/>
          <w:lang w:val="en-US"/>
        </w:rPr>
        <w:t>Change from baseline in pain scores</w:t>
      </w:r>
    </w:p>
    <w:p w14:paraId="2F048066" w14:textId="3116F241" w:rsidR="00E06428" w:rsidRPr="00A21E46" w:rsidRDefault="003937CA" w:rsidP="000C4ABB">
      <w:pPr>
        <w:pStyle w:val="ListBullet-H41"/>
        <w:spacing w:before="0" w:after="0"/>
        <w:ind w:left="714" w:hanging="357"/>
        <w:jc w:val="left"/>
        <w:rPr>
          <w:rFonts w:ascii="Arial" w:eastAsia="TimesNewRoman" w:hAnsi="Arial"/>
          <w:sz w:val="22"/>
          <w:szCs w:val="22"/>
          <w:lang w:val="en-US"/>
        </w:rPr>
      </w:pPr>
      <w:r w:rsidRPr="00A21E46">
        <w:rPr>
          <w:rFonts w:ascii="Arial" w:eastAsia="TimesNewRoman" w:hAnsi="Arial"/>
          <w:sz w:val="22"/>
          <w:szCs w:val="22"/>
          <w:lang w:val="en-US"/>
        </w:rPr>
        <w:t>Change from baseline in lesion size, assessment of local signs and symptoms, and systemic signs (lymphadenopathy, percentage immature neutrophils, and white blood cell count)</w:t>
      </w:r>
      <w:bookmarkStart w:id="60" w:name="_Ref381373655"/>
      <w:bookmarkStart w:id="61" w:name="_Toc396058429"/>
    </w:p>
    <w:p w14:paraId="5ABE934F" w14:textId="77777777" w:rsidR="00E06428" w:rsidRPr="00A21E46" w:rsidRDefault="00E06428" w:rsidP="000C4ABB">
      <w:pPr>
        <w:pStyle w:val="Caption"/>
        <w:spacing w:before="0" w:after="0"/>
        <w:jc w:val="left"/>
        <w:rPr>
          <w:rFonts w:ascii="Arial" w:hAnsi="Arial"/>
          <w:b w:val="0"/>
          <w:sz w:val="22"/>
          <w:szCs w:val="22"/>
          <w:lang w:val="en-US"/>
        </w:rPr>
      </w:pPr>
    </w:p>
    <w:p w14:paraId="344630E4" w14:textId="08EC22EF" w:rsidR="0044763C" w:rsidRPr="00F40A0C" w:rsidRDefault="0044763C" w:rsidP="000C4ABB">
      <w:pPr>
        <w:pStyle w:val="Caption"/>
        <w:spacing w:before="0" w:after="0"/>
        <w:jc w:val="left"/>
        <w:rPr>
          <w:rFonts w:ascii="Arial" w:hAnsi="Arial"/>
          <w:b w:val="0"/>
          <w:sz w:val="22"/>
          <w:szCs w:val="22"/>
          <w:lang w:val="en-US"/>
        </w:rPr>
      </w:pPr>
      <w:r w:rsidRPr="00A210AA">
        <w:rPr>
          <w:rFonts w:ascii="Arial" w:hAnsi="Arial"/>
          <w:b w:val="0"/>
          <w:sz w:val="22"/>
          <w:szCs w:val="22"/>
          <w:lang w:val="en-US"/>
        </w:rPr>
        <w:t>A full description of the primary and secondary outcomes of ESTABLISH-1</w:t>
      </w:r>
      <w:r w:rsidR="0058157A" w:rsidRPr="00A210AA">
        <w:rPr>
          <w:rFonts w:ascii="Arial" w:hAnsi="Arial"/>
          <w:b w:val="0"/>
          <w:sz w:val="22"/>
          <w:szCs w:val="22"/>
          <w:lang w:val="en-US"/>
        </w:rPr>
        <w:t xml:space="preserve"> </w:t>
      </w:r>
      <w:r w:rsidRPr="00A210AA">
        <w:rPr>
          <w:rFonts w:ascii="Arial" w:hAnsi="Arial"/>
          <w:b w:val="0"/>
          <w:sz w:val="22"/>
          <w:szCs w:val="22"/>
          <w:lang w:val="en-US"/>
        </w:rPr>
        <w:t xml:space="preserve">is given in </w:t>
      </w:r>
      <w:r w:rsidR="000B0CB7" w:rsidRPr="00F40A0C">
        <w:rPr>
          <w:rFonts w:ascii="Arial" w:hAnsi="Arial"/>
          <w:b w:val="0"/>
          <w:sz w:val="22"/>
          <w:szCs w:val="22"/>
          <w:lang w:val="en-US"/>
        </w:rPr>
        <w:fldChar w:fldCharType="begin"/>
      </w:r>
      <w:r w:rsidR="000B0CB7" w:rsidRPr="00F40A0C">
        <w:rPr>
          <w:rFonts w:ascii="Arial" w:hAnsi="Arial"/>
          <w:b w:val="0"/>
          <w:sz w:val="22"/>
          <w:szCs w:val="22"/>
          <w:lang w:val="en-US"/>
        </w:rPr>
        <w:instrText xml:space="preserve"> REF _Ref280717985 \h </w:instrText>
      </w:r>
      <w:r w:rsidR="000B0CB7" w:rsidRPr="00F40A0C">
        <w:rPr>
          <w:rFonts w:ascii="Arial" w:hAnsi="Arial"/>
          <w:b w:val="0"/>
          <w:sz w:val="22"/>
          <w:szCs w:val="22"/>
          <w:lang w:val="en-US"/>
        </w:rPr>
      </w:r>
      <w:r w:rsidR="000B0CB7" w:rsidRPr="00F40A0C">
        <w:rPr>
          <w:rFonts w:ascii="Arial" w:hAnsi="Arial"/>
          <w:b w:val="0"/>
          <w:sz w:val="22"/>
          <w:szCs w:val="22"/>
          <w:lang w:val="en-US"/>
        </w:rPr>
        <w:fldChar w:fldCharType="separate"/>
      </w:r>
      <w:r w:rsidR="00151A1C" w:rsidRPr="00DA203A">
        <w:rPr>
          <w:rFonts w:ascii="Arial" w:hAnsi="Arial"/>
          <w:sz w:val="22"/>
          <w:szCs w:val="22"/>
          <w:lang w:val="en-US"/>
        </w:rPr>
        <w:t xml:space="preserve">Table </w:t>
      </w:r>
      <w:r w:rsidR="00151A1C">
        <w:rPr>
          <w:rFonts w:ascii="Arial" w:hAnsi="Arial"/>
          <w:noProof/>
          <w:sz w:val="22"/>
          <w:szCs w:val="22"/>
          <w:lang w:val="en-US"/>
        </w:rPr>
        <w:t>5</w:t>
      </w:r>
      <w:r w:rsidR="000B0CB7" w:rsidRPr="00F40A0C">
        <w:rPr>
          <w:rFonts w:ascii="Arial" w:hAnsi="Arial"/>
          <w:b w:val="0"/>
          <w:sz w:val="22"/>
          <w:szCs w:val="22"/>
          <w:lang w:val="en-US"/>
        </w:rPr>
        <w:fldChar w:fldCharType="end"/>
      </w:r>
      <w:r w:rsidR="0058157A" w:rsidRPr="00F40A0C">
        <w:rPr>
          <w:rFonts w:ascii="Arial" w:hAnsi="Arial"/>
          <w:b w:val="0"/>
          <w:sz w:val="22"/>
          <w:szCs w:val="22"/>
          <w:lang w:val="en-US"/>
        </w:rPr>
        <w:t>.</w:t>
      </w:r>
      <w:r w:rsidR="00C4332F" w:rsidRPr="00F40A0C">
        <w:rPr>
          <w:rFonts w:ascii="Arial" w:hAnsi="Arial"/>
          <w:b w:val="0"/>
          <w:sz w:val="22"/>
          <w:szCs w:val="22"/>
          <w:lang w:val="en-US"/>
        </w:rPr>
        <w:t xml:space="preserve"> </w:t>
      </w:r>
    </w:p>
    <w:p w14:paraId="258BEEC6" w14:textId="77777777" w:rsidR="003937CA" w:rsidRPr="00DA203A" w:rsidRDefault="003937CA" w:rsidP="000B0CB7">
      <w:pPr>
        <w:pStyle w:val="Caption"/>
        <w:jc w:val="left"/>
        <w:rPr>
          <w:rFonts w:ascii="Arial" w:hAnsi="Arial"/>
          <w:sz w:val="22"/>
          <w:szCs w:val="22"/>
          <w:lang w:val="en-US"/>
        </w:rPr>
      </w:pPr>
      <w:bookmarkStart w:id="62" w:name="_Ref280717985"/>
      <w:r w:rsidRPr="00DA203A">
        <w:rPr>
          <w:rFonts w:ascii="Arial" w:hAnsi="Arial"/>
          <w:sz w:val="22"/>
          <w:szCs w:val="22"/>
          <w:lang w:val="en-US"/>
        </w:rPr>
        <w:t xml:space="preserve">Table </w:t>
      </w:r>
      <w:r w:rsidRPr="00DA203A">
        <w:rPr>
          <w:rFonts w:ascii="Arial" w:hAnsi="Arial"/>
          <w:sz w:val="22"/>
          <w:szCs w:val="22"/>
          <w:lang w:val="en-US"/>
        </w:rPr>
        <w:fldChar w:fldCharType="begin"/>
      </w:r>
      <w:r w:rsidRPr="00DA203A">
        <w:rPr>
          <w:rFonts w:ascii="Arial" w:hAnsi="Arial"/>
          <w:sz w:val="22"/>
          <w:szCs w:val="22"/>
          <w:lang w:val="en-US"/>
        </w:rPr>
        <w:instrText xml:space="preserve"> SEQ Table \* ARABIC </w:instrText>
      </w:r>
      <w:r w:rsidRPr="00DA203A">
        <w:rPr>
          <w:rFonts w:ascii="Arial" w:hAnsi="Arial"/>
          <w:sz w:val="22"/>
          <w:szCs w:val="22"/>
          <w:lang w:val="en-US"/>
        </w:rPr>
        <w:fldChar w:fldCharType="separate"/>
      </w:r>
      <w:r w:rsidR="00151A1C">
        <w:rPr>
          <w:rFonts w:ascii="Arial" w:hAnsi="Arial"/>
          <w:noProof/>
          <w:sz w:val="22"/>
          <w:szCs w:val="22"/>
          <w:lang w:val="en-US"/>
        </w:rPr>
        <w:t>5</w:t>
      </w:r>
      <w:r w:rsidRPr="00DA203A">
        <w:rPr>
          <w:rFonts w:ascii="Arial" w:hAnsi="Arial"/>
          <w:sz w:val="22"/>
          <w:szCs w:val="22"/>
          <w:lang w:val="en-US"/>
        </w:rPr>
        <w:fldChar w:fldCharType="end"/>
      </w:r>
      <w:bookmarkEnd w:id="60"/>
      <w:bookmarkEnd w:id="62"/>
      <w:r w:rsidRPr="00DA203A">
        <w:rPr>
          <w:rFonts w:ascii="Arial" w:hAnsi="Arial"/>
          <w:sz w:val="22"/>
          <w:szCs w:val="22"/>
          <w:lang w:val="en-US"/>
        </w:rPr>
        <w:t>: Description of primary and selected secondary outcome measures in ESTABLISH-1</w:t>
      </w:r>
      <w:bookmarkEnd w:id="61"/>
    </w:p>
    <w:tbl>
      <w:tblPr>
        <w:tblStyle w:val="Table-HERONplain"/>
        <w:tblW w:w="9067" w:type="dxa"/>
        <w:tblLook w:val="04A0" w:firstRow="1" w:lastRow="0" w:firstColumn="1" w:lastColumn="0" w:noHBand="0" w:noVBand="1"/>
      </w:tblPr>
      <w:tblGrid>
        <w:gridCol w:w="2965"/>
        <w:gridCol w:w="6102"/>
      </w:tblGrid>
      <w:tr w:rsidR="003937CA" w:rsidRPr="0044763C" w14:paraId="69B3C650" w14:textId="77777777" w:rsidTr="00AF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0453FB40"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Outcome</w:t>
            </w:r>
          </w:p>
        </w:tc>
        <w:tc>
          <w:tcPr>
            <w:tcW w:w="6102" w:type="dxa"/>
            <w:shd w:val="clear" w:color="auto" w:fill="auto"/>
            <w:vAlign w:val="top"/>
            <w:hideMark/>
          </w:tcPr>
          <w:p w14:paraId="24DA6725" w14:textId="77777777" w:rsidR="003937CA" w:rsidRPr="0044763C" w:rsidRDefault="003937CA" w:rsidP="00254CDB">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44763C">
              <w:rPr>
                <w:rFonts w:ascii="Arial" w:hAnsi="Arial"/>
                <w:sz w:val="20"/>
                <w:lang w:val="en-US" w:eastAsia="en-GB"/>
              </w:rPr>
              <w:t>Definition</w:t>
            </w:r>
          </w:p>
        </w:tc>
      </w:tr>
      <w:tr w:rsidR="003937CA" w:rsidRPr="0044763C" w14:paraId="17EB39F3" w14:textId="77777777" w:rsidTr="00AF2281">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uto"/>
            <w:vAlign w:val="top"/>
            <w:hideMark/>
          </w:tcPr>
          <w:p w14:paraId="30CBDD08"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 xml:space="preserve">Primary outcome measure: Early clinical response at the 48 Hour to 72 Hour Visit (ITT </w:t>
            </w:r>
            <w:r w:rsidRPr="0044763C">
              <w:rPr>
                <w:rFonts w:ascii="Arial" w:hAnsi="Arial"/>
                <w:sz w:val="20"/>
                <w:lang w:val="en-US"/>
              </w:rPr>
              <w:t>population</w:t>
            </w:r>
            <w:r w:rsidRPr="0044763C">
              <w:rPr>
                <w:rFonts w:ascii="Arial" w:hAnsi="Arial"/>
                <w:sz w:val="20"/>
                <w:lang w:val="en-US" w:eastAsia="en-GB"/>
              </w:rPr>
              <w:t>)</w:t>
            </w:r>
          </w:p>
        </w:tc>
      </w:tr>
      <w:tr w:rsidR="003937CA" w:rsidRPr="0044763C" w14:paraId="0197E51C"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361AE20A"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 xml:space="preserve">Lesion component </w:t>
            </w:r>
          </w:p>
        </w:tc>
        <w:tc>
          <w:tcPr>
            <w:tcW w:w="6102" w:type="dxa"/>
            <w:vAlign w:val="top"/>
            <w:hideMark/>
          </w:tcPr>
          <w:p w14:paraId="405E6D67" w14:textId="77777777" w:rsidR="003937CA" w:rsidRPr="0044763C" w:rsidRDefault="003937C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4763C">
              <w:rPr>
                <w:rFonts w:ascii="Arial" w:hAnsi="Arial"/>
                <w:sz w:val="20"/>
                <w:szCs w:val="20"/>
              </w:rPr>
              <w:t>No increase in erythema lesion area (length*width) of the primary ABSSSI lesion compared with baseline</w:t>
            </w:r>
          </w:p>
        </w:tc>
      </w:tr>
      <w:tr w:rsidR="003937CA" w:rsidRPr="0044763C" w14:paraId="18A22A10" w14:textId="77777777" w:rsidTr="00AF2281">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3B3D0ABC"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 xml:space="preserve">Temperature component </w:t>
            </w:r>
          </w:p>
        </w:tc>
        <w:tc>
          <w:tcPr>
            <w:tcW w:w="6102" w:type="dxa"/>
            <w:vAlign w:val="top"/>
            <w:hideMark/>
          </w:tcPr>
          <w:p w14:paraId="2FD1A48B"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Temperature ≤37.6°C at the time of visit as well at the next measurement taken within 24 hours of the 48-Hour to 72-Hour Visit</w:t>
            </w:r>
          </w:p>
        </w:tc>
      </w:tr>
      <w:tr w:rsidR="003937CA" w:rsidRPr="0044763C" w14:paraId="13401BD3"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uto"/>
            <w:vAlign w:val="top"/>
            <w:hideMark/>
          </w:tcPr>
          <w:p w14:paraId="203458D1"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Secondary outcome measures</w:t>
            </w:r>
          </w:p>
        </w:tc>
      </w:tr>
      <w:tr w:rsidR="003937CA" w:rsidRPr="0044763C" w14:paraId="56E4011A" w14:textId="77777777" w:rsidTr="00AF2281">
        <w:trPr>
          <w:trHeight w:val="1817"/>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1D783596"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lastRenderedPageBreak/>
              <w:t>Sustained clinical response at the EOT Visit in ITT population</w:t>
            </w:r>
          </w:p>
        </w:tc>
        <w:tc>
          <w:tcPr>
            <w:tcW w:w="6102" w:type="dxa"/>
            <w:vMerge w:val="restart"/>
            <w:vAlign w:val="top"/>
            <w:hideMark/>
          </w:tcPr>
          <w:p w14:paraId="27AC7D5B" w14:textId="77777777" w:rsidR="003937CA" w:rsidRPr="0044763C" w:rsidRDefault="003937CA" w:rsidP="00254CDB">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44763C">
              <w:rPr>
                <w:rFonts w:ascii="Arial" w:hAnsi="Arial"/>
                <w:sz w:val="20"/>
                <w:lang w:val="en-US" w:eastAsia="en-GB"/>
              </w:rPr>
              <w:t>Patients who were not defined as a clinical failure or an indeterminate were considered a clinical success</w:t>
            </w:r>
          </w:p>
          <w:p w14:paraId="1F51D8F0" w14:textId="77777777" w:rsidR="003937CA" w:rsidRPr="0044763C" w:rsidRDefault="003937CA" w:rsidP="00254CDB">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44763C">
              <w:rPr>
                <w:rFonts w:ascii="Arial" w:hAnsi="Arial"/>
                <w:sz w:val="20"/>
                <w:lang w:val="en-US" w:eastAsia="en-GB"/>
              </w:rPr>
              <w:t xml:space="preserve">Patients were defined </w:t>
            </w:r>
            <w:r w:rsidRPr="0044763C">
              <w:rPr>
                <w:rFonts w:ascii="Arial" w:hAnsi="Arial"/>
                <w:sz w:val="20"/>
                <w:lang w:val="en-US"/>
              </w:rPr>
              <w:t xml:space="preserve">as </w:t>
            </w:r>
            <w:r w:rsidRPr="0044763C">
              <w:rPr>
                <w:rFonts w:ascii="Arial" w:hAnsi="Arial"/>
                <w:sz w:val="20"/>
                <w:lang w:val="en-US" w:eastAsia="en-GB"/>
              </w:rPr>
              <w:t>a clinical failure if they met any of the following at EOT Visit:</w:t>
            </w:r>
          </w:p>
          <w:p w14:paraId="21FC309A" w14:textId="79A99F4D" w:rsidR="003937CA" w:rsidRPr="0044763C" w:rsidRDefault="00404F5E"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Presence of fever &gt;37.6°C</w:t>
            </w:r>
            <w:r w:rsidR="003937CA" w:rsidRPr="0044763C">
              <w:rPr>
                <w:rFonts w:ascii="Arial" w:hAnsi="Arial"/>
                <w:sz w:val="20"/>
                <w:szCs w:val="20"/>
              </w:rPr>
              <w:t>, with no cause other than the primary skin infection</w:t>
            </w:r>
          </w:p>
          <w:p w14:paraId="62E14D60"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No decrease from baseline in the size (area, length, and width) of the primary ABSSSI lesion</w:t>
            </w:r>
          </w:p>
          <w:p w14:paraId="78623603"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Clinician assessment of tenderness worse than mild</w:t>
            </w:r>
          </w:p>
          <w:p w14:paraId="6ABEFEA2"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Presence of patient reported pain</w:t>
            </w:r>
          </w:p>
          <w:p w14:paraId="3C3B7C45" w14:textId="77777777" w:rsidR="003937CA" w:rsidRPr="0044763C" w:rsidRDefault="003937CA" w:rsidP="00254CDB">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44763C">
              <w:rPr>
                <w:rFonts w:ascii="Arial" w:hAnsi="Arial"/>
                <w:sz w:val="20"/>
                <w:lang w:val="en-US" w:eastAsia="en-GB"/>
              </w:rPr>
              <w:t xml:space="preserve">Patients were defined </w:t>
            </w:r>
            <w:r w:rsidRPr="0044763C">
              <w:rPr>
                <w:rFonts w:ascii="Arial" w:hAnsi="Arial"/>
                <w:sz w:val="20"/>
                <w:lang w:val="en-US"/>
              </w:rPr>
              <w:t xml:space="preserve">as </w:t>
            </w:r>
            <w:r w:rsidRPr="0044763C">
              <w:rPr>
                <w:rFonts w:ascii="Arial" w:hAnsi="Arial"/>
                <w:sz w:val="20"/>
                <w:lang w:val="en-US" w:eastAsia="en-GB"/>
              </w:rPr>
              <w:t>a clinical failure if they met any of the following from the first infusion of study drug through the EOT Visit:</w:t>
            </w:r>
          </w:p>
          <w:p w14:paraId="511B40BA"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Receipt of any systemic concomitant antibiotic therapy that is potentially effective against the baseline pathogen with the exception of adjunctive aztreonam and/or metronidazole in patients with wound infections</w:t>
            </w:r>
          </w:p>
          <w:p w14:paraId="1D8EFB5C"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TEAE leading to discontinuation of study drug and patient required additional antibiotic therapy to treat the ABSSSI</w:t>
            </w:r>
          </w:p>
          <w:p w14:paraId="114DBF75"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 xml:space="preserve">Requires additional antibiotic therapy for treatment of the primary lesion </w:t>
            </w:r>
          </w:p>
          <w:p w14:paraId="6EB6A678"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 xml:space="preserve">Unplanned major surgical intervention required due to failure of study drug (i.e. amputation) </w:t>
            </w:r>
          </w:p>
          <w:p w14:paraId="701D47EC"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 xml:space="preserve">Developed osteomyelitis after baseline </w:t>
            </w:r>
          </w:p>
          <w:p w14:paraId="2E5D0C2A" w14:textId="5293C193"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 xml:space="preserve">For wounds and abscess: incision and drainage of the ABSSSI site not planned before </w:t>
            </w:r>
            <w:r w:rsidR="00803BD8">
              <w:rPr>
                <w:rFonts w:ascii="Arial" w:hAnsi="Arial"/>
                <w:sz w:val="20"/>
                <w:szCs w:val="20"/>
              </w:rPr>
              <w:t>randomisation</w:t>
            </w:r>
            <w:r w:rsidRPr="0044763C">
              <w:rPr>
                <w:rFonts w:ascii="Arial" w:hAnsi="Arial"/>
                <w:sz w:val="20"/>
                <w:szCs w:val="20"/>
              </w:rPr>
              <w:t xml:space="preserve"> and performed after Day 1 </w:t>
            </w:r>
          </w:p>
          <w:p w14:paraId="42A88298"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For cellulitis/erysipelas: incision and drainage of the ABSSSI site after the 48 Hour -72 Hour Visit</w:t>
            </w:r>
          </w:p>
          <w:p w14:paraId="55A6EB2B"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Death (all-cause mortality) within 28 days of the first dose of study drug</w:t>
            </w:r>
          </w:p>
          <w:p w14:paraId="7F98A450" w14:textId="77777777" w:rsidR="003937CA" w:rsidRPr="0044763C" w:rsidRDefault="003937CA" w:rsidP="00254CDB">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44763C">
              <w:rPr>
                <w:rFonts w:ascii="Arial" w:hAnsi="Arial"/>
                <w:sz w:val="20"/>
                <w:lang w:val="en-US" w:eastAsia="en-GB"/>
              </w:rPr>
              <w:t>Patients were defined as an indeterminate if they met any of the following:</w:t>
            </w:r>
          </w:p>
          <w:p w14:paraId="1DE48D25"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 xml:space="preserve">Osteomyelitis present at baseline </w:t>
            </w:r>
          </w:p>
          <w:p w14:paraId="6407967C"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Lost to follow-up prior to EOT (Day 11)</w:t>
            </w:r>
          </w:p>
          <w:p w14:paraId="12250F48"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For patients with cellulitis/erysipelas or major cutaneous abscess: Gram-negative organism isolated at baseline that required a different antibiotic therapy</w:t>
            </w:r>
          </w:p>
          <w:p w14:paraId="32C7F6C7"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lastRenderedPageBreak/>
              <w:t>For patients with wound infections: Gram-negative organism isolated at baseline that required a different antibiotic therapy other than aztreonam or metronidazole</w:t>
            </w:r>
          </w:p>
          <w:p w14:paraId="3C52FDEB"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Patient withdraws consent prior to the EOT Visit</w:t>
            </w:r>
          </w:p>
        </w:tc>
      </w:tr>
      <w:tr w:rsidR="003937CA" w:rsidRPr="0044763C" w14:paraId="160A2150" w14:textId="77777777" w:rsidTr="00AF2281">
        <w:trPr>
          <w:cnfStyle w:val="000000010000" w:firstRow="0" w:lastRow="0" w:firstColumn="0" w:lastColumn="0" w:oddVBand="0" w:evenVBand="0" w:oddHBand="0" w:evenHBand="1"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040B2F65"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Sustained clinical response at the EOT Visit in CE-EOT population</w:t>
            </w:r>
          </w:p>
        </w:tc>
        <w:tc>
          <w:tcPr>
            <w:tcW w:w="6102" w:type="dxa"/>
            <w:vMerge/>
            <w:vAlign w:val="top"/>
            <w:hideMark/>
          </w:tcPr>
          <w:p w14:paraId="3C25ED37" w14:textId="77777777" w:rsidR="003937CA" w:rsidRPr="0044763C" w:rsidRDefault="003937CA" w:rsidP="00254CDB">
            <w:pPr>
              <w:cnfStyle w:val="000000010000" w:firstRow="0" w:lastRow="0" w:firstColumn="0" w:lastColumn="0" w:oddVBand="0" w:evenVBand="0" w:oddHBand="0" w:evenHBand="1" w:firstRowFirstColumn="0" w:firstRowLastColumn="0" w:lastRowFirstColumn="0" w:lastRowLastColumn="0"/>
              <w:rPr>
                <w:color w:val="000000"/>
                <w:sz w:val="20"/>
                <w:lang w:val="en-US" w:eastAsia="en-GB"/>
              </w:rPr>
            </w:pPr>
          </w:p>
        </w:tc>
      </w:tr>
      <w:tr w:rsidR="003937CA" w:rsidRPr="0044763C" w14:paraId="49CF0CC8" w14:textId="77777777" w:rsidTr="00AF2281">
        <w:trPr>
          <w:trHeight w:val="962"/>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1DACB4BC"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lastRenderedPageBreak/>
              <w:t>Investigator’s assessment of clinical success at the PTE Visit in ITT population</w:t>
            </w:r>
          </w:p>
        </w:tc>
        <w:tc>
          <w:tcPr>
            <w:tcW w:w="6102" w:type="dxa"/>
            <w:vMerge w:val="restart"/>
            <w:vAlign w:val="top"/>
            <w:hideMark/>
          </w:tcPr>
          <w:p w14:paraId="059E4C65"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Patients were defined as a clinical success if they met the following three criteria:</w:t>
            </w:r>
          </w:p>
          <w:p w14:paraId="24E565BB" w14:textId="77777777" w:rsidR="003937CA" w:rsidRPr="0044763C" w:rsidRDefault="003937CA" w:rsidP="00C24317">
            <w:pPr>
              <w:pStyle w:val="TableBullet-H55"/>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Resolution or near resolution of most-disease specific signs and symptoms</w:t>
            </w:r>
          </w:p>
          <w:p w14:paraId="0F7C82C4" w14:textId="77777777" w:rsidR="003937CA" w:rsidRPr="0044763C" w:rsidRDefault="003937CA" w:rsidP="00C24317">
            <w:pPr>
              <w:pStyle w:val="TableBullet-H55"/>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Absence or near resolution of systemic signs of infection (lymphadenopathy, fever, &gt;10% immature neutrophils, abnormal WBC count), if present at baseline</w:t>
            </w:r>
          </w:p>
          <w:p w14:paraId="36B145C9" w14:textId="77777777" w:rsidR="003937CA" w:rsidRPr="0044763C" w:rsidRDefault="003937CA" w:rsidP="00C24317">
            <w:pPr>
              <w:pStyle w:val="TableBullet-H55"/>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No new signs, symptoms, or complications attributable to the ABSSSI so no further antibiotic therapy is required for the treatment of the primary lesion</w:t>
            </w:r>
          </w:p>
        </w:tc>
      </w:tr>
      <w:tr w:rsidR="003937CA" w:rsidRPr="0044763C" w14:paraId="77E084CD" w14:textId="77777777" w:rsidTr="00AF2281">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272A298D" w14:textId="77777777" w:rsidR="003937CA" w:rsidRPr="0044763C" w:rsidRDefault="003937CA" w:rsidP="00254CDB">
            <w:pPr>
              <w:pStyle w:val="TableBodyText-H54"/>
              <w:rPr>
                <w:rFonts w:ascii="Arial" w:hAnsi="Arial"/>
                <w:sz w:val="20"/>
                <w:lang w:val="en-US" w:eastAsia="en-GB"/>
              </w:rPr>
            </w:pPr>
            <w:r w:rsidRPr="0044763C">
              <w:rPr>
                <w:rFonts w:ascii="Arial" w:hAnsi="Arial"/>
                <w:sz w:val="20"/>
                <w:lang w:val="en-US" w:eastAsia="en-GB"/>
              </w:rPr>
              <w:t>Investigator’s assessment of clinical success at the PTE Visit in CE-PTE population</w:t>
            </w:r>
          </w:p>
        </w:tc>
        <w:tc>
          <w:tcPr>
            <w:tcW w:w="6102" w:type="dxa"/>
            <w:vMerge/>
            <w:vAlign w:val="top"/>
            <w:hideMark/>
          </w:tcPr>
          <w:p w14:paraId="1788D859" w14:textId="77777777" w:rsidR="003937CA" w:rsidRPr="0044763C" w:rsidRDefault="003937CA" w:rsidP="00254CDB">
            <w:pPr>
              <w:cnfStyle w:val="000000010000" w:firstRow="0" w:lastRow="0" w:firstColumn="0" w:lastColumn="0" w:oddVBand="0" w:evenVBand="0" w:oddHBand="0" w:evenHBand="1" w:firstRowFirstColumn="0" w:firstRowLastColumn="0" w:lastRowFirstColumn="0" w:lastRowLastColumn="0"/>
              <w:rPr>
                <w:color w:val="000000"/>
                <w:sz w:val="20"/>
                <w:lang w:val="en-US" w:eastAsia="en-GB"/>
              </w:rPr>
            </w:pPr>
          </w:p>
        </w:tc>
      </w:tr>
      <w:tr w:rsidR="003937CA" w:rsidRPr="0044763C" w14:paraId="57CA167E" w14:textId="77777777" w:rsidTr="00AF2281">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7B53AEB2" w14:textId="77777777" w:rsidR="003937CA" w:rsidRPr="0044763C" w:rsidRDefault="003937CA" w:rsidP="00254CDB">
            <w:pPr>
              <w:pStyle w:val="TableBodyText-H54"/>
              <w:rPr>
                <w:rFonts w:ascii="Arial" w:hAnsi="Arial"/>
                <w:sz w:val="20"/>
                <w:lang w:val="en-US" w:eastAsia="en-GB"/>
              </w:rPr>
            </w:pPr>
            <w:r w:rsidRPr="0044763C">
              <w:rPr>
                <w:rFonts w:ascii="Arial" w:eastAsia="TimesNewRoman" w:hAnsi="Arial"/>
                <w:sz w:val="20"/>
                <w:lang w:val="en-US" w:eastAsia="en-GB"/>
              </w:rPr>
              <w:t>Investigator’s assessment of clinical response at the 48-Hour to 72-Hour Visit and Day 7 Visits</w:t>
            </w:r>
          </w:p>
        </w:tc>
        <w:tc>
          <w:tcPr>
            <w:tcW w:w="6102" w:type="dxa"/>
            <w:vAlign w:val="top"/>
            <w:hideMark/>
          </w:tcPr>
          <w:p w14:paraId="5461D72D" w14:textId="77777777" w:rsidR="003937CA" w:rsidRPr="0044763C" w:rsidRDefault="003937CA" w:rsidP="00254CDB">
            <w:pPr>
              <w:pStyle w:val="TableHeading-H56"/>
              <w:cnfStyle w:val="000000000000" w:firstRow="0" w:lastRow="0" w:firstColumn="0" w:lastColumn="0" w:oddVBand="0" w:evenVBand="0" w:oddHBand="0" w:evenHBand="0" w:firstRowFirstColumn="0" w:firstRowLastColumn="0" w:lastRowFirstColumn="0" w:lastRowLastColumn="0"/>
              <w:rPr>
                <w:rFonts w:ascii="Arial" w:hAnsi="Arial"/>
                <w:sz w:val="20"/>
                <w:szCs w:val="20"/>
                <w:lang w:val="en-US" w:eastAsia="en-GB"/>
              </w:rPr>
            </w:pPr>
            <w:r w:rsidRPr="0044763C">
              <w:rPr>
                <w:rFonts w:ascii="Arial" w:hAnsi="Arial"/>
                <w:sz w:val="20"/>
                <w:szCs w:val="20"/>
                <w:lang w:val="en-US" w:eastAsia="en-GB"/>
              </w:rPr>
              <w:t>48-Hour Visit to 72-Hour Visit:</w:t>
            </w:r>
          </w:p>
          <w:p w14:paraId="4888C492"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eastAsia="TimesNewRoman" w:hAnsi="Arial"/>
                <w:sz w:val="20"/>
                <w:szCs w:val="20"/>
              </w:rPr>
            </w:pPr>
            <w:r w:rsidRPr="0044763C">
              <w:rPr>
                <w:rFonts w:ascii="Arial" w:hAnsi="Arial"/>
                <w:sz w:val="20"/>
                <w:szCs w:val="20"/>
              </w:rPr>
              <w:t xml:space="preserve">Improving - improvement in </w:t>
            </w:r>
            <w:r w:rsidRPr="0044763C">
              <w:rPr>
                <w:rFonts w:ascii="Arial" w:eastAsia="TimesNewRoman" w:hAnsi="Arial"/>
                <w:sz w:val="20"/>
                <w:szCs w:val="20"/>
              </w:rPr>
              <w:t>overall clinical status of ABSSSI compatible with continuation of study drug therapy</w:t>
            </w:r>
          </w:p>
          <w:p w14:paraId="41E9EC1B"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eastAsia="TimesNewRoman" w:hAnsi="Arial"/>
                <w:sz w:val="20"/>
                <w:szCs w:val="20"/>
              </w:rPr>
            </w:pPr>
            <w:r w:rsidRPr="0044763C">
              <w:rPr>
                <w:rFonts w:ascii="Arial" w:eastAsia="TimesNewRoman" w:hAnsi="Arial"/>
                <w:sz w:val="20"/>
                <w:szCs w:val="20"/>
              </w:rPr>
              <w:t xml:space="preserve">Stable - signs and symptoms stable, no apparent change in overall clinical status but compatible with continuation of study drug therapy </w:t>
            </w:r>
          </w:p>
          <w:p w14:paraId="4613A432" w14:textId="77777777" w:rsidR="003937CA" w:rsidRPr="0044763C" w:rsidRDefault="003937CA" w:rsidP="00254CDB">
            <w:pPr>
              <w:pStyle w:val="TableHeading-H56"/>
              <w:cnfStyle w:val="000000000000" w:firstRow="0" w:lastRow="0" w:firstColumn="0" w:lastColumn="0" w:oddVBand="0" w:evenVBand="0" w:oddHBand="0" w:evenHBand="0" w:firstRowFirstColumn="0" w:firstRowLastColumn="0" w:lastRowFirstColumn="0" w:lastRowLastColumn="0"/>
              <w:rPr>
                <w:rFonts w:ascii="Arial" w:hAnsi="Arial"/>
                <w:sz w:val="20"/>
                <w:szCs w:val="20"/>
                <w:lang w:val="en-US" w:eastAsia="en-GB"/>
              </w:rPr>
            </w:pPr>
            <w:r w:rsidRPr="0044763C">
              <w:rPr>
                <w:rFonts w:ascii="Arial" w:hAnsi="Arial"/>
                <w:sz w:val="20"/>
                <w:szCs w:val="20"/>
                <w:lang w:val="en-US" w:eastAsia="en-GB"/>
              </w:rPr>
              <w:t>Day 7 Visit:</w:t>
            </w:r>
          </w:p>
          <w:p w14:paraId="7A8EEA94" w14:textId="77777777" w:rsidR="003937CA" w:rsidRPr="0044763C" w:rsidRDefault="003937C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4763C">
              <w:rPr>
                <w:rFonts w:ascii="Arial" w:hAnsi="Arial"/>
                <w:sz w:val="20"/>
                <w:szCs w:val="20"/>
              </w:rPr>
              <w:t>Improving - improvement in overall clinical status of ABSSSI compatible with continuation of study drug therapy</w:t>
            </w:r>
          </w:p>
        </w:tc>
      </w:tr>
      <w:tr w:rsidR="003937CA" w:rsidRPr="0044763C" w14:paraId="166646A8"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vAlign w:val="top"/>
            <w:hideMark/>
          </w:tcPr>
          <w:p w14:paraId="7ECDBACF" w14:textId="77777777" w:rsidR="003937CA" w:rsidRPr="0044763C" w:rsidRDefault="003937CA" w:rsidP="00254CDB">
            <w:pPr>
              <w:pStyle w:val="TableBodyText-H54"/>
              <w:rPr>
                <w:rFonts w:ascii="Arial" w:eastAsia="TimesNewRoman" w:hAnsi="Arial"/>
                <w:sz w:val="20"/>
                <w:lang w:val="en-US" w:eastAsia="en-GB"/>
              </w:rPr>
            </w:pPr>
            <w:r w:rsidRPr="0044763C">
              <w:rPr>
                <w:rFonts w:ascii="Arial" w:eastAsia="TimesNewRoman" w:hAnsi="Arial"/>
                <w:sz w:val="20"/>
                <w:lang w:val="en-US" w:eastAsia="en-GB"/>
              </w:rPr>
              <w:t>Change from baseline in the pain scores at each time point</w:t>
            </w:r>
          </w:p>
        </w:tc>
        <w:tc>
          <w:tcPr>
            <w:tcW w:w="6102" w:type="dxa"/>
            <w:vAlign w:val="top"/>
            <w:hideMark/>
          </w:tcPr>
          <w:p w14:paraId="35848BA4" w14:textId="77777777" w:rsidR="003937CA" w:rsidRPr="0044763C" w:rsidRDefault="003937C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4763C">
              <w:rPr>
                <w:rFonts w:ascii="Arial" w:hAnsi="Arial"/>
                <w:sz w:val="20"/>
                <w:szCs w:val="20"/>
              </w:rPr>
              <w:t>Assessed using VAS and FRS</w:t>
            </w:r>
          </w:p>
          <w:p w14:paraId="38EDD08B" w14:textId="111B3EE1" w:rsidR="003937CA" w:rsidRPr="0044763C" w:rsidRDefault="002E314E" w:rsidP="00254CDB">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Pr>
                <w:rFonts w:ascii="Arial" w:hAnsi="Arial"/>
                <w:sz w:val="20"/>
                <w:szCs w:val="20"/>
              </w:rPr>
              <w:t>Pain categoris</w:t>
            </w:r>
            <w:r w:rsidR="003937CA" w:rsidRPr="0044763C">
              <w:rPr>
                <w:rFonts w:ascii="Arial" w:hAnsi="Arial"/>
                <w:sz w:val="20"/>
                <w:szCs w:val="20"/>
              </w:rPr>
              <w:t>ed as absent (</w:t>
            </w:r>
            <w:r w:rsidR="003937CA" w:rsidRPr="0044763C">
              <w:rPr>
                <w:rFonts w:ascii="Arial" w:eastAsia="TimesNewRoman" w:hAnsi="Arial"/>
                <w:sz w:val="20"/>
                <w:szCs w:val="20"/>
              </w:rPr>
              <w:t>no pain with functional limitation or requiring pain management</w:t>
            </w:r>
            <w:r w:rsidR="003937CA" w:rsidRPr="0044763C">
              <w:rPr>
                <w:rFonts w:ascii="Arial" w:hAnsi="Arial"/>
                <w:sz w:val="20"/>
                <w:szCs w:val="20"/>
              </w:rPr>
              <w:t>) or present (</w:t>
            </w:r>
            <w:r w:rsidR="003937CA" w:rsidRPr="0044763C">
              <w:rPr>
                <w:rFonts w:ascii="Arial" w:eastAsia="TimesNewRoman" w:hAnsi="Arial"/>
                <w:sz w:val="20"/>
                <w:szCs w:val="20"/>
              </w:rPr>
              <w:t>pain with functional limitation or requiring pain management</w:t>
            </w:r>
            <w:r w:rsidR="003937CA" w:rsidRPr="0044763C">
              <w:rPr>
                <w:rFonts w:ascii="Arial" w:hAnsi="Arial"/>
                <w:sz w:val="20"/>
                <w:szCs w:val="20"/>
              </w:rPr>
              <w:t>)</w:t>
            </w:r>
          </w:p>
        </w:tc>
      </w:tr>
    </w:tbl>
    <w:p w14:paraId="6CB14C8E" w14:textId="34867B3D" w:rsidR="003937CA" w:rsidRPr="004A7F94" w:rsidRDefault="003937CA" w:rsidP="004A7F94">
      <w:pPr>
        <w:pStyle w:val="TableNote-H58"/>
        <w:spacing w:before="0" w:after="0"/>
        <w:rPr>
          <w:rStyle w:val="CommentReference"/>
          <w:rFonts w:ascii="Arial" w:eastAsiaTheme="majorEastAsia" w:hAnsi="Arial"/>
          <w:sz w:val="16"/>
          <w:szCs w:val="16"/>
          <w:lang w:val="en-US"/>
        </w:rPr>
      </w:pPr>
      <w:r w:rsidRPr="004A7F94">
        <w:rPr>
          <w:rStyle w:val="CommentReference"/>
          <w:rFonts w:ascii="Arial" w:eastAsiaTheme="majorEastAsia" w:hAnsi="Arial"/>
          <w:sz w:val="16"/>
          <w:szCs w:val="16"/>
          <w:lang w:val="en-US"/>
        </w:rPr>
        <w:t xml:space="preserve">SOURCE: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4A7F94">
        <w:rPr>
          <w:rFonts w:ascii="Arial" w:hAnsi="Arial"/>
          <w:sz w:val="16"/>
          <w:szCs w:val="16"/>
          <w:lang w:val="en-US"/>
        </w:rPr>
        <w:t xml:space="preserve"> section 9.5.3.1</w:t>
      </w:r>
      <w:r w:rsidRPr="004A7F94">
        <w:rPr>
          <w:rStyle w:val="CommentReference"/>
          <w:rFonts w:ascii="Arial" w:eastAsiaTheme="majorEastAsia" w:hAnsi="Arial"/>
          <w:sz w:val="16"/>
          <w:szCs w:val="16"/>
          <w:lang w:val="en-US"/>
        </w:rPr>
        <w:t xml:space="preserve"> </w:t>
      </w:r>
    </w:p>
    <w:p w14:paraId="68D2E642" w14:textId="77777777" w:rsidR="003937CA" w:rsidRPr="004A7F94" w:rsidRDefault="003937CA" w:rsidP="004A7F94">
      <w:pPr>
        <w:pStyle w:val="TableNote-H58"/>
        <w:spacing w:before="0" w:after="0"/>
        <w:rPr>
          <w:rStyle w:val="CommentReference"/>
          <w:rFonts w:ascii="Arial" w:hAnsi="Arial"/>
          <w:sz w:val="16"/>
          <w:szCs w:val="16"/>
          <w:lang w:val="en-US"/>
        </w:rPr>
      </w:pPr>
      <w:r w:rsidRPr="004A7F94">
        <w:rPr>
          <w:rFonts w:ascii="Arial" w:hAnsi="Arial"/>
          <w:sz w:val="16"/>
          <w:szCs w:val="16"/>
          <w:lang w:val="en-US"/>
        </w:rPr>
        <w:t>Note: PTE visit occurs 7 days - 14 days after the EOT; LFU visit occurs 18 days - 25 days after the EOT visit</w:t>
      </w:r>
    </w:p>
    <w:p w14:paraId="41F0EECD" w14:textId="45D679B5" w:rsidR="007908DF" w:rsidRDefault="003937CA" w:rsidP="004A7F94">
      <w:pPr>
        <w:pStyle w:val="TableNote-H58"/>
        <w:spacing w:before="0" w:after="0"/>
        <w:rPr>
          <w:rStyle w:val="CommentReference"/>
          <w:rFonts w:ascii="Arial" w:eastAsiaTheme="majorEastAsia" w:hAnsi="Arial"/>
          <w:sz w:val="16"/>
          <w:szCs w:val="16"/>
          <w:lang w:val="en-US"/>
        </w:rPr>
      </w:pPr>
      <w:r w:rsidRPr="004A7F94">
        <w:rPr>
          <w:rStyle w:val="CommentReference"/>
          <w:rFonts w:ascii="Arial" w:eastAsiaTheme="majorEastAsia" w:hAnsi="Arial"/>
          <w:sz w:val="16"/>
          <w:szCs w:val="16"/>
          <w:lang w:val="en-US"/>
        </w:rPr>
        <w:t>ABSSSI: Acute bacterial skin and skin structure infection; CE-EOT: Clinically evaluable at end of therapy; CE-PTE: Clinically evaluable at post-therapy evaluation; EOT: End of therapy; FRS: Faces rating scale; ITT: Intent-to-treat; LFU: Late follow-up; PTE: Post-therapy evaluation; TEAE: Treatment-emergent adverse event; VAS: Visual analogue scale; WBC: White blood cell</w:t>
      </w:r>
    </w:p>
    <w:p w14:paraId="03AC9824" w14:textId="77777777" w:rsidR="004A7F94" w:rsidRPr="004A7F94" w:rsidRDefault="004A7F94" w:rsidP="004A7F94">
      <w:pPr>
        <w:pStyle w:val="TableNote-H58"/>
        <w:spacing w:before="0" w:after="0"/>
        <w:rPr>
          <w:rFonts w:ascii="Arial" w:eastAsiaTheme="majorEastAsia" w:hAnsi="Arial"/>
          <w:sz w:val="16"/>
          <w:szCs w:val="16"/>
          <w:lang w:val="en-US"/>
        </w:rPr>
      </w:pPr>
    </w:p>
    <w:p w14:paraId="4895D563" w14:textId="333C94C7" w:rsidR="003937CA" w:rsidRPr="002E314E" w:rsidRDefault="003937CA" w:rsidP="00C24317">
      <w:pPr>
        <w:pStyle w:val="ListParagraph"/>
        <w:numPr>
          <w:ilvl w:val="0"/>
          <w:numId w:val="36"/>
        </w:numPr>
        <w:autoSpaceDE w:val="0"/>
        <w:autoSpaceDN w:val="0"/>
        <w:adjustRightInd w:val="0"/>
        <w:ind w:left="426" w:hanging="426"/>
        <w:rPr>
          <w:rFonts w:eastAsia="Shaker2Lancet-Bold" w:cs="Arial"/>
          <w:b/>
          <w:bCs/>
          <w:sz w:val="22"/>
          <w:szCs w:val="22"/>
          <w:lang w:eastAsia="ja-JP"/>
        </w:rPr>
      </w:pPr>
      <w:r w:rsidRPr="002E314E">
        <w:rPr>
          <w:rFonts w:eastAsia="Shaker2Lancet-Bold" w:cs="Arial"/>
          <w:b/>
          <w:bCs/>
          <w:sz w:val="22"/>
          <w:szCs w:val="22"/>
          <w:lang w:eastAsia="ja-JP"/>
        </w:rPr>
        <w:lastRenderedPageBreak/>
        <w:t xml:space="preserve">Other </w:t>
      </w:r>
      <w:r w:rsidR="0044763C" w:rsidRPr="002E314E">
        <w:rPr>
          <w:rFonts w:eastAsia="Shaker2Lancet-Bold" w:cs="Arial"/>
          <w:b/>
          <w:bCs/>
          <w:sz w:val="22"/>
          <w:szCs w:val="22"/>
          <w:lang w:eastAsia="ja-JP"/>
        </w:rPr>
        <w:t>outcomes</w:t>
      </w:r>
      <w:r w:rsidR="0074118E" w:rsidRPr="002E314E">
        <w:rPr>
          <w:rFonts w:eastAsia="Shaker2Lancet-Bold" w:cs="Arial"/>
          <w:b/>
          <w:bCs/>
          <w:sz w:val="22"/>
          <w:szCs w:val="22"/>
          <w:lang w:eastAsia="ja-JP"/>
        </w:rPr>
        <w:t xml:space="preserve">: </w:t>
      </w:r>
      <w:r w:rsidRPr="002E314E">
        <w:rPr>
          <w:rFonts w:eastAsia="Arial Unicode MS"/>
          <w:sz w:val="22"/>
          <w:szCs w:val="22"/>
          <w:lang w:val="en-US"/>
        </w:rPr>
        <w:t>Additional endpoints include</w:t>
      </w:r>
      <w:r w:rsidR="0044763C" w:rsidRPr="002E314E">
        <w:rPr>
          <w:rFonts w:eastAsia="Arial Unicode MS"/>
          <w:sz w:val="22"/>
          <w:szCs w:val="22"/>
          <w:lang w:val="en-US"/>
        </w:rPr>
        <w:t>d</w:t>
      </w:r>
      <w:r w:rsidRPr="002E314E">
        <w:rPr>
          <w:rFonts w:eastAsia="Arial Unicode MS"/>
          <w:sz w:val="22"/>
          <w:szCs w:val="22"/>
          <w:lang w:val="en-US"/>
        </w:rPr>
        <w:t xml:space="preserve">: </w:t>
      </w:r>
    </w:p>
    <w:p w14:paraId="16EB8294" w14:textId="0DC96636" w:rsidR="003937CA" w:rsidRPr="002E314E" w:rsidRDefault="003937CA" w:rsidP="00EC7247">
      <w:pPr>
        <w:pStyle w:val="ListBullet-H41"/>
        <w:spacing w:before="0" w:after="0"/>
        <w:ind w:left="851" w:hanging="426"/>
        <w:jc w:val="left"/>
        <w:rPr>
          <w:rFonts w:ascii="Arial" w:hAnsi="Arial"/>
          <w:sz w:val="22"/>
          <w:szCs w:val="22"/>
          <w:lang w:val="en-US"/>
        </w:rPr>
      </w:pPr>
      <w:r w:rsidRPr="002E314E">
        <w:rPr>
          <w:rFonts w:ascii="Arial" w:eastAsia="Arial Unicode MS" w:hAnsi="Arial"/>
          <w:sz w:val="22"/>
          <w:szCs w:val="22"/>
          <w:lang w:val="en-US"/>
        </w:rPr>
        <w:t xml:space="preserve">Proportion of patients with sustained clinical success at the </w:t>
      </w:r>
      <w:r w:rsidR="004A7F94" w:rsidRPr="002E314E">
        <w:rPr>
          <w:rFonts w:ascii="Arial" w:eastAsia="Arial Unicode MS" w:hAnsi="Arial"/>
          <w:sz w:val="22"/>
          <w:szCs w:val="22"/>
          <w:lang w:val="en-US"/>
        </w:rPr>
        <w:t>Late Follow-Up (</w:t>
      </w:r>
      <w:r w:rsidRPr="002E314E">
        <w:rPr>
          <w:rFonts w:ascii="Arial" w:eastAsia="Arial Unicode MS" w:hAnsi="Arial"/>
          <w:sz w:val="22"/>
          <w:szCs w:val="22"/>
          <w:lang w:val="en-US"/>
        </w:rPr>
        <w:t>LFU</w:t>
      </w:r>
      <w:r w:rsidR="004A7F94" w:rsidRPr="002E314E">
        <w:rPr>
          <w:rFonts w:ascii="Arial" w:eastAsia="Arial Unicode MS" w:hAnsi="Arial"/>
          <w:sz w:val="22"/>
          <w:szCs w:val="22"/>
          <w:lang w:val="en-US"/>
        </w:rPr>
        <w:t xml:space="preserve">) </w:t>
      </w:r>
      <w:r w:rsidRPr="002E314E">
        <w:rPr>
          <w:rFonts w:ascii="Arial" w:eastAsia="Arial Unicode MS" w:hAnsi="Arial"/>
          <w:sz w:val="22"/>
          <w:szCs w:val="22"/>
          <w:lang w:val="en-US"/>
        </w:rPr>
        <w:t>(18 days - 25 days after the EOT visit) phase</w:t>
      </w:r>
      <w:r w:rsidR="004A7F94" w:rsidRPr="002E314E">
        <w:rPr>
          <w:rFonts w:ascii="Arial" w:eastAsia="Arial Unicode MS" w:hAnsi="Arial"/>
          <w:sz w:val="22"/>
          <w:szCs w:val="22"/>
          <w:lang w:val="en-US"/>
        </w:rPr>
        <w:t>,</w:t>
      </w:r>
      <w:r w:rsidRPr="002E314E">
        <w:rPr>
          <w:rFonts w:ascii="Arial" w:eastAsia="Arial Unicode MS" w:hAnsi="Arial"/>
          <w:sz w:val="22"/>
          <w:szCs w:val="22"/>
          <w:lang w:val="en-US"/>
        </w:rPr>
        <w:t xml:space="preserve"> after having previously </w:t>
      </w:r>
      <w:r w:rsidRPr="002E314E">
        <w:rPr>
          <w:rFonts w:ascii="Arial" w:hAnsi="Arial"/>
          <w:sz w:val="22"/>
          <w:szCs w:val="22"/>
          <w:lang w:val="en-US"/>
        </w:rPr>
        <w:t>achieved Investigator's assessment of clinical success at the PTE visit in the CE-PTE population</w:t>
      </w:r>
    </w:p>
    <w:p w14:paraId="63FD365D" w14:textId="77777777" w:rsidR="003937CA" w:rsidRPr="002E314E" w:rsidRDefault="003937CA" w:rsidP="00EC7247">
      <w:pPr>
        <w:pStyle w:val="ListBullet-H41"/>
        <w:spacing w:before="0" w:after="0"/>
        <w:ind w:left="851" w:hanging="426"/>
        <w:jc w:val="left"/>
        <w:rPr>
          <w:rFonts w:ascii="Arial" w:hAnsi="Arial"/>
          <w:sz w:val="22"/>
          <w:szCs w:val="22"/>
          <w:lang w:val="en-US"/>
        </w:rPr>
      </w:pPr>
      <w:r w:rsidRPr="002E314E">
        <w:rPr>
          <w:rFonts w:ascii="Arial" w:hAnsi="Arial"/>
          <w:sz w:val="22"/>
          <w:szCs w:val="22"/>
          <w:lang w:val="en-US"/>
        </w:rPr>
        <w:t>Proportion of patients who achieved early clinical response at the 48-Hour to 72-Hour Visit and who subsequently achieved clinical success at the PTE Visit in the ITT population</w:t>
      </w:r>
    </w:p>
    <w:p w14:paraId="71685618" w14:textId="6B12F9C3" w:rsidR="006E484B" w:rsidRPr="002E314E" w:rsidRDefault="003937CA" w:rsidP="00EC7247">
      <w:pPr>
        <w:pStyle w:val="ListBullet-H41"/>
        <w:spacing w:before="0" w:after="0"/>
        <w:ind w:left="851" w:hanging="426"/>
        <w:jc w:val="left"/>
        <w:rPr>
          <w:rFonts w:ascii="Arial" w:hAnsi="Arial"/>
          <w:sz w:val="22"/>
          <w:szCs w:val="22"/>
          <w:lang w:val="en-US"/>
        </w:rPr>
      </w:pPr>
      <w:r w:rsidRPr="002E314E">
        <w:rPr>
          <w:rFonts w:ascii="Arial" w:hAnsi="Arial"/>
          <w:sz w:val="22"/>
          <w:szCs w:val="22"/>
          <w:lang w:val="en-US"/>
        </w:rPr>
        <w:t>Investigator assessment of clinical success by baseline pathogen</w:t>
      </w:r>
      <w:r w:rsidRPr="002E314E">
        <w:rPr>
          <w:rFonts w:ascii="Arial" w:eastAsia="Arial Unicode MS" w:hAnsi="Arial"/>
          <w:sz w:val="22"/>
          <w:szCs w:val="22"/>
          <w:lang w:val="en-US"/>
        </w:rPr>
        <w:t xml:space="preserve"> at the PTE Visit in the MITT </w:t>
      </w:r>
      <w:r w:rsidRPr="002E314E">
        <w:rPr>
          <w:rFonts w:ascii="Arial" w:hAnsi="Arial"/>
          <w:sz w:val="22"/>
          <w:szCs w:val="22"/>
          <w:lang w:val="en-US"/>
        </w:rPr>
        <w:t>population</w:t>
      </w:r>
      <w:r w:rsidR="000A50ED" w:rsidRPr="002E314E">
        <w:rPr>
          <w:rFonts w:ascii="Arial" w:hAnsi="Arial"/>
          <w:sz w:val="22"/>
          <w:szCs w:val="22"/>
          <w:lang w:val="en-US"/>
        </w:rPr>
        <w:t>.</w:t>
      </w:r>
    </w:p>
    <w:p w14:paraId="68D3A498" w14:textId="77777777" w:rsidR="006E484B" w:rsidRPr="002E314E" w:rsidRDefault="006E484B" w:rsidP="008E4E92">
      <w:pPr>
        <w:autoSpaceDE w:val="0"/>
        <w:autoSpaceDN w:val="0"/>
        <w:adjustRightInd w:val="0"/>
        <w:rPr>
          <w:rFonts w:cs="Arial"/>
          <w:sz w:val="22"/>
          <w:szCs w:val="22"/>
          <w:lang w:eastAsia="ja-JP"/>
        </w:rPr>
      </w:pPr>
    </w:p>
    <w:p w14:paraId="1AE10F75" w14:textId="67DF8C06" w:rsidR="00E06428" w:rsidRPr="00E06428" w:rsidRDefault="002E314E" w:rsidP="00A21E46">
      <w:pPr>
        <w:autoSpaceDE w:val="0"/>
        <w:autoSpaceDN w:val="0"/>
        <w:adjustRightInd w:val="0"/>
        <w:rPr>
          <w:rFonts w:cs="Arial"/>
          <w:b/>
          <w:bCs/>
          <w:sz w:val="22"/>
          <w:szCs w:val="22"/>
          <w:lang w:eastAsia="ja-JP"/>
        </w:rPr>
      </w:pPr>
      <w:r>
        <w:rPr>
          <w:rFonts w:cs="Arial"/>
          <w:b/>
          <w:bCs/>
          <w:sz w:val="22"/>
          <w:szCs w:val="22"/>
          <w:lang w:eastAsia="ja-JP"/>
        </w:rPr>
        <w:t>3.3</w:t>
      </w:r>
      <w:r w:rsidR="00165ED7" w:rsidRPr="002E314E">
        <w:rPr>
          <w:rFonts w:cs="Arial"/>
          <w:b/>
          <w:bCs/>
          <w:sz w:val="22"/>
          <w:szCs w:val="22"/>
          <w:lang w:eastAsia="ja-JP"/>
        </w:rPr>
        <w:t>.8</w:t>
      </w:r>
      <w:r w:rsidR="00165ED7" w:rsidRPr="002E314E">
        <w:rPr>
          <w:rFonts w:cs="Arial"/>
          <w:b/>
          <w:bCs/>
          <w:sz w:val="22"/>
          <w:szCs w:val="22"/>
          <w:lang w:eastAsia="ja-JP"/>
        </w:rPr>
        <w:tab/>
      </w:r>
      <w:r w:rsidR="00325673" w:rsidRPr="002E314E">
        <w:rPr>
          <w:rFonts w:cs="Arial"/>
          <w:b/>
          <w:bCs/>
          <w:sz w:val="22"/>
          <w:szCs w:val="22"/>
          <w:lang w:eastAsia="ja-JP"/>
        </w:rPr>
        <w:t>Population included</w:t>
      </w:r>
      <w:r w:rsidR="00165ED7" w:rsidRPr="002E314E">
        <w:rPr>
          <w:rFonts w:cs="Arial"/>
          <w:b/>
          <w:bCs/>
          <w:sz w:val="22"/>
          <w:szCs w:val="22"/>
          <w:lang w:eastAsia="ja-JP"/>
        </w:rPr>
        <w:t xml:space="preserve"> in primary analysis of primary outcome</w:t>
      </w:r>
      <w:r w:rsidR="0058157A" w:rsidRPr="002E314E">
        <w:rPr>
          <w:rFonts w:cs="Arial"/>
          <w:b/>
          <w:bCs/>
          <w:sz w:val="22"/>
          <w:szCs w:val="22"/>
          <w:lang w:eastAsia="ja-JP"/>
        </w:rPr>
        <w:t>:</w:t>
      </w:r>
      <w:r w:rsidR="00165ED7" w:rsidRPr="002E314E">
        <w:rPr>
          <w:rFonts w:cs="Arial"/>
          <w:b/>
          <w:bCs/>
          <w:sz w:val="22"/>
          <w:szCs w:val="22"/>
          <w:lang w:eastAsia="ja-JP"/>
        </w:rPr>
        <w:t xml:space="preserve"> </w:t>
      </w:r>
      <w:r w:rsidR="006D303A" w:rsidRPr="002E314E">
        <w:rPr>
          <w:rFonts w:eastAsia="ScalaLancetPro-Bold" w:cs="Arial"/>
          <w:bCs/>
          <w:sz w:val="22"/>
          <w:szCs w:val="22"/>
          <w:lang w:eastAsia="ja-JP"/>
        </w:rPr>
        <w:t>The primary analysis of the primar</w:t>
      </w:r>
      <w:r w:rsidR="00D77663" w:rsidRPr="002E314E">
        <w:rPr>
          <w:rFonts w:eastAsia="ScalaLancetPro-Bold" w:cs="Arial"/>
          <w:bCs/>
          <w:sz w:val="22"/>
          <w:szCs w:val="22"/>
          <w:lang w:eastAsia="ja-JP"/>
        </w:rPr>
        <w:t>y outcome was carried out on the</w:t>
      </w:r>
      <w:r w:rsidR="006D303A" w:rsidRPr="002E314E">
        <w:rPr>
          <w:rFonts w:eastAsia="ScalaLancetPro-Bold" w:cs="Arial"/>
          <w:bCs/>
          <w:sz w:val="22"/>
          <w:szCs w:val="22"/>
          <w:lang w:eastAsia="ja-JP"/>
        </w:rPr>
        <w:t xml:space="preserve"> </w:t>
      </w:r>
      <w:r w:rsidR="0058157A" w:rsidRPr="002E314E">
        <w:rPr>
          <w:rFonts w:eastAsia="ScalaLancetPro-Bold" w:cs="Arial"/>
          <w:bCs/>
          <w:sz w:val="22"/>
          <w:szCs w:val="22"/>
          <w:lang w:eastAsia="ja-JP"/>
        </w:rPr>
        <w:t>ITT</w:t>
      </w:r>
      <w:r w:rsidR="006D303A" w:rsidRPr="002E314E">
        <w:rPr>
          <w:rFonts w:eastAsia="ScalaLancetPro-Bold" w:cs="Arial"/>
          <w:bCs/>
          <w:sz w:val="22"/>
          <w:szCs w:val="22"/>
          <w:lang w:eastAsia="ja-JP"/>
        </w:rPr>
        <w:t xml:space="preserve"> population</w:t>
      </w:r>
      <w:r w:rsidR="006D303A" w:rsidRPr="0058157A">
        <w:rPr>
          <w:rFonts w:eastAsia="ScalaLancetPro-Bold" w:cs="Arial"/>
          <w:bCs/>
          <w:sz w:val="22"/>
          <w:szCs w:val="22"/>
          <w:lang w:eastAsia="ja-JP"/>
        </w:rPr>
        <w:t xml:space="preserve"> of all randomised patients (n=667)</w:t>
      </w:r>
      <w:r w:rsidR="0058157A" w:rsidRPr="0058157A">
        <w:rPr>
          <w:rFonts w:eastAsia="ScalaLancetPro-Bold" w:cs="Arial"/>
          <w:bCs/>
          <w:sz w:val="22"/>
          <w:szCs w:val="22"/>
          <w:lang w:eastAsia="ja-JP"/>
        </w:rPr>
        <w:t>.</w:t>
      </w:r>
    </w:p>
    <w:p w14:paraId="471ABD5E" w14:textId="77777777" w:rsidR="00E06428" w:rsidRDefault="00E06428" w:rsidP="00A21E46">
      <w:pPr>
        <w:rPr>
          <w:rFonts w:eastAsia="Arial Unicode MS"/>
          <w:sz w:val="22"/>
          <w:szCs w:val="22"/>
          <w:lang w:val="en-US"/>
        </w:rPr>
      </w:pPr>
    </w:p>
    <w:p w14:paraId="560C3514" w14:textId="1D2ADC6E" w:rsidR="00E06428" w:rsidRPr="00057CDB" w:rsidRDefault="006D303A" w:rsidP="00057CDB">
      <w:pPr>
        <w:rPr>
          <w:rFonts w:eastAsia="Arial Unicode MS"/>
          <w:sz w:val="22"/>
          <w:szCs w:val="22"/>
          <w:lang w:val="en-US"/>
        </w:rPr>
      </w:pPr>
      <w:r w:rsidRPr="0058157A">
        <w:rPr>
          <w:rFonts w:eastAsia="Arial Unicode MS"/>
          <w:sz w:val="22"/>
          <w:szCs w:val="22"/>
          <w:lang w:val="en-US"/>
        </w:rPr>
        <w:t>For the primary outcome</w:t>
      </w:r>
      <w:r w:rsidR="00E06428">
        <w:rPr>
          <w:rFonts w:eastAsia="Arial Unicode MS"/>
          <w:sz w:val="22"/>
          <w:szCs w:val="22"/>
          <w:lang w:val="en-US"/>
        </w:rPr>
        <w:t xml:space="preserve"> of early clinical response </w:t>
      </w:r>
      <w:r w:rsidRPr="0058157A">
        <w:rPr>
          <w:rFonts w:eastAsia="Arial Unicode MS"/>
          <w:sz w:val="22"/>
          <w:szCs w:val="22"/>
          <w:lang w:val="en-US"/>
        </w:rPr>
        <w:t>at the 48-Hour to 72-Hour Visit, patients were defined as responders, non-responders, or indeterminates accor</w:t>
      </w:r>
      <w:r w:rsidR="000A33F5">
        <w:rPr>
          <w:rFonts w:eastAsia="Arial Unicode MS"/>
          <w:sz w:val="22"/>
          <w:szCs w:val="22"/>
          <w:lang w:val="en-US"/>
        </w:rPr>
        <w:t xml:space="preserve">ding to the objective criteria </w:t>
      </w:r>
      <w:r w:rsidRPr="0058157A">
        <w:rPr>
          <w:rFonts w:eastAsia="Arial Unicode MS"/>
          <w:sz w:val="22"/>
          <w:szCs w:val="22"/>
          <w:lang w:val="en-US"/>
        </w:rPr>
        <w:t xml:space="preserve">outlined in </w:t>
      </w:r>
      <w:r w:rsidR="00057CDB">
        <w:rPr>
          <w:rFonts w:eastAsia="Arial Unicode MS"/>
          <w:sz w:val="22"/>
          <w:szCs w:val="22"/>
          <w:lang w:val="en-US"/>
        </w:rPr>
        <w:t xml:space="preserve">Table 6. </w:t>
      </w:r>
      <w:r w:rsidRPr="0058157A">
        <w:rPr>
          <w:rFonts w:eastAsia="Arial Unicode MS"/>
          <w:sz w:val="22"/>
          <w:szCs w:val="22"/>
          <w:lang w:val="en-US"/>
        </w:rPr>
        <w:t>Patients assigned an indetermi</w:t>
      </w:r>
      <w:r w:rsidR="000A33F5">
        <w:rPr>
          <w:rFonts w:eastAsia="Arial Unicode MS"/>
          <w:sz w:val="22"/>
          <w:szCs w:val="22"/>
          <w:lang w:val="en-US"/>
        </w:rPr>
        <w:t>nate response were considered</w:t>
      </w:r>
      <w:r w:rsidRPr="0058157A">
        <w:rPr>
          <w:rFonts w:eastAsia="Arial Unicode MS"/>
          <w:sz w:val="22"/>
          <w:szCs w:val="22"/>
          <w:lang w:val="en-US"/>
        </w:rPr>
        <w:t xml:space="preserve"> non-responders for </w:t>
      </w:r>
      <w:r w:rsidR="000A33F5">
        <w:rPr>
          <w:rFonts w:eastAsia="Arial Unicode MS"/>
          <w:sz w:val="22"/>
          <w:szCs w:val="22"/>
          <w:lang w:val="en-US"/>
        </w:rPr>
        <w:t xml:space="preserve">the </w:t>
      </w:r>
      <w:r w:rsidRPr="0058157A">
        <w:rPr>
          <w:rFonts w:eastAsia="Arial Unicode MS"/>
          <w:sz w:val="22"/>
          <w:szCs w:val="22"/>
          <w:lang w:val="en-US"/>
        </w:rPr>
        <w:t>purposes of determining clinical response at the 48-Hour to 72-Hour Visit.</w:t>
      </w:r>
      <w:r w:rsidR="00C4332F" w:rsidRPr="0058157A">
        <w:rPr>
          <w:rFonts w:eastAsia="Arial Unicode MS"/>
          <w:sz w:val="22"/>
          <w:szCs w:val="22"/>
          <w:lang w:val="en-US"/>
        </w:rPr>
        <w:t xml:space="preserve"> </w:t>
      </w:r>
    </w:p>
    <w:p w14:paraId="4BF78682" w14:textId="77777777" w:rsidR="00D21784" w:rsidRDefault="00D21784" w:rsidP="00D21784">
      <w:pPr>
        <w:ind w:left="357" w:hanging="357"/>
        <w:jc w:val="both"/>
        <w:rPr>
          <w:sz w:val="22"/>
          <w:szCs w:val="22"/>
          <w:lang w:val="en-US"/>
        </w:rPr>
      </w:pPr>
      <w:bookmarkStart w:id="63" w:name="_Ref382302192"/>
      <w:bookmarkStart w:id="64" w:name="_Toc396058430"/>
    </w:p>
    <w:p w14:paraId="25EE564B" w14:textId="410084E8" w:rsidR="006D303A" w:rsidRPr="00D21784" w:rsidRDefault="006D303A" w:rsidP="00D21784">
      <w:pPr>
        <w:jc w:val="both"/>
        <w:rPr>
          <w:b/>
          <w:sz w:val="22"/>
          <w:szCs w:val="22"/>
          <w:lang w:val="en-US"/>
        </w:rPr>
      </w:pPr>
      <w:r w:rsidRPr="00D21784">
        <w:rPr>
          <w:b/>
          <w:sz w:val="22"/>
          <w:szCs w:val="22"/>
          <w:lang w:val="en-US"/>
        </w:rPr>
        <w:t xml:space="preserve">Table </w:t>
      </w:r>
      <w:r w:rsidRPr="00D21784">
        <w:rPr>
          <w:b/>
          <w:sz w:val="22"/>
          <w:szCs w:val="22"/>
          <w:lang w:val="en-US"/>
        </w:rPr>
        <w:fldChar w:fldCharType="begin"/>
      </w:r>
      <w:r w:rsidRPr="00D21784">
        <w:rPr>
          <w:b/>
          <w:sz w:val="22"/>
          <w:szCs w:val="22"/>
          <w:lang w:val="en-US"/>
        </w:rPr>
        <w:instrText xml:space="preserve"> SEQ Table \* ARABIC </w:instrText>
      </w:r>
      <w:r w:rsidRPr="00D21784">
        <w:rPr>
          <w:b/>
          <w:sz w:val="22"/>
          <w:szCs w:val="22"/>
          <w:lang w:val="en-US"/>
        </w:rPr>
        <w:fldChar w:fldCharType="separate"/>
      </w:r>
      <w:r w:rsidR="00151A1C">
        <w:rPr>
          <w:b/>
          <w:noProof/>
          <w:sz w:val="22"/>
          <w:szCs w:val="22"/>
          <w:lang w:val="en-US"/>
        </w:rPr>
        <w:t>6</w:t>
      </w:r>
      <w:r w:rsidRPr="00D21784">
        <w:rPr>
          <w:b/>
          <w:sz w:val="22"/>
          <w:szCs w:val="22"/>
          <w:lang w:val="en-US"/>
        </w:rPr>
        <w:fldChar w:fldCharType="end"/>
      </w:r>
      <w:bookmarkEnd w:id="63"/>
      <w:r w:rsidRPr="00D21784">
        <w:rPr>
          <w:b/>
          <w:sz w:val="22"/>
          <w:szCs w:val="22"/>
          <w:lang w:val="en-US"/>
        </w:rPr>
        <w:t xml:space="preserve">: </w:t>
      </w:r>
      <w:r w:rsidRPr="00D21784">
        <w:rPr>
          <w:rFonts w:eastAsia="Arial Unicode MS"/>
          <w:b/>
          <w:sz w:val="22"/>
          <w:szCs w:val="22"/>
          <w:lang w:val="en-US"/>
        </w:rPr>
        <w:t xml:space="preserve">Criteria for responders and non-responders at the 48-Hour to 72-Hour Visit </w:t>
      </w:r>
      <w:r w:rsidRPr="00D21784">
        <w:rPr>
          <w:b/>
          <w:sz w:val="22"/>
          <w:szCs w:val="22"/>
          <w:lang w:val="en-US"/>
        </w:rPr>
        <w:t>in ESTABLISH-1</w:t>
      </w:r>
      <w:bookmarkEnd w:id="64"/>
    </w:p>
    <w:p w14:paraId="71EFF4FA" w14:textId="77777777" w:rsidR="00D21784" w:rsidRPr="00D21784" w:rsidRDefault="00D21784" w:rsidP="00D21784">
      <w:pPr>
        <w:ind w:left="357" w:hanging="357"/>
        <w:jc w:val="both"/>
        <w:rPr>
          <w:rStyle w:val="CommentReference"/>
          <w:rFonts w:eastAsia="Times New Roman"/>
          <w:b/>
          <w:bCs/>
          <w:sz w:val="22"/>
          <w:szCs w:val="22"/>
          <w:lang w:val="en-US"/>
        </w:rPr>
      </w:pPr>
    </w:p>
    <w:tbl>
      <w:tblPr>
        <w:tblStyle w:val="Table-HERONplain"/>
        <w:tblW w:w="9067" w:type="dxa"/>
        <w:tblLook w:val="04A0" w:firstRow="1" w:lastRow="0" w:firstColumn="1" w:lastColumn="0" w:noHBand="0" w:noVBand="1"/>
      </w:tblPr>
      <w:tblGrid>
        <w:gridCol w:w="1705"/>
        <w:gridCol w:w="7362"/>
      </w:tblGrid>
      <w:tr w:rsidR="006D303A" w:rsidRPr="0056711D" w14:paraId="5731CEAD" w14:textId="77777777" w:rsidTr="0077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auto"/>
            <w:vAlign w:val="top"/>
            <w:hideMark/>
          </w:tcPr>
          <w:p w14:paraId="43715409" w14:textId="77777777" w:rsidR="006D303A" w:rsidRPr="0056711D" w:rsidRDefault="006D303A" w:rsidP="00254CDB">
            <w:pPr>
              <w:pStyle w:val="TableBodyText-H54"/>
              <w:rPr>
                <w:rFonts w:ascii="Arial" w:hAnsi="Arial"/>
                <w:sz w:val="20"/>
                <w:lang w:val="en-US" w:eastAsia="en-GB"/>
              </w:rPr>
            </w:pPr>
            <w:r w:rsidRPr="0056711D">
              <w:rPr>
                <w:rFonts w:ascii="Arial" w:hAnsi="Arial"/>
                <w:sz w:val="20"/>
                <w:lang w:val="en-US" w:eastAsia="en-GB"/>
              </w:rPr>
              <w:t>Term</w:t>
            </w:r>
          </w:p>
        </w:tc>
        <w:tc>
          <w:tcPr>
            <w:tcW w:w="7362" w:type="dxa"/>
            <w:shd w:val="clear" w:color="auto" w:fill="auto"/>
            <w:vAlign w:val="top"/>
            <w:hideMark/>
          </w:tcPr>
          <w:p w14:paraId="6DB1C079" w14:textId="77777777" w:rsidR="006D303A" w:rsidRPr="0056711D" w:rsidRDefault="006D303A" w:rsidP="00254CDB">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56711D">
              <w:rPr>
                <w:rFonts w:ascii="Arial" w:hAnsi="Arial"/>
                <w:sz w:val="20"/>
                <w:lang w:val="en-US" w:eastAsia="en-GB"/>
              </w:rPr>
              <w:t>Criteria</w:t>
            </w:r>
          </w:p>
        </w:tc>
      </w:tr>
      <w:tr w:rsidR="006D303A" w:rsidRPr="0056711D" w14:paraId="5B9E056F" w14:textId="77777777" w:rsidTr="007764DC">
        <w:trPr>
          <w:cantSplit w:val="0"/>
        </w:trPr>
        <w:tc>
          <w:tcPr>
            <w:cnfStyle w:val="001000000000" w:firstRow="0" w:lastRow="0" w:firstColumn="1" w:lastColumn="0" w:oddVBand="0" w:evenVBand="0" w:oddHBand="0" w:evenHBand="0" w:firstRowFirstColumn="0" w:firstRowLastColumn="0" w:lastRowFirstColumn="0" w:lastRowLastColumn="0"/>
            <w:tcW w:w="1705" w:type="dxa"/>
            <w:shd w:val="clear" w:color="auto" w:fill="auto"/>
            <w:vAlign w:val="top"/>
            <w:hideMark/>
          </w:tcPr>
          <w:p w14:paraId="2CD2B244" w14:textId="77777777" w:rsidR="006D303A" w:rsidRPr="0056711D" w:rsidRDefault="006D303A" w:rsidP="00254CDB">
            <w:pPr>
              <w:pStyle w:val="TableBodyText-H54"/>
              <w:rPr>
                <w:rFonts w:ascii="Arial" w:hAnsi="Arial"/>
                <w:sz w:val="20"/>
                <w:lang w:val="en-US" w:eastAsia="en-GB"/>
              </w:rPr>
            </w:pPr>
            <w:r w:rsidRPr="0056711D">
              <w:rPr>
                <w:rFonts w:ascii="Arial" w:hAnsi="Arial"/>
                <w:sz w:val="20"/>
                <w:lang w:val="en-US" w:eastAsia="en-GB"/>
              </w:rPr>
              <w:t>Responder</w:t>
            </w:r>
          </w:p>
        </w:tc>
        <w:tc>
          <w:tcPr>
            <w:tcW w:w="7362" w:type="dxa"/>
            <w:vAlign w:val="top"/>
            <w:hideMark/>
          </w:tcPr>
          <w:p w14:paraId="2A0DB85D" w14:textId="77777777" w:rsidR="006D303A" w:rsidRPr="0056711D" w:rsidRDefault="006D303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eastAsia="TimesNewRoman" w:hAnsi="Arial"/>
                <w:sz w:val="20"/>
                <w:szCs w:val="20"/>
              </w:rPr>
            </w:pPr>
            <w:r w:rsidRPr="0056711D">
              <w:rPr>
                <w:rFonts w:ascii="Arial" w:eastAsia="TimesNewRoman" w:hAnsi="Arial"/>
                <w:sz w:val="20"/>
                <w:szCs w:val="20"/>
              </w:rPr>
              <w:t>Cessation of spread of the primary ABSSSI lesion, compared with baseline (cessation of spread was defined as no increase in lesion surface area [length*width] compared with baseline)</w:t>
            </w:r>
            <w:r w:rsidRPr="0056711D">
              <w:rPr>
                <w:rFonts w:ascii="Arial" w:hAnsi="Arial"/>
                <w:sz w:val="20"/>
                <w:szCs w:val="20"/>
              </w:rPr>
              <w:t xml:space="preserve"> </w:t>
            </w:r>
          </w:p>
          <w:p w14:paraId="6B66A392" w14:textId="77777777" w:rsidR="006D303A" w:rsidRPr="0056711D" w:rsidRDefault="006D303A" w:rsidP="00254CDB">
            <w:pPr>
              <w:pStyle w:val="TableBullet-H55"/>
              <w:cnfStyle w:val="000000000000" w:firstRow="0" w:lastRow="0" w:firstColumn="0" w:lastColumn="0" w:oddVBand="0" w:evenVBand="0" w:oddHBand="0" w:evenHBand="0" w:firstRowFirstColumn="0" w:firstRowLastColumn="0" w:lastRowFirstColumn="0" w:lastRowLastColumn="0"/>
              <w:rPr>
                <w:rFonts w:ascii="Arial" w:eastAsia="TimesNewRoman" w:hAnsi="Arial"/>
                <w:sz w:val="20"/>
                <w:szCs w:val="20"/>
              </w:rPr>
            </w:pPr>
            <w:r w:rsidRPr="0056711D">
              <w:rPr>
                <w:rFonts w:ascii="Arial" w:hAnsi="Arial"/>
                <w:sz w:val="20"/>
                <w:szCs w:val="20"/>
              </w:rPr>
              <w:t>Temperature ≤37.6°C at the time of visit as well at the next measurement taken within 24 hours of the 48-Hour to 72-Hour Visit</w:t>
            </w:r>
          </w:p>
        </w:tc>
      </w:tr>
      <w:tr w:rsidR="006D303A" w:rsidRPr="0056711D" w14:paraId="64D35F9B" w14:textId="77777777" w:rsidTr="007764DC">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5" w:type="dxa"/>
            <w:shd w:val="clear" w:color="auto" w:fill="auto"/>
            <w:vAlign w:val="top"/>
            <w:hideMark/>
          </w:tcPr>
          <w:p w14:paraId="584354A8" w14:textId="77777777" w:rsidR="006D303A" w:rsidRPr="0056711D" w:rsidRDefault="006D303A" w:rsidP="00254CDB">
            <w:pPr>
              <w:pStyle w:val="TableBodyText-H54"/>
              <w:rPr>
                <w:rFonts w:ascii="Arial" w:hAnsi="Arial"/>
                <w:sz w:val="20"/>
                <w:lang w:val="en-US" w:eastAsia="en-GB"/>
              </w:rPr>
            </w:pPr>
            <w:r w:rsidRPr="0056711D">
              <w:rPr>
                <w:rFonts w:ascii="Arial" w:hAnsi="Arial"/>
                <w:sz w:val="20"/>
                <w:lang w:val="en-US" w:eastAsia="en-GB"/>
              </w:rPr>
              <w:t>Non-responder</w:t>
            </w:r>
          </w:p>
        </w:tc>
        <w:tc>
          <w:tcPr>
            <w:tcW w:w="7362" w:type="dxa"/>
            <w:vAlign w:val="top"/>
            <w:hideMark/>
          </w:tcPr>
          <w:p w14:paraId="2A138900" w14:textId="77777777" w:rsidR="006D303A" w:rsidRPr="0056711D" w:rsidRDefault="006D303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eastAsia="TimesNewRoman" w:hAnsi="Arial"/>
                <w:sz w:val="20"/>
                <w:szCs w:val="20"/>
              </w:rPr>
            </w:pPr>
            <w:r w:rsidRPr="0056711D">
              <w:rPr>
                <w:rFonts w:ascii="Arial" w:eastAsia="TimesNewRoman" w:hAnsi="Arial"/>
                <w:sz w:val="20"/>
                <w:szCs w:val="20"/>
              </w:rPr>
              <w:t>Spread of the primary ABSSSI lesion, compared with baseline (spread of the lesion was defined as an increase in lesion surface area [length * width] as compared to baseline)</w:t>
            </w:r>
          </w:p>
          <w:p w14:paraId="4A7B81EB" w14:textId="77777777" w:rsidR="006D303A" w:rsidRPr="0056711D" w:rsidRDefault="006D303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56711D">
              <w:rPr>
                <w:rFonts w:ascii="Arial" w:hAnsi="Arial"/>
                <w:sz w:val="20"/>
                <w:szCs w:val="20"/>
              </w:rPr>
              <w:lastRenderedPageBreak/>
              <w:t>Receipt of any systemic concomitant antibiotic therapy that is potentially effective against the baseline pathogen with the exception of adjunctive aztreonam and/or metronidazole in patients with wound infections</w:t>
            </w:r>
          </w:p>
          <w:p w14:paraId="7F33E1B2" w14:textId="77777777" w:rsidR="006D303A" w:rsidRPr="0056711D" w:rsidRDefault="006D303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eastAsia="TimesNewRoman" w:hAnsi="Arial"/>
                <w:sz w:val="20"/>
                <w:szCs w:val="20"/>
              </w:rPr>
            </w:pPr>
            <w:r w:rsidRPr="0056711D">
              <w:rPr>
                <w:rFonts w:ascii="Arial" w:hAnsi="Arial"/>
                <w:sz w:val="20"/>
                <w:szCs w:val="20"/>
              </w:rPr>
              <w:t>Death (all-cause mortality)</w:t>
            </w:r>
          </w:p>
          <w:p w14:paraId="046654E4" w14:textId="77777777" w:rsidR="006D303A" w:rsidRPr="0056711D" w:rsidRDefault="006D303A" w:rsidP="00254CDB">
            <w:pPr>
              <w:pStyle w:val="TableBullet-H55"/>
              <w:cnfStyle w:val="000000010000" w:firstRow="0" w:lastRow="0" w:firstColumn="0" w:lastColumn="0" w:oddVBand="0" w:evenVBand="0" w:oddHBand="0" w:evenHBand="1" w:firstRowFirstColumn="0" w:firstRowLastColumn="0" w:lastRowFirstColumn="0" w:lastRowLastColumn="0"/>
              <w:rPr>
                <w:rFonts w:ascii="Arial" w:eastAsia="TimesNewRoman" w:hAnsi="Arial"/>
                <w:sz w:val="20"/>
                <w:szCs w:val="20"/>
              </w:rPr>
            </w:pPr>
            <w:r w:rsidRPr="0056711D">
              <w:rPr>
                <w:rFonts w:ascii="Arial" w:eastAsia="TimesNewRoman" w:hAnsi="Arial"/>
                <w:sz w:val="20"/>
                <w:szCs w:val="20"/>
              </w:rPr>
              <w:t>Temperature &gt;37.6°C at the 48 Hour to 72 Hour Visit (assessed by the investigator) or the next measurement taken within 24 hours of the 48 Hour to 72 Hour Visit</w:t>
            </w:r>
          </w:p>
        </w:tc>
      </w:tr>
    </w:tbl>
    <w:p w14:paraId="1C07A0AB" w14:textId="76F873FC" w:rsidR="006D303A" w:rsidRPr="0056711D" w:rsidRDefault="006D303A" w:rsidP="0056711D">
      <w:pPr>
        <w:pStyle w:val="TableNote-H58"/>
        <w:spacing w:before="0" w:after="0"/>
        <w:rPr>
          <w:rFonts w:ascii="Arial" w:hAnsi="Arial"/>
          <w:sz w:val="16"/>
          <w:szCs w:val="16"/>
          <w:lang w:val="en-US"/>
        </w:rPr>
      </w:pPr>
      <w:r w:rsidRPr="0056711D">
        <w:rPr>
          <w:rFonts w:ascii="Arial" w:hAnsi="Arial"/>
          <w:sz w:val="16"/>
          <w:szCs w:val="16"/>
          <w:lang w:val="en-US"/>
        </w:rPr>
        <w:lastRenderedPageBreak/>
        <w:t xml:space="preserve">SOURCE: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56711D">
        <w:rPr>
          <w:rFonts w:ascii="Arial" w:hAnsi="Arial"/>
          <w:sz w:val="16"/>
          <w:szCs w:val="16"/>
          <w:lang w:val="en-US"/>
        </w:rPr>
        <w:t xml:space="preserve">: section 9.5.1.1. and 9.5.3.1 </w:t>
      </w:r>
    </w:p>
    <w:p w14:paraId="6BAB6E0D" w14:textId="77777777" w:rsidR="006D303A" w:rsidRPr="0056711D" w:rsidRDefault="006D303A" w:rsidP="0056711D">
      <w:pPr>
        <w:pStyle w:val="TableNote-H58"/>
        <w:spacing w:before="0" w:after="0"/>
        <w:rPr>
          <w:rFonts w:ascii="Arial" w:hAnsi="Arial"/>
          <w:sz w:val="16"/>
          <w:szCs w:val="16"/>
          <w:lang w:val="en-US"/>
        </w:rPr>
      </w:pPr>
      <w:r w:rsidRPr="0056711D">
        <w:rPr>
          <w:rFonts w:ascii="Arial" w:hAnsi="Arial"/>
          <w:sz w:val="16"/>
          <w:szCs w:val="16"/>
          <w:lang w:val="en-US"/>
        </w:rPr>
        <w:t>ABSSSI: Acute bacterial skin and skin structure infection</w:t>
      </w:r>
    </w:p>
    <w:p w14:paraId="75E27E41" w14:textId="77777777" w:rsidR="006D303A" w:rsidRDefault="006D303A" w:rsidP="008E4E92">
      <w:pPr>
        <w:autoSpaceDE w:val="0"/>
        <w:autoSpaceDN w:val="0"/>
        <w:adjustRightInd w:val="0"/>
        <w:rPr>
          <w:rFonts w:cs="Arial"/>
          <w:b/>
          <w:color w:val="FF0000"/>
          <w:sz w:val="22"/>
          <w:szCs w:val="22"/>
          <w:lang w:eastAsia="ja-JP"/>
        </w:rPr>
      </w:pPr>
    </w:p>
    <w:p w14:paraId="46ED2883" w14:textId="21F3C683" w:rsidR="00E06428" w:rsidRPr="00874DFC" w:rsidRDefault="00E06428" w:rsidP="00E06428">
      <w:pPr>
        <w:autoSpaceDE w:val="0"/>
        <w:autoSpaceDN w:val="0"/>
        <w:adjustRightInd w:val="0"/>
        <w:rPr>
          <w:rFonts w:cs="TimesNewRomanPSMT"/>
          <w:sz w:val="22"/>
          <w:szCs w:val="22"/>
          <w:lang w:val="en-US" w:eastAsia="ja-JP"/>
        </w:rPr>
      </w:pPr>
      <w:r w:rsidRPr="00874DFC">
        <w:rPr>
          <w:rFonts w:cs="TimesNewRomanPSMT"/>
          <w:sz w:val="22"/>
          <w:szCs w:val="22"/>
          <w:lang w:val="en-US" w:eastAsia="ja-JP"/>
        </w:rPr>
        <w:t>The primary efficacy outcome analysis for the EU was the Investigator’s assessment of clinical success of tedizolid phosphate compared with that of 10-day linezolid treatment at the PTE Visit in the ITT and CE-PTE) analysis sets. This assessment was timed to</w:t>
      </w:r>
    </w:p>
    <w:p w14:paraId="44F73BD3" w14:textId="5A94B83F" w:rsidR="00E06428" w:rsidRPr="00874DFC" w:rsidRDefault="00E06428" w:rsidP="00E06428">
      <w:pPr>
        <w:autoSpaceDE w:val="0"/>
        <w:autoSpaceDN w:val="0"/>
        <w:adjustRightInd w:val="0"/>
        <w:rPr>
          <w:rFonts w:cs="TimesNewRomanPSMT"/>
          <w:sz w:val="22"/>
          <w:szCs w:val="22"/>
          <w:lang w:val="en-US" w:eastAsia="ja-JP"/>
        </w:rPr>
      </w:pPr>
      <w:r w:rsidRPr="00874DFC">
        <w:rPr>
          <w:rFonts w:cs="TimesNewRomanPSMT"/>
          <w:sz w:val="22"/>
          <w:szCs w:val="22"/>
          <w:lang w:val="en-US" w:eastAsia="ja-JP"/>
        </w:rPr>
        <w:t xml:space="preserve">occur 7 to 14 days after the EOT Visit and thus compared the response to tedizolid phosphate and linezolid at an equivalent timepoint after the completion of the protocol-specified therapy. In addition, given this timing, the PTE visit can be regarded as the equivalent of a TOC visit as recommended for the evaluation of efficacy in </w:t>
      </w:r>
      <w:r w:rsidRPr="00874DFC">
        <w:rPr>
          <w:rFonts w:cs="TimesNewRomanPS-BoldMT"/>
          <w:bCs/>
          <w:sz w:val="22"/>
          <w:szCs w:val="22"/>
          <w:lang w:val="en-US" w:eastAsia="ja-JP"/>
        </w:rPr>
        <w:t>CPMP/EWP/558/95 rev 2</w:t>
      </w:r>
      <w:r w:rsidRPr="00874DFC">
        <w:rPr>
          <w:rFonts w:cs="TimesNewRomanPSMT"/>
          <w:sz w:val="22"/>
          <w:szCs w:val="22"/>
          <w:lang w:val="en-US" w:eastAsia="ja-JP"/>
        </w:rPr>
        <w:t xml:space="preserve">; </w:t>
      </w:r>
      <w:r w:rsidRPr="00874DFC">
        <w:rPr>
          <w:rFonts w:cs="TimesNewRomanPS-BoldMT"/>
          <w:bCs/>
          <w:sz w:val="22"/>
          <w:szCs w:val="22"/>
          <w:lang w:val="en-US" w:eastAsia="ja-JP"/>
        </w:rPr>
        <w:t>EMA guidance 2011</w:t>
      </w:r>
      <w:r w:rsidR="00A214EB">
        <w:rPr>
          <w:rFonts w:cs="TimesNewRomanPS-BoldMT"/>
          <w:bCs/>
          <w:sz w:val="22"/>
          <w:szCs w:val="22"/>
          <w:lang w:val="en-US" w:eastAsia="ja-JP"/>
        </w:rPr>
        <w:t>(</w:t>
      </w:r>
      <w:r w:rsidR="00A214EB">
        <w:rPr>
          <w:rFonts w:cs="TimesNewRomanPS-BoldMT"/>
          <w:bCs/>
          <w:sz w:val="22"/>
          <w:szCs w:val="22"/>
          <w:lang w:val="en-US" w:eastAsia="ja-JP"/>
        </w:rPr>
        <w:fldChar w:fldCharType="begin"/>
      </w:r>
      <w:r w:rsidR="00A214EB">
        <w:rPr>
          <w:rFonts w:cs="TimesNewRomanPS-BoldMT"/>
          <w:bCs/>
          <w:sz w:val="22"/>
          <w:szCs w:val="22"/>
          <w:lang w:val="en-US" w:eastAsia="ja-JP"/>
        </w:rPr>
        <w:instrText xml:space="preserve"> REF _Ref284171522 \r \h </w:instrText>
      </w:r>
      <w:r w:rsidR="00A214EB">
        <w:rPr>
          <w:rFonts w:cs="TimesNewRomanPS-BoldMT"/>
          <w:bCs/>
          <w:sz w:val="22"/>
          <w:szCs w:val="22"/>
          <w:lang w:val="en-US" w:eastAsia="ja-JP"/>
        </w:rPr>
      </w:r>
      <w:r w:rsidR="00A214EB">
        <w:rPr>
          <w:rFonts w:cs="TimesNewRomanPS-BoldMT"/>
          <w:bCs/>
          <w:sz w:val="22"/>
          <w:szCs w:val="22"/>
          <w:lang w:val="en-US" w:eastAsia="ja-JP"/>
        </w:rPr>
        <w:fldChar w:fldCharType="separate"/>
      </w:r>
      <w:r w:rsidR="00151A1C">
        <w:rPr>
          <w:rFonts w:cs="TimesNewRomanPS-BoldMT"/>
          <w:bCs/>
          <w:sz w:val="22"/>
          <w:szCs w:val="22"/>
          <w:lang w:val="en-US" w:eastAsia="ja-JP"/>
        </w:rPr>
        <w:t>44</w:t>
      </w:r>
      <w:r w:rsidR="00A214EB">
        <w:rPr>
          <w:rFonts w:cs="TimesNewRomanPS-BoldMT"/>
          <w:bCs/>
          <w:sz w:val="22"/>
          <w:szCs w:val="22"/>
          <w:lang w:val="en-US" w:eastAsia="ja-JP"/>
        </w:rPr>
        <w:fldChar w:fldCharType="end"/>
      </w:r>
      <w:r w:rsidR="00A214EB">
        <w:rPr>
          <w:rFonts w:cs="TimesNewRomanPS-BoldMT"/>
          <w:bCs/>
          <w:sz w:val="22"/>
          <w:szCs w:val="22"/>
          <w:lang w:val="en-US" w:eastAsia="ja-JP"/>
        </w:rPr>
        <w:t>)</w:t>
      </w:r>
      <w:r w:rsidRPr="00874DFC">
        <w:rPr>
          <w:rFonts w:cs="TimesNewRomanPSMT"/>
          <w:sz w:val="22"/>
          <w:szCs w:val="22"/>
          <w:lang w:val="en-US" w:eastAsia="ja-JP"/>
        </w:rPr>
        <w:t xml:space="preserve">. </w:t>
      </w:r>
    </w:p>
    <w:p w14:paraId="4705AD76" w14:textId="77777777" w:rsidR="00E06428" w:rsidRDefault="00E06428" w:rsidP="0016350B">
      <w:pPr>
        <w:autoSpaceDE w:val="0"/>
        <w:autoSpaceDN w:val="0"/>
        <w:adjustRightInd w:val="0"/>
        <w:rPr>
          <w:rFonts w:cs="Arial"/>
          <w:b/>
          <w:bCs/>
          <w:sz w:val="22"/>
          <w:szCs w:val="22"/>
          <w:lang w:eastAsia="ja-JP"/>
        </w:rPr>
      </w:pPr>
    </w:p>
    <w:p w14:paraId="434C666E" w14:textId="4FA4DF14" w:rsidR="00DB0CD4" w:rsidRPr="00A63ECB" w:rsidRDefault="002E314E" w:rsidP="0016350B">
      <w:pPr>
        <w:autoSpaceDE w:val="0"/>
        <w:autoSpaceDN w:val="0"/>
        <w:adjustRightInd w:val="0"/>
        <w:rPr>
          <w:rFonts w:cs="Arial"/>
          <w:b/>
          <w:bCs/>
          <w:sz w:val="22"/>
          <w:szCs w:val="22"/>
          <w:lang w:eastAsia="ja-JP"/>
        </w:rPr>
      </w:pPr>
      <w:r>
        <w:rPr>
          <w:rFonts w:cs="Arial"/>
          <w:b/>
          <w:bCs/>
          <w:sz w:val="22"/>
          <w:szCs w:val="22"/>
          <w:lang w:eastAsia="ja-JP"/>
        </w:rPr>
        <w:t>3.3</w:t>
      </w:r>
      <w:r w:rsidR="00165ED7" w:rsidRPr="00A63ECB">
        <w:rPr>
          <w:rFonts w:cs="Arial"/>
          <w:b/>
          <w:bCs/>
          <w:sz w:val="22"/>
          <w:szCs w:val="22"/>
          <w:lang w:eastAsia="ja-JP"/>
        </w:rPr>
        <w:t>.9</w:t>
      </w:r>
      <w:r w:rsidR="00165ED7" w:rsidRPr="00A63ECB">
        <w:rPr>
          <w:rFonts w:cs="Arial"/>
          <w:b/>
          <w:bCs/>
          <w:sz w:val="22"/>
          <w:szCs w:val="22"/>
          <w:lang w:eastAsia="ja-JP"/>
        </w:rPr>
        <w:tab/>
        <w:t>Statistical test in prim</w:t>
      </w:r>
      <w:r w:rsidR="0016350B" w:rsidRPr="00A63ECB">
        <w:rPr>
          <w:rFonts w:cs="Arial"/>
          <w:b/>
          <w:bCs/>
          <w:sz w:val="22"/>
          <w:szCs w:val="22"/>
          <w:lang w:eastAsia="ja-JP"/>
        </w:rPr>
        <w:t xml:space="preserve">ary analysis of primary outcome: </w:t>
      </w:r>
      <w:r w:rsidR="00DB0CD4" w:rsidRPr="00A63ECB">
        <w:rPr>
          <w:sz w:val="22"/>
          <w:szCs w:val="22"/>
        </w:rPr>
        <w:t>A non-inferiority (NI) margin of 10% was initially selected based on the US primary</w:t>
      </w:r>
      <w:r w:rsidR="0016350B" w:rsidRPr="00A63ECB">
        <w:rPr>
          <w:rFonts w:cs="Arial"/>
          <w:b/>
          <w:bCs/>
          <w:sz w:val="22"/>
          <w:szCs w:val="22"/>
          <w:lang w:eastAsia="ja-JP"/>
        </w:rPr>
        <w:t xml:space="preserve"> </w:t>
      </w:r>
      <w:r w:rsidR="00DB0CD4" w:rsidRPr="00A63ECB">
        <w:rPr>
          <w:sz w:val="22"/>
          <w:szCs w:val="22"/>
        </w:rPr>
        <w:t>endpoints of early response at 48-72 hours. This margin was selected on the basis of</w:t>
      </w:r>
      <w:r w:rsidR="0016350B" w:rsidRPr="00A63ECB">
        <w:rPr>
          <w:rFonts w:cs="Arial"/>
          <w:b/>
          <w:bCs/>
          <w:sz w:val="22"/>
          <w:szCs w:val="22"/>
          <w:lang w:eastAsia="ja-JP"/>
        </w:rPr>
        <w:t xml:space="preserve"> </w:t>
      </w:r>
      <w:r w:rsidR="00DB0CD4" w:rsidRPr="00A63ECB">
        <w:rPr>
          <w:sz w:val="22"/>
          <w:szCs w:val="22"/>
        </w:rPr>
        <w:t>analyses of historical data regarding the treatment effect of antibiotics and contemporary</w:t>
      </w:r>
      <w:r w:rsidR="0016350B" w:rsidRPr="00A63ECB">
        <w:rPr>
          <w:rFonts w:cs="Arial"/>
          <w:b/>
          <w:bCs/>
          <w:sz w:val="22"/>
          <w:szCs w:val="22"/>
          <w:lang w:eastAsia="ja-JP"/>
        </w:rPr>
        <w:t xml:space="preserve"> </w:t>
      </w:r>
      <w:r w:rsidR="00DB0CD4" w:rsidRPr="00A63ECB">
        <w:rPr>
          <w:sz w:val="22"/>
          <w:szCs w:val="22"/>
        </w:rPr>
        <w:t>data of the efficacy of linezolid. However, given this selected NI margin and a 1-sided</w:t>
      </w:r>
      <w:r w:rsidR="0016350B" w:rsidRPr="00A63ECB">
        <w:rPr>
          <w:rFonts w:cs="Arial"/>
          <w:b/>
          <w:bCs/>
          <w:sz w:val="22"/>
          <w:szCs w:val="22"/>
          <w:lang w:eastAsia="ja-JP"/>
        </w:rPr>
        <w:t xml:space="preserve"> </w:t>
      </w:r>
      <w:r w:rsidR="00DB0CD4" w:rsidRPr="00A63ECB">
        <w:rPr>
          <w:sz w:val="22"/>
          <w:szCs w:val="22"/>
        </w:rPr>
        <w:t xml:space="preserve">alpha of 0.025, both </w:t>
      </w:r>
      <w:r w:rsidR="0016350B" w:rsidRPr="00A63ECB">
        <w:rPr>
          <w:sz w:val="22"/>
          <w:szCs w:val="22"/>
        </w:rPr>
        <w:t xml:space="preserve">Phase 3 </w:t>
      </w:r>
      <w:r w:rsidR="00DB0CD4" w:rsidRPr="00A63ECB">
        <w:rPr>
          <w:sz w:val="22"/>
          <w:szCs w:val="22"/>
        </w:rPr>
        <w:t>studies were designed to enrol populations of sufficient size to</w:t>
      </w:r>
      <w:r w:rsidR="0016350B" w:rsidRPr="00A63ECB">
        <w:rPr>
          <w:rFonts w:cs="Arial"/>
          <w:b/>
          <w:bCs/>
          <w:sz w:val="22"/>
          <w:szCs w:val="22"/>
          <w:lang w:eastAsia="ja-JP"/>
        </w:rPr>
        <w:t xml:space="preserve"> </w:t>
      </w:r>
      <w:r w:rsidR="00DB0CD4" w:rsidRPr="00A63ECB">
        <w:rPr>
          <w:sz w:val="22"/>
          <w:szCs w:val="22"/>
        </w:rPr>
        <w:t>provide at least 85% power for the primary analyses to be based on either the EU or the</w:t>
      </w:r>
      <w:r w:rsidR="0016350B" w:rsidRPr="00A63ECB">
        <w:rPr>
          <w:rFonts w:cs="Arial"/>
          <w:b/>
          <w:bCs/>
          <w:sz w:val="22"/>
          <w:szCs w:val="22"/>
          <w:lang w:eastAsia="ja-JP"/>
        </w:rPr>
        <w:t xml:space="preserve"> </w:t>
      </w:r>
      <w:r w:rsidR="00DB0CD4" w:rsidRPr="00A63ECB">
        <w:rPr>
          <w:sz w:val="22"/>
          <w:szCs w:val="22"/>
        </w:rPr>
        <w:t>US outcome assessments. The studies</w:t>
      </w:r>
      <w:r w:rsidR="0016350B" w:rsidRPr="00A63ECB">
        <w:rPr>
          <w:sz w:val="22"/>
          <w:szCs w:val="22"/>
        </w:rPr>
        <w:t xml:space="preserve"> </w:t>
      </w:r>
      <w:r w:rsidR="00DB0CD4" w:rsidRPr="00A63ECB">
        <w:rPr>
          <w:sz w:val="22"/>
          <w:szCs w:val="22"/>
        </w:rPr>
        <w:t>are therefore in compliance with the current EMA guidance on NI margins in studies of</w:t>
      </w:r>
      <w:r w:rsidR="0016350B" w:rsidRPr="00A63ECB">
        <w:rPr>
          <w:sz w:val="22"/>
          <w:szCs w:val="22"/>
        </w:rPr>
        <w:t xml:space="preserve"> bacterial infections</w:t>
      </w:r>
      <w:r w:rsidR="00DB0CD4" w:rsidRPr="00A63ECB">
        <w:rPr>
          <w:sz w:val="22"/>
          <w:szCs w:val="22"/>
        </w:rPr>
        <w:t xml:space="preserve"> (</w:t>
      </w:r>
      <w:r w:rsidR="00A214EB">
        <w:rPr>
          <w:sz w:val="22"/>
          <w:szCs w:val="22"/>
        </w:rPr>
        <w:fldChar w:fldCharType="begin"/>
      </w:r>
      <w:r w:rsidR="00A214EB">
        <w:rPr>
          <w:sz w:val="22"/>
          <w:szCs w:val="22"/>
        </w:rPr>
        <w:instrText xml:space="preserve"> REF _Ref284171496 \r \h </w:instrText>
      </w:r>
      <w:r w:rsidR="00A214EB">
        <w:rPr>
          <w:sz w:val="22"/>
          <w:szCs w:val="22"/>
        </w:rPr>
      </w:r>
      <w:r w:rsidR="00A214EB">
        <w:rPr>
          <w:sz w:val="22"/>
          <w:szCs w:val="22"/>
        </w:rPr>
        <w:fldChar w:fldCharType="separate"/>
      </w:r>
      <w:r w:rsidR="00151A1C">
        <w:rPr>
          <w:sz w:val="22"/>
          <w:szCs w:val="22"/>
        </w:rPr>
        <w:t>42</w:t>
      </w:r>
      <w:r w:rsidR="00A214EB">
        <w:rPr>
          <w:sz w:val="22"/>
          <w:szCs w:val="22"/>
        </w:rPr>
        <w:fldChar w:fldCharType="end"/>
      </w:r>
      <w:r w:rsidR="00DB0CD4" w:rsidRPr="00A63ECB">
        <w:rPr>
          <w:sz w:val="22"/>
          <w:szCs w:val="22"/>
        </w:rPr>
        <w:t>).</w:t>
      </w:r>
    </w:p>
    <w:p w14:paraId="3F345664" w14:textId="77777777" w:rsidR="0016350B" w:rsidRPr="00A63ECB" w:rsidRDefault="0016350B" w:rsidP="00DB0CD4">
      <w:pPr>
        <w:widowControl w:val="0"/>
        <w:autoSpaceDE w:val="0"/>
        <w:autoSpaceDN w:val="0"/>
        <w:adjustRightInd w:val="0"/>
        <w:rPr>
          <w:sz w:val="22"/>
          <w:szCs w:val="22"/>
        </w:rPr>
      </w:pPr>
    </w:p>
    <w:p w14:paraId="650270D6" w14:textId="501736CB" w:rsidR="00DB0CD4" w:rsidRPr="00A63ECB" w:rsidRDefault="00DB0CD4" w:rsidP="00DB0CD4">
      <w:pPr>
        <w:widowControl w:val="0"/>
        <w:autoSpaceDE w:val="0"/>
        <w:autoSpaceDN w:val="0"/>
        <w:adjustRightInd w:val="0"/>
        <w:rPr>
          <w:sz w:val="22"/>
          <w:szCs w:val="22"/>
        </w:rPr>
      </w:pPr>
      <w:r w:rsidRPr="00A63ECB">
        <w:rPr>
          <w:sz w:val="22"/>
          <w:szCs w:val="22"/>
        </w:rPr>
        <w:t>In both Phase</w:t>
      </w:r>
      <w:r w:rsidR="0016350B" w:rsidRPr="00A63ECB">
        <w:rPr>
          <w:sz w:val="22"/>
          <w:szCs w:val="22"/>
        </w:rPr>
        <w:t xml:space="preserve"> 3 studies, the patient randomis</w:t>
      </w:r>
      <w:r w:rsidRPr="00A63ECB">
        <w:rPr>
          <w:sz w:val="22"/>
          <w:szCs w:val="22"/>
        </w:rPr>
        <w:t>ation was stratified by a number of baseline</w:t>
      </w:r>
    </w:p>
    <w:p w14:paraId="39B45F83" w14:textId="0A64EBB1" w:rsidR="00DB0CD4" w:rsidRPr="002E314E" w:rsidRDefault="0016350B" w:rsidP="0016350B">
      <w:pPr>
        <w:widowControl w:val="0"/>
        <w:autoSpaceDE w:val="0"/>
        <w:autoSpaceDN w:val="0"/>
        <w:adjustRightInd w:val="0"/>
        <w:rPr>
          <w:sz w:val="22"/>
          <w:szCs w:val="22"/>
        </w:rPr>
      </w:pPr>
      <w:r w:rsidRPr="00A63ECB">
        <w:rPr>
          <w:sz w:val="22"/>
          <w:szCs w:val="22"/>
        </w:rPr>
        <w:t>F</w:t>
      </w:r>
      <w:r w:rsidR="00DB0CD4" w:rsidRPr="00A63ECB">
        <w:rPr>
          <w:sz w:val="22"/>
          <w:szCs w:val="22"/>
        </w:rPr>
        <w:t>actors</w:t>
      </w:r>
      <w:r w:rsidRPr="00A63ECB">
        <w:rPr>
          <w:sz w:val="22"/>
          <w:szCs w:val="22"/>
        </w:rPr>
        <w:t xml:space="preserve">. </w:t>
      </w:r>
      <w:r w:rsidR="00DB0CD4" w:rsidRPr="00A63ECB">
        <w:rPr>
          <w:sz w:val="22"/>
          <w:szCs w:val="22"/>
        </w:rPr>
        <w:t>On the basis of scientific advice</w:t>
      </w:r>
      <w:r w:rsidRPr="00A63ECB">
        <w:rPr>
          <w:sz w:val="22"/>
          <w:szCs w:val="22"/>
        </w:rPr>
        <w:t xml:space="preserve"> </w:t>
      </w:r>
      <w:r w:rsidR="00DB0CD4" w:rsidRPr="00A63ECB">
        <w:rPr>
          <w:sz w:val="22"/>
          <w:szCs w:val="22"/>
        </w:rPr>
        <w:t>received from MHRA (March 18, 2010) and the guidance contained in Points to Consider</w:t>
      </w:r>
      <w:r w:rsidRPr="00A63ECB">
        <w:rPr>
          <w:sz w:val="22"/>
          <w:szCs w:val="22"/>
        </w:rPr>
        <w:t xml:space="preserve"> </w:t>
      </w:r>
      <w:r w:rsidR="00DB0CD4" w:rsidRPr="00A63ECB">
        <w:rPr>
          <w:sz w:val="22"/>
          <w:szCs w:val="22"/>
        </w:rPr>
        <w:t xml:space="preserve">on </w:t>
      </w:r>
      <w:r w:rsidR="00DB0CD4" w:rsidRPr="002E314E">
        <w:rPr>
          <w:sz w:val="22"/>
          <w:szCs w:val="22"/>
        </w:rPr>
        <w:t>Adjustment for Baseline Covariates (CPMP/EWP/2863/99), the primary analysis of</w:t>
      </w:r>
      <w:r w:rsidRPr="002E314E">
        <w:rPr>
          <w:sz w:val="22"/>
          <w:szCs w:val="22"/>
        </w:rPr>
        <w:t xml:space="preserve"> </w:t>
      </w:r>
      <w:r w:rsidR="00DB0CD4" w:rsidRPr="002E314E">
        <w:rPr>
          <w:sz w:val="22"/>
          <w:szCs w:val="22"/>
        </w:rPr>
        <w:t>efficacy was appropriately adjusted for the stratification factors used for the patient</w:t>
      </w:r>
      <w:r w:rsidRPr="002E314E">
        <w:rPr>
          <w:sz w:val="22"/>
          <w:szCs w:val="22"/>
        </w:rPr>
        <w:t xml:space="preserve"> </w:t>
      </w:r>
      <w:r w:rsidR="00DB0CD4" w:rsidRPr="002E314E">
        <w:rPr>
          <w:sz w:val="22"/>
          <w:szCs w:val="22"/>
        </w:rPr>
        <w:t>randomisation in each study.</w:t>
      </w:r>
    </w:p>
    <w:p w14:paraId="7DECAB21" w14:textId="77777777" w:rsidR="00165ED7" w:rsidRPr="002E314E" w:rsidRDefault="00165ED7" w:rsidP="008E4E92">
      <w:pPr>
        <w:autoSpaceDE w:val="0"/>
        <w:autoSpaceDN w:val="0"/>
        <w:adjustRightInd w:val="0"/>
        <w:rPr>
          <w:rFonts w:cs="Arial"/>
          <w:b/>
          <w:sz w:val="22"/>
          <w:szCs w:val="22"/>
          <w:lang w:eastAsia="ja-JP"/>
        </w:rPr>
      </w:pPr>
    </w:p>
    <w:p w14:paraId="6295078C" w14:textId="20DC2EEE" w:rsidR="000D42E9" w:rsidRPr="00A63ECB" w:rsidRDefault="002E314E" w:rsidP="00A63ECB">
      <w:pPr>
        <w:autoSpaceDE w:val="0"/>
        <w:autoSpaceDN w:val="0"/>
        <w:adjustRightInd w:val="0"/>
        <w:rPr>
          <w:rFonts w:cs="Arial"/>
          <w:b/>
          <w:color w:val="FF0000"/>
          <w:sz w:val="22"/>
          <w:szCs w:val="22"/>
          <w:lang w:eastAsia="ja-JP"/>
        </w:rPr>
      </w:pPr>
      <w:r w:rsidRPr="002E314E">
        <w:rPr>
          <w:rFonts w:cs="Arial"/>
          <w:b/>
          <w:sz w:val="22"/>
          <w:szCs w:val="22"/>
          <w:lang w:eastAsia="ja-JP"/>
        </w:rPr>
        <w:t>3.3</w:t>
      </w:r>
      <w:r w:rsidR="00165ED7" w:rsidRPr="002E314E">
        <w:rPr>
          <w:rFonts w:cs="Arial"/>
          <w:b/>
          <w:sz w:val="22"/>
          <w:szCs w:val="22"/>
          <w:lang w:eastAsia="ja-JP"/>
        </w:rPr>
        <w:t>.10 Primary hypothesis under investigation an</w:t>
      </w:r>
      <w:r w:rsidR="00A63ECB" w:rsidRPr="002E314E">
        <w:rPr>
          <w:rFonts w:cs="Arial"/>
          <w:b/>
          <w:sz w:val="22"/>
          <w:szCs w:val="22"/>
          <w:lang w:eastAsia="ja-JP"/>
        </w:rPr>
        <w:t xml:space="preserve">d power calculation/sample size: </w:t>
      </w:r>
      <w:r w:rsidR="000D42E9" w:rsidRPr="002E314E">
        <w:rPr>
          <w:sz w:val="22"/>
          <w:szCs w:val="22"/>
          <w:lang w:val="en-US" w:eastAsia="ja-JP"/>
        </w:rPr>
        <w:t xml:space="preserve">The sample size </w:t>
      </w:r>
      <w:r w:rsidR="004111E4" w:rsidRPr="002E314E">
        <w:rPr>
          <w:sz w:val="22"/>
          <w:szCs w:val="22"/>
          <w:lang w:val="en-US" w:eastAsia="ja-JP"/>
        </w:rPr>
        <w:t xml:space="preserve">for ESTABLISH-1 </w:t>
      </w:r>
      <w:r w:rsidR="000D42E9" w:rsidRPr="002E314E">
        <w:rPr>
          <w:sz w:val="22"/>
          <w:szCs w:val="22"/>
          <w:lang w:val="en-US" w:eastAsia="ja-JP"/>
        </w:rPr>
        <w:t>was calculated using</w:t>
      </w:r>
      <w:r w:rsidR="00AC04AB" w:rsidRPr="002E314E">
        <w:rPr>
          <w:sz w:val="22"/>
          <w:szCs w:val="22"/>
          <w:lang w:val="en-US" w:eastAsia="ja-JP"/>
        </w:rPr>
        <w:t xml:space="preserve"> </w:t>
      </w:r>
      <w:r w:rsidR="000D42E9" w:rsidRPr="002E314E">
        <w:rPr>
          <w:sz w:val="22"/>
          <w:szCs w:val="22"/>
          <w:lang w:val="en-US" w:eastAsia="ja-JP"/>
        </w:rPr>
        <w:t>the Farrington and Manning</w:t>
      </w:r>
      <w:r w:rsidR="00AC04AB" w:rsidRPr="002E314E">
        <w:rPr>
          <w:sz w:val="22"/>
          <w:szCs w:val="22"/>
          <w:lang w:val="en-US" w:eastAsia="ja-JP"/>
        </w:rPr>
        <w:t xml:space="preserve"> method</w:t>
      </w:r>
      <w:r w:rsidR="000A33F5" w:rsidRPr="002E314E">
        <w:rPr>
          <w:sz w:val="22"/>
          <w:szCs w:val="22"/>
          <w:lang w:val="en-US" w:eastAsia="ja-JP"/>
        </w:rPr>
        <w:t xml:space="preserve"> (</w:t>
      </w:r>
      <w:r w:rsidR="00A214EB">
        <w:rPr>
          <w:sz w:val="22"/>
          <w:szCs w:val="22"/>
          <w:lang w:val="en-US" w:eastAsia="ja-JP"/>
        </w:rPr>
        <w:fldChar w:fldCharType="begin"/>
      </w:r>
      <w:r w:rsidR="00A214EB">
        <w:rPr>
          <w:sz w:val="22"/>
          <w:szCs w:val="22"/>
          <w:lang w:val="en-US" w:eastAsia="ja-JP"/>
        </w:rPr>
        <w:instrText xml:space="preserve"> REF _Ref284172641 \r \h </w:instrText>
      </w:r>
      <w:r w:rsidR="00A214EB">
        <w:rPr>
          <w:sz w:val="22"/>
          <w:szCs w:val="22"/>
          <w:lang w:val="en-US" w:eastAsia="ja-JP"/>
        </w:rPr>
      </w:r>
      <w:r w:rsidR="00A214EB">
        <w:rPr>
          <w:sz w:val="22"/>
          <w:szCs w:val="22"/>
          <w:lang w:val="en-US" w:eastAsia="ja-JP"/>
        </w:rPr>
        <w:fldChar w:fldCharType="separate"/>
      </w:r>
      <w:r w:rsidR="00151A1C">
        <w:rPr>
          <w:sz w:val="22"/>
          <w:szCs w:val="22"/>
          <w:lang w:val="en-US" w:eastAsia="ja-JP"/>
        </w:rPr>
        <w:t>46</w:t>
      </w:r>
      <w:r w:rsidR="00A214EB">
        <w:rPr>
          <w:sz w:val="22"/>
          <w:szCs w:val="22"/>
          <w:lang w:val="en-US" w:eastAsia="ja-JP"/>
        </w:rPr>
        <w:fldChar w:fldCharType="end"/>
      </w:r>
      <w:r w:rsidR="000A33F5" w:rsidRPr="002E314E">
        <w:rPr>
          <w:sz w:val="22"/>
          <w:szCs w:val="22"/>
          <w:lang w:val="en-US" w:eastAsia="ja-JP"/>
        </w:rPr>
        <w:t>).</w:t>
      </w:r>
      <w:r w:rsidR="000D42E9" w:rsidRPr="002E314E">
        <w:rPr>
          <w:sz w:val="22"/>
          <w:szCs w:val="22"/>
          <w:lang w:val="en-US" w:eastAsia="ja-JP"/>
        </w:rPr>
        <w:t xml:space="preserve"> Assuming a point estimate of</w:t>
      </w:r>
      <w:r w:rsidR="00AC04AB" w:rsidRPr="002E314E">
        <w:rPr>
          <w:sz w:val="22"/>
          <w:szCs w:val="22"/>
          <w:lang w:val="en-US" w:eastAsia="ja-JP"/>
        </w:rPr>
        <w:t xml:space="preserve"> </w:t>
      </w:r>
      <w:r w:rsidR="000D42E9" w:rsidRPr="002E314E">
        <w:rPr>
          <w:sz w:val="22"/>
          <w:szCs w:val="22"/>
          <w:lang w:val="en-US" w:eastAsia="ja-JP"/>
        </w:rPr>
        <w:t>81% in both treatment groups for the</w:t>
      </w:r>
      <w:r w:rsidR="00AC04AB" w:rsidRPr="002E314E">
        <w:rPr>
          <w:sz w:val="22"/>
          <w:szCs w:val="22"/>
          <w:lang w:val="en-US" w:eastAsia="ja-JP"/>
        </w:rPr>
        <w:t xml:space="preserve"> </w:t>
      </w:r>
      <w:r w:rsidR="000D42E9" w:rsidRPr="002E314E">
        <w:rPr>
          <w:sz w:val="22"/>
          <w:szCs w:val="22"/>
          <w:lang w:val="en-US" w:eastAsia="ja-JP"/>
        </w:rPr>
        <w:t>primary outcome</w:t>
      </w:r>
      <w:r w:rsidR="003F4D43" w:rsidRPr="002E314E">
        <w:rPr>
          <w:sz w:val="22"/>
          <w:szCs w:val="22"/>
          <w:lang w:val="en-US" w:eastAsia="ja-JP"/>
        </w:rPr>
        <w:t xml:space="preserve"> </w:t>
      </w:r>
      <w:r w:rsidR="000D42E9" w:rsidRPr="002E314E">
        <w:rPr>
          <w:sz w:val="22"/>
          <w:szCs w:val="22"/>
          <w:lang w:val="en-US" w:eastAsia="ja-JP"/>
        </w:rPr>
        <w:t>measure of early clinical</w:t>
      </w:r>
      <w:r w:rsidR="00AC04AB" w:rsidRPr="002E314E">
        <w:rPr>
          <w:sz w:val="22"/>
          <w:szCs w:val="22"/>
          <w:lang w:val="en-US" w:eastAsia="ja-JP"/>
        </w:rPr>
        <w:t xml:space="preserve"> </w:t>
      </w:r>
      <w:r w:rsidR="000D42E9" w:rsidRPr="002E314E">
        <w:rPr>
          <w:sz w:val="22"/>
          <w:szCs w:val="22"/>
          <w:lang w:val="en-US" w:eastAsia="ja-JP"/>
        </w:rPr>
        <w:t>response rate at the 48- to 72-hour</w:t>
      </w:r>
      <w:r w:rsidR="00AC04AB" w:rsidRPr="002E314E">
        <w:rPr>
          <w:sz w:val="22"/>
          <w:szCs w:val="22"/>
          <w:lang w:val="en-US" w:eastAsia="ja-JP"/>
        </w:rPr>
        <w:t xml:space="preserve"> </w:t>
      </w:r>
      <w:r w:rsidR="000D42E9" w:rsidRPr="002E314E">
        <w:rPr>
          <w:sz w:val="22"/>
          <w:szCs w:val="22"/>
          <w:lang w:val="en-US" w:eastAsia="ja-JP"/>
        </w:rPr>
        <w:t>assessment</w:t>
      </w:r>
      <w:r w:rsidR="000D42E9" w:rsidRPr="00F24E89">
        <w:rPr>
          <w:color w:val="231F20"/>
          <w:sz w:val="22"/>
          <w:szCs w:val="22"/>
          <w:lang w:val="en-US" w:eastAsia="ja-JP"/>
        </w:rPr>
        <w:t xml:space="preserve">, a 90% power, 1-sided level of </w:t>
      </w:r>
      <w:r w:rsidR="000A33F5">
        <w:rPr>
          <w:color w:val="231F20"/>
          <w:sz w:val="22"/>
          <w:szCs w:val="22"/>
          <w:lang w:val="en-US" w:eastAsia="ja-JP"/>
        </w:rPr>
        <w:t>0</w:t>
      </w:r>
      <w:r w:rsidR="000D42E9" w:rsidRPr="00F24E89">
        <w:rPr>
          <w:color w:val="231F20"/>
          <w:sz w:val="22"/>
          <w:szCs w:val="22"/>
          <w:lang w:val="en-US" w:eastAsia="ja-JP"/>
        </w:rPr>
        <w:t>.025, and a 10% non</w:t>
      </w:r>
      <w:r w:rsidR="00023175">
        <w:rPr>
          <w:color w:val="231F20"/>
          <w:sz w:val="22"/>
          <w:szCs w:val="22"/>
          <w:lang w:val="en-US" w:eastAsia="ja-JP"/>
        </w:rPr>
        <w:t>-</w:t>
      </w:r>
      <w:r w:rsidR="000D42E9" w:rsidRPr="00F24E89">
        <w:rPr>
          <w:color w:val="231F20"/>
          <w:sz w:val="22"/>
          <w:szCs w:val="22"/>
          <w:lang w:val="en-US" w:eastAsia="ja-JP"/>
        </w:rPr>
        <w:t>inferiority</w:t>
      </w:r>
      <w:r w:rsidR="00AC04AB" w:rsidRPr="00F24E89">
        <w:rPr>
          <w:color w:val="231F20"/>
          <w:sz w:val="22"/>
          <w:szCs w:val="22"/>
          <w:lang w:val="en-US" w:eastAsia="ja-JP"/>
        </w:rPr>
        <w:t xml:space="preserve"> </w:t>
      </w:r>
      <w:r w:rsidR="000D42E9" w:rsidRPr="00F24E89">
        <w:rPr>
          <w:color w:val="231F20"/>
          <w:sz w:val="22"/>
          <w:szCs w:val="22"/>
          <w:lang w:val="en-US" w:eastAsia="ja-JP"/>
        </w:rPr>
        <w:t>margin, a total sample size of 658 patients</w:t>
      </w:r>
      <w:r w:rsidR="00AC04AB" w:rsidRPr="00F24E89">
        <w:rPr>
          <w:color w:val="231F20"/>
          <w:sz w:val="22"/>
          <w:szCs w:val="22"/>
          <w:lang w:val="en-US" w:eastAsia="ja-JP"/>
        </w:rPr>
        <w:t xml:space="preserve"> </w:t>
      </w:r>
      <w:r w:rsidR="000D42E9" w:rsidRPr="00F24E89">
        <w:rPr>
          <w:color w:val="231F20"/>
          <w:sz w:val="22"/>
          <w:szCs w:val="22"/>
          <w:lang w:val="en-US" w:eastAsia="ja-JP"/>
        </w:rPr>
        <w:t>was required (329 patients in each</w:t>
      </w:r>
      <w:r w:rsidR="00AC04AB" w:rsidRPr="00F24E89">
        <w:rPr>
          <w:color w:val="231F20"/>
          <w:sz w:val="22"/>
          <w:szCs w:val="22"/>
          <w:lang w:val="en-US" w:eastAsia="ja-JP"/>
        </w:rPr>
        <w:t xml:space="preserve"> </w:t>
      </w:r>
      <w:r w:rsidR="000D42E9" w:rsidRPr="00F24E89">
        <w:rPr>
          <w:color w:val="231F20"/>
          <w:sz w:val="22"/>
          <w:szCs w:val="22"/>
          <w:lang w:val="en-US" w:eastAsia="ja-JP"/>
        </w:rPr>
        <w:t>treatment group). A minimum early</w:t>
      </w:r>
      <w:r w:rsidR="00AC04AB" w:rsidRPr="00F24E89">
        <w:rPr>
          <w:color w:val="231F20"/>
          <w:sz w:val="22"/>
          <w:szCs w:val="22"/>
          <w:lang w:val="en-US" w:eastAsia="ja-JP"/>
        </w:rPr>
        <w:t xml:space="preserve"> </w:t>
      </w:r>
      <w:r w:rsidR="000D42E9" w:rsidRPr="00F24E89">
        <w:rPr>
          <w:color w:val="231F20"/>
          <w:sz w:val="22"/>
          <w:szCs w:val="22"/>
          <w:lang w:val="en-US" w:eastAsia="ja-JP"/>
        </w:rPr>
        <w:t>treatment response rate of 81% was</w:t>
      </w:r>
      <w:r w:rsidR="00AC04AB" w:rsidRPr="00F24E89">
        <w:rPr>
          <w:color w:val="231F20"/>
          <w:sz w:val="22"/>
          <w:szCs w:val="22"/>
          <w:lang w:val="en-US" w:eastAsia="ja-JP"/>
        </w:rPr>
        <w:t xml:space="preserve"> </w:t>
      </w:r>
      <w:r w:rsidR="000D42E9" w:rsidRPr="00F24E89">
        <w:rPr>
          <w:color w:val="231F20"/>
          <w:sz w:val="22"/>
          <w:szCs w:val="22"/>
          <w:lang w:val="en-US" w:eastAsia="ja-JP"/>
        </w:rPr>
        <w:t>based on results from the phase 2 dose</w:t>
      </w:r>
      <w:r w:rsidR="00AC04AB" w:rsidRPr="00F24E89">
        <w:rPr>
          <w:color w:val="231F20"/>
          <w:sz w:val="22"/>
          <w:szCs w:val="22"/>
          <w:lang w:val="en-US" w:eastAsia="ja-JP"/>
        </w:rPr>
        <w:t>-</w:t>
      </w:r>
      <w:r w:rsidR="000D42E9" w:rsidRPr="00F24E89">
        <w:rPr>
          <w:color w:val="231F20"/>
          <w:sz w:val="22"/>
          <w:szCs w:val="22"/>
          <w:lang w:val="en-US" w:eastAsia="ja-JP"/>
        </w:rPr>
        <w:t>ranging</w:t>
      </w:r>
      <w:r w:rsidR="00AC04AB" w:rsidRPr="00F24E89">
        <w:rPr>
          <w:color w:val="231F20"/>
          <w:sz w:val="22"/>
          <w:szCs w:val="22"/>
          <w:lang w:val="en-US" w:eastAsia="ja-JP"/>
        </w:rPr>
        <w:t xml:space="preserve"> </w:t>
      </w:r>
      <w:r w:rsidR="000D42E9" w:rsidRPr="00F24E89">
        <w:rPr>
          <w:color w:val="231F20"/>
          <w:sz w:val="22"/>
          <w:szCs w:val="22"/>
          <w:lang w:val="en-US" w:eastAsia="ja-JP"/>
        </w:rPr>
        <w:t>study in which 90.6% (95% CI,</w:t>
      </w:r>
      <w:r w:rsidR="00AC04AB" w:rsidRPr="00F24E89">
        <w:rPr>
          <w:color w:val="231F20"/>
          <w:sz w:val="22"/>
          <w:szCs w:val="22"/>
          <w:lang w:val="en-US" w:eastAsia="ja-JP"/>
        </w:rPr>
        <w:t xml:space="preserve"> </w:t>
      </w:r>
      <w:r w:rsidR="000D42E9" w:rsidRPr="00F24E89">
        <w:rPr>
          <w:color w:val="231F20"/>
          <w:sz w:val="22"/>
          <w:szCs w:val="22"/>
          <w:lang w:val="en-US" w:eastAsia="ja-JP"/>
        </w:rPr>
        <w:t>80.7%-96.5%) of patients in the 200 mg</w:t>
      </w:r>
      <w:r w:rsidR="00AC04AB" w:rsidRPr="00F24E89">
        <w:rPr>
          <w:color w:val="231F20"/>
          <w:sz w:val="22"/>
          <w:szCs w:val="22"/>
          <w:lang w:val="en-US" w:eastAsia="ja-JP"/>
        </w:rPr>
        <w:t xml:space="preserve"> </w:t>
      </w:r>
      <w:r w:rsidR="000D42E9" w:rsidRPr="00F24E89">
        <w:rPr>
          <w:color w:val="231F20"/>
          <w:sz w:val="22"/>
          <w:szCs w:val="22"/>
          <w:lang w:val="en-US" w:eastAsia="ja-JP"/>
        </w:rPr>
        <w:t>of tedizolid phosphate group had no increase</w:t>
      </w:r>
      <w:r w:rsidR="00AC04AB" w:rsidRPr="00F24E89">
        <w:rPr>
          <w:color w:val="231F20"/>
          <w:sz w:val="22"/>
          <w:szCs w:val="22"/>
          <w:lang w:val="en-US" w:eastAsia="ja-JP"/>
        </w:rPr>
        <w:t xml:space="preserve"> </w:t>
      </w:r>
      <w:r w:rsidR="000D42E9" w:rsidRPr="00F24E89">
        <w:rPr>
          <w:color w:val="231F20"/>
          <w:sz w:val="22"/>
          <w:szCs w:val="22"/>
          <w:lang w:val="en-US" w:eastAsia="ja-JP"/>
        </w:rPr>
        <w:t>in lesion size and 100% had no</w:t>
      </w:r>
      <w:r w:rsidR="00AC04AB" w:rsidRPr="00F24E89">
        <w:rPr>
          <w:color w:val="231F20"/>
          <w:sz w:val="22"/>
          <w:szCs w:val="22"/>
          <w:lang w:val="en-US" w:eastAsia="ja-JP"/>
        </w:rPr>
        <w:t xml:space="preserve"> </w:t>
      </w:r>
      <w:r w:rsidR="000D42E9" w:rsidRPr="00F24E89">
        <w:rPr>
          <w:color w:val="231F20"/>
          <w:sz w:val="22"/>
          <w:szCs w:val="22"/>
          <w:lang w:val="en-US" w:eastAsia="ja-JP"/>
        </w:rPr>
        <w:t>fever at t</w:t>
      </w:r>
      <w:r w:rsidR="000A33F5">
        <w:rPr>
          <w:color w:val="231F20"/>
          <w:sz w:val="22"/>
          <w:szCs w:val="22"/>
          <w:lang w:val="en-US" w:eastAsia="ja-JP"/>
        </w:rPr>
        <w:t>he day 3 assessment (</w:t>
      </w:r>
      <w:r w:rsidR="00A214EB">
        <w:rPr>
          <w:color w:val="231F20"/>
          <w:sz w:val="22"/>
          <w:szCs w:val="22"/>
          <w:lang w:val="en-US" w:eastAsia="ja-JP"/>
        </w:rPr>
        <w:fldChar w:fldCharType="begin"/>
      </w:r>
      <w:r w:rsidR="00A214EB">
        <w:rPr>
          <w:color w:val="231F20"/>
          <w:sz w:val="22"/>
          <w:szCs w:val="22"/>
          <w:lang w:val="en-US" w:eastAsia="ja-JP"/>
        </w:rPr>
        <w:instrText xml:space="preserve"> REF _Ref284171956 \r \h </w:instrText>
      </w:r>
      <w:r w:rsidR="00A214EB">
        <w:rPr>
          <w:color w:val="231F20"/>
          <w:sz w:val="22"/>
          <w:szCs w:val="22"/>
          <w:lang w:val="en-US" w:eastAsia="ja-JP"/>
        </w:rPr>
      </w:r>
      <w:r w:rsidR="00A214EB">
        <w:rPr>
          <w:color w:val="231F20"/>
          <w:sz w:val="22"/>
          <w:szCs w:val="22"/>
          <w:lang w:val="en-US" w:eastAsia="ja-JP"/>
        </w:rPr>
        <w:fldChar w:fldCharType="separate"/>
      </w:r>
      <w:r w:rsidR="00151A1C">
        <w:rPr>
          <w:color w:val="231F20"/>
          <w:sz w:val="22"/>
          <w:szCs w:val="22"/>
          <w:lang w:val="en-US" w:eastAsia="ja-JP"/>
        </w:rPr>
        <w:t>45</w:t>
      </w:r>
      <w:r w:rsidR="00A214EB">
        <w:rPr>
          <w:color w:val="231F20"/>
          <w:sz w:val="22"/>
          <w:szCs w:val="22"/>
          <w:lang w:val="en-US" w:eastAsia="ja-JP"/>
        </w:rPr>
        <w:fldChar w:fldCharType="end"/>
      </w:r>
      <w:r w:rsidR="000A33F5">
        <w:rPr>
          <w:color w:val="231F20"/>
          <w:sz w:val="22"/>
          <w:szCs w:val="22"/>
          <w:lang w:val="en-US" w:eastAsia="ja-JP"/>
        </w:rPr>
        <w:t>).</w:t>
      </w:r>
      <w:r w:rsidR="000D42E9" w:rsidRPr="00F24E89">
        <w:rPr>
          <w:color w:val="231F20"/>
          <w:sz w:val="22"/>
          <w:szCs w:val="22"/>
          <w:lang w:val="en-US" w:eastAsia="ja-JP"/>
        </w:rPr>
        <w:t xml:space="preserve"> </w:t>
      </w:r>
    </w:p>
    <w:p w14:paraId="351E5E1C" w14:textId="77777777" w:rsidR="00AC04AB" w:rsidRPr="00F24E89" w:rsidRDefault="00AC04AB" w:rsidP="000D42E9">
      <w:pPr>
        <w:widowControl w:val="0"/>
        <w:autoSpaceDE w:val="0"/>
        <w:autoSpaceDN w:val="0"/>
        <w:adjustRightInd w:val="0"/>
        <w:rPr>
          <w:color w:val="231F20"/>
          <w:sz w:val="22"/>
          <w:szCs w:val="22"/>
          <w:lang w:val="en-US" w:eastAsia="ja-JP"/>
        </w:rPr>
      </w:pPr>
    </w:p>
    <w:p w14:paraId="7C2F8949" w14:textId="36BB454E" w:rsidR="00B11ECB" w:rsidRDefault="000D42E9" w:rsidP="00F24E89">
      <w:pPr>
        <w:widowControl w:val="0"/>
        <w:autoSpaceDE w:val="0"/>
        <w:autoSpaceDN w:val="0"/>
        <w:adjustRightInd w:val="0"/>
        <w:rPr>
          <w:color w:val="231F20"/>
          <w:sz w:val="22"/>
          <w:szCs w:val="22"/>
          <w:lang w:val="en-US" w:eastAsia="ja-JP"/>
        </w:rPr>
      </w:pPr>
      <w:r w:rsidRPr="00F24E89">
        <w:rPr>
          <w:color w:val="231F20"/>
          <w:sz w:val="22"/>
          <w:szCs w:val="22"/>
          <w:lang w:val="en-US" w:eastAsia="ja-JP"/>
        </w:rPr>
        <w:t>Exact 95% confidence intervals for</w:t>
      </w:r>
      <w:r w:rsidR="00AC04AB" w:rsidRPr="00F24E89">
        <w:rPr>
          <w:color w:val="231F20"/>
          <w:sz w:val="22"/>
          <w:szCs w:val="22"/>
          <w:lang w:val="en-US" w:eastAsia="ja-JP"/>
        </w:rPr>
        <w:t xml:space="preserve"> </w:t>
      </w:r>
      <w:r w:rsidRPr="00F24E89">
        <w:rPr>
          <w:color w:val="231F20"/>
          <w:sz w:val="22"/>
          <w:szCs w:val="22"/>
          <w:lang w:val="en-US" w:eastAsia="ja-JP"/>
        </w:rPr>
        <w:t>point estimates were determined using</w:t>
      </w:r>
      <w:r w:rsidR="00AC04AB" w:rsidRPr="00F24E89">
        <w:rPr>
          <w:color w:val="231F20"/>
          <w:sz w:val="22"/>
          <w:szCs w:val="22"/>
          <w:lang w:val="en-US" w:eastAsia="ja-JP"/>
        </w:rPr>
        <w:t xml:space="preserve"> </w:t>
      </w:r>
      <w:r w:rsidRPr="00F24E89">
        <w:rPr>
          <w:color w:val="231F20"/>
          <w:sz w:val="22"/>
          <w:szCs w:val="22"/>
          <w:lang w:val="en-US" w:eastAsia="ja-JP"/>
        </w:rPr>
        <w:t xml:space="preserve">the </w:t>
      </w:r>
      <w:r w:rsidR="000A33F5">
        <w:rPr>
          <w:color w:val="231F20"/>
          <w:sz w:val="22"/>
          <w:szCs w:val="22"/>
          <w:lang w:val="en-US" w:eastAsia="ja-JP"/>
        </w:rPr>
        <w:t>method of Clopper and Pearson (</w:t>
      </w:r>
      <w:r w:rsidR="00A214EB">
        <w:rPr>
          <w:color w:val="231F20"/>
          <w:sz w:val="22"/>
          <w:szCs w:val="22"/>
          <w:lang w:val="en-US" w:eastAsia="ja-JP"/>
        </w:rPr>
        <w:fldChar w:fldCharType="begin"/>
      </w:r>
      <w:r w:rsidR="00A214EB">
        <w:rPr>
          <w:color w:val="231F20"/>
          <w:sz w:val="22"/>
          <w:szCs w:val="22"/>
          <w:lang w:val="en-US" w:eastAsia="ja-JP"/>
        </w:rPr>
        <w:instrText xml:space="preserve"> REF _Ref284172689 \r \h </w:instrText>
      </w:r>
      <w:r w:rsidR="00A214EB">
        <w:rPr>
          <w:color w:val="231F20"/>
          <w:sz w:val="22"/>
          <w:szCs w:val="22"/>
          <w:lang w:val="en-US" w:eastAsia="ja-JP"/>
        </w:rPr>
      </w:r>
      <w:r w:rsidR="00A214EB">
        <w:rPr>
          <w:color w:val="231F20"/>
          <w:sz w:val="22"/>
          <w:szCs w:val="22"/>
          <w:lang w:val="en-US" w:eastAsia="ja-JP"/>
        </w:rPr>
        <w:fldChar w:fldCharType="separate"/>
      </w:r>
      <w:r w:rsidR="00151A1C">
        <w:rPr>
          <w:color w:val="231F20"/>
          <w:sz w:val="22"/>
          <w:szCs w:val="22"/>
          <w:lang w:val="en-US" w:eastAsia="ja-JP"/>
        </w:rPr>
        <w:t>47</w:t>
      </w:r>
      <w:r w:rsidR="00A214EB">
        <w:rPr>
          <w:color w:val="231F20"/>
          <w:sz w:val="22"/>
          <w:szCs w:val="22"/>
          <w:lang w:val="en-US" w:eastAsia="ja-JP"/>
        </w:rPr>
        <w:fldChar w:fldCharType="end"/>
      </w:r>
      <w:r w:rsidR="000A33F5">
        <w:rPr>
          <w:color w:val="231F20"/>
          <w:sz w:val="22"/>
          <w:szCs w:val="22"/>
          <w:lang w:val="en-US" w:eastAsia="ja-JP"/>
        </w:rPr>
        <w:t>).</w:t>
      </w:r>
      <w:r w:rsidR="00AC04AB" w:rsidRPr="00F24E89">
        <w:rPr>
          <w:color w:val="231F20"/>
          <w:sz w:val="22"/>
          <w:szCs w:val="22"/>
          <w:lang w:val="en-US" w:eastAsia="ja-JP"/>
        </w:rPr>
        <w:t xml:space="preserve"> </w:t>
      </w:r>
      <w:r w:rsidRPr="00F24E89">
        <w:rPr>
          <w:color w:val="231F20"/>
          <w:sz w:val="22"/>
          <w:szCs w:val="22"/>
          <w:lang w:val="en-US" w:eastAsia="ja-JP"/>
        </w:rPr>
        <w:t>Non</w:t>
      </w:r>
      <w:r w:rsidR="00023175">
        <w:rPr>
          <w:color w:val="231F20"/>
          <w:sz w:val="22"/>
          <w:szCs w:val="22"/>
          <w:lang w:val="en-US" w:eastAsia="ja-JP"/>
        </w:rPr>
        <w:t>-</w:t>
      </w:r>
      <w:r w:rsidRPr="00F24E89">
        <w:rPr>
          <w:color w:val="231F20"/>
          <w:sz w:val="22"/>
          <w:szCs w:val="22"/>
          <w:lang w:val="en-US" w:eastAsia="ja-JP"/>
        </w:rPr>
        <w:t>inferiority for the primary and secondary</w:t>
      </w:r>
      <w:r w:rsidR="00AC04AB" w:rsidRPr="00F24E89">
        <w:rPr>
          <w:color w:val="231F20"/>
          <w:sz w:val="22"/>
          <w:szCs w:val="22"/>
          <w:lang w:val="en-US" w:eastAsia="ja-JP"/>
        </w:rPr>
        <w:t xml:space="preserve"> </w:t>
      </w:r>
      <w:r w:rsidRPr="00F24E89">
        <w:rPr>
          <w:color w:val="231F20"/>
          <w:sz w:val="22"/>
          <w:szCs w:val="22"/>
          <w:lang w:val="en-US" w:eastAsia="ja-JP"/>
        </w:rPr>
        <w:t>efficacy outcomes was determined</w:t>
      </w:r>
      <w:r w:rsidR="00AC04AB" w:rsidRPr="00F24E89">
        <w:rPr>
          <w:color w:val="231F20"/>
          <w:sz w:val="22"/>
          <w:szCs w:val="22"/>
          <w:lang w:val="en-US" w:eastAsia="ja-JP"/>
        </w:rPr>
        <w:t xml:space="preserve"> </w:t>
      </w:r>
      <w:r w:rsidRPr="00F24E89">
        <w:rPr>
          <w:color w:val="231F20"/>
          <w:sz w:val="22"/>
          <w:szCs w:val="22"/>
          <w:lang w:val="en-US" w:eastAsia="ja-JP"/>
        </w:rPr>
        <w:t>based on the lower limit of the</w:t>
      </w:r>
      <w:r w:rsidR="00F24E89">
        <w:rPr>
          <w:color w:val="231F20"/>
          <w:sz w:val="22"/>
          <w:szCs w:val="22"/>
          <w:lang w:val="en-US" w:eastAsia="ja-JP"/>
        </w:rPr>
        <w:t xml:space="preserve"> </w:t>
      </w:r>
      <w:r w:rsidRPr="00F24E89">
        <w:rPr>
          <w:color w:val="231F20"/>
          <w:sz w:val="22"/>
          <w:szCs w:val="22"/>
          <w:lang w:val="en-US" w:eastAsia="ja-JP"/>
        </w:rPr>
        <w:t>2-sided 95% confidence intervals for the</w:t>
      </w:r>
      <w:r w:rsidR="00AC04AB" w:rsidRPr="00F24E89">
        <w:rPr>
          <w:color w:val="231F20"/>
          <w:sz w:val="22"/>
          <w:szCs w:val="22"/>
          <w:lang w:val="en-US" w:eastAsia="ja-JP"/>
        </w:rPr>
        <w:t xml:space="preserve"> </w:t>
      </w:r>
      <w:r w:rsidRPr="00F24E89">
        <w:rPr>
          <w:color w:val="231F20"/>
          <w:sz w:val="22"/>
          <w:szCs w:val="22"/>
          <w:lang w:val="en-US" w:eastAsia="ja-JP"/>
        </w:rPr>
        <w:t>difference in treatment response rates.</w:t>
      </w:r>
      <w:r w:rsidR="00AC04AB" w:rsidRPr="00F24E89">
        <w:rPr>
          <w:color w:val="231F20"/>
          <w:sz w:val="22"/>
          <w:szCs w:val="22"/>
          <w:lang w:val="en-US" w:eastAsia="ja-JP"/>
        </w:rPr>
        <w:t xml:space="preserve"> </w:t>
      </w:r>
      <w:r w:rsidRPr="00F24E89">
        <w:rPr>
          <w:color w:val="231F20"/>
          <w:sz w:val="22"/>
          <w:szCs w:val="22"/>
          <w:lang w:val="en-US" w:eastAsia="ja-JP"/>
        </w:rPr>
        <w:t>The 95% confidence intervals were</w:t>
      </w:r>
      <w:r w:rsidR="00AC04AB" w:rsidRPr="00F24E89">
        <w:rPr>
          <w:color w:val="231F20"/>
          <w:sz w:val="22"/>
          <w:szCs w:val="22"/>
          <w:lang w:val="en-US" w:eastAsia="ja-JP"/>
        </w:rPr>
        <w:t xml:space="preserve"> </w:t>
      </w:r>
      <w:r w:rsidRPr="00F24E89">
        <w:rPr>
          <w:color w:val="231F20"/>
          <w:sz w:val="22"/>
          <w:szCs w:val="22"/>
          <w:lang w:val="en-US" w:eastAsia="ja-JP"/>
        </w:rPr>
        <w:t>computed using the method proposed</w:t>
      </w:r>
      <w:r w:rsidR="00AC04AB" w:rsidRPr="00F24E89">
        <w:rPr>
          <w:color w:val="231F20"/>
          <w:sz w:val="22"/>
          <w:szCs w:val="22"/>
          <w:lang w:val="en-US" w:eastAsia="ja-JP"/>
        </w:rPr>
        <w:t xml:space="preserve"> </w:t>
      </w:r>
      <w:r w:rsidRPr="00F24E89">
        <w:rPr>
          <w:color w:val="231F20"/>
          <w:sz w:val="22"/>
          <w:szCs w:val="22"/>
          <w:lang w:val="en-US" w:eastAsia="ja-JP"/>
        </w:rPr>
        <w:t>with stratification (for presence or absence</w:t>
      </w:r>
      <w:r w:rsidR="00AC04AB" w:rsidRPr="00F24E89">
        <w:rPr>
          <w:color w:val="231F20"/>
          <w:sz w:val="22"/>
          <w:szCs w:val="22"/>
          <w:lang w:val="en-US" w:eastAsia="ja-JP"/>
        </w:rPr>
        <w:t xml:space="preserve"> </w:t>
      </w:r>
      <w:r w:rsidRPr="00F24E89">
        <w:rPr>
          <w:color w:val="231F20"/>
          <w:sz w:val="22"/>
          <w:szCs w:val="22"/>
          <w:lang w:val="en-US" w:eastAsia="ja-JP"/>
        </w:rPr>
        <w:t>of fever at baseline) by Miettinen</w:t>
      </w:r>
      <w:r w:rsidR="00AC04AB" w:rsidRPr="00F24E89">
        <w:rPr>
          <w:color w:val="231F20"/>
          <w:sz w:val="22"/>
          <w:szCs w:val="22"/>
          <w:lang w:val="en-US" w:eastAsia="ja-JP"/>
        </w:rPr>
        <w:t xml:space="preserve"> </w:t>
      </w:r>
      <w:r w:rsidR="000A33F5">
        <w:rPr>
          <w:color w:val="231F20"/>
          <w:sz w:val="22"/>
          <w:szCs w:val="22"/>
          <w:lang w:val="en-US" w:eastAsia="ja-JP"/>
        </w:rPr>
        <w:t>and Nurminen (</w:t>
      </w:r>
      <w:r w:rsidR="008F2E61">
        <w:rPr>
          <w:color w:val="231F20"/>
          <w:sz w:val="22"/>
          <w:szCs w:val="22"/>
          <w:lang w:val="en-US" w:eastAsia="ja-JP"/>
        </w:rPr>
        <w:fldChar w:fldCharType="begin"/>
      </w:r>
      <w:r w:rsidR="008F2E61">
        <w:rPr>
          <w:color w:val="231F20"/>
          <w:sz w:val="22"/>
          <w:szCs w:val="22"/>
          <w:lang w:val="en-US" w:eastAsia="ja-JP"/>
        </w:rPr>
        <w:instrText xml:space="preserve"> REF _Ref284424518 \r \h </w:instrText>
      </w:r>
      <w:r w:rsidR="008F2E61">
        <w:rPr>
          <w:color w:val="231F20"/>
          <w:sz w:val="22"/>
          <w:szCs w:val="22"/>
          <w:lang w:val="en-US" w:eastAsia="ja-JP"/>
        </w:rPr>
      </w:r>
      <w:r w:rsidR="008F2E61">
        <w:rPr>
          <w:color w:val="231F20"/>
          <w:sz w:val="22"/>
          <w:szCs w:val="22"/>
          <w:lang w:val="en-US" w:eastAsia="ja-JP"/>
        </w:rPr>
        <w:fldChar w:fldCharType="separate"/>
      </w:r>
      <w:r w:rsidR="00151A1C">
        <w:rPr>
          <w:color w:val="231F20"/>
          <w:sz w:val="22"/>
          <w:szCs w:val="22"/>
          <w:lang w:val="en-US" w:eastAsia="ja-JP"/>
        </w:rPr>
        <w:t>48</w:t>
      </w:r>
      <w:r w:rsidR="008F2E61">
        <w:rPr>
          <w:color w:val="231F20"/>
          <w:sz w:val="22"/>
          <w:szCs w:val="22"/>
          <w:lang w:val="en-US" w:eastAsia="ja-JP"/>
        </w:rPr>
        <w:fldChar w:fldCharType="end"/>
      </w:r>
      <w:r w:rsidR="008F2E61">
        <w:rPr>
          <w:color w:val="231F20"/>
          <w:sz w:val="22"/>
          <w:szCs w:val="22"/>
          <w:lang w:val="en-US" w:eastAsia="ja-JP"/>
        </w:rPr>
        <w:t>)</w:t>
      </w:r>
      <w:r w:rsidR="000A33F5">
        <w:rPr>
          <w:color w:val="231F20"/>
          <w:sz w:val="22"/>
          <w:szCs w:val="22"/>
          <w:lang w:val="en-US" w:eastAsia="ja-JP"/>
        </w:rPr>
        <w:t>.</w:t>
      </w:r>
      <w:r w:rsidRPr="00F24E89">
        <w:rPr>
          <w:color w:val="231F20"/>
          <w:sz w:val="22"/>
          <w:szCs w:val="22"/>
          <w:lang w:val="en-US" w:eastAsia="ja-JP"/>
        </w:rPr>
        <w:t xml:space="preserve"> Non</w:t>
      </w:r>
      <w:r w:rsidR="00023175">
        <w:rPr>
          <w:color w:val="231F20"/>
          <w:sz w:val="22"/>
          <w:szCs w:val="22"/>
          <w:lang w:val="en-US" w:eastAsia="ja-JP"/>
        </w:rPr>
        <w:t>-</w:t>
      </w:r>
      <w:r w:rsidRPr="00F24E89">
        <w:rPr>
          <w:color w:val="231F20"/>
          <w:sz w:val="22"/>
          <w:szCs w:val="22"/>
          <w:lang w:val="en-US" w:eastAsia="ja-JP"/>
        </w:rPr>
        <w:t>inferiority</w:t>
      </w:r>
      <w:r w:rsidR="00AC04AB" w:rsidRPr="00F24E89">
        <w:rPr>
          <w:color w:val="231F20"/>
          <w:sz w:val="22"/>
          <w:szCs w:val="22"/>
          <w:lang w:val="en-US" w:eastAsia="ja-JP"/>
        </w:rPr>
        <w:t xml:space="preserve"> </w:t>
      </w:r>
      <w:r w:rsidRPr="00F24E89">
        <w:rPr>
          <w:color w:val="231F20"/>
          <w:sz w:val="22"/>
          <w:szCs w:val="22"/>
          <w:lang w:val="en-US" w:eastAsia="ja-JP"/>
        </w:rPr>
        <w:t>was concluded if the lower limit of the</w:t>
      </w:r>
      <w:r w:rsidR="00AC04AB" w:rsidRPr="00F24E89">
        <w:rPr>
          <w:color w:val="231F20"/>
          <w:sz w:val="22"/>
          <w:szCs w:val="22"/>
          <w:lang w:val="en-US" w:eastAsia="ja-JP"/>
        </w:rPr>
        <w:t xml:space="preserve"> </w:t>
      </w:r>
      <w:r w:rsidRPr="00F24E89">
        <w:rPr>
          <w:color w:val="231F20"/>
          <w:sz w:val="22"/>
          <w:szCs w:val="22"/>
          <w:lang w:val="en-US" w:eastAsia="ja-JP"/>
        </w:rPr>
        <w:t>95% confidence interval was greater</w:t>
      </w:r>
      <w:r w:rsidR="00AC04AB" w:rsidRPr="00F24E89">
        <w:rPr>
          <w:color w:val="231F20"/>
          <w:sz w:val="22"/>
          <w:szCs w:val="22"/>
          <w:lang w:val="en-US" w:eastAsia="ja-JP"/>
        </w:rPr>
        <w:t xml:space="preserve"> than -</w:t>
      </w:r>
      <w:r w:rsidR="00F24E89">
        <w:rPr>
          <w:color w:val="231F20"/>
          <w:sz w:val="22"/>
          <w:szCs w:val="22"/>
          <w:lang w:val="en-US" w:eastAsia="ja-JP"/>
        </w:rPr>
        <w:t xml:space="preserve">10%. </w:t>
      </w:r>
    </w:p>
    <w:p w14:paraId="521A5EB5" w14:textId="77777777" w:rsidR="00B11ECB" w:rsidRDefault="00B11ECB" w:rsidP="00F24E89">
      <w:pPr>
        <w:widowControl w:val="0"/>
        <w:autoSpaceDE w:val="0"/>
        <w:autoSpaceDN w:val="0"/>
        <w:adjustRightInd w:val="0"/>
        <w:rPr>
          <w:color w:val="231F20"/>
          <w:sz w:val="22"/>
          <w:szCs w:val="22"/>
          <w:lang w:val="en-US" w:eastAsia="ja-JP"/>
        </w:rPr>
      </w:pPr>
    </w:p>
    <w:p w14:paraId="4619C85C" w14:textId="2DF4F2BC" w:rsidR="00165ED7" w:rsidRPr="00CE3741" w:rsidRDefault="000D42E9" w:rsidP="00F24E89">
      <w:pPr>
        <w:widowControl w:val="0"/>
        <w:autoSpaceDE w:val="0"/>
        <w:autoSpaceDN w:val="0"/>
        <w:adjustRightInd w:val="0"/>
        <w:rPr>
          <w:sz w:val="22"/>
          <w:szCs w:val="22"/>
          <w:lang w:val="en-US" w:eastAsia="ja-JP"/>
        </w:rPr>
      </w:pPr>
      <w:r w:rsidRPr="00CE3741">
        <w:rPr>
          <w:sz w:val="22"/>
          <w:szCs w:val="22"/>
          <w:lang w:val="en-US" w:eastAsia="ja-JP"/>
        </w:rPr>
        <w:t>To control for inflation of the overall</w:t>
      </w:r>
      <w:r w:rsidR="00AC04AB" w:rsidRPr="00CE3741">
        <w:rPr>
          <w:sz w:val="22"/>
          <w:szCs w:val="22"/>
          <w:lang w:val="en-US" w:eastAsia="ja-JP"/>
        </w:rPr>
        <w:t xml:space="preserve"> </w:t>
      </w:r>
      <w:r w:rsidRPr="00CE3741">
        <w:rPr>
          <w:sz w:val="22"/>
          <w:szCs w:val="22"/>
          <w:lang w:val="en-US" w:eastAsia="ja-JP"/>
        </w:rPr>
        <w:t>type I error rate, the hierarchical testing</w:t>
      </w:r>
      <w:r w:rsidR="00AC04AB" w:rsidRPr="00CE3741">
        <w:rPr>
          <w:sz w:val="22"/>
          <w:szCs w:val="22"/>
          <w:lang w:val="en-US" w:eastAsia="ja-JP"/>
        </w:rPr>
        <w:t xml:space="preserve"> </w:t>
      </w:r>
      <w:r w:rsidRPr="00CE3741">
        <w:rPr>
          <w:sz w:val="22"/>
          <w:szCs w:val="22"/>
          <w:lang w:val="en-US" w:eastAsia="ja-JP"/>
        </w:rPr>
        <w:t>procedure of Westfall and K</w:t>
      </w:r>
      <w:r w:rsidR="000A33F5" w:rsidRPr="00CE3741">
        <w:rPr>
          <w:sz w:val="22"/>
          <w:szCs w:val="22"/>
          <w:lang w:val="en-US" w:eastAsia="ja-JP"/>
        </w:rPr>
        <w:t>rishen (</w:t>
      </w:r>
      <w:r w:rsidR="008F2E61">
        <w:rPr>
          <w:sz w:val="22"/>
          <w:szCs w:val="22"/>
          <w:lang w:val="en-US" w:eastAsia="ja-JP"/>
        </w:rPr>
        <w:fldChar w:fldCharType="begin"/>
      </w:r>
      <w:r w:rsidR="008F2E61">
        <w:rPr>
          <w:sz w:val="22"/>
          <w:szCs w:val="22"/>
          <w:lang w:val="en-US" w:eastAsia="ja-JP"/>
        </w:rPr>
        <w:instrText xml:space="preserve"> REF _Ref284424601 \r \h </w:instrText>
      </w:r>
      <w:r w:rsidR="008F2E61">
        <w:rPr>
          <w:sz w:val="22"/>
          <w:szCs w:val="22"/>
          <w:lang w:val="en-US" w:eastAsia="ja-JP"/>
        </w:rPr>
      </w:r>
      <w:r w:rsidR="008F2E61">
        <w:rPr>
          <w:sz w:val="22"/>
          <w:szCs w:val="22"/>
          <w:lang w:val="en-US" w:eastAsia="ja-JP"/>
        </w:rPr>
        <w:fldChar w:fldCharType="separate"/>
      </w:r>
      <w:r w:rsidR="00151A1C">
        <w:rPr>
          <w:sz w:val="22"/>
          <w:szCs w:val="22"/>
          <w:lang w:val="en-US" w:eastAsia="ja-JP"/>
        </w:rPr>
        <w:t>49</w:t>
      </w:r>
      <w:r w:rsidR="008F2E61">
        <w:rPr>
          <w:sz w:val="22"/>
          <w:szCs w:val="22"/>
          <w:lang w:val="en-US" w:eastAsia="ja-JP"/>
        </w:rPr>
        <w:fldChar w:fldCharType="end"/>
      </w:r>
      <w:r w:rsidR="000A33F5" w:rsidRPr="00CE3741">
        <w:rPr>
          <w:sz w:val="22"/>
          <w:szCs w:val="22"/>
          <w:lang w:val="en-US" w:eastAsia="ja-JP"/>
        </w:rPr>
        <w:t>)</w:t>
      </w:r>
      <w:r w:rsidR="00AC04AB" w:rsidRPr="00CE3741">
        <w:rPr>
          <w:sz w:val="22"/>
          <w:szCs w:val="22"/>
          <w:lang w:val="en-US" w:eastAsia="ja-JP"/>
        </w:rPr>
        <w:t xml:space="preserve"> </w:t>
      </w:r>
      <w:r w:rsidRPr="00CE3741">
        <w:rPr>
          <w:sz w:val="22"/>
          <w:szCs w:val="22"/>
          <w:lang w:val="en-US" w:eastAsia="ja-JP"/>
        </w:rPr>
        <w:t>was used with the order of the testing</w:t>
      </w:r>
      <w:r w:rsidR="00AC04AB" w:rsidRPr="00CE3741">
        <w:rPr>
          <w:sz w:val="22"/>
          <w:szCs w:val="22"/>
          <w:lang w:val="en-US" w:eastAsia="ja-JP"/>
        </w:rPr>
        <w:t xml:space="preserve"> </w:t>
      </w:r>
      <w:r w:rsidRPr="00CE3741">
        <w:rPr>
          <w:sz w:val="22"/>
          <w:szCs w:val="22"/>
          <w:lang w:val="en-US" w:eastAsia="ja-JP"/>
        </w:rPr>
        <w:t>procedure as indicated above for secondary</w:t>
      </w:r>
      <w:r w:rsidR="00AC04AB" w:rsidRPr="00CE3741">
        <w:rPr>
          <w:sz w:val="22"/>
          <w:szCs w:val="22"/>
          <w:lang w:val="en-US" w:eastAsia="ja-JP"/>
        </w:rPr>
        <w:t xml:space="preserve"> </w:t>
      </w:r>
      <w:r w:rsidRPr="00CE3741">
        <w:rPr>
          <w:sz w:val="22"/>
          <w:szCs w:val="22"/>
          <w:lang w:val="en-US" w:eastAsia="ja-JP"/>
        </w:rPr>
        <w:t>outcom</w:t>
      </w:r>
      <w:r w:rsidR="00AC04AB" w:rsidRPr="00CE3741">
        <w:rPr>
          <w:sz w:val="22"/>
          <w:szCs w:val="22"/>
          <w:lang w:val="en-US" w:eastAsia="ja-JP"/>
        </w:rPr>
        <w:t>es. Safety data were summaris</w:t>
      </w:r>
      <w:r w:rsidRPr="00CE3741">
        <w:rPr>
          <w:sz w:val="22"/>
          <w:szCs w:val="22"/>
          <w:lang w:val="en-US" w:eastAsia="ja-JP"/>
        </w:rPr>
        <w:t>ed</w:t>
      </w:r>
      <w:r w:rsidR="00AC04AB" w:rsidRPr="00CE3741">
        <w:rPr>
          <w:sz w:val="22"/>
          <w:szCs w:val="22"/>
          <w:lang w:val="en-US" w:eastAsia="ja-JP"/>
        </w:rPr>
        <w:t xml:space="preserve"> </w:t>
      </w:r>
      <w:r w:rsidRPr="00CE3741">
        <w:rPr>
          <w:sz w:val="22"/>
          <w:szCs w:val="22"/>
          <w:lang w:val="en-US" w:eastAsia="ja-JP"/>
        </w:rPr>
        <w:t>by treatment group using the</w:t>
      </w:r>
      <w:r w:rsidR="00F24E89" w:rsidRPr="00CE3741">
        <w:rPr>
          <w:sz w:val="22"/>
          <w:szCs w:val="22"/>
          <w:lang w:val="en-US" w:eastAsia="ja-JP"/>
        </w:rPr>
        <w:t xml:space="preserve"> </w:t>
      </w:r>
      <w:r w:rsidRPr="00CE3741">
        <w:rPr>
          <w:sz w:val="22"/>
          <w:szCs w:val="22"/>
          <w:lang w:val="en-US" w:eastAsia="ja-JP"/>
        </w:rPr>
        <w:t>numbers and percentages of patients. All</w:t>
      </w:r>
      <w:r w:rsidR="00F24E89" w:rsidRPr="00CE3741">
        <w:rPr>
          <w:sz w:val="22"/>
          <w:szCs w:val="22"/>
          <w:lang w:val="en-US" w:eastAsia="ja-JP"/>
        </w:rPr>
        <w:t xml:space="preserve"> </w:t>
      </w:r>
      <w:r w:rsidRPr="00CE3741">
        <w:rPr>
          <w:sz w:val="22"/>
          <w:szCs w:val="22"/>
          <w:lang w:val="en-US" w:eastAsia="ja-JP"/>
        </w:rPr>
        <w:t>statistical analyses were performed using</w:t>
      </w:r>
      <w:r w:rsidR="00F24E89" w:rsidRPr="00CE3741">
        <w:rPr>
          <w:sz w:val="22"/>
          <w:szCs w:val="22"/>
          <w:lang w:val="en-US" w:eastAsia="ja-JP"/>
        </w:rPr>
        <w:t xml:space="preserve"> </w:t>
      </w:r>
      <w:r w:rsidR="00A214EB">
        <w:rPr>
          <w:sz w:val="22"/>
          <w:szCs w:val="22"/>
          <w:lang w:val="en-US" w:eastAsia="ja-JP"/>
        </w:rPr>
        <w:t>SAS version 9.2</w:t>
      </w:r>
      <w:r w:rsidRPr="00CE3741">
        <w:rPr>
          <w:sz w:val="22"/>
          <w:szCs w:val="22"/>
          <w:lang w:val="en-US" w:eastAsia="ja-JP"/>
        </w:rPr>
        <w:t>.</w:t>
      </w:r>
    </w:p>
    <w:p w14:paraId="1AF81538" w14:textId="77777777" w:rsidR="000D42E9" w:rsidRPr="00CE3741" w:rsidRDefault="000D42E9" w:rsidP="000D42E9">
      <w:pPr>
        <w:autoSpaceDE w:val="0"/>
        <w:autoSpaceDN w:val="0"/>
        <w:adjustRightInd w:val="0"/>
        <w:rPr>
          <w:rFonts w:cs="Arial"/>
          <w:b/>
          <w:sz w:val="22"/>
          <w:szCs w:val="22"/>
          <w:lang w:eastAsia="ja-JP"/>
        </w:rPr>
      </w:pPr>
    </w:p>
    <w:p w14:paraId="03C1833B" w14:textId="76D65824" w:rsidR="008E4E92" w:rsidRPr="00914929" w:rsidRDefault="002E314E" w:rsidP="00CE3741">
      <w:pPr>
        <w:autoSpaceDE w:val="0"/>
        <w:autoSpaceDN w:val="0"/>
        <w:adjustRightInd w:val="0"/>
        <w:rPr>
          <w:rFonts w:cs="Arial"/>
          <w:b/>
          <w:sz w:val="22"/>
          <w:szCs w:val="22"/>
          <w:lang w:eastAsia="ja-JP"/>
        </w:rPr>
      </w:pPr>
      <w:r>
        <w:rPr>
          <w:rFonts w:cs="Arial"/>
          <w:b/>
          <w:sz w:val="22"/>
          <w:szCs w:val="22"/>
          <w:lang w:eastAsia="ja-JP"/>
        </w:rPr>
        <w:t>3.3</w:t>
      </w:r>
      <w:r w:rsidR="00325673" w:rsidRPr="00914929">
        <w:rPr>
          <w:rFonts w:cs="Arial"/>
          <w:b/>
          <w:sz w:val="22"/>
          <w:szCs w:val="22"/>
          <w:lang w:eastAsia="ja-JP"/>
        </w:rPr>
        <w:t xml:space="preserve">.11 </w:t>
      </w:r>
      <w:r w:rsidR="00EC4726" w:rsidRPr="00914929">
        <w:rPr>
          <w:rFonts w:cs="Arial"/>
          <w:b/>
          <w:sz w:val="22"/>
          <w:szCs w:val="22"/>
          <w:lang w:eastAsia="ja-JP"/>
        </w:rPr>
        <w:t xml:space="preserve">Secondary </w:t>
      </w:r>
      <w:r w:rsidR="00D271AF" w:rsidRPr="00914929">
        <w:rPr>
          <w:rFonts w:cs="Arial"/>
          <w:b/>
          <w:sz w:val="22"/>
          <w:szCs w:val="22"/>
          <w:lang w:eastAsia="ja-JP"/>
        </w:rPr>
        <w:t>analyses of primary outcome</w:t>
      </w:r>
      <w:r w:rsidR="00CE3741" w:rsidRPr="00914929">
        <w:rPr>
          <w:rFonts w:cs="Arial"/>
          <w:b/>
          <w:sz w:val="22"/>
          <w:szCs w:val="22"/>
          <w:lang w:eastAsia="ja-JP"/>
        </w:rPr>
        <w:t xml:space="preserve">: </w:t>
      </w:r>
      <w:r w:rsidR="00A214EB">
        <w:rPr>
          <w:sz w:val="22"/>
          <w:szCs w:val="22"/>
          <w:lang w:val="en-US" w:eastAsia="ja-JP"/>
        </w:rPr>
        <w:t>Pre-specified</w:t>
      </w:r>
      <w:r w:rsidR="002B4C64" w:rsidRPr="00914929">
        <w:rPr>
          <w:sz w:val="22"/>
          <w:szCs w:val="22"/>
          <w:lang w:val="en-US" w:eastAsia="ja-JP"/>
        </w:rPr>
        <w:t xml:space="preserve"> </w:t>
      </w:r>
      <w:r w:rsidR="00A214EB">
        <w:rPr>
          <w:sz w:val="22"/>
          <w:szCs w:val="22"/>
          <w:lang w:val="en-US" w:eastAsia="ja-JP"/>
        </w:rPr>
        <w:t>s</w:t>
      </w:r>
      <w:r w:rsidR="00605397" w:rsidRPr="00914929">
        <w:rPr>
          <w:sz w:val="22"/>
          <w:szCs w:val="22"/>
          <w:lang w:val="en-US" w:eastAsia="ja-JP"/>
        </w:rPr>
        <w:t>ensitivity analyses of the primary end</w:t>
      </w:r>
      <w:r w:rsidR="00E16DE5" w:rsidRPr="00914929">
        <w:rPr>
          <w:sz w:val="22"/>
          <w:szCs w:val="22"/>
          <w:lang w:val="en-US" w:eastAsia="ja-JP"/>
        </w:rPr>
        <w:t>point</w:t>
      </w:r>
      <w:r w:rsidR="00605397" w:rsidRPr="00914929">
        <w:rPr>
          <w:sz w:val="22"/>
          <w:szCs w:val="22"/>
          <w:lang w:val="en-US" w:eastAsia="ja-JP"/>
        </w:rPr>
        <w:t xml:space="preserve"> </w:t>
      </w:r>
      <w:r w:rsidR="006E0479" w:rsidRPr="00914929">
        <w:rPr>
          <w:sz w:val="22"/>
          <w:szCs w:val="22"/>
          <w:lang w:val="en-US" w:eastAsia="ja-JP"/>
        </w:rPr>
        <w:t xml:space="preserve">were </w:t>
      </w:r>
      <w:r w:rsidR="00605397" w:rsidRPr="00914929">
        <w:rPr>
          <w:sz w:val="22"/>
          <w:szCs w:val="22"/>
          <w:lang w:val="en-US" w:eastAsia="ja-JP"/>
        </w:rPr>
        <w:t>planned</w:t>
      </w:r>
      <w:r w:rsidR="002B4C64" w:rsidRPr="00914929">
        <w:rPr>
          <w:sz w:val="22"/>
          <w:szCs w:val="22"/>
          <w:lang w:val="en-US" w:eastAsia="ja-JP"/>
        </w:rPr>
        <w:t xml:space="preserve"> </w:t>
      </w:r>
      <w:r w:rsidR="00605397" w:rsidRPr="00914929">
        <w:rPr>
          <w:sz w:val="22"/>
          <w:szCs w:val="22"/>
          <w:lang w:val="en-US" w:eastAsia="ja-JP"/>
        </w:rPr>
        <w:t>to test the robustness</w:t>
      </w:r>
      <w:r w:rsidR="006E0479" w:rsidRPr="00914929">
        <w:rPr>
          <w:sz w:val="22"/>
          <w:szCs w:val="22"/>
          <w:lang w:val="en-US" w:eastAsia="ja-JP"/>
        </w:rPr>
        <w:t xml:space="preserve"> </w:t>
      </w:r>
      <w:r w:rsidR="00605397" w:rsidRPr="00914929">
        <w:rPr>
          <w:sz w:val="22"/>
          <w:szCs w:val="22"/>
          <w:lang w:val="en-US" w:eastAsia="ja-JP"/>
        </w:rPr>
        <w:t>of the data and to correspond with</w:t>
      </w:r>
      <w:r w:rsidR="006E0479" w:rsidRPr="00914929">
        <w:rPr>
          <w:sz w:val="22"/>
          <w:szCs w:val="22"/>
          <w:lang w:val="en-US" w:eastAsia="ja-JP"/>
        </w:rPr>
        <w:t xml:space="preserve"> </w:t>
      </w:r>
      <w:r w:rsidR="00605397" w:rsidRPr="00914929">
        <w:rPr>
          <w:sz w:val="22"/>
          <w:szCs w:val="22"/>
          <w:lang w:val="en-US" w:eastAsia="ja-JP"/>
        </w:rPr>
        <w:t xml:space="preserve">evolving </w:t>
      </w:r>
      <w:r w:rsidR="00E16DE5" w:rsidRPr="00914929">
        <w:rPr>
          <w:sz w:val="22"/>
          <w:szCs w:val="22"/>
          <w:lang w:val="en-US" w:eastAsia="ja-JP"/>
        </w:rPr>
        <w:t>FDA/</w:t>
      </w:r>
      <w:r w:rsidR="00605397" w:rsidRPr="00914929">
        <w:rPr>
          <w:sz w:val="22"/>
          <w:szCs w:val="22"/>
          <w:lang w:val="en-US" w:eastAsia="ja-JP"/>
        </w:rPr>
        <w:t>regulatory thinking</w:t>
      </w:r>
      <w:r w:rsidR="00E16DE5" w:rsidRPr="00914929">
        <w:rPr>
          <w:sz w:val="22"/>
          <w:szCs w:val="22"/>
          <w:lang w:val="en-US" w:eastAsia="ja-JP"/>
        </w:rPr>
        <w:t xml:space="preserve"> with regard to the definition of “early clinical response”</w:t>
      </w:r>
      <w:r w:rsidR="00605397" w:rsidRPr="00914929">
        <w:rPr>
          <w:sz w:val="22"/>
          <w:szCs w:val="22"/>
          <w:lang w:val="en-US" w:eastAsia="ja-JP"/>
        </w:rPr>
        <w:t>. These</w:t>
      </w:r>
      <w:r w:rsidR="006E0479" w:rsidRPr="00914929">
        <w:rPr>
          <w:sz w:val="22"/>
          <w:szCs w:val="22"/>
          <w:lang w:val="en-US" w:eastAsia="ja-JP"/>
        </w:rPr>
        <w:t xml:space="preserve"> </w:t>
      </w:r>
      <w:r w:rsidR="00605397" w:rsidRPr="00914929">
        <w:rPr>
          <w:sz w:val="22"/>
          <w:szCs w:val="22"/>
          <w:lang w:val="en-US" w:eastAsia="ja-JP"/>
        </w:rPr>
        <w:t>analyses excluded temperature as a variable</w:t>
      </w:r>
      <w:r w:rsidR="006E0479" w:rsidRPr="00914929">
        <w:rPr>
          <w:sz w:val="22"/>
          <w:szCs w:val="22"/>
          <w:lang w:val="en-US" w:eastAsia="ja-JP"/>
        </w:rPr>
        <w:t xml:space="preserve"> </w:t>
      </w:r>
      <w:r w:rsidR="00605397" w:rsidRPr="00914929">
        <w:rPr>
          <w:sz w:val="22"/>
          <w:szCs w:val="22"/>
          <w:lang w:val="en-US" w:eastAsia="ja-JP"/>
        </w:rPr>
        <w:t>and outcomes were defined as (1)</w:t>
      </w:r>
      <w:r w:rsidR="006E0479" w:rsidRPr="00914929">
        <w:rPr>
          <w:sz w:val="22"/>
          <w:szCs w:val="22"/>
          <w:lang w:val="en-US" w:eastAsia="ja-JP"/>
        </w:rPr>
        <w:t xml:space="preserve"> </w:t>
      </w:r>
      <w:r w:rsidR="00605397" w:rsidRPr="00914929">
        <w:rPr>
          <w:sz w:val="22"/>
          <w:szCs w:val="22"/>
          <w:lang w:val="en-US" w:eastAsia="ja-JP"/>
        </w:rPr>
        <w:t>no increase in lesion area from baseline</w:t>
      </w:r>
      <w:r w:rsidR="00A963C2" w:rsidRPr="00914929">
        <w:rPr>
          <w:sz w:val="22"/>
          <w:szCs w:val="22"/>
          <w:lang w:val="en-US" w:eastAsia="ja-JP"/>
        </w:rPr>
        <w:t xml:space="preserve"> </w:t>
      </w:r>
      <w:r w:rsidR="00605397" w:rsidRPr="00914929">
        <w:rPr>
          <w:sz w:val="22"/>
          <w:szCs w:val="22"/>
          <w:lang w:val="en-US" w:eastAsia="ja-JP"/>
        </w:rPr>
        <w:t>at the 48- to 72-hour assessment; (2)</w:t>
      </w:r>
      <w:r w:rsidR="00A963C2" w:rsidRPr="00914929">
        <w:rPr>
          <w:sz w:val="22"/>
          <w:szCs w:val="22"/>
          <w:lang w:val="en-US" w:eastAsia="ja-JP"/>
        </w:rPr>
        <w:t xml:space="preserve"> </w:t>
      </w:r>
      <w:r w:rsidR="00605397" w:rsidRPr="00914929">
        <w:rPr>
          <w:sz w:val="22"/>
          <w:szCs w:val="22"/>
          <w:lang w:val="en-US" w:eastAsia="ja-JP"/>
        </w:rPr>
        <w:t>20% or greater decrease in lesion area</w:t>
      </w:r>
      <w:r w:rsidR="00A963C2" w:rsidRPr="00914929">
        <w:rPr>
          <w:sz w:val="22"/>
          <w:szCs w:val="22"/>
          <w:lang w:val="en-US" w:eastAsia="ja-JP"/>
        </w:rPr>
        <w:t xml:space="preserve"> </w:t>
      </w:r>
      <w:r w:rsidR="00605397" w:rsidRPr="00914929">
        <w:rPr>
          <w:sz w:val="22"/>
          <w:szCs w:val="22"/>
          <w:lang w:val="en-US" w:eastAsia="ja-JP"/>
        </w:rPr>
        <w:t>from baseline at the 48- to 72-hour assess</w:t>
      </w:r>
      <w:r w:rsidR="00605397" w:rsidRPr="00914929">
        <w:rPr>
          <w:sz w:val="22"/>
          <w:szCs w:val="22"/>
          <w:lang w:val="en-US" w:eastAsia="ja-JP"/>
        </w:rPr>
        <w:lastRenderedPageBreak/>
        <w:t>ment</w:t>
      </w:r>
      <w:r w:rsidR="00A963C2" w:rsidRPr="00914929">
        <w:rPr>
          <w:sz w:val="22"/>
          <w:szCs w:val="22"/>
          <w:lang w:val="en-US" w:eastAsia="ja-JP"/>
        </w:rPr>
        <w:t xml:space="preserve"> </w:t>
      </w:r>
      <w:r w:rsidR="00605397" w:rsidRPr="00914929">
        <w:rPr>
          <w:sz w:val="22"/>
          <w:szCs w:val="22"/>
          <w:lang w:val="en-US" w:eastAsia="ja-JP"/>
        </w:rPr>
        <w:t>(the primary efficacy outcome</w:t>
      </w:r>
      <w:r w:rsidR="00A963C2" w:rsidRPr="00914929">
        <w:rPr>
          <w:sz w:val="22"/>
          <w:szCs w:val="22"/>
          <w:lang w:val="en-US" w:eastAsia="ja-JP"/>
        </w:rPr>
        <w:t xml:space="preserve"> </w:t>
      </w:r>
      <w:r w:rsidR="00605397" w:rsidRPr="00914929">
        <w:rPr>
          <w:sz w:val="22"/>
          <w:szCs w:val="22"/>
          <w:lang w:val="en-US" w:eastAsia="ja-JP"/>
        </w:rPr>
        <w:t>proposed by the Foundation for</w:t>
      </w:r>
      <w:r w:rsidR="00A963C2" w:rsidRPr="00914929">
        <w:rPr>
          <w:sz w:val="22"/>
          <w:szCs w:val="22"/>
          <w:lang w:val="en-US" w:eastAsia="ja-JP"/>
        </w:rPr>
        <w:t xml:space="preserve"> </w:t>
      </w:r>
      <w:r w:rsidR="00605397" w:rsidRPr="00914929">
        <w:rPr>
          <w:sz w:val="22"/>
          <w:szCs w:val="22"/>
          <w:lang w:val="en-US" w:eastAsia="ja-JP"/>
        </w:rPr>
        <w:t xml:space="preserve">the </w:t>
      </w:r>
      <w:r w:rsidR="00CE3741" w:rsidRPr="00914929">
        <w:rPr>
          <w:sz w:val="22"/>
          <w:szCs w:val="22"/>
          <w:lang w:val="en-US" w:eastAsia="ja-JP"/>
        </w:rPr>
        <w:t>National Institutes of Health)(</w:t>
      </w:r>
      <w:r w:rsidR="008F2E61">
        <w:rPr>
          <w:sz w:val="22"/>
          <w:szCs w:val="22"/>
          <w:lang w:val="en-US" w:eastAsia="ja-JP"/>
        </w:rPr>
        <w:fldChar w:fldCharType="begin"/>
      </w:r>
      <w:r w:rsidR="008F2E61">
        <w:rPr>
          <w:sz w:val="22"/>
          <w:szCs w:val="22"/>
          <w:lang w:val="en-US" w:eastAsia="ja-JP"/>
        </w:rPr>
        <w:instrText xml:space="preserve"> REF _Ref284485713 \r \h </w:instrText>
      </w:r>
      <w:r w:rsidR="008F2E61">
        <w:rPr>
          <w:sz w:val="22"/>
          <w:szCs w:val="22"/>
          <w:lang w:val="en-US" w:eastAsia="ja-JP"/>
        </w:rPr>
      </w:r>
      <w:r w:rsidR="008F2E61">
        <w:rPr>
          <w:sz w:val="22"/>
          <w:szCs w:val="22"/>
          <w:lang w:val="en-US" w:eastAsia="ja-JP"/>
        </w:rPr>
        <w:fldChar w:fldCharType="separate"/>
      </w:r>
      <w:r w:rsidR="00151A1C">
        <w:rPr>
          <w:sz w:val="22"/>
          <w:szCs w:val="22"/>
          <w:lang w:val="en-US" w:eastAsia="ja-JP"/>
        </w:rPr>
        <w:t>50</w:t>
      </w:r>
      <w:r w:rsidR="008F2E61">
        <w:rPr>
          <w:sz w:val="22"/>
          <w:szCs w:val="22"/>
          <w:lang w:val="en-US" w:eastAsia="ja-JP"/>
        </w:rPr>
        <w:fldChar w:fldCharType="end"/>
      </w:r>
      <w:r w:rsidR="00CE3741" w:rsidRPr="00914929">
        <w:rPr>
          <w:sz w:val="22"/>
          <w:szCs w:val="22"/>
          <w:lang w:val="en-US" w:eastAsia="ja-JP"/>
        </w:rPr>
        <w:t>)</w:t>
      </w:r>
      <w:r w:rsidR="00605397" w:rsidRPr="00914929">
        <w:rPr>
          <w:sz w:val="22"/>
          <w:szCs w:val="22"/>
          <w:lang w:val="en-US" w:eastAsia="ja-JP"/>
        </w:rPr>
        <w:t>; and</w:t>
      </w:r>
      <w:r w:rsidR="00A963C2" w:rsidRPr="00914929">
        <w:rPr>
          <w:sz w:val="22"/>
          <w:szCs w:val="22"/>
          <w:lang w:val="en-US" w:eastAsia="ja-JP"/>
        </w:rPr>
        <w:t xml:space="preserve"> </w:t>
      </w:r>
      <w:r w:rsidR="00605397" w:rsidRPr="00914929">
        <w:rPr>
          <w:sz w:val="22"/>
          <w:szCs w:val="22"/>
          <w:lang w:val="en-US" w:eastAsia="ja-JP"/>
        </w:rPr>
        <w:t>(3) no increase in lesion area, length, or</w:t>
      </w:r>
      <w:r w:rsidR="00A963C2" w:rsidRPr="00914929">
        <w:rPr>
          <w:sz w:val="22"/>
          <w:szCs w:val="22"/>
          <w:lang w:val="en-US" w:eastAsia="ja-JP"/>
        </w:rPr>
        <w:t xml:space="preserve"> </w:t>
      </w:r>
      <w:r w:rsidR="00605397" w:rsidRPr="00914929">
        <w:rPr>
          <w:sz w:val="22"/>
          <w:szCs w:val="22"/>
          <w:lang w:val="en-US" w:eastAsia="ja-JP"/>
        </w:rPr>
        <w:t xml:space="preserve">width from baseline at the 48- to 72-hour assessment. </w:t>
      </w:r>
    </w:p>
    <w:p w14:paraId="0FB96A78" w14:textId="77777777" w:rsidR="00605397" w:rsidRPr="00914929" w:rsidRDefault="00605397" w:rsidP="00605397">
      <w:pPr>
        <w:widowControl w:val="0"/>
        <w:autoSpaceDE w:val="0"/>
        <w:autoSpaceDN w:val="0"/>
        <w:adjustRightInd w:val="0"/>
        <w:rPr>
          <w:rFonts w:cs="Arial"/>
          <w:b/>
          <w:bCs/>
          <w:sz w:val="22"/>
          <w:szCs w:val="22"/>
          <w:lang w:eastAsia="ja-JP"/>
        </w:rPr>
      </w:pPr>
    </w:p>
    <w:p w14:paraId="1EA08921" w14:textId="27D66A68" w:rsidR="00605397" w:rsidRPr="00914929" w:rsidRDefault="002E314E" w:rsidP="00605397">
      <w:pPr>
        <w:autoSpaceDE w:val="0"/>
        <w:autoSpaceDN w:val="0"/>
        <w:adjustRightInd w:val="0"/>
        <w:rPr>
          <w:rFonts w:cs="Arial"/>
          <w:b/>
          <w:bCs/>
          <w:sz w:val="22"/>
          <w:szCs w:val="22"/>
          <w:lang w:eastAsia="ja-JP"/>
        </w:rPr>
      </w:pPr>
      <w:r>
        <w:rPr>
          <w:rFonts w:cs="Arial"/>
          <w:b/>
          <w:bCs/>
          <w:sz w:val="22"/>
          <w:szCs w:val="22"/>
          <w:lang w:eastAsia="ja-JP"/>
        </w:rPr>
        <w:t>3.3</w:t>
      </w:r>
      <w:r w:rsidR="00325673" w:rsidRPr="00914929">
        <w:rPr>
          <w:rFonts w:cs="Arial"/>
          <w:b/>
          <w:bCs/>
          <w:sz w:val="22"/>
          <w:szCs w:val="22"/>
          <w:lang w:eastAsia="ja-JP"/>
        </w:rPr>
        <w:t>.12 Analyses of secondary outcomes</w:t>
      </w:r>
      <w:r w:rsidR="008A4FDD" w:rsidRPr="00914929">
        <w:rPr>
          <w:rFonts w:cs="Arial"/>
          <w:b/>
          <w:bCs/>
          <w:sz w:val="22"/>
          <w:szCs w:val="22"/>
          <w:lang w:eastAsia="ja-JP"/>
        </w:rPr>
        <w:t xml:space="preserve">: </w:t>
      </w:r>
      <w:r w:rsidR="00605397" w:rsidRPr="00914929">
        <w:rPr>
          <w:sz w:val="22"/>
          <w:szCs w:val="22"/>
          <w:lang w:val="en-US" w:eastAsia="ja-JP"/>
        </w:rPr>
        <w:t>A pre</w:t>
      </w:r>
      <w:r w:rsidR="009D039B" w:rsidRPr="00914929">
        <w:rPr>
          <w:sz w:val="22"/>
          <w:szCs w:val="22"/>
          <w:lang w:val="en-US" w:eastAsia="ja-JP"/>
        </w:rPr>
        <w:t>-</w:t>
      </w:r>
      <w:r w:rsidR="00605397" w:rsidRPr="00914929">
        <w:rPr>
          <w:sz w:val="22"/>
          <w:szCs w:val="22"/>
          <w:lang w:val="en-US" w:eastAsia="ja-JP"/>
        </w:rPr>
        <w:t>specified sensitivity</w:t>
      </w:r>
      <w:r w:rsidR="009D039B" w:rsidRPr="00914929">
        <w:rPr>
          <w:sz w:val="22"/>
          <w:szCs w:val="22"/>
          <w:lang w:val="en-US" w:eastAsia="ja-JP"/>
        </w:rPr>
        <w:t xml:space="preserve"> </w:t>
      </w:r>
      <w:r w:rsidR="00605397" w:rsidRPr="00914929">
        <w:rPr>
          <w:sz w:val="22"/>
          <w:szCs w:val="22"/>
          <w:lang w:val="en-US" w:eastAsia="ja-JP"/>
        </w:rPr>
        <w:t>analysis of the secondary outcome</w:t>
      </w:r>
      <w:r w:rsidR="009D039B" w:rsidRPr="00914929">
        <w:rPr>
          <w:sz w:val="22"/>
          <w:szCs w:val="22"/>
          <w:lang w:val="en-US" w:eastAsia="ja-JP"/>
        </w:rPr>
        <w:t xml:space="preserve"> </w:t>
      </w:r>
      <w:r w:rsidR="00605397" w:rsidRPr="00914929">
        <w:rPr>
          <w:sz w:val="22"/>
          <w:szCs w:val="22"/>
          <w:lang w:val="en-US" w:eastAsia="ja-JP"/>
        </w:rPr>
        <w:t>of sustained clinical response did</w:t>
      </w:r>
      <w:r w:rsidR="009D039B" w:rsidRPr="00914929">
        <w:rPr>
          <w:sz w:val="22"/>
          <w:szCs w:val="22"/>
          <w:lang w:val="en-US" w:eastAsia="ja-JP"/>
        </w:rPr>
        <w:t xml:space="preserve"> </w:t>
      </w:r>
      <w:r w:rsidR="00605397" w:rsidRPr="00914929">
        <w:rPr>
          <w:sz w:val="22"/>
          <w:szCs w:val="22"/>
          <w:lang w:val="en-US" w:eastAsia="ja-JP"/>
        </w:rPr>
        <w:t>not include the presence or absence of</w:t>
      </w:r>
      <w:r w:rsidR="009D039B" w:rsidRPr="00914929">
        <w:rPr>
          <w:sz w:val="22"/>
          <w:szCs w:val="22"/>
          <w:lang w:val="en-US" w:eastAsia="ja-JP"/>
        </w:rPr>
        <w:t xml:space="preserve"> </w:t>
      </w:r>
      <w:r w:rsidR="00605397" w:rsidRPr="00914929">
        <w:rPr>
          <w:sz w:val="22"/>
          <w:szCs w:val="22"/>
          <w:lang w:val="en-US" w:eastAsia="ja-JP"/>
        </w:rPr>
        <w:t>pa</w:t>
      </w:r>
      <w:r w:rsidR="009D039B" w:rsidRPr="00914929">
        <w:rPr>
          <w:sz w:val="22"/>
          <w:szCs w:val="22"/>
          <w:lang w:val="en-US" w:eastAsia="ja-JP"/>
        </w:rPr>
        <w:t xml:space="preserve">in. Patients who were treatment </w:t>
      </w:r>
      <w:r w:rsidR="00605397" w:rsidRPr="00914929">
        <w:rPr>
          <w:sz w:val="22"/>
          <w:szCs w:val="22"/>
          <w:lang w:val="en-US" w:eastAsia="ja-JP"/>
        </w:rPr>
        <w:t>non</w:t>
      </w:r>
      <w:r w:rsidR="00023175">
        <w:rPr>
          <w:sz w:val="22"/>
          <w:szCs w:val="22"/>
          <w:lang w:val="en-US" w:eastAsia="ja-JP"/>
        </w:rPr>
        <w:t>-</w:t>
      </w:r>
      <w:r w:rsidR="00605397" w:rsidRPr="00914929">
        <w:rPr>
          <w:sz w:val="22"/>
          <w:szCs w:val="22"/>
          <w:lang w:val="en-US" w:eastAsia="ja-JP"/>
        </w:rPr>
        <w:t>responders</w:t>
      </w:r>
      <w:r w:rsidR="009D039B" w:rsidRPr="00914929">
        <w:rPr>
          <w:sz w:val="22"/>
          <w:szCs w:val="22"/>
          <w:lang w:val="en-US" w:eastAsia="ja-JP"/>
        </w:rPr>
        <w:t xml:space="preserve"> </w:t>
      </w:r>
      <w:r w:rsidR="00605397" w:rsidRPr="00914929">
        <w:rPr>
          <w:sz w:val="22"/>
          <w:szCs w:val="22"/>
          <w:lang w:val="en-US" w:eastAsia="ja-JP"/>
        </w:rPr>
        <w:t>or indeterminates at the 48-</w:t>
      </w:r>
      <w:r w:rsidR="009D039B" w:rsidRPr="00914929">
        <w:rPr>
          <w:sz w:val="22"/>
          <w:szCs w:val="22"/>
          <w:lang w:val="en-US" w:eastAsia="ja-JP"/>
        </w:rPr>
        <w:t xml:space="preserve"> </w:t>
      </w:r>
      <w:r w:rsidR="00605397" w:rsidRPr="00914929">
        <w:rPr>
          <w:sz w:val="22"/>
          <w:szCs w:val="22"/>
          <w:lang w:val="en-US" w:eastAsia="ja-JP"/>
        </w:rPr>
        <w:t>to 72-hour assessment were not carried</w:t>
      </w:r>
      <w:r w:rsidR="009D039B" w:rsidRPr="00914929">
        <w:rPr>
          <w:sz w:val="22"/>
          <w:szCs w:val="22"/>
          <w:lang w:val="en-US" w:eastAsia="ja-JP"/>
        </w:rPr>
        <w:t xml:space="preserve"> </w:t>
      </w:r>
      <w:r w:rsidR="00605397" w:rsidRPr="00914929">
        <w:rPr>
          <w:sz w:val="22"/>
          <w:szCs w:val="22"/>
          <w:lang w:val="en-US" w:eastAsia="ja-JP"/>
        </w:rPr>
        <w:t>forward as treatment failures to the</w:t>
      </w:r>
      <w:r w:rsidR="009D039B" w:rsidRPr="00914929">
        <w:rPr>
          <w:sz w:val="22"/>
          <w:szCs w:val="22"/>
          <w:lang w:val="en-US" w:eastAsia="ja-JP"/>
        </w:rPr>
        <w:t xml:space="preserve"> </w:t>
      </w:r>
      <w:r w:rsidR="00605397" w:rsidRPr="00914929">
        <w:rPr>
          <w:sz w:val="22"/>
          <w:szCs w:val="22"/>
          <w:lang w:val="en-US" w:eastAsia="ja-JP"/>
        </w:rPr>
        <w:t>EOT visit, but were instead assessed for</w:t>
      </w:r>
      <w:r w:rsidR="009D039B" w:rsidRPr="00914929">
        <w:rPr>
          <w:sz w:val="22"/>
          <w:szCs w:val="22"/>
          <w:lang w:val="en-US" w:eastAsia="ja-JP"/>
        </w:rPr>
        <w:t xml:space="preserve"> </w:t>
      </w:r>
      <w:r w:rsidR="00605397" w:rsidRPr="00914929">
        <w:rPr>
          <w:sz w:val="22"/>
          <w:szCs w:val="22"/>
          <w:lang w:val="en-US" w:eastAsia="ja-JP"/>
        </w:rPr>
        <w:t>a response at this visit. This is consistent</w:t>
      </w:r>
      <w:r w:rsidR="009D039B" w:rsidRPr="00914929">
        <w:rPr>
          <w:sz w:val="22"/>
          <w:szCs w:val="22"/>
          <w:lang w:val="en-US" w:eastAsia="ja-JP"/>
        </w:rPr>
        <w:t xml:space="preserve"> </w:t>
      </w:r>
      <w:r w:rsidR="008A4FDD" w:rsidRPr="00914929">
        <w:rPr>
          <w:sz w:val="22"/>
          <w:szCs w:val="22"/>
          <w:lang w:val="en-US" w:eastAsia="ja-JP"/>
        </w:rPr>
        <w:t>with</w:t>
      </w:r>
      <w:r w:rsidR="003566DE">
        <w:rPr>
          <w:sz w:val="22"/>
          <w:szCs w:val="22"/>
          <w:lang w:val="en-US" w:eastAsia="ja-JP"/>
        </w:rPr>
        <w:t xml:space="preserve"> the draft guidance (</w:t>
      </w:r>
      <w:r w:rsidR="00A214EB">
        <w:rPr>
          <w:sz w:val="22"/>
          <w:szCs w:val="22"/>
          <w:lang w:val="en-US" w:eastAsia="ja-JP"/>
        </w:rPr>
        <w:fldChar w:fldCharType="begin"/>
      </w:r>
      <w:r w:rsidR="00A214EB">
        <w:rPr>
          <w:sz w:val="22"/>
          <w:szCs w:val="22"/>
          <w:lang w:val="en-US" w:eastAsia="ja-JP"/>
        </w:rPr>
        <w:instrText xml:space="preserve"> REF _Ref284168857 \r \h </w:instrText>
      </w:r>
      <w:r w:rsidR="00A214EB">
        <w:rPr>
          <w:sz w:val="22"/>
          <w:szCs w:val="22"/>
          <w:lang w:val="en-US" w:eastAsia="ja-JP"/>
        </w:rPr>
      </w:r>
      <w:r w:rsidR="00A214EB">
        <w:rPr>
          <w:sz w:val="22"/>
          <w:szCs w:val="22"/>
          <w:lang w:val="en-US" w:eastAsia="ja-JP"/>
        </w:rPr>
        <w:fldChar w:fldCharType="separate"/>
      </w:r>
      <w:r w:rsidR="00151A1C">
        <w:rPr>
          <w:sz w:val="22"/>
          <w:szCs w:val="22"/>
          <w:lang w:val="en-US" w:eastAsia="ja-JP"/>
        </w:rPr>
        <w:t>7</w:t>
      </w:r>
      <w:r w:rsidR="00A214EB">
        <w:rPr>
          <w:sz w:val="22"/>
          <w:szCs w:val="22"/>
          <w:lang w:val="en-US" w:eastAsia="ja-JP"/>
        </w:rPr>
        <w:fldChar w:fldCharType="end"/>
      </w:r>
      <w:r w:rsidR="003566DE">
        <w:rPr>
          <w:sz w:val="22"/>
          <w:szCs w:val="22"/>
          <w:lang w:val="en-US" w:eastAsia="ja-JP"/>
        </w:rPr>
        <w:t xml:space="preserve">) </w:t>
      </w:r>
      <w:r w:rsidR="00605397" w:rsidRPr="00914929">
        <w:rPr>
          <w:sz w:val="22"/>
          <w:szCs w:val="22"/>
          <w:lang w:val="en-US" w:eastAsia="ja-JP"/>
        </w:rPr>
        <w:t>issued after</w:t>
      </w:r>
      <w:r w:rsidR="009D039B" w:rsidRPr="00914929">
        <w:rPr>
          <w:sz w:val="22"/>
          <w:szCs w:val="22"/>
          <w:lang w:val="en-US" w:eastAsia="ja-JP"/>
        </w:rPr>
        <w:t xml:space="preserve"> </w:t>
      </w:r>
      <w:r w:rsidR="00605397" w:rsidRPr="00914929">
        <w:rPr>
          <w:sz w:val="22"/>
          <w:szCs w:val="22"/>
          <w:lang w:val="en-US" w:eastAsia="ja-JP"/>
        </w:rPr>
        <w:t xml:space="preserve">the initiation of the </w:t>
      </w:r>
      <w:r w:rsidR="008A4FDD" w:rsidRPr="00914929">
        <w:rPr>
          <w:sz w:val="22"/>
          <w:szCs w:val="22"/>
          <w:lang w:val="en-US" w:eastAsia="ja-JP"/>
        </w:rPr>
        <w:t>study</w:t>
      </w:r>
      <w:r w:rsidR="00605397" w:rsidRPr="00914929">
        <w:rPr>
          <w:sz w:val="22"/>
          <w:szCs w:val="22"/>
          <w:lang w:val="en-US" w:eastAsia="ja-JP"/>
        </w:rPr>
        <w:t xml:space="preserve"> and agreed</w:t>
      </w:r>
      <w:r w:rsidR="008A4FDD" w:rsidRPr="00914929">
        <w:rPr>
          <w:rFonts w:cs="Arial"/>
          <w:b/>
          <w:bCs/>
          <w:sz w:val="22"/>
          <w:szCs w:val="22"/>
          <w:lang w:eastAsia="ja-JP"/>
        </w:rPr>
        <w:t xml:space="preserve"> </w:t>
      </w:r>
      <w:r w:rsidR="00605397" w:rsidRPr="00914929">
        <w:rPr>
          <w:sz w:val="22"/>
          <w:szCs w:val="22"/>
          <w:lang w:val="en-US" w:eastAsia="ja-JP"/>
        </w:rPr>
        <w:t>with the FDA.</w:t>
      </w:r>
    </w:p>
    <w:p w14:paraId="1BDA6DF0" w14:textId="77777777" w:rsidR="00333BE9" w:rsidRDefault="00333BE9" w:rsidP="008E4E92">
      <w:pPr>
        <w:autoSpaceDE w:val="0"/>
        <w:autoSpaceDN w:val="0"/>
        <w:adjustRightInd w:val="0"/>
        <w:rPr>
          <w:rFonts w:cs="Arial"/>
          <w:b/>
          <w:bCs/>
          <w:color w:val="231F20"/>
          <w:sz w:val="22"/>
          <w:szCs w:val="22"/>
          <w:lang w:eastAsia="ja-JP"/>
        </w:rPr>
      </w:pPr>
    </w:p>
    <w:p w14:paraId="66A31665" w14:textId="333F6756" w:rsidR="00CE3A13" w:rsidRDefault="002E314E" w:rsidP="00914929">
      <w:pPr>
        <w:autoSpaceDE w:val="0"/>
        <w:autoSpaceDN w:val="0"/>
        <w:adjustRightInd w:val="0"/>
        <w:rPr>
          <w:sz w:val="22"/>
          <w:szCs w:val="22"/>
          <w:lang w:val="en-US" w:eastAsia="ja-JP"/>
        </w:rPr>
      </w:pPr>
      <w:r>
        <w:rPr>
          <w:rFonts w:cs="Arial"/>
          <w:b/>
          <w:bCs/>
          <w:sz w:val="22"/>
          <w:szCs w:val="22"/>
          <w:lang w:eastAsia="ja-JP"/>
        </w:rPr>
        <w:t>3.3</w:t>
      </w:r>
      <w:r w:rsidR="00325673" w:rsidRPr="00914929">
        <w:rPr>
          <w:rFonts w:cs="Arial"/>
          <w:b/>
          <w:bCs/>
          <w:sz w:val="22"/>
          <w:szCs w:val="22"/>
          <w:lang w:eastAsia="ja-JP"/>
        </w:rPr>
        <w:t>.13 Patient disposition</w:t>
      </w:r>
      <w:r w:rsidR="00142BB1" w:rsidRPr="00914929">
        <w:rPr>
          <w:rFonts w:cs="Arial"/>
          <w:b/>
          <w:bCs/>
          <w:sz w:val="22"/>
          <w:szCs w:val="22"/>
          <w:lang w:eastAsia="ja-JP"/>
        </w:rPr>
        <w:t xml:space="preserve"> and analysis sets</w:t>
      </w:r>
      <w:r w:rsidR="00914929" w:rsidRPr="00914929">
        <w:rPr>
          <w:rFonts w:cs="Arial"/>
          <w:b/>
          <w:bCs/>
          <w:sz w:val="22"/>
          <w:szCs w:val="22"/>
          <w:lang w:eastAsia="ja-JP"/>
        </w:rPr>
        <w:t xml:space="preserve">: </w:t>
      </w:r>
      <w:r w:rsidR="00CE3A13" w:rsidRPr="00914929">
        <w:rPr>
          <w:sz w:val="22"/>
          <w:szCs w:val="22"/>
          <w:lang w:val="en-US" w:eastAsia="ja-JP"/>
        </w:rPr>
        <w:t>A total of 66</w:t>
      </w:r>
      <w:r w:rsidR="00F51F58" w:rsidRPr="00914929">
        <w:rPr>
          <w:sz w:val="22"/>
          <w:szCs w:val="22"/>
          <w:lang w:val="en-US" w:eastAsia="ja-JP"/>
        </w:rPr>
        <w:t xml:space="preserve">7 patients were randomised </w:t>
      </w:r>
      <w:r w:rsidR="00CE3A13" w:rsidRPr="00914929">
        <w:rPr>
          <w:sz w:val="22"/>
          <w:szCs w:val="22"/>
          <w:lang w:val="en-US" w:eastAsia="ja-JP"/>
        </w:rPr>
        <w:t>to receive tedizolid phosphate</w:t>
      </w:r>
      <w:r w:rsidR="00273EFC" w:rsidRPr="00914929">
        <w:rPr>
          <w:sz w:val="22"/>
          <w:szCs w:val="22"/>
          <w:lang w:val="en-US" w:eastAsia="ja-JP"/>
        </w:rPr>
        <w:t xml:space="preserve"> (n=332)</w:t>
      </w:r>
      <w:r w:rsidR="00CE3A13" w:rsidRPr="00914929">
        <w:rPr>
          <w:sz w:val="22"/>
          <w:szCs w:val="22"/>
          <w:lang w:val="en-US" w:eastAsia="ja-JP"/>
        </w:rPr>
        <w:t xml:space="preserve"> or</w:t>
      </w:r>
      <w:r w:rsidR="00F51F58" w:rsidRPr="00914929">
        <w:rPr>
          <w:sz w:val="22"/>
          <w:szCs w:val="22"/>
          <w:lang w:val="en-US" w:eastAsia="ja-JP"/>
        </w:rPr>
        <w:t xml:space="preserve"> </w:t>
      </w:r>
      <w:r w:rsidR="00CE3A13" w:rsidRPr="00914929">
        <w:rPr>
          <w:sz w:val="22"/>
          <w:szCs w:val="22"/>
          <w:lang w:val="en-US" w:eastAsia="ja-JP"/>
        </w:rPr>
        <w:t xml:space="preserve">linezolid </w:t>
      </w:r>
      <w:r w:rsidR="00273EFC" w:rsidRPr="00914929">
        <w:rPr>
          <w:sz w:val="22"/>
          <w:szCs w:val="22"/>
          <w:lang w:val="en-US" w:eastAsia="ja-JP"/>
        </w:rPr>
        <w:t>(n=335)</w:t>
      </w:r>
      <w:r w:rsidR="00142BB1" w:rsidRPr="00914929">
        <w:rPr>
          <w:sz w:val="22"/>
          <w:szCs w:val="22"/>
          <w:lang w:val="en-US" w:eastAsia="ja-JP"/>
        </w:rPr>
        <w:t xml:space="preserve"> </w:t>
      </w:r>
      <w:r w:rsidR="00CE3A13" w:rsidRPr="00914929">
        <w:rPr>
          <w:sz w:val="22"/>
          <w:szCs w:val="22"/>
          <w:lang w:val="en-US" w:eastAsia="ja-JP"/>
        </w:rPr>
        <w:t>and comprised the ITT analysis</w:t>
      </w:r>
      <w:r w:rsidR="00F51F58" w:rsidRPr="00914929">
        <w:rPr>
          <w:sz w:val="22"/>
          <w:szCs w:val="22"/>
          <w:lang w:val="en-US" w:eastAsia="ja-JP"/>
        </w:rPr>
        <w:t xml:space="preserve"> </w:t>
      </w:r>
      <w:r w:rsidR="00CE3A13" w:rsidRPr="00914929">
        <w:rPr>
          <w:sz w:val="22"/>
          <w:szCs w:val="22"/>
          <w:lang w:val="en-US" w:eastAsia="ja-JP"/>
        </w:rPr>
        <w:t>set (</w:t>
      </w:r>
      <w:r w:rsidR="008C1284" w:rsidRPr="00914929">
        <w:rPr>
          <w:sz w:val="22"/>
          <w:szCs w:val="22"/>
          <w:lang w:val="en-US" w:eastAsia="ja-JP"/>
        </w:rPr>
        <w:t xml:space="preserve">see </w:t>
      </w:r>
      <w:r w:rsidR="008C1284" w:rsidRPr="00914929">
        <w:rPr>
          <w:sz w:val="22"/>
          <w:szCs w:val="22"/>
          <w:lang w:val="en-US" w:eastAsia="ja-JP"/>
        </w:rPr>
        <w:fldChar w:fldCharType="begin"/>
      </w:r>
      <w:r w:rsidR="008C1284" w:rsidRPr="00914929">
        <w:rPr>
          <w:sz w:val="22"/>
          <w:szCs w:val="22"/>
          <w:lang w:val="en-US" w:eastAsia="ja-JP"/>
        </w:rPr>
        <w:instrText xml:space="preserve"> REF _Ref280543641 \h </w:instrText>
      </w:r>
      <w:r w:rsidR="008C1284" w:rsidRPr="00914929">
        <w:rPr>
          <w:sz w:val="22"/>
          <w:szCs w:val="22"/>
          <w:lang w:val="en-US" w:eastAsia="ja-JP"/>
        </w:rPr>
      </w:r>
      <w:r w:rsidR="008C1284" w:rsidRPr="00914929">
        <w:rPr>
          <w:sz w:val="22"/>
          <w:szCs w:val="22"/>
          <w:lang w:val="en-US" w:eastAsia="ja-JP"/>
        </w:rPr>
        <w:fldChar w:fldCharType="separate"/>
      </w:r>
      <w:r w:rsidR="00151A1C" w:rsidRPr="00A30B12">
        <w:rPr>
          <w:sz w:val="22"/>
          <w:szCs w:val="22"/>
        </w:rPr>
        <w:t xml:space="preserve">Figure </w:t>
      </w:r>
      <w:r w:rsidR="00151A1C">
        <w:rPr>
          <w:noProof/>
          <w:sz w:val="22"/>
          <w:szCs w:val="22"/>
        </w:rPr>
        <w:t>2</w:t>
      </w:r>
      <w:r w:rsidR="008C1284" w:rsidRPr="00914929">
        <w:rPr>
          <w:sz w:val="22"/>
          <w:szCs w:val="22"/>
          <w:lang w:val="en-US" w:eastAsia="ja-JP"/>
        </w:rPr>
        <w:fldChar w:fldCharType="end"/>
      </w:r>
      <w:r w:rsidR="00CE3A13" w:rsidRPr="00914929">
        <w:rPr>
          <w:sz w:val="22"/>
          <w:szCs w:val="22"/>
          <w:lang w:val="en-US" w:eastAsia="ja-JP"/>
        </w:rPr>
        <w:t>). Approximately 90% of</w:t>
      </w:r>
      <w:r w:rsidR="00F51F58" w:rsidRPr="00914929">
        <w:rPr>
          <w:sz w:val="22"/>
          <w:szCs w:val="22"/>
          <w:lang w:val="en-US" w:eastAsia="ja-JP"/>
        </w:rPr>
        <w:t xml:space="preserve"> patients who were randomis</w:t>
      </w:r>
      <w:r w:rsidR="00CE3A13" w:rsidRPr="00914929">
        <w:rPr>
          <w:sz w:val="22"/>
          <w:szCs w:val="22"/>
          <w:lang w:val="en-US" w:eastAsia="ja-JP"/>
        </w:rPr>
        <w:t>ed also</w:t>
      </w:r>
      <w:r w:rsidR="00F51F58" w:rsidRPr="00914929">
        <w:rPr>
          <w:sz w:val="22"/>
          <w:szCs w:val="22"/>
          <w:lang w:val="en-US" w:eastAsia="ja-JP"/>
        </w:rPr>
        <w:t xml:space="preserve"> </w:t>
      </w:r>
      <w:r w:rsidR="00CE3A13" w:rsidRPr="00914929">
        <w:rPr>
          <w:sz w:val="22"/>
          <w:szCs w:val="22"/>
          <w:lang w:val="en-US" w:eastAsia="ja-JP"/>
        </w:rPr>
        <w:t xml:space="preserve">completed the </w:t>
      </w:r>
      <w:r w:rsidR="00F51F58" w:rsidRPr="00914929">
        <w:rPr>
          <w:sz w:val="22"/>
          <w:szCs w:val="22"/>
          <w:lang w:val="en-US" w:eastAsia="ja-JP"/>
        </w:rPr>
        <w:t>study</w:t>
      </w:r>
      <w:r w:rsidR="00CE3A13" w:rsidRPr="00914929">
        <w:rPr>
          <w:sz w:val="22"/>
          <w:szCs w:val="22"/>
          <w:lang w:val="en-US" w:eastAsia="ja-JP"/>
        </w:rPr>
        <w:t>. The safety analysis</w:t>
      </w:r>
      <w:r w:rsidR="00F51F58" w:rsidRPr="00914929">
        <w:rPr>
          <w:sz w:val="22"/>
          <w:szCs w:val="22"/>
          <w:lang w:val="en-US" w:eastAsia="ja-JP"/>
        </w:rPr>
        <w:t xml:space="preserve"> </w:t>
      </w:r>
      <w:r w:rsidR="00CE3A13" w:rsidRPr="00914929">
        <w:rPr>
          <w:sz w:val="22"/>
          <w:szCs w:val="22"/>
          <w:lang w:val="en-US" w:eastAsia="ja-JP"/>
        </w:rPr>
        <w:t>set consisted of 666 patients who received</w:t>
      </w:r>
      <w:r w:rsidR="00F51F58" w:rsidRPr="00914929">
        <w:rPr>
          <w:sz w:val="22"/>
          <w:szCs w:val="22"/>
          <w:lang w:val="en-US" w:eastAsia="ja-JP"/>
        </w:rPr>
        <w:t xml:space="preserve"> </w:t>
      </w:r>
      <w:r w:rsidR="00CE3A13" w:rsidRPr="00914929">
        <w:rPr>
          <w:sz w:val="22"/>
          <w:szCs w:val="22"/>
          <w:lang w:val="en-US" w:eastAsia="ja-JP"/>
        </w:rPr>
        <w:t>the study drug. The CE-EOT and</w:t>
      </w:r>
      <w:r w:rsidR="00F51F58" w:rsidRPr="00914929">
        <w:rPr>
          <w:sz w:val="22"/>
          <w:szCs w:val="22"/>
          <w:lang w:val="en-US" w:eastAsia="ja-JP"/>
        </w:rPr>
        <w:t xml:space="preserve"> </w:t>
      </w:r>
      <w:r w:rsidR="00234466" w:rsidRPr="00914929">
        <w:rPr>
          <w:sz w:val="22"/>
          <w:szCs w:val="22"/>
          <w:lang w:val="en-US" w:eastAsia="ja-JP"/>
        </w:rPr>
        <w:t xml:space="preserve">CE-PTE analysis sets each </w:t>
      </w:r>
      <w:r w:rsidR="00CE3A13" w:rsidRPr="00914929">
        <w:rPr>
          <w:sz w:val="22"/>
          <w:szCs w:val="22"/>
          <w:lang w:val="en-US" w:eastAsia="ja-JP"/>
        </w:rPr>
        <w:t>consisted of</w:t>
      </w:r>
      <w:r w:rsidR="00F51F58" w:rsidRPr="00914929">
        <w:rPr>
          <w:sz w:val="22"/>
          <w:szCs w:val="22"/>
          <w:lang w:val="en-US" w:eastAsia="ja-JP"/>
        </w:rPr>
        <w:t xml:space="preserve"> </w:t>
      </w:r>
      <w:r w:rsidR="00CE3A13" w:rsidRPr="00914929">
        <w:rPr>
          <w:sz w:val="22"/>
          <w:szCs w:val="22"/>
          <w:lang w:val="en-US" w:eastAsia="ja-JP"/>
        </w:rPr>
        <w:t>559 patients (83.8%). The percentage</w:t>
      </w:r>
      <w:r w:rsidR="00F51F58" w:rsidRPr="00914929">
        <w:rPr>
          <w:sz w:val="22"/>
          <w:szCs w:val="22"/>
          <w:lang w:val="en-US" w:eastAsia="ja-JP"/>
        </w:rPr>
        <w:t xml:space="preserve"> </w:t>
      </w:r>
      <w:r w:rsidR="00CE3A13" w:rsidRPr="00914929">
        <w:rPr>
          <w:sz w:val="22"/>
          <w:szCs w:val="22"/>
          <w:lang w:val="en-US" w:eastAsia="ja-JP"/>
        </w:rPr>
        <w:t>of patients in each analysis set (based</w:t>
      </w:r>
      <w:r w:rsidR="00F51F58" w:rsidRPr="00914929">
        <w:rPr>
          <w:sz w:val="22"/>
          <w:szCs w:val="22"/>
          <w:lang w:val="en-US" w:eastAsia="ja-JP"/>
        </w:rPr>
        <w:t xml:space="preserve"> </w:t>
      </w:r>
      <w:r w:rsidR="00CE3A13" w:rsidRPr="00914929">
        <w:rPr>
          <w:sz w:val="22"/>
          <w:szCs w:val="22"/>
          <w:lang w:val="en-US" w:eastAsia="ja-JP"/>
        </w:rPr>
        <w:t>on the ITT population) was the same</w:t>
      </w:r>
      <w:r w:rsidR="00F51F58" w:rsidRPr="00914929">
        <w:rPr>
          <w:sz w:val="22"/>
          <w:szCs w:val="22"/>
          <w:lang w:val="en-US" w:eastAsia="ja-JP"/>
        </w:rPr>
        <w:t xml:space="preserve"> </w:t>
      </w:r>
      <w:r w:rsidR="00CE3A13" w:rsidRPr="00914929">
        <w:rPr>
          <w:sz w:val="22"/>
          <w:szCs w:val="22"/>
          <w:lang w:val="en-US" w:eastAsia="ja-JP"/>
        </w:rPr>
        <w:t>between the 2 treatment groups.</w:t>
      </w:r>
      <w:r w:rsidR="00F51F58" w:rsidRPr="00914929">
        <w:rPr>
          <w:sz w:val="22"/>
          <w:szCs w:val="22"/>
          <w:lang w:val="en-US" w:eastAsia="ja-JP"/>
        </w:rPr>
        <w:t xml:space="preserve"> The MITT analysis set (n=418) comprised all patients in the ITT population who had a baseline Gram-positive bacterial pathogen known to cause ABSSSI.</w:t>
      </w:r>
    </w:p>
    <w:p w14:paraId="3F2C9E50" w14:textId="77777777" w:rsidR="00A30B12" w:rsidRDefault="00A30B12" w:rsidP="00914929">
      <w:pPr>
        <w:autoSpaceDE w:val="0"/>
        <w:autoSpaceDN w:val="0"/>
        <w:adjustRightInd w:val="0"/>
        <w:rPr>
          <w:sz w:val="22"/>
          <w:szCs w:val="22"/>
          <w:lang w:val="en-US" w:eastAsia="ja-JP"/>
        </w:rPr>
      </w:pPr>
    </w:p>
    <w:p w14:paraId="0F903CA1" w14:textId="1DAEC644" w:rsidR="00A30B12" w:rsidRPr="00873099" w:rsidRDefault="002E314E" w:rsidP="00A30B12">
      <w:pPr>
        <w:autoSpaceDE w:val="0"/>
        <w:autoSpaceDN w:val="0"/>
        <w:adjustRightInd w:val="0"/>
        <w:rPr>
          <w:rFonts w:cs="Arial"/>
          <w:b/>
          <w:bCs/>
          <w:sz w:val="22"/>
          <w:szCs w:val="22"/>
          <w:lang w:eastAsia="ja-JP"/>
        </w:rPr>
      </w:pPr>
      <w:r>
        <w:rPr>
          <w:rFonts w:cs="Arial"/>
          <w:b/>
          <w:bCs/>
          <w:sz w:val="22"/>
          <w:szCs w:val="22"/>
          <w:lang w:eastAsia="ja-JP"/>
        </w:rPr>
        <w:t>3.3</w:t>
      </w:r>
      <w:r w:rsidR="00A30B12" w:rsidRPr="00873099">
        <w:rPr>
          <w:rFonts w:cs="Arial"/>
          <w:b/>
          <w:bCs/>
          <w:sz w:val="22"/>
          <w:szCs w:val="22"/>
          <w:lang w:eastAsia="ja-JP"/>
        </w:rPr>
        <w:t xml:space="preserve">.14 Baseline demographics and disease characteristics: </w:t>
      </w:r>
      <w:r w:rsidR="00A30B12" w:rsidRPr="00873099">
        <w:rPr>
          <w:sz w:val="22"/>
          <w:szCs w:val="22"/>
          <w:lang w:val="en-US"/>
        </w:rPr>
        <w:t xml:space="preserve">Baseline characteristics and demographics were balanced with no significant differences between the tedizolid </w:t>
      </w:r>
      <w:r w:rsidR="00CF4756">
        <w:rPr>
          <w:sz w:val="22"/>
          <w:szCs w:val="22"/>
          <w:lang w:val="en-US"/>
        </w:rPr>
        <w:t xml:space="preserve">phosphate </w:t>
      </w:r>
      <w:r w:rsidR="00A30B12" w:rsidRPr="00873099">
        <w:rPr>
          <w:sz w:val="22"/>
          <w:szCs w:val="22"/>
          <w:lang w:val="en-US"/>
        </w:rPr>
        <w:t xml:space="preserve">and linezolid treatment groups. Baseline demographic characteristics of patients with ABSSSI for the ITT population </w:t>
      </w:r>
      <w:r w:rsidR="00A30B12" w:rsidRPr="00A30B12">
        <w:rPr>
          <w:sz w:val="22"/>
          <w:szCs w:val="22"/>
          <w:lang w:val="en-US"/>
        </w:rPr>
        <w:t xml:space="preserve">are </w:t>
      </w:r>
      <w:r w:rsidR="00A30B12" w:rsidRPr="00A21E46">
        <w:rPr>
          <w:sz w:val="22"/>
          <w:szCs w:val="22"/>
          <w:lang w:val="en-US"/>
        </w:rPr>
        <w:t xml:space="preserve">summarised in </w:t>
      </w:r>
      <w:r w:rsidR="00A30B12" w:rsidRPr="007764DC">
        <w:rPr>
          <w:sz w:val="22"/>
          <w:szCs w:val="22"/>
          <w:lang w:val="en-US"/>
        </w:rPr>
        <w:fldChar w:fldCharType="begin"/>
      </w:r>
      <w:r w:rsidR="00A30B12" w:rsidRPr="007764DC">
        <w:rPr>
          <w:sz w:val="22"/>
          <w:szCs w:val="22"/>
          <w:lang w:val="en-US"/>
        </w:rPr>
        <w:instrText xml:space="preserve"> REF _Ref281743690 \h </w:instrText>
      </w:r>
      <w:r w:rsidR="00A30B12" w:rsidRPr="007764DC">
        <w:rPr>
          <w:sz w:val="22"/>
          <w:szCs w:val="22"/>
          <w:lang w:val="en-US"/>
        </w:rPr>
      </w:r>
      <w:r w:rsidR="00A30B12" w:rsidRPr="007764DC">
        <w:rPr>
          <w:sz w:val="22"/>
          <w:szCs w:val="22"/>
          <w:lang w:val="en-US"/>
        </w:rPr>
        <w:fldChar w:fldCharType="separate"/>
      </w:r>
      <w:r w:rsidR="00151A1C" w:rsidRPr="00DA203A">
        <w:rPr>
          <w:b/>
          <w:sz w:val="22"/>
          <w:szCs w:val="22"/>
          <w:lang w:val="en-US"/>
        </w:rPr>
        <w:t xml:space="preserve">Table </w:t>
      </w:r>
      <w:r w:rsidR="00151A1C">
        <w:rPr>
          <w:b/>
          <w:noProof/>
          <w:sz w:val="22"/>
          <w:szCs w:val="22"/>
          <w:lang w:val="en-US"/>
        </w:rPr>
        <w:t>7</w:t>
      </w:r>
      <w:r w:rsidR="00A30B12" w:rsidRPr="007764DC">
        <w:rPr>
          <w:sz w:val="22"/>
          <w:szCs w:val="22"/>
          <w:lang w:val="en-US"/>
        </w:rPr>
        <w:fldChar w:fldCharType="end"/>
      </w:r>
      <w:r w:rsidR="00A30B12" w:rsidRPr="007764DC">
        <w:rPr>
          <w:sz w:val="22"/>
          <w:szCs w:val="22"/>
          <w:lang w:val="en-US"/>
        </w:rPr>
        <w:t>.</w:t>
      </w:r>
    </w:p>
    <w:p w14:paraId="2DC23C4E" w14:textId="77777777" w:rsidR="00A30B12" w:rsidRPr="00914929" w:rsidRDefault="00A30B12" w:rsidP="00914929">
      <w:pPr>
        <w:autoSpaceDE w:val="0"/>
        <w:autoSpaceDN w:val="0"/>
        <w:adjustRightInd w:val="0"/>
        <w:rPr>
          <w:rFonts w:cs="Arial"/>
          <w:b/>
          <w:bCs/>
          <w:sz w:val="22"/>
          <w:szCs w:val="22"/>
          <w:lang w:eastAsia="ja-JP"/>
        </w:rPr>
      </w:pPr>
    </w:p>
    <w:p w14:paraId="3EE5FAC9" w14:textId="13C384DB" w:rsidR="00CE3A13" w:rsidRPr="00A30B12" w:rsidRDefault="00CE3A13" w:rsidP="00CE3A13">
      <w:pPr>
        <w:pStyle w:val="Caption"/>
        <w:jc w:val="left"/>
        <w:rPr>
          <w:rFonts w:ascii="Arial" w:hAnsi="Arial"/>
          <w:sz w:val="22"/>
          <w:szCs w:val="22"/>
        </w:rPr>
      </w:pPr>
      <w:bookmarkStart w:id="65" w:name="_Ref280543641"/>
      <w:r w:rsidRPr="00A30B12">
        <w:rPr>
          <w:rFonts w:ascii="Arial" w:hAnsi="Arial"/>
          <w:sz w:val="22"/>
          <w:szCs w:val="22"/>
        </w:rPr>
        <w:lastRenderedPageBreak/>
        <w:t xml:space="preserve">Figure </w:t>
      </w:r>
      <w:r w:rsidR="0087796C" w:rsidRPr="00A30B12">
        <w:rPr>
          <w:rFonts w:ascii="Arial" w:hAnsi="Arial"/>
          <w:sz w:val="22"/>
          <w:szCs w:val="22"/>
        </w:rPr>
        <w:fldChar w:fldCharType="begin"/>
      </w:r>
      <w:r w:rsidR="0087796C" w:rsidRPr="00A30B12">
        <w:rPr>
          <w:rFonts w:ascii="Arial" w:hAnsi="Arial"/>
          <w:sz w:val="22"/>
          <w:szCs w:val="22"/>
        </w:rPr>
        <w:instrText xml:space="preserve"> SEQ Figure \* ARABIC </w:instrText>
      </w:r>
      <w:r w:rsidR="0087796C" w:rsidRPr="00A30B12">
        <w:rPr>
          <w:rFonts w:ascii="Arial" w:hAnsi="Arial"/>
          <w:sz w:val="22"/>
          <w:szCs w:val="22"/>
        </w:rPr>
        <w:fldChar w:fldCharType="separate"/>
      </w:r>
      <w:r w:rsidR="00151A1C">
        <w:rPr>
          <w:rFonts w:ascii="Arial" w:hAnsi="Arial"/>
          <w:noProof/>
          <w:sz w:val="22"/>
          <w:szCs w:val="22"/>
        </w:rPr>
        <w:t>2</w:t>
      </w:r>
      <w:r w:rsidR="0087796C" w:rsidRPr="00A30B12">
        <w:rPr>
          <w:rFonts w:ascii="Arial" w:hAnsi="Arial"/>
          <w:noProof/>
          <w:sz w:val="22"/>
          <w:szCs w:val="22"/>
        </w:rPr>
        <w:fldChar w:fldCharType="end"/>
      </w:r>
      <w:bookmarkEnd w:id="65"/>
      <w:r w:rsidRPr="00A30B12">
        <w:rPr>
          <w:rFonts w:ascii="Arial" w:hAnsi="Arial"/>
          <w:sz w:val="22"/>
          <w:szCs w:val="22"/>
        </w:rPr>
        <w:t xml:space="preserve"> </w:t>
      </w:r>
      <w:r w:rsidR="008C1284" w:rsidRPr="00A30B12">
        <w:rPr>
          <w:rFonts w:ascii="Arial" w:hAnsi="Arial"/>
          <w:sz w:val="22"/>
          <w:szCs w:val="22"/>
        </w:rPr>
        <w:t xml:space="preserve">Disposition and Analysis Sets of Patients in the ESTABLISH-1 study </w:t>
      </w:r>
    </w:p>
    <w:p w14:paraId="35709AE0" w14:textId="31FF1882" w:rsidR="00793D9B" w:rsidRPr="00793D9B" w:rsidRDefault="00793D9B" w:rsidP="00793D9B">
      <w:pPr>
        <w:pStyle w:val="BodyText"/>
      </w:pPr>
      <w:r>
        <w:rPr>
          <w:noProof/>
          <w:lang w:eastAsia="en-GB"/>
        </w:rPr>
        <w:lastRenderedPageBreak/>
        <w:drawing>
          <wp:inline distT="0" distB="0" distL="0" distR="0" wp14:anchorId="5D6CF8A6" wp14:editId="3CEF1669">
            <wp:extent cx="5731510" cy="8369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369118"/>
                    </a:xfrm>
                    <a:prstGeom prst="rect">
                      <a:avLst/>
                    </a:prstGeom>
                    <a:noFill/>
                    <a:ln>
                      <a:noFill/>
                    </a:ln>
                  </pic:spPr>
                </pic:pic>
              </a:graphicData>
            </a:graphic>
          </wp:inline>
        </w:drawing>
      </w:r>
    </w:p>
    <w:p w14:paraId="1C1959EA" w14:textId="4890A7D8" w:rsidR="00CE3A13" w:rsidRPr="00FC48B7" w:rsidRDefault="00A214EB" w:rsidP="00FC48B7">
      <w:pPr>
        <w:widowControl w:val="0"/>
        <w:autoSpaceDE w:val="0"/>
        <w:autoSpaceDN w:val="0"/>
        <w:adjustRightInd w:val="0"/>
        <w:rPr>
          <w:color w:val="231F20"/>
          <w:sz w:val="16"/>
          <w:szCs w:val="16"/>
          <w:lang w:val="en-US" w:eastAsia="ja-JP"/>
        </w:rPr>
      </w:pPr>
      <w:r>
        <w:rPr>
          <w:color w:val="231F20"/>
          <w:sz w:val="16"/>
          <w:szCs w:val="16"/>
          <w:lang w:val="en-US" w:eastAsia="ja-JP"/>
        </w:rPr>
        <w:lastRenderedPageBreak/>
        <w:t>SOURCE: Prokocimer, 2013 (</w:t>
      </w:r>
      <w:r w:rsidR="008F2E61">
        <w:rPr>
          <w:color w:val="231F20"/>
          <w:sz w:val="16"/>
          <w:szCs w:val="16"/>
          <w:lang w:val="en-US" w:eastAsia="ja-JP"/>
        </w:rPr>
        <w:fldChar w:fldCharType="begin"/>
      </w:r>
      <w:r w:rsidR="008F2E61">
        <w:rPr>
          <w:color w:val="231F20"/>
          <w:sz w:val="16"/>
          <w:szCs w:val="16"/>
          <w:lang w:val="en-US" w:eastAsia="ja-JP"/>
        </w:rPr>
        <w:instrText xml:space="preserve"> REF _Ref284485242 \r \h </w:instrText>
      </w:r>
      <w:r w:rsidR="008F2E61">
        <w:rPr>
          <w:color w:val="231F20"/>
          <w:sz w:val="16"/>
          <w:szCs w:val="16"/>
          <w:lang w:val="en-US" w:eastAsia="ja-JP"/>
        </w:rPr>
      </w:r>
      <w:r w:rsidR="008F2E61">
        <w:rPr>
          <w:color w:val="231F20"/>
          <w:sz w:val="16"/>
          <w:szCs w:val="16"/>
          <w:lang w:val="en-US" w:eastAsia="ja-JP"/>
        </w:rPr>
        <w:fldChar w:fldCharType="separate"/>
      </w:r>
      <w:r w:rsidR="00151A1C">
        <w:rPr>
          <w:color w:val="231F20"/>
          <w:sz w:val="16"/>
          <w:szCs w:val="16"/>
          <w:lang w:val="en-US" w:eastAsia="ja-JP"/>
        </w:rPr>
        <w:t>38</w:t>
      </w:r>
      <w:r w:rsidR="008F2E61">
        <w:rPr>
          <w:color w:val="231F20"/>
          <w:sz w:val="16"/>
          <w:szCs w:val="16"/>
          <w:lang w:val="en-US" w:eastAsia="ja-JP"/>
        </w:rPr>
        <w:fldChar w:fldCharType="end"/>
      </w:r>
      <w:r>
        <w:rPr>
          <w:color w:val="231F20"/>
          <w:sz w:val="16"/>
          <w:szCs w:val="16"/>
          <w:lang w:val="en-US" w:eastAsia="ja-JP"/>
        </w:rPr>
        <w:t xml:space="preserve">). </w:t>
      </w:r>
      <w:r w:rsidR="00234466" w:rsidRPr="00A94AA2">
        <w:rPr>
          <w:color w:val="231F20"/>
          <w:sz w:val="16"/>
          <w:szCs w:val="16"/>
          <w:lang w:val="en-US" w:eastAsia="ja-JP"/>
        </w:rPr>
        <w:t>A</w:t>
      </w:r>
      <w:r w:rsidR="00234466">
        <w:rPr>
          <w:color w:val="231F20"/>
          <w:sz w:val="16"/>
          <w:szCs w:val="16"/>
          <w:lang w:val="en-US" w:eastAsia="ja-JP"/>
        </w:rPr>
        <w:t xml:space="preserve"> </w:t>
      </w:r>
      <w:r w:rsidR="0036247D">
        <w:rPr>
          <w:color w:val="231F20"/>
          <w:sz w:val="16"/>
          <w:szCs w:val="16"/>
          <w:lang w:val="en-US" w:eastAsia="ja-JP"/>
        </w:rPr>
        <w:t>Included all randomis</w:t>
      </w:r>
      <w:r w:rsidR="00793D9B" w:rsidRPr="00A94AA2">
        <w:rPr>
          <w:color w:val="231F20"/>
          <w:sz w:val="16"/>
          <w:szCs w:val="16"/>
          <w:lang w:val="en-US" w:eastAsia="ja-JP"/>
        </w:rPr>
        <w:t xml:space="preserve">ed patients. </w:t>
      </w:r>
      <w:r w:rsidR="00234466" w:rsidRPr="00A94AA2">
        <w:rPr>
          <w:color w:val="231F20"/>
          <w:sz w:val="16"/>
          <w:szCs w:val="16"/>
          <w:lang w:val="en-US" w:eastAsia="ja-JP"/>
        </w:rPr>
        <w:t>B</w:t>
      </w:r>
      <w:r w:rsidR="00234466">
        <w:rPr>
          <w:color w:val="231F20"/>
          <w:sz w:val="16"/>
          <w:szCs w:val="16"/>
          <w:lang w:val="en-US" w:eastAsia="ja-JP"/>
        </w:rPr>
        <w:t xml:space="preserve"> </w:t>
      </w:r>
      <w:r w:rsidR="00793D9B" w:rsidRPr="00A94AA2">
        <w:rPr>
          <w:color w:val="231F20"/>
          <w:sz w:val="16"/>
          <w:szCs w:val="16"/>
          <w:lang w:val="en-US" w:eastAsia="ja-JP"/>
        </w:rPr>
        <w:t>Included all patients who</w:t>
      </w:r>
      <w:r w:rsidR="00FC48B7">
        <w:rPr>
          <w:color w:val="231F20"/>
          <w:sz w:val="16"/>
          <w:szCs w:val="16"/>
          <w:lang w:val="en-US" w:eastAsia="ja-JP"/>
        </w:rPr>
        <w:t xml:space="preserve"> </w:t>
      </w:r>
      <w:r w:rsidR="00793D9B" w:rsidRPr="00A94AA2">
        <w:rPr>
          <w:color w:val="231F20"/>
          <w:sz w:val="16"/>
          <w:szCs w:val="16"/>
          <w:lang w:val="en-US" w:eastAsia="ja-JP"/>
        </w:rPr>
        <w:t xml:space="preserve">received at least 1 dose of study drug. </w:t>
      </w:r>
      <w:r w:rsidR="00234466" w:rsidRPr="00A94AA2">
        <w:rPr>
          <w:color w:val="231F20"/>
          <w:sz w:val="16"/>
          <w:szCs w:val="16"/>
          <w:lang w:val="en-US" w:eastAsia="ja-JP"/>
        </w:rPr>
        <w:t>C</w:t>
      </w:r>
      <w:r w:rsidR="00234466">
        <w:rPr>
          <w:color w:val="231F20"/>
          <w:sz w:val="16"/>
          <w:szCs w:val="16"/>
          <w:lang w:val="en-US" w:eastAsia="ja-JP"/>
        </w:rPr>
        <w:t xml:space="preserve"> </w:t>
      </w:r>
      <w:r w:rsidR="00793D9B" w:rsidRPr="00A94AA2">
        <w:rPr>
          <w:color w:val="231F20"/>
          <w:sz w:val="16"/>
          <w:szCs w:val="16"/>
          <w:lang w:val="en-US" w:eastAsia="ja-JP"/>
        </w:rPr>
        <w:t>Included patients who received minimal study therapy, completed 48-to 72-hour and end-of-treatment assessments, received no concomitant systemic antibiotic therapy through</w:t>
      </w:r>
      <w:r w:rsidR="00FC48B7">
        <w:rPr>
          <w:color w:val="231F20"/>
          <w:sz w:val="16"/>
          <w:szCs w:val="16"/>
          <w:lang w:val="en-US" w:eastAsia="ja-JP"/>
        </w:rPr>
        <w:t xml:space="preserve"> EOT</w:t>
      </w:r>
      <w:r w:rsidR="00793D9B" w:rsidRPr="00A94AA2">
        <w:rPr>
          <w:color w:val="231F20"/>
          <w:sz w:val="16"/>
          <w:szCs w:val="16"/>
          <w:lang w:val="en-US" w:eastAsia="ja-JP"/>
        </w:rPr>
        <w:t xml:space="preserve">, and had no confounding events or factors. </w:t>
      </w:r>
      <w:r w:rsidR="00234466" w:rsidRPr="00A94AA2">
        <w:rPr>
          <w:color w:val="231F20"/>
          <w:sz w:val="16"/>
          <w:szCs w:val="16"/>
          <w:lang w:val="en-US" w:eastAsia="ja-JP"/>
        </w:rPr>
        <w:t>D</w:t>
      </w:r>
      <w:r w:rsidR="00234466">
        <w:rPr>
          <w:color w:val="231F20"/>
          <w:sz w:val="16"/>
          <w:szCs w:val="16"/>
          <w:lang w:val="en-US" w:eastAsia="ja-JP"/>
        </w:rPr>
        <w:t xml:space="preserve"> </w:t>
      </w:r>
      <w:r w:rsidR="00793D9B" w:rsidRPr="00A94AA2">
        <w:rPr>
          <w:color w:val="231F20"/>
          <w:sz w:val="16"/>
          <w:szCs w:val="16"/>
          <w:lang w:val="en-US" w:eastAsia="ja-JP"/>
        </w:rPr>
        <w:t>A patient could have more than 1 reason for</w:t>
      </w:r>
      <w:r w:rsidR="00FC48B7">
        <w:rPr>
          <w:color w:val="231F20"/>
          <w:sz w:val="16"/>
          <w:szCs w:val="16"/>
          <w:lang w:val="en-US" w:eastAsia="ja-JP"/>
        </w:rPr>
        <w:t xml:space="preserve"> </w:t>
      </w:r>
      <w:r w:rsidR="00793D9B" w:rsidRPr="00A94AA2">
        <w:rPr>
          <w:color w:val="231F20"/>
          <w:sz w:val="16"/>
          <w:szCs w:val="16"/>
          <w:lang w:val="en-US" w:eastAsia="ja-JP"/>
        </w:rPr>
        <w:t xml:space="preserve">exclusion from an analysis set. Included patients who received the minimal study therapy, completed </w:t>
      </w:r>
      <w:r w:rsidR="00FC48B7">
        <w:rPr>
          <w:color w:val="231F20"/>
          <w:sz w:val="16"/>
          <w:szCs w:val="16"/>
          <w:lang w:val="en-US" w:eastAsia="ja-JP"/>
        </w:rPr>
        <w:t>EOT</w:t>
      </w:r>
      <w:r w:rsidR="00793D9B" w:rsidRPr="00A94AA2">
        <w:rPr>
          <w:color w:val="231F20"/>
          <w:sz w:val="16"/>
          <w:szCs w:val="16"/>
          <w:lang w:val="en-US" w:eastAsia="ja-JP"/>
        </w:rPr>
        <w:t xml:space="preserve"> and </w:t>
      </w:r>
      <w:r w:rsidR="00FC48B7">
        <w:rPr>
          <w:color w:val="231F20"/>
          <w:sz w:val="16"/>
          <w:szCs w:val="16"/>
          <w:lang w:val="en-US" w:eastAsia="ja-JP"/>
        </w:rPr>
        <w:t>PTE</w:t>
      </w:r>
      <w:r w:rsidR="00793D9B" w:rsidRPr="00A94AA2">
        <w:rPr>
          <w:color w:val="231F20"/>
          <w:sz w:val="16"/>
          <w:szCs w:val="16"/>
          <w:lang w:val="en-US" w:eastAsia="ja-JP"/>
        </w:rPr>
        <w:t xml:space="preserve"> assessments, received no concomitant systemic antibiotic therapy</w:t>
      </w:r>
      <w:r w:rsidR="00234466">
        <w:rPr>
          <w:color w:val="231F20"/>
          <w:sz w:val="16"/>
          <w:szCs w:val="16"/>
          <w:lang w:val="en-US" w:eastAsia="ja-JP"/>
        </w:rPr>
        <w:t xml:space="preserve"> </w:t>
      </w:r>
      <w:r w:rsidR="00793D9B" w:rsidRPr="00A94AA2">
        <w:rPr>
          <w:color w:val="231F20"/>
          <w:sz w:val="16"/>
          <w:szCs w:val="16"/>
          <w:lang w:val="en-US" w:eastAsia="ja-JP"/>
        </w:rPr>
        <w:t xml:space="preserve">through </w:t>
      </w:r>
      <w:r w:rsidR="00FC48B7">
        <w:rPr>
          <w:color w:val="231F20"/>
          <w:sz w:val="16"/>
          <w:szCs w:val="16"/>
          <w:lang w:val="en-US" w:eastAsia="ja-JP"/>
        </w:rPr>
        <w:t>PTE</w:t>
      </w:r>
      <w:r w:rsidR="00793D9B" w:rsidRPr="00A94AA2">
        <w:rPr>
          <w:color w:val="231F20"/>
          <w:sz w:val="16"/>
          <w:szCs w:val="16"/>
          <w:lang w:val="en-US" w:eastAsia="ja-JP"/>
        </w:rPr>
        <w:t>, and had no confounding events or factors.</w:t>
      </w:r>
    </w:p>
    <w:p w14:paraId="064266D9" w14:textId="77777777" w:rsidR="00DA203A" w:rsidRDefault="00DA203A" w:rsidP="00DA203A">
      <w:pPr>
        <w:rPr>
          <w:lang w:val="en-US"/>
        </w:rPr>
      </w:pPr>
      <w:bookmarkStart w:id="66" w:name="_Ref381692539"/>
      <w:bookmarkStart w:id="67" w:name="_Toc396058433"/>
    </w:p>
    <w:p w14:paraId="66113F52" w14:textId="2ABBEB66" w:rsidR="00933BDF" w:rsidRDefault="00933BDF" w:rsidP="00DA203A">
      <w:pPr>
        <w:rPr>
          <w:b/>
          <w:sz w:val="22"/>
          <w:szCs w:val="22"/>
          <w:lang w:val="en-US"/>
        </w:rPr>
      </w:pPr>
      <w:bookmarkStart w:id="68" w:name="_Ref281743690"/>
      <w:r w:rsidRPr="00DA203A">
        <w:rPr>
          <w:b/>
          <w:sz w:val="22"/>
          <w:szCs w:val="22"/>
          <w:lang w:val="en-US"/>
        </w:rPr>
        <w:t xml:space="preserve">Table </w:t>
      </w:r>
      <w:r w:rsidRPr="00DA203A">
        <w:rPr>
          <w:b/>
          <w:sz w:val="22"/>
          <w:szCs w:val="22"/>
          <w:lang w:val="en-US"/>
        </w:rPr>
        <w:fldChar w:fldCharType="begin"/>
      </w:r>
      <w:r w:rsidRPr="00DA203A">
        <w:rPr>
          <w:b/>
          <w:sz w:val="22"/>
          <w:szCs w:val="22"/>
          <w:lang w:val="en-US"/>
        </w:rPr>
        <w:instrText xml:space="preserve"> SEQ Table \* ARABIC </w:instrText>
      </w:r>
      <w:r w:rsidRPr="00DA203A">
        <w:rPr>
          <w:b/>
          <w:sz w:val="22"/>
          <w:szCs w:val="22"/>
          <w:lang w:val="en-US"/>
        </w:rPr>
        <w:fldChar w:fldCharType="separate"/>
      </w:r>
      <w:r w:rsidR="00151A1C">
        <w:rPr>
          <w:b/>
          <w:noProof/>
          <w:sz w:val="22"/>
          <w:szCs w:val="22"/>
          <w:lang w:val="en-US"/>
        </w:rPr>
        <w:t>7</w:t>
      </w:r>
      <w:r w:rsidRPr="00DA203A">
        <w:rPr>
          <w:b/>
          <w:sz w:val="22"/>
          <w:szCs w:val="22"/>
          <w:lang w:val="en-US"/>
        </w:rPr>
        <w:fldChar w:fldCharType="end"/>
      </w:r>
      <w:bookmarkEnd w:id="66"/>
      <w:bookmarkEnd w:id="68"/>
      <w:r w:rsidRPr="00DA203A">
        <w:rPr>
          <w:b/>
          <w:sz w:val="22"/>
          <w:szCs w:val="22"/>
          <w:lang w:val="en-US"/>
        </w:rPr>
        <w:t>: Baseline demographics in ESTABLISH-1 (ITT population)</w:t>
      </w:r>
      <w:bookmarkEnd w:id="67"/>
    </w:p>
    <w:p w14:paraId="3C704E8D" w14:textId="77777777" w:rsidR="00DA203A" w:rsidRPr="00DA203A" w:rsidRDefault="00DA203A" w:rsidP="00DA203A">
      <w:pPr>
        <w:rPr>
          <w:b/>
          <w:sz w:val="22"/>
          <w:szCs w:val="22"/>
          <w:lang w:val="en-US"/>
        </w:rPr>
      </w:pPr>
    </w:p>
    <w:tbl>
      <w:tblPr>
        <w:tblStyle w:val="Table-HERONplain"/>
        <w:tblW w:w="4942" w:type="pct"/>
        <w:tblInd w:w="108" w:type="dxa"/>
        <w:tblLook w:val="04A0" w:firstRow="1" w:lastRow="0" w:firstColumn="1" w:lastColumn="0" w:noHBand="0" w:noVBand="1"/>
      </w:tblPr>
      <w:tblGrid>
        <w:gridCol w:w="1912"/>
        <w:gridCol w:w="2333"/>
        <w:gridCol w:w="2333"/>
        <w:gridCol w:w="2333"/>
      </w:tblGrid>
      <w:tr w:rsidR="00933BDF" w:rsidRPr="00A30B12" w14:paraId="6FB49BEE" w14:textId="77777777" w:rsidTr="00AF228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3EB72A5F"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Characteristic</w:t>
            </w:r>
          </w:p>
        </w:tc>
        <w:tc>
          <w:tcPr>
            <w:tcW w:w="1309" w:type="pct"/>
            <w:shd w:val="clear" w:color="auto" w:fill="auto"/>
          </w:tcPr>
          <w:p w14:paraId="13E1427A"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Tedizolid phosphate</w:t>
            </w:r>
          </w:p>
          <w:p w14:paraId="43BFEC21"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(N=332)</w:t>
            </w:r>
          </w:p>
        </w:tc>
        <w:tc>
          <w:tcPr>
            <w:tcW w:w="1309" w:type="pct"/>
            <w:shd w:val="clear" w:color="auto" w:fill="auto"/>
          </w:tcPr>
          <w:p w14:paraId="34D29577"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Linezolid</w:t>
            </w:r>
          </w:p>
          <w:p w14:paraId="0DBCCA27"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(N=335)</w:t>
            </w:r>
          </w:p>
        </w:tc>
        <w:tc>
          <w:tcPr>
            <w:tcW w:w="1309" w:type="pct"/>
            <w:shd w:val="clear" w:color="auto" w:fill="auto"/>
          </w:tcPr>
          <w:p w14:paraId="1EA3FE6E"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Total</w:t>
            </w:r>
          </w:p>
          <w:p w14:paraId="146487A6"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(N=667)</w:t>
            </w:r>
          </w:p>
        </w:tc>
      </w:tr>
      <w:tr w:rsidR="00933BDF" w:rsidRPr="00A30B12" w14:paraId="64A3280F"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7ECEF53D"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Sex, n (%)</w:t>
            </w:r>
          </w:p>
        </w:tc>
      </w:tr>
      <w:tr w:rsidR="00933BDF" w:rsidRPr="00A30B12" w14:paraId="0F10F7FA"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6244ADE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Female</w:t>
            </w:r>
          </w:p>
        </w:tc>
        <w:tc>
          <w:tcPr>
            <w:tcW w:w="1309" w:type="pct"/>
            <w:hideMark/>
          </w:tcPr>
          <w:p w14:paraId="7FCF4FD3"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128 (38.6)</w:t>
            </w:r>
          </w:p>
        </w:tc>
        <w:tc>
          <w:tcPr>
            <w:tcW w:w="1309" w:type="pct"/>
            <w:hideMark/>
          </w:tcPr>
          <w:p w14:paraId="4F364F9B"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137 (40.9)</w:t>
            </w:r>
          </w:p>
        </w:tc>
        <w:tc>
          <w:tcPr>
            <w:tcW w:w="1309" w:type="pct"/>
            <w:hideMark/>
          </w:tcPr>
          <w:p w14:paraId="7198D42F"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265 (39.7)</w:t>
            </w:r>
          </w:p>
        </w:tc>
      </w:tr>
      <w:tr w:rsidR="00933BDF" w:rsidRPr="00A30B12" w14:paraId="4C65F5D5"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1905F0B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Male</w:t>
            </w:r>
          </w:p>
        </w:tc>
        <w:tc>
          <w:tcPr>
            <w:tcW w:w="1309" w:type="pct"/>
            <w:hideMark/>
          </w:tcPr>
          <w:p w14:paraId="13EF52A0"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204 (61.4)</w:t>
            </w:r>
          </w:p>
        </w:tc>
        <w:tc>
          <w:tcPr>
            <w:tcW w:w="1309" w:type="pct"/>
            <w:hideMark/>
          </w:tcPr>
          <w:p w14:paraId="5F4190ED"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198 (59.1)</w:t>
            </w:r>
          </w:p>
        </w:tc>
        <w:tc>
          <w:tcPr>
            <w:tcW w:w="1309" w:type="pct"/>
            <w:hideMark/>
          </w:tcPr>
          <w:p w14:paraId="7161B4E7"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402 (60.3)</w:t>
            </w:r>
          </w:p>
        </w:tc>
      </w:tr>
      <w:tr w:rsidR="00933BDF" w:rsidRPr="00A30B12" w14:paraId="2C852404"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top"/>
            <w:hideMark/>
          </w:tcPr>
          <w:p w14:paraId="7E94C637"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Age, years</w:t>
            </w:r>
          </w:p>
        </w:tc>
      </w:tr>
      <w:tr w:rsidR="00933BDF" w:rsidRPr="00A30B12" w14:paraId="11C19275"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vAlign w:val="top"/>
            <w:hideMark/>
          </w:tcPr>
          <w:p w14:paraId="0AC386FF"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Mean</w:t>
            </w:r>
          </w:p>
        </w:tc>
        <w:tc>
          <w:tcPr>
            <w:tcW w:w="1309" w:type="pct"/>
            <w:hideMark/>
          </w:tcPr>
          <w:p w14:paraId="0A1E9A70"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43.6</w:t>
            </w:r>
          </w:p>
        </w:tc>
        <w:tc>
          <w:tcPr>
            <w:tcW w:w="1309" w:type="pct"/>
            <w:hideMark/>
          </w:tcPr>
          <w:p w14:paraId="53177E32"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43.1</w:t>
            </w:r>
          </w:p>
        </w:tc>
        <w:tc>
          <w:tcPr>
            <w:tcW w:w="1309" w:type="pct"/>
            <w:hideMark/>
          </w:tcPr>
          <w:p w14:paraId="47513741"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43.3</w:t>
            </w:r>
          </w:p>
        </w:tc>
      </w:tr>
      <w:tr w:rsidR="00933BDF" w:rsidRPr="00A30B12" w14:paraId="73F5BA64"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A1C3DD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SD</w:t>
            </w:r>
          </w:p>
        </w:tc>
        <w:tc>
          <w:tcPr>
            <w:tcW w:w="1309" w:type="pct"/>
            <w:hideMark/>
          </w:tcPr>
          <w:p w14:paraId="387C2DF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14.96</w:t>
            </w:r>
          </w:p>
        </w:tc>
        <w:tc>
          <w:tcPr>
            <w:tcW w:w="1309" w:type="pct"/>
            <w:hideMark/>
          </w:tcPr>
          <w:p w14:paraId="0EFBB7DE"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15.06</w:t>
            </w:r>
          </w:p>
        </w:tc>
        <w:tc>
          <w:tcPr>
            <w:tcW w:w="1309" w:type="pct"/>
            <w:hideMark/>
          </w:tcPr>
          <w:p w14:paraId="69C98B66"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15.00</w:t>
            </w:r>
          </w:p>
        </w:tc>
      </w:tr>
      <w:tr w:rsidR="00933BDF" w:rsidRPr="00A30B12" w14:paraId="4738C89E"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34FC9593"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Median</w:t>
            </w:r>
          </w:p>
        </w:tc>
        <w:tc>
          <w:tcPr>
            <w:tcW w:w="1309" w:type="pct"/>
            <w:hideMark/>
          </w:tcPr>
          <w:p w14:paraId="5902FCFF"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43.0</w:t>
            </w:r>
          </w:p>
        </w:tc>
        <w:tc>
          <w:tcPr>
            <w:tcW w:w="1309" w:type="pct"/>
            <w:hideMark/>
          </w:tcPr>
          <w:p w14:paraId="62B09F3F"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42.0</w:t>
            </w:r>
          </w:p>
        </w:tc>
        <w:tc>
          <w:tcPr>
            <w:tcW w:w="1309" w:type="pct"/>
            <w:hideMark/>
          </w:tcPr>
          <w:p w14:paraId="2CDA2135"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43.0</w:t>
            </w:r>
          </w:p>
        </w:tc>
      </w:tr>
      <w:tr w:rsidR="00933BDF" w:rsidRPr="00A30B12" w14:paraId="12FD8771"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6875317C"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Min, max</w:t>
            </w:r>
          </w:p>
        </w:tc>
        <w:tc>
          <w:tcPr>
            <w:tcW w:w="1309" w:type="pct"/>
            <w:hideMark/>
          </w:tcPr>
          <w:p w14:paraId="72F844F3"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18, 86</w:t>
            </w:r>
          </w:p>
        </w:tc>
        <w:tc>
          <w:tcPr>
            <w:tcW w:w="1309" w:type="pct"/>
            <w:hideMark/>
          </w:tcPr>
          <w:p w14:paraId="397A157D"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18, 100</w:t>
            </w:r>
          </w:p>
        </w:tc>
        <w:tc>
          <w:tcPr>
            <w:tcW w:w="1309" w:type="pct"/>
            <w:hideMark/>
          </w:tcPr>
          <w:p w14:paraId="1B9735F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18, 100</w:t>
            </w:r>
          </w:p>
        </w:tc>
      </w:tr>
      <w:tr w:rsidR="00933BDF" w:rsidRPr="00A30B12" w14:paraId="2C120A0A"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2341BD9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Age group, n (%)</w:t>
            </w:r>
          </w:p>
        </w:tc>
      </w:tr>
      <w:tr w:rsidR="00933BDF" w:rsidRPr="00A30B12" w14:paraId="18B92B6E"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B17FB79"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&lt;65 years</w:t>
            </w:r>
          </w:p>
        </w:tc>
        <w:tc>
          <w:tcPr>
            <w:tcW w:w="1309" w:type="pct"/>
            <w:hideMark/>
          </w:tcPr>
          <w:p w14:paraId="721722A0"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303 (91.3)</w:t>
            </w:r>
          </w:p>
        </w:tc>
        <w:tc>
          <w:tcPr>
            <w:tcW w:w="1309" w:type="pct"/>
            <w:hideMark/>
          </w:tcPr>
          <w:p w14:paraId="7C9853E0"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309 (92.2)</w:t>
            </w:r>
          </w:p>
        </w:tc>
        <w:tc>
          <w:tcPr>
            <w:tcW w:w="1309" w:type="pct"/>
            <w:hideMark/>
          </w:tcPr>
          <w:p w14:paraId="7AD6AD09"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612 (91.8)</w:t>
            </w:r>
          </w:p>
        </w:tc>
      </w:tr>
      <w:tr w:rsidR="00933BDF" w:rsidRPr="00A30B12" w14:paraId="3A32DCBA"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12C3E9DD"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≥65 to ≤75 years</w:t>
            </w:r>
          </w:p>
        </w:tc>
        <w:tc>
          <w:tcPr>
            <w:tcW w:w="1309" w:type="pct"/>
            <w:hideMark/>
          </w:tcPr>
          <w:p w14:paraId="00EF810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19 (5.7)</w:t>
            </w:r>
          </w:p>
        </w:tc>
        <w:tc>
          <w:tcPr>
            <w:tcW w:w="1309" w:type="pct"/>
            <w:hideMark/>
          </w:tcPr>
          <w:p w14:paraId="7F35B6CA"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19 (5.7)</w:t>
            </w:r>
          </w:p>
        </w:tc>
        <w:tc>
          <w:tcPr>
            <w:tcW w:w="1309" w:type="pct"/>
            <w:hideMark/>
          </w:tcPr>
          <w:p w14:paraId="4AB26E00"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38 (5.7)</w:t>
            </w:r>
          </w:p>
        </w:tc>
      </w:tr>
      <w:tr w:rsidR="00933BDF" w:rsidRPr="00A30B12" w14:paraId="0EDF36F5"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C4AA688"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&gt;75 years</w:t>
            </w:r>
          </w:p>
        </w:tc>
        <w:tc>
          <w:tcPr>
            <w:tcW w:w="1309" w:type="pct"/>
            <w:hideMark/>
          </w:tcPr>
          <w:p w14:paraId="66E39CE0"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10 (3.0)</w:t>
            </w:r>
          </w:p>
        </w:tc>
        <w:tc>
          <w:tcPr>
            <w:tcW w:w="1309" w:type="pct"/>
            <w:hideMark/>
          </w:tcPr>
          <w:p w14:paraId="450625AD"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7 (2.1)</w:t>
            </w:r>
          </w:p>
        </w:tc>
        <w:tc>
          <w:tcPr>
            <w:tcW w:w="1309" w:type="pct"/>
            <w:hideMark/>
          </w:tcPr>
          <w:p w14:paraId="17E031B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17 (2.5)</w:t>
            </w:r>
          </w:p>
        </w:tc>
      </w:tr>
      <w:tr w:rsidR="00933BDF" w:rsidRPr="00A30B12" w14:paraId="1746C1D2"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244C1ECF"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 xml:space="preserve">Ethnicity, n (%) </w:t>
            </w:r>
          </w:p>
        </w:tc>
      </w:tr>
      <w:tr w:rsidR="00933BDF" w:rsidRPr="00A30B12" w14:paraId="30327A49"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108647DE"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Hispanic or Latino</w:t>
            </w:r>
          </w:p>
        </w:tc>
        <w:tc>
          <w:tcPr>
            <w:tcW w:w="1309" w:type="pct"/>
            <w:hideMark/>
          </w:tcPr>
          <w:p w14:paraId="0A7FDA6E"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115 (34.6)</w:t>
            </w:r>
          </w:p>
        </w:tc>
        <w:tc>
          <w:tcPr>
            <w:tcW w:w="1309" w:type="pct"/>
            <w:hideMark/>
          </w:tcPr>
          <w:p w14:paraId="65EB6C13"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108 (32.2)</w:t>
            </w:r>
          </w:p>
        </w:tc>
        <w:tc>
          <w:tcPr>
            <w:tcW w:w="1309" w:type="pct"/>
            <w:hideMark/>
          </w:tcPr>
          <w:p w14:paraId="139E0500"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223 (33.4)</w:t>
            </w:r>
          </w:p>
        </w:tc>
      </w:tr>
      <w:tr w:rsidR="00933BDF" w:rsidRPr="00A30B12" w14:paraId="2402A6AD"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1B8A1F95"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Not Hispanic or Latino</w:t>
            </w:r>
          </w:p>
        </w:tc>
        <w:tc>
          <w:tcPr>
            <w:tcW w:w="1309" w:type="pct"/>
            <w:hideMark/>
          </w:tcPr>
          <w:p w14:paraId="1CEA6189"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217 (65.4)</w:t>
            </w:r>
          </w:p>
        </w:tc>
        <w:tc>
          <w:tcPr>
            <w:tcW w:w="1309" w:type="pct"/>
            <w:hideMark/>
          </w:tcPr>
          <w:p w14:paraId="66AC866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227 (67.8)</w:t>
            </w:r>
          </w:p>
        </w:tc>
        <w:tc>
          <w:tcPr>
            <w:tcW w:w="1309" w:type="pct"/>
            <w:hideMark/>
          </w:tcPr>
          <w:p w14:paraId="03AD221F"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444 (66.6)</w:t>
            </w:r>
          </w:p>
        </w:tc>
      </w:tr>
      <w:tr w:rsidR="00933BDF" w:rsidRPr="00A30B12" w14:paraId="4BA2D3DF"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14C10328"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Race, n (%)</w:t>
            </w:r>
          </w:p>
        </w:tc>
      </w:tr>
      <w:tr w:rsidR="00933BDF" w:rsidRPr="00A30B12" w14:paraId="11F5694B"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0A6F0A5"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White</w:t>
            </w:r>
          </w:p>
        </w:tc>
        <w:tc>
          <w:tcPr>
            <w:tcW w:w="1309" w:type="pct"/>
            <w:hideMark/>
          </w:tcPr>
          <w:p w14:paraId="5F6AD397"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280 (84.3)</w:t>
            </w:r>
          </w:p>
        </w:tc>
        <w:tc>
          <w:tcPr>
            <w:tcW w:w="1309" w:type="pct"/>
            <w:hideMark/>
          </w:tcPr>
          <w:p w14:paraId="2044260B"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275 (82.1)</w:t>
            </w:r>
          </w:p>
        </w:tc>
        <w:tc>
          <w:tcPr>
            <w:tcW w:w="1309" w:type="pct"/>
            <w:hideMark/>
          </w:tcPr>
          <w:p w14:paraId="717433D5"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555 (83.2)</w:t>
            </w:r>
          </w:p>
        </w:tc>
      </w:tr>
      <w:tr w:rsidR="00933BDF" w:rsidRPr="00A30B12" w14:paraId="691AE3EA"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0ED51FEA"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Asian</w:t>
            </w:r>
          </w:p>
        </w:tc>
        <w:tc>
          <w:tcPr>
            <w:tcW w:w="1309" w:type="pct"/>
            <w:hideMark/>
          </w:tcPr>
          <w:p w14:paraId="21361A4B"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 (0.6)</w:t>
            </w:r>
          </w:p>
        </w:tc>
        <w:tc>
          <w:tcPr>
            <w:tcW w:w="1309" w:type="pct"/>
            <w:hideMark/>
          </w:tcPr>
          <w:p w14:paraId="339B714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7 (2.1)</w:t>
            </w:r>
          </w:p>
        </w:tc>
        <w:tc>
          <w:tcPr>
            <w:tcW w:w="1309" w:type="pct"/>
            <w:hideMark/>
          </w:tcPr>
          <w:p w14:paraId="6D54CBCA"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9 (1.3)</w:t>
            </w:r>
          </w:p>
        </w:tc>
      </w:tr>
      <w:tr w:rsidR="00933BDF" w:rsidRPr="00A30B12" w14:paraId="6F284008"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7A678A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lastRenderedPageBreak/>
              <w:t>Black or African American</w:t>
            </w:r>
          </w:p>
        </w:tc>
        <w:tc>
          <w:tcPr>
            <w:tcW w:w="1309" w:type="pct"/>
            <w:hideMark/>
          </w:tcPr>
          <w:p w14:paraId="586E6C30"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39 (11.7)</w:t>
            </w:r>
          </w:p>
        </w:tc>
        <w:tc>
          <w:tcPr>
            <w:tcW w:w="1309" w:type="pct"/>
            <w:hideMark/>
          </w:tcPr>
          <w:p w14:paraId="1F395404"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38 (11.3)</w:t>
            </w:r>
          </w:p>
        </w:tc>
        <w:tc>
          <w:tcPr>
            <w:tcW w:w="1309" w:type="pct"/>
            <w:hideMark/>
          </w:tcPr>
          <w:p w14:paraId="7558EA7A"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77 (11.5)</w:t>
            </w:r>
          </w:p>
        </w:tc>
      </w:tr>
      <w:tr w:rsidR="00933BDF" w:rsidRPr="00A30B12" w14:paraId="69BE559E"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762D5A87"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Native Hawaiian or other Pacific Islander</w:t>
            </w:r>
          </w:p>
        </w:tc>
        <w:tc>
          <w:tcPr>
            <w:tcW w:w="1309" w:type="pct"/>
            <w:hideMark/>
          </w:tcPr>
          <w:p w14:paraId="44F6F556"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0</w:t>
            </w:r>
          </w:p>
        </w:tc>
        <w:tc>
          <w:tcPr>
            <w:tcW w:w="1309" w:type="pct"/>
            <w:hideMark/>
          </w:tcPr>
          <w:p w14:paraId="512ECDAA"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 (0.6)</w:t>
            </w:r>
          </w:p>
        </w:tc>
        <w:tc>
          <w:tcPr>
            <w:tcW w:w="1309" w:type="pct"/>
            <w:hideMark/>
          </w:tcPr>
          <w:p w14:paraId="0B94E268"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 (0.3)</w:t>
            </w:r>
          </w:p>
        </w:tc>
      </w:tr>
      <w:tr w:rsidR="00933BDF" w:rsidRPr="00A30B12" w14:paraId="53AAC022"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5E78430"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American Indian or Alaskan Native</w:t>
            </w:r>
          </w:p>
        </w:tc>
        <w:tc>
          <w:tcPr>
            <w:tcW w:w="1309" w:type="pct"/>
            <w:hideMark/>
          </w:tcPr>
          <w:p w14:paraId="5DC6ED9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 (1.2)</w:t>
            </w:r>
          </w:p>
        </w:tc>
        <w:tc>
          <w:tcPr>
            <w:tcW w:w="1309" w:type="pct"/>
            <w:hideMark/>
          </w:tcPr>
          <w:p w14:paraId="3395B6FD"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 (1.5)</w:t>
            </w:r>
          </w:p>
        </w:tc>
        <w:tc>
          <w:tcPr>
            <w:tcW w:w="1309" w:type="pct"/>
            <w:hideMark/>
          </w:tcPr>
          <w:p w14:paraId="1199C86D"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9 (1.3)</w:t>
            </w:r>
          </w:p>
        </w:tc>
      </w:tr>
      <w:tr w:rsidR="00933BDF" w:rsidRPr="00A30B12" w14:paraId="32A05FCA"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5899BD94"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Other</w:t>
            </w:r>
          </w:p>
        </w:tc>
        <w:tc>
          <w:tcPr>
            <w:tcW w:w="1309" w:type="pct"/>
            <w:hideMark/>
          </w:tcPr>
          <w:p w14:paraId="1D0ABFD1"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7 (2.1)</w:t>
            </w:r>
          </w:p>
        </w:tc>
        <w:tc>
          <w:tcPr>
            <w:tcW w:w="1309" w:type="pct"/>
            <w:hideMark/>
          </w:tcPr>
          <w:p w14:paraId="406D81BA"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8 (2.4)</w:t>
            </w:r>
          </w:p>
        </w:tc>
        <w:tc>
          <w:tcPr>
            <w:tcW w:w="1309" w:type="pct"/>
            <w:hideMark/>
          </w:tcPr>
          <w:p w14:paraId="44169D61"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15 (2.2)</w:t>
            </w:r>
          </w:p>
        </w:tc>
      </w:tr>
      <w:tr w:rsidR="00933BDF" w:rsidRPr="00A30B12" w14:paraId="67645682"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4D87A225"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BMI, kg/m</w:t>
            </w:r>
            <w:r w:rsidRPr="00A30B12">
              <w:rPr>
                <w:rStyle w:val="BodyText-SuperScript-H14"/>
                <w:rFonts w:ascii="Arial" w:hAnsi="Arial"/>
                <w:sz w:val="20"/>
                <w:lang w:val="en-US" w:eastAsia="en-GB"/>
              </w:rPr>
              <w:t>2</w:t>
            </w:r>
          </w:p>
        </w:tc>
      </w:tr>
      <w:tr w:rsidR="00933BDF" w:rsidRPr="00A30B12" w14:paraId="2A686FA9"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0F5796BE"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Mean</w:t>
            </w:r>
          </w:p>
        </w:tc>
        <w:tc>
          <w:tcPr>
            <w:tcW w:w="1309" w:type="pct"/>
            <w:hideMark/>
          </w:tcPr>
          <w:p w14:paraId="2E3E9E83"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27.9</w:t>
            </w:r>
          </w:p>
        </w:tc>
        <w:tc>
          <w:tcPr>
            <w:tcW w:w="1309" w:type="pct"/>
            <w:hideMark/>
          </w:tcPr>
          <w:p w14:paraId="3353D6DD"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28.0</w:t>
            </w:r>
          </w:p>
        </w:tc>
        <w:tc>
          <w:tcPr>
            <w:tcW w:w="1309" w:type="pct"/>
            <w:hideMark/>
          </w:tcPr>
          <w:p w14:paraId="3266BCDE"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28.0</w:t>
            </w:r>
          </w:p>
        </w:tc>
      </w:tr>
      <w:tr w:rsidR="00933BDF" w:rsidRPr="00A30B12" w14:paraId="6FC05F45"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0390662A"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SD</w:t>
            </w:r>
          </w:p>
        </w:tc>
        <w:tc>
          <w:tcPr>
            <w:tcW w:w="1309" w:type="pct"/>
            <w:hideMark/>
          </w:tcPr>
          <w:p w14:paraId="55ABFC79"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5.33</w:t>
            </w:r>
          </w:p>
        </w:tc>
        <w:tc>
          <w:tcPr>
            <w:tcW w:w="1309" w:type="pct"/>
            <w:hideMark/>
          </w:tcPr>
          <w:p w14:paraId="4201960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5.34</w:t>
            </w:r>
          </w:p>
        </w:tc>
        <w:tc>
          <w:tcPr>
            <w:tcW w:w="1309" w:type="pct"/>
            <w:hideMark/>
          </w:tcPr>
          <w:p w14:paraId="51E59635"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5.33</w:t>
            </w:r>
          </w:p>
        </w:tc>
      </w:tr>
      <w:tr w:rsidR="00933BDF" w:rsidRPr="00A30B12" w14:paraId="0B333D04" w14:textId="77777777" w:rsidTr="00AF228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213C91C"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Median</w:t>
            </w:r>
          </w:p>
        </w:tc>
        <w:tc>
          <w:tcPr>
            <w:tcW w:w="1309" w:type="pct"/>
            <w:hideMark/>
          </w:tcPr>
          <w:p w14:paraId="0C17188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27.5</w:t>
            </w:r>
          </w:p>
        </w:tc>
        <w:tc>
          <w:tcPr>
            <w:tcW w:w="1309" w:type="pct"/>
            <w:hideMark/>
          </w:tcPr>
          <w:p w14:paraId="6D13E4D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27.3</w:t>
            </w:r>
          </w:p>
        </w:tc>
        <w:tc>
          <w:tcPr>
            <w:tcW w:w="1309" w:type="pct"/>
            <w:hideMark/>
          </w:tcPr>
          <w:p w14:paraId="2F3E7C4C"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27.4</w:t>
            </w:r>
          </w:p>
        </w:tc>
      </w:tr>
      <w:tr w:rsidR="00933BDF" w:rsidRPr="00A30B12" w14:paraId="12A20601" w14:textId="77777777" w:rsidTr="00AF2281">
        <w:trPr>
          <w:trHeight w:val="284"/>
        </w:trPr>
        <w:tc>
          <w:tcPr>
            <w:cnfStyle w:val="001000000000" w:firstRow="0" w:lastRow="0" w:firstColumn="1" w:lastColumn="0" w:oddVBand="0" w:evenVBand="0" w:oddHBand="0" w:evenHBand="0" w:firstRowFirstColumn="0" w:firstRowLastColumn="0" w:lastRowFirstColumn="0" w:lastRowLastColumn="0"/>
            <w:tcW w:w="1073" w:type="pct"/>
            <w:shd w:val="clear" w:color="auto" w:fill="auto"/>
            <w:hideMark/>
          </w:tcPr>
          <w:p w14:paraId="47B867EB"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Min, max</w:t>
            </w:r>
          </w:p>
        </w:tc>
        <w:tc>
          <w:tcPr>
            <w:tcW w:w="1309" w:type="pct"/>
            <w:hideMark/>
          </w:tcPr>
          <w:p w14:paraId="08777552"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15.99, 39.97</w:t>
            </w:r>
          </w:p>
        </w:tc>
        <w:tc>
          <w:tcPr>
            <w:tcW w:w="1309" w:type="pct"/>
            <w:hideMark/>
          </w:tcPr>
          <w:p w14:paraId="69DC812F"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16.76, 39.99</w:t>
            </w:r>
          </w:p>
        </w:tc>
        <w:tc>
          <w:tcPr>
            <w:tcW w:w="1309" w:type="pct"/>
            <w:hideMark/>
          </w:tcPr>
          <w:p w14:paraId="4B54E355"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15.99, 39.99</w:t>
            </w:r>
          </w:p>
        </w:tc>
      </w:tr>
    </w:tbl>
    <w:p w14:paraId="6CCD0AD5" w14:textId="0F04A848" w:rsidR="00933BDF" w:rsidRPr="00A30B12" w:rsidRDefault="00933BDF" w:rsidP="00A30B12">
      <w:pPr>
        <w:pStyle w:val="TableNote-H58"/>
        <w:spacing w:before="0" w:after="0"/>
        <w:rPr>
          <w:rFonts w:ascii="Arial" w:hAnsi="Arial"/>
          <w:sz w:val="16"/>
          <w:szCs w:val="16"/>
          <w:lang w:val="en-US"/>
        </w:rPr>
      </w:pPr>
      <w:r w:rsidRPr="00A30B12">
        <w:rPr>
          <w:rFonts w:ascii="Arial" w:hAnsi="Arial"/>
          <w:sz w:val="16"/>
          <w:szCs w:val="16"/>
          <w:lang w:val="en-US"/>
        </w:rPr>
        <w:t xml:space="preserve">SOURCE: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A30B12">
        <w:rPr>
          <w:rFonts w:ascii="Arial" w:hAnsi="Arial"/>
          <w:sz w:val="16"/>
          <w:szCs w:val="16"/>
          <w:lang w:val="en-US"/>
        </w:rPr>
        <w:t xml:space="preserve"> section </w:t>
      </w:r>
      <w:r w:rsidRPr="00A30B12">
        <w:rPr>
          <w:rFonts w:ascii="Arial" w:eastAsia="Tahoma" w:hAnsi="Arial"/>
          <w:sz w:val="16"/>
          <w:szCs w:val="16"/>
          <w:lang w:val="en-US"/>
        </w:rPr>
        <w:t>11.2.1 Table 11-3</w:t>
      </w:r>
      <w:r w:rsidRPr="00A30B12">
        <w:rPr>
          <w:rFonts w:ascii="Arial" w:hAnsi="Arial"/>
          <w:sz w:val="16"/>
          <w:szCs w:val="16"/>
          <w:lang w:val="en-US"/>
        </w:rPr>
        <w:t xml:space="preserve"> </w:t>
      </w:r>
    </w:p>
    <w:p w14:paraId="11258F9C" w14:textId="77777777" w:rsidR="00933BDF" w:rsidRPr="00A30B12" w:rsidRDefault="00933BDF" w:rsidP="00A30B12">
      <w:pPr>
        <w:pStyle w:val="TableNote"/>
        <w:spacing w:before="0" w:after="0"/>
        <w:rPr>
          <w:rStyle w:val="CommentReference"/>
          <w:rFonts w:ascii="Arial" w:eastAsia="Arial Unicode MS" w:hAnsi="Arial"/>
          <w:sz w:val="16"/>
          <w:szCs w:val="16"/>
        </w:rPr>
      </w:pPr>
      <w:r w:rsidRPr="00A30B12">
        <w:rPr>
          <w:rStyle w:val="CommentReference"/>
          <w:rFonts w:ascii="Arial" w:eastAsia="Arial Unicode MS" w:hAnsi="Arial"/>
          <w:sz w:val="16"/>
          <w:szCs w:val="16"/>
        </w:rPr>
        <w:t>Note: p-value for gender, ethnicity, and race from a Fisher's exact test; p-value for age and BMI from a Wilcoxon rank sum test</w:t>
      </w:r>
    </w:p>
    <w:p w14:paraId="6902FB75" w14:textId="77777777" w:rsidR="00933BDF" w:rsidRPr="00D95C15" w:rsidRDefault="00933BDF" w:rsidP="00A30B12">
      <w:pPr>
        <w:pStyle w:val="TableNote-H58"/>
        <w:spacing w:before="0" w:after="0"/>
        <w:rPr>
          <w:lang w:val="en-US"/>
        </w:rPr>
      </w:pPr>
      <w:r w:rsidRPr="00A30B12">
        <w:rPr>
          <w:rFonts w:ascii="Arial" w:hAnsi="Arial"/>
          <w:sz w:val="16"/>
          <w:szCs w:val="16"/>
          <w:lang w:val="en-US"/>
        </w:rPr>
        <w:t>BMI: Body mass index; ITT: Intent-to-treat; N: Number of patients in population; n: Number of patients in specific category; SD: Standard deviation</w:t>
      </w:r>
      <w:r w:rsidRPr="00D95C15">
        <w:rPr>
          <w:lang w:val="en-US"/>
        </w:rPr>
        <w:br w:type="page"/>
      </w:r>
    </w:p>
    <w:p w14:paraId="43CFEC78" w14:textId="73B6F662" w:rsidR="005D0FF4" w:rsidRDefault="00933BDF" w:rsidP="00C24317">
      <w:pPr>
        <w:pStyle w:val="Heading5"/>
        <w:numPr>
          <w:ilvl w:val="0"/>
          <w:numId w:val="36"/>
        </w:numPr>
        <w:ind w:left="426" w:hanging="426"/>
        <w:rPr>
          <w:rFonts w:ascii="Arial" w:hAnsi="Arial"/>
          <w:b/>
          <w:color w:val="auto"/>
          <w:sz w:val="22"/>
          <w:szCs w:val="22"/>
          <w:lang w:val="en-US"/>
        </w:rPr>
      </w:pPr>
      <w:r w:rsidRPr="00A30B12">
        <w:rPr>
          <w:rFonts w:ascii="Arial" w:hAnsi="Arial"/>
          <w:b/>
          <w:color w:val="auto"/>
          <w:sz w:val="22"/>
          <w:szCs w:val="22"/>
          <w:lang w:val="en-US"/>
        </w:rPr>
        <w:lastRenderedPageBreak/>
        <w:t>Baseline disease characteristics in ESTABLISH-1</w:t>
      </w:r>
      <w:r w:rsidR="000F42F5" w:rsidRPr="00A30B12">
        <w:rPr>
          <w:rFonts w:ascii="Arial" w:hAnsi="Arial"/>
          <w:b/>
          <w:color w:val="auto"/>
          <w:sz w:val="22"/>
          <w:szCs w:val="22"/>
          <w:lang w:val="en-US"/>
        </w:rPr>
        <w:t xml:space="preserve"> </w:t>
      </w:r>
    </w:p>
    <w:p w14:paraId="6AA32FB5" w14:textId="2087A79C" w:rsidR="00933BDF" w:rsidRPr="00A30B12" w:rsidRDefault="00933BDF" w:rsidP="005D0FF4">
      <w:pPr>
        <w:pStyle w:val="Heading5"/>
        <w:rPr>
          <w:rFonts w:ascii="Arial" w:hAnsi="Arial"/>
          <w:b/>
          <w:color w:val="auto"/>
          <w:sz w:val="22"/>
          <w:szCs w:val="22"/>
          <w:lang w:val="en-US"/>
        </w:rPr>
      </w:pPr>
      <w:r w:rsidRPr="00A30B12">
        <w:rPr>
          <w:rFonts w:ascii="Arial" w:eastAsia="TimesNewRoman" w:hAnsi="Arial"/>
          <w:color w:val="auto"/>
          <w:sz w:val="22"/>
          <w:szCs w:val="22"/>
          <w:lang w:val="en-US"/>
        </w:rPr>
        <w:t>The most common ABSSSI relevant medical histories</w:t>
      </w:r>
      <w:r w:rsidRPr="00A30B12">
        <w:rPr>
          <w:rFonts w:ascii="Arial" w:hAnsi="Arial"/>
          <w:color w:val="auto"/>
          <w:sz w:val="22"/>
          <w:szCs w:val="22"/>
          <w:lang w:val="en-US"/>
        </w:rPr>
        <w:t xml:space="preserve">, reported in ≥20% of patients in either the tedizolid phosphate or linezolid treatment group, </w:t>
      </w:r>
      <w:r w:rsidRPr="00A30B12">
        <w:rPr>
          <w:rFonts w:ascii="Arial" w:eastAsia="TimesNewRoman" w:hAnsi="Arial"/>
          <w:color w:val="auto"/>
          <w:sz w:val="22"/>
          <w:szCs w:val="22"/>
          <w:lang w:val="en-US"/>
        </w:rPr>
        <w:t>were current or recent IV drug use (35.2% vs. 39.4%), recent trauma that resulted in primary infection (32.5% vs. 33.7%), and previous ABSSSI (22.6% vs. 24.2%). There were no clinically significant differences between the treatment groups in ABSSSI relevant medical histories.</w:t>
      </w:r>
      <w:r w:rsidR="00A30B12" w:rsidRPr="00A30B12">
        <w:rPr>
          <w:rFonts w:ascii="Arial" w:eastAsia="TimesNewRoman" w:hAnsi="Arial"/>
          <w:color w:val="auto"/>
          <w:sz w:val="22"/>
          <w:szCs w:val="22"/>
          <w:lang w:val="en-US"/>
        </w:rPr>
        <w:t xml:space="preserve"> </w:t>
      </w:r>
      <w:r w:rsidRPr="00A30B12">
        <w:rPr>
          <w:rFonts w:ascii="Arial" w:eastAsia="TimesNewRoman" w:hAnsi="Arial"/>
          <w:color w:val="auto"/>
          <w:sz w:val="22"/>
          <w:szCs w:val="22"/>
          <w:lang w:val="en-US"/>
        </w:rPr>
        <w:t>Data related to ABSSSI relevant medical history at baseline in th</w:t>
      </w:r>
      <w:r w:rsidR="00547560" w:rsidRPr="00A30B12">
        <w:rPr>
          <w:rFonts w:ascii="Arial" w:eastAsia="TimesNewRoman" w:hAnsi="Arial"/>
          <w:color w:val="auto"/>
          <w:sz w:val="22"/>
          <w:szCs w:val="22"/>
          <w:lang w:val="en-US"/>
        </w:rPr>
        <w:t xml:space="preserve">e ESTABLISH-1 </w:t>
      </w:r>
      <w:r w:rsidR="00972C84">
        <w:rPr>
          <w:rFonts w:ascii="Arial" w:eastAsia="TimesNewRoman" w:hAnsi="Arial"/>
          <w:color w:val="auto"/>
          <w:sz w:val="22"/>
          <w:szCs w:val="22"/>
          <w:lang w:val="en-US"/>
        </w:rPr>
        <w:t>study</w:t>
      </w:r>
      <w:r w:rsidR="00547560" w:rsidRPr="00A30B12">
        <w:rPr>
          <w:rFonts w:ascii="Arial" w:eastAsia="TimesNewRoman" w:hAnsi="Arial"/>
          <w:color w:val="auto"/>
          <w:sz w:val="22"/>
          <w:szCs w:val="22"/>
          <w:lang w:val="en-US"/>
        </w:rPr>
        <w:t xml:space="preserve"> are </w:t>
      </w:r>
      <w:r w:rsidR="00547560" w:rsidRPr="004A20B4">
        <w:rPr>
          <w:rFonts w:ascii="Arial" w:eastAsia="TimesNewRoman" w:hAnsi="Arial"/>
          <w:color w:val="auto"/>
          <w:sz w:val="22"/>
          <w:szCs w:val="22"/>
          <w:lang w:val="en-US"/>
        </w:rPr>
        <w:t>summaris</w:t>
      </w:r>
      <w:r w:rsidRPr="004A20B4">
        <w:rPr>
          <w:rFonts w:ascii="Arial" w:eastAsia="TimesNewRoman" w:hAnsi="Arial"/>
          <w:color w:val="auto"/>
          <w:sz w:val="22"/>
          <w:szCs w:val="22"/>
          <w:lang w:val="en-US"/>
        </w:rPr>
        <w:t xml:space="preserve">ed in </w:t>
      </w:r>
      <w:r w:rsidR="00A30B12" w:rsidRPr="004A20B4">
        <w:rPr>
          <w:rFonts w:ascii="Arial" w:hAnsi="Arial"/>
          <w:color w:val="auto"/>
          <w:sz w:val="22"/>
          <w:szCs w:val="22"/>
          <w:lang w:val="en-US"/>
        </w:rPr>
        <w:fldChar w:fldCharType="begin"/>
      </w:r>
      <w:r w:rsidR="00A30B12" w:rsidRPr="004A20B4">
        <w:rPr>
          <w:rFonts w:ascii="Arial" w:eastAsia="TimesNewRoman" w:hAnsi="Arial"/>
          <w:color w:val="auto"/>
          <w:sz w:val="22"/>
          <w:szCs w:val="22"/>
          <w:lang w:val="en-US"/>
        </w:rPr>
        <w:instrText xml:space="preserve"> REF _Ref381692583 \h </w:instrText>
      </w:r>
      <w:r w:rsidR="00A30B12" w:rsidRPr="004A20B4">
        <w:rPr>
          <w:rFonts w:ascii="Arial" w:hAnsi="Arial"/>
          <w:color w:val="auto"/>
          <w:sz w:val="22"/>
          <w:szCs w:val="22"/>
          <w:lang w:val="en-US"/>
        </w:rPr>
      </w:r>
      <w:r w:rsidR="00A30B12" w:rsidRPr="004A20B4">
        <w:rPr>
          <w:rFonts w:ascii="Arial" w:hAnsi="Arial"/>
          <w:color w:val="auto"/>
          <w:sz w:val="22"/>
          <w:szCs w:val="22"/>
          <w:lang w:val="en-US"/>
        </w:rPr>
        <w:fldChar w:fldCharType="separate"/>
      </w:r>
      <w:r w:rsidR="00151A1C" w:rsidRPr="00547560">
        <w:rPr>
          <w:rFonts w:ascii="Arial" w:hAnsi="Arial"/>
          <w:sz w:val="22"/>
          <w:szCs w:val="22"/>
          <w:lang w:val="en-US"/>
        </w:rPr>
        <w:t xml:space="preserve">Table </w:t>
      </w:r>
      <w:r w:rsidR="00151A1C">
        <w:rPr>
          <w:rFonts w:ascii="Arial" w:hAnsi="Arial"/>
          <w:noProof/>
          <w:sz w:val="22"/>
          <w:szCs w:val="22"/>
          <w:lang w:val="en-US"/>
        </w:rPr>
        <w:t>8</w:t>
      </w:r>
      <w:r w:rsidR="00A30B12" w:rsidRPr="004A20B4">
        <w:rPr>
          <w:rFonts w:ascii="Arial" w:hAnsi="Arial"/>
          <w:color w:val="auto"/>
          <w:sz w:val="22"/>
          <w:szCs w:val="22"/>
          <w:lang w:val="en-US"/>
        </w:rPr>
        <w:fldChar w:fldCharType="end"/>
      </w:r>
      <w:r w:rsidRPr="004A20B4">
        <w:rPr>
          <w:rFonts w:ascii="Arial" w:eastAsia="TimesNewRoman" w:hAnsi="Arial"/>
          <w:color w:val="auto"/>
          <w:sz w:val="22"/>
          <w:szCs w:val="22"/>
          <w:lang w:val="en-US"/>
        </w:rPr>
        <w:t>.</w:t>
      </w:r>
    </w:p>
    <w:p w14:paraId="116A3129" w14:textId="77777777" w:rsidR="00933BDF" w:rsidRPr="00547560" w:rsidRDefault="00933BDF" w:rsidP="00933BDF">
      <w:pPr>
        <w:pStyle w:val="Caption"/>
        <w:rPr>
          <w:rFonts w:ascii="Arial" w:hAnsi="Arial"/>
          <w:sz w:val="22"/>
          <w:szCs w:val="22"/>
          <w:lang w:val="en-US"/>
        </w:rPr>
      </w:pPr>
      <w:bookmarkStart w:id="69" w:name="_Ref381692583"/>
      <w:bookmarkStart w:id="70" w:name="_Toc396058434"/>
      <w:r w:rsidRPr="00547560">
        <w:rPr>
          <w:rFonts w:ascii="Arial" w:hAnsi="Arial"/>
          <w:sz w:val="22"/>
          <w:szCs w:val="22"/>
          <w:lang w:val="en-US"/>
        </w:rPr>
        <w:t xml:space="preserve">Table </w:t>
      </w:r>
      <w:r w:rsidRPr="00547560">
        <w:rPr>
          <w:rFonts w:ascii="Arial" w:hAnsi="Arial"/>
          <w:sz w:val="22"/>
          <w:szCs w:val="22"/>
          <w:lang w:val="en-US"/>
        </w:rPr>
        <w:fldChar w:fldCharType="begin"/>
      </w:r>
      <w:r w:rsidRPr="00547560">
        <w:rPr>
          <w:rFonts w:ascii="Arial" w:hAnsi="Arial"/>
          <w:sz w:val="22"/>
          <w:szCs w:val="22"/>
          <w:lang w:val="en-US"/>
        </w:rPr>
        <w:instrText xml:space="preserve"> SEQ Table \* ARABIC </w:instrText>
      </w:r>
      <w:r w:rsidRPr="00547560">
        <w:rPr>
          <w:rFonts w:ascii="Arial" w:hAnsi="Arial"/>
          <w:sz w:val="22"/>
          <w:szCs w:val="22"/>
          <w:lang w:val="en-US"/>
        </w:rPr>
        <w:fldChar w:fldCharType="separate"/>
      </w:r>
      <w:r w:rsidR="00151A1C">
        <w:rPr>
          <w:rFonts w:ascii="Arial" w:hAnsi="Arial"/>
          <w:noProof/>
          <w:sz w:val="22"/>
          <w:szCs w:val="22"/>
          <w:lang w:val="en-US"/>
        </w:rPr>
        <w:t>8</w:t>
      </w:r>
      <w:r w:rsidRPr="00547560">
        <w:rPr>
          <w:rFonts w:ascii="Arial" w:hAnsi="Arial"/>
          <w:sz w:val="22"/>
          <w:szCs w:val="22"/>
          <w:lang w:val="en-US"/>
        </w:rPr>
        <w:fldChar w:fldCharType="end"/>
      </w:r>
      <w:bookmarkEnd w:id="69"/>
      <w:r w:rsidRPr="00547560">
        <w:rPr>
          <w:rFonts w:ascii="Arial" w:hAnsi="Arial"/>
          <w:sz w:val="22"/>
          <w:szCs w:val="22"/>
          <w:lang w:val="en-US"/>
        </w:rPr>
        <w:t>: Baseline ABSSSI relevant medical history in ESTABLISH-1 (ITT population)</w:t>
      </w:r>
      <w:bookmarkEnd w:id="70"/>
    </w:p>
    <w:tbl>
      <w:tblPr>
        <w:tblStyle w:val="Table-HERONplain"/>
        <w:tblW w:w="0" w:type="auto"/>
        <w:tblLook w:val="04A0" w:firstRow="1" w:lastRow="0" w:firstColumn="1" w:lastColumn="0" w:noHBand="0" w:noVBand="1"/>
      </w:tblPr>
      <w:tblGrid>
        <w:gridCol w:w="5390"/>
        <w:gridCol w:w="1252"/>
        <w:gridCol w:w="1161"/>
        <w:gridCol w:w="1100"/>
      </w:tblGrid>
      <w:tr w:rsidR="00933BDF" w:rsidRPr="00A30B12" w14:paraId="3B67C05A" w14:textId="77777777" w:rsidTr="00AF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31ECB5C8"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Characteristic</w:t>
            </w:r>
          </w:p>
        </w:tc>
        <w:tc>
          <w:tcPr>
            <w:tcW w:w="1253" w:type="dxa"/>
            <w:shd w:val="clear" w:color="auto" w:fill="auto"/>
            <w:hideMark/>
          </w:tcPr>
          <w:p w14:paraId="610682DC"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Tedizolid phosphate (N=332)</w:t>
            </w:r>
          </w:p>
          <w:p w14:paraId="51D71D85"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n (%)</w:t>
            </w:r>
          </w:p>
        </w:tc>
        <w:tc>
          <w:tcPr>
            <w:tcW w:w="1165" w:type="dxa"/>
            <w:shd w:val="clear" w:color="auto" w:fill="auto"/>
            <w:hideMark/>
          </w:tcPr>
          <w:p w14:paraId="44944ADD"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Linezolid (N=335)</w:t>
            </w:r>
          </w:p>
          <w:p w14:paraId="0808C812"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n (%)</w:t>
            </w:r>
          </w:p>
        </w:tc>
        <w:tc>
          <w:tcPr>
            <w:tcW w:w="1115" w:type="dxa"/>
            <w:shd w:val="clear" w:color="auto" w:fill="auto"/>
            <w:hideMark/>
          </w:tcPr>
          <w:p w14:paraId="53F00E77" w14:textId="77777777" w:rsidR="00933BDF" w:rsidRPr="00A30B12"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p-value</w:t>
            </w:r>
          </w:p>
        </w:tc>
      </w:tr>
      <w:tr w:rsidR="00933BDF" w:rsidRPr="00A30B12" w14:paraId="44382790" w14:textId="77777777" w:rsidTr="00AF2281">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164AFD5C"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Relevant surgical procedure that resulted in primary infection</w:t>
            </w:r>
          </w:p>
        </w:tc>
        <w:tc>
          <w:tcPr>
            <w:tcW w:w="1253" w:type="dxa"/>
            <w:hideMark/>
          </w:tcPr>
          <w:p w14:paraId="55E682E5"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3 (0.9)</w:t>
            </w:r>
          </w:p>
        </w:tc>
        <w:tc>
          <w:tcPr>
            <w:tcW w:w="1165" w:type="dxa"/>
            <w:hideMark/>
          </w:tcPr>
          <w:p w14:paraId="0738682E"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3 (0.9)</w:t>
            </w:r>
          </w:p>
        </w:tc>
        <w:tc>
          <w:tcPr>
            <w:tcW w:w="1115" w:type="dxa"/>
            <w:hideMark/>
          </w:tcPr>
          <w:p w14:paraId="1A017026"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1.0000</w:t>
            </w:r>
          </w:p>
        </w:tc>
      </w:tr>
      <w:tr w:rsidR="00933BDF" w:rsidRPr="00A30B12" w14:paraId="75504DD4"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39529D46"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Recent trauma that resulted in primary infection</w:t>
            </w:r>
          </w:p>
        </w:tc>
        <w:tc>
          <w:tcPr>
            <w:tcW w:w="1253" w:type="dxa"/>
            <w:hideMark/>
          </w:tcPr>
          <w:p w14:paraId="316857BA"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108 (32.5)</w:t>
            </w:r>
          </w:p>
        </w:tc>
        <w:tc>
          <w:tcPr>
            <w:tcW w:w="1165" w:type="dxa"/>
            <w:hideMark/>
          </w:tcPr>
          <w:p w14:paraId="0AFA577C"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113 (33.7)</w:t>
            </w:r>
          </w:p>
        </w:tc>
        <w:tc>
          <w:tcPr>
            <w:tcW w:w="1115" w:type="dxa"/>
            <w:hideMark/>
          </w:tcPr>
          <w:p w14:paraId="40FAEC8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0.7430</w:t>
            </w:r>
          </w:p>
        </w:tc>
      </w:tr>
      <w:tr w:rsidR="00933BDF" w:rsidRPr="00A30B12" w14:paraId="0ED48326" w14:textId="77777777" w:rsidTr="00AF2281">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24C6C1F7"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Current or recent IV drug use</w:t>
            </w:r>
          </w:p>
        </w:tc>
        <w:tc>
          <w:tcPr>
            <w:tcW w:w="1253" w:type="dxa"/>
            <w:hideMark/>
          </w:tcPr>
          <w:p w14:paraId="780BF59F"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117 (35.2)</w:t>
            </w:r>
          </w:p>
        </w:tc>
        <w:tc>
          <w:tcPr>
            <w:tcW w:w="1165" w:type="dxa"/>
            <w:hideMark/>
          </w:tcPr>
          <w:p w14:paraId="7DDACD3E"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132 (39.4)</w:t>
            </w:r>
          </w:p>
        </w:tc>
        <w:tc>
          <w:tcPr>
            <w:tcW w:w="1115" w:type="dxa"/>
            <w:hideMark/>
          </w:tcPr>
          <w:p w14:paraId="4E00C6B9"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0.2980</w:t>
            </w:r>
          </w:p>
        </w:tc>
      </w:tr>
      <w:tr w:rsidR="00933BDF" w:rsidRPr="00A30B12" w14:paraId="54338E92"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09B7F76A"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Diabetes mellitus</w:t>
            </w:r>
          </w:p>
        </w:tc>
        <w:tc>
          <w:tcPr>
            <w:tcW w:w="1253" w:type="dxa"/>
            <w:hideMark/>
          </w:tcPr>
          <w:p w14:paraId="719B503B"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26 (7.8)</w:t>
            </w:r>
          </w:p>
        </w:tc>
        <w:tc>
          <w:tcPr>
            <w:tcW w:w="1165" w:type="dxa"/>
            <w:hideMark/>
          </w:tcPr>
          <w:p w14:paraId="6E61E68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26 (7.8)</w:t>
            </w:r>
          </w:p>
        </w:tc>
        <w:tc>
          <w:tcPr>
            <w:tcW w:w="1115" w:type="dxa"/>
            <w:hideMark/>
          </w:tcPr>
          <w:p w14:paraId="3CD50BD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1.0000</w:t>
            </w:r>
          </w:p>
        </w:tc>
      </w:tr>
      <w:tr w:rsidR="00933BDF" w:rsidRPr="00A30B12" w14:paraId="6D6E9BD6" w14:textId="77777777" w:rsidTr="00AF2281">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58F1469D"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 xml:space="preserve">HIV positive </w:t>
            </w:r>
          </w:p>
        </w:tc>
        <w:tc>
          <w:tcPr>
            <w:tcW w:w="1253" w:type="dxa"/>
            <w:hideMark/>
          </w:tcPr>
          <w:p w14:paraId="3B2ECB21"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5 (1.5)</w:t>
            </w:r>
          </w:p>
        </w:tc>
        <w:tc>
          <w:tcPr>
            <w:tcW w:w="1165" w:type="dxa"/>
            <w:hideMark/>
          </w:tcPr>
          <w:p w14:paraId="0D337F84"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1 (0.3)</w:t>
            </w:r>
          </w:p>
        </w:tc>
        <w:tc>
          <w:tcPr>
            <w:tcW w:w="1115" w:type="dxa"/>
            <w:hideMark/>
          </w:tcPr>
          <w:p w14:paraId="0BAFAC3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0.1219</w:t>
            </w:r>
          </w:p>
        </w:tc>
      </w:tr>
      <w:tr w:rsidR="00933BDF" w:rsidRPr="00A30B12" w14:paraId="720F4DAF"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475D431F"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Poor living conditions</w:t>
            </w:r>
          </w:p>
        </w:tc>
        <w:tc>
          <w:tcPr>
            <w:tcW w:w="1253" w:type="dxa"/>
            <w:hideMark/>
          </w:tcPr>
          <w:p w14:paraId="5FE4E92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25 (7.5)</w:t>
            </w:r>
          </w:p>
        </w:tc>
        <w:tc>
          <w:tcPr>
            <w:tcW w:w="1165" w:type="dxa"/>
            <w:hideMark/>
          </w:tcPr>
          <w:p w14:paraId="6BD0944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16 (4.8)</w:t>
            </w:r>
          </w:p>
        </w:tc>
        <w:tc>
          <w:tcPr>
            <w:tcW w:w="1115" w:type="dxa"/>
            <w:hideMark/>
          </w:tcPr>
          <w:p w14:paraId="3BD4E984"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0.1495</w:t>
            </w:r>
          </w:p>
        </w:tc>
      </w:tr>
      <w:tr w:rsidR="00933BDF" w:rsidRPr="00A30B12" w14:paraId="61D03EBC" w14:textId="77777777" w:rsidTr="00AF2281">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50241F85"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Concurrent secondary ABSSSI lesions</w:t>
            </w:r>
          </w:p>
        </w:tc>
        <w:tc>
          <w:tcPr>
            <w:tcW w:w="1253" w:type="dxa"/>
            <w:hideMark/>
          </w:tcPr>
          <w:p w14:paraId="14DA0F5B"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48 (14.5)</w:t>
            </w:r>
          </w:p>
        </w:tc>
        <w:tc>
          <w:tcPr>
            <w:tcW w:w="1165" w:type="dxa"/>
            <w:hideMark/>
          </w:tcPr>
          <w:p w14:paraId="0C8BC7F7"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43 (12.8)</w:t>
            </w:r>
          </w:p>
        </w:tc>
        <w:tc>
          <w:tcPr>
            <w:tcW w:w="1115" w:type="dxa"/>
            <w:hideMark/>
          </w:tcPr>
          <w:p w14:paraId="69830128"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0.5738</w:t>
            </w:r>
          </w:p>
        </w:tc>
      </w:tr>
      <w:tr w:rsidR="00933BDF" w:rsidRPr="00A30B12" w14:paraId="11CFCD43"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0D039F05"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Previous ABSSSI</w:t>
            </w:r>
          </w:p>
        </w:tc>
        <w:tc>
          <w:tcPr>
            <w:tcW w:w="1253" w:type="dxa"/>
            <w:hideMark/>
          </w:tcPr>
          <w:p w14:paraId="5EF84BCC"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75 (22.6)</w:t>
            </w:r>
          </w:p>
        </w:tc>
        <w:tc>
          <w:tcPr>
            <w:tcW w:w="1165" w:type="dxa"/>
            <w:hideMark/>
          </w:tcPr>
          <w:p w14:paraId="7680A7CC"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81 (24.2)</w:t>
            </w:r>
          </w:p>
        </w:tc>
        <w:tc>
          <w:tcPr>
            <w:tcW w:w="1115" w:type="dxa"/>
            <w:hideMark/>
          </w:tcPr>
          <w:p w14:paraId="40B24362"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0.6482</w:t>
            </w:r>
          </w:p>
        </w:tc>
      </w:tr>
      <w:tr w:rsidR="00933BDF" w:rsidRPr="00A30B12" w14:paraId="49733B76" w14:textId="77777777" w:rsidTr="00AF2281">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6C0241D4"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Patient</w:t>
            </w:r>
            <w:r w:rsidRPr="00A30B12">
              <w:rPr>
                <w:rFonts w:ascii="Arial" w:hAnsi="Arial"/>
                <w:sz w:val="20"/>
                <w:lang w:val="en-US"/>
              </w:rPr>
              <w:t>-</w:t>
            </w:r>
            <w:r w:rsidRPr="00A30B12">
              <w:rPr>
                <w:rFonts w:ascii="Arial" w:hAnsi="Arial"/>
                <w:sz w:val="20"/>
                <w:lang w:val="en-US" w:eastAsia="en-GB"/>
              </w:rPr>
              <w:t>reported fever</w:t>
            </w:r>
          </w:p>
        </w:tc>
        <w:tc>
          <w:tcPr>
            <w:tcW w:w="1253" w:type="dxa"/>
            <w:hideMark/>
          </w:tcPr>
          <w:p w14:paraId="2DA44E97"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66 (19.9)</w:t>
            </w:r>
          </w:p>
        </w:tc>
        <w:tc>
          <w:tcPr>
            <w:tcW w:w="1165" w:type="dxa"/>
            <w:hideMark/>
          </w:tcPr>
          <w:p w14:paraId="1367B1FA"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62 (18.5)</w:t>
            </w:r>
          </w:p>
        </w:tc>
        <w:tc>
          <w:tcPr>
            <w:tcW w:w="1115" w:type="dxa"/>
            <w:hideMark/>
          </w:tcPr>
          <w:p w14:paraId="0C23835D" w14:textId="77777777" w:rsidR="00933BDF" w:rsidRPr="00A30B12"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30B12">
              <w:rPr>
                <w:rFonts w:ascii="Arial" w:hAnsi="Arial"/>
                <w:sz w:val="20"/>
                <w:lang w:val="en-US" w:eastAsia="en-GB"/>
              </w:rPr>
              <w:t>0.6945</w:t>
            </w:r>
          </w:p>
        </w:tc>
      </w:tr>
      <w:tr w:rsidR="00933BDF" w:rsidRPr="00A30B12" w14:paraId="1EC0478A"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64BCEBF1" w14:textId="77777777" w:rsidR="00933BDF" w:rsidRPr="00A30B12" w:rsidRDefault="00933BDF" w:rsidP="00100BE6">
            <w:pPr>
              <w:pStyle w:val="TableBodyText-H54"/>
              <w:rPr>
                <w:rFonts w:ascii="Arial" w:hAnsi="Arial"/>
                <w:sz w:val="20"/>
                <w:lang w:val="en-US" w:eastAsia="en-GB"/>
              </w:rPr>
            </w:pPr>
            <w:r w:rsidRPr="00A30B12">
              <w:rPr>
                <w:rFonts w:ascii="Arial" w:hAnsi="Arial"/>
                <w:sz w:val="20"/>
                <w:lang w:val="en-US" w:eastAsia="en-GB"/>
              </w:rPr>
              <w:t>Other relevant diagnosis or procedure</w:t>
            </w:r>
          </w:p>
        </w:tc>
        <w:tc>
          <w:tcPr>
            <w:tcW w:w="1253" w:type="dxa"/>
            <w:hideMark/>
          </w:tcPr>
          <w:p w14:paraId="3EB460BB"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20 (6.0)</w:t>
            </w:r>
          </w:p>
        </w:tc>
        <w:tc>
          <w:tcPr>
            <w:tcW w:w="1165" w:type="dxa"/>
            <w:hideMark/>
          </w:tcPr>
          <w:p w14:paraId="28EFBA28"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30 (9.0)</w:t>
            </w:r>
          </w:p>
        </w:tc>
        <w:tc>
          <w:tcPr>
            <w:tcW w:w="1115" w:type="dxa"/>
            <w:hideMark/>
          </w:tcPr>
          <w:p w14:paraId="0FC54A4E" w14:textId="77777777" w:rsidR="00933BDF" w:rsidRPr="00A30B12"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30B12">
              <w:rPr>
                <w:rFonts w:ascii="Arial" w:hAnsi="Arial"/>
                <w:sz w:val="20"/>
                <w:lang w:val="en-US" w:eastAsia="en-GB"/>
              </w:rPr>
              <w:t>0.1855</w:t>
            </w:r>
          </w:p>
        </w:tc>
      </w:tr>
    </w:tbl>
    <w:p w14:paraId="51852B42" w14:textId="400A73EA" w:rsidR="00933BDF" w:rsidRPr="00A30B12" w:rsidRDefault="00933BDF" w:rsidP="00A30B12">
      <w:pPr>
        <w:pStyle w:val="TableNote-H58"/>
        <w:spacing w:before="0" w:after="0"/>
        <w:rPr>
          <w:rFonts w:ascii="Arial" w:hAnsi="Arial"/>
          <w:sz w:val="16"/>
          <w:szCs w:val="16"/>
          <w:lang w:val="en-US"/>
        </w:rPr>
      </w:pPr>
      <w:r w:rsidRPr="00A30B12">
        <w:rPr>
          <w:rFonts w:ascii="Arial" w:hAnsi="Arial"/>
          <w:sz w:val="16"/>
          <w:szCs w:val="16"/>
          <w:lang w:val="en-US"/>
        </w:rPr>
        <w:t xml:space="preserve">SOURCE: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A30B12">
        <w:rPr>
          <w:rFonts w:ascii="Arial" w:hAnsi="Arial"/>
          <w:sz w:val="16"/>
          <w:szCs w:val="16"/>
          <w:lang w:val="en-US"/>
        </w:rPr>
        <w:t xml:space="preserve">: section 11.2.2 Table 11-5 </w:t>
      </w:r>
    </w:p>
    <w:p w14:paraId="7CD970AB" w14:textId="77777777" w:rsidR="00933BDF" w:rsidRPr="00A30B12" w:rsidRDefault="00933BDF" w:rsidP="00A30B12">
      <w:pPr>
        <w:pStyle w:val="TableNote"/>
        <w:spacing w:before="0" w:after="0"/>
        <w:rPr>
          <w:rFonts w:ascii="Arial" w:hAnsi="Arial"/>
          <w:sz w:val="16"/>
          <w:szCs w:val="16"/>
        </w:rPr>
      </w:pPr>
      <w:r w:rsidRPr="00A30B12">
        <w:rPr>
          <w:rStyle w:val="CommentReference"/>
          <w:rFonts w:ascii="Arial" w:eastAsia="Arial Unicode MS" w:hAnsi="Arial"/>
          <w:sz w:val="16"/>
          <w:szCs w:val="16"/>
        </w:rPr>
        <w:t xml:space="preserve">Note: </w:t>
      </w:r>
      <w:r w:rsidRPr="00A30B12">
        <w:rPr>
          <w:rFonts w:ascii="Arial" w:eastAsia="TimesNewRoman" w:hAnsi="Arial"/>
          <w:sz w:val="16"/>
          <w:szCs w:val="16"/>
        </w:rPr>
        <w:t>p-value from a Fisher's exact test</w:t>
      </w:r>
    </w:p>
    <w:p w14:paraId="3CC44D54" w14:textId="77777777" w:rsidR="00933BDF" w:rsidRPr="00A30B12" w:rsidRDefault="00933BDF" w:rsidP="00A30B12">
      <w:pPr>
        <w:pStyle w:val="TableNote-H58"/>
        <w:spacing w:before="0" w:after="0"/>
        <w:rPr>
          <w:rFonts w:ascii="Arial" w:hAnsi="Arial"/>
          <w:sz w:val="16"/>
          <w:szCs w:val="16"/>
          <w:lang w:val="en-US"/>
        </w:rPr>
      </w:pPr>
      <w:r w:rsidRPr="00A30B12">
        <w:rPr>
          <w:rFonts w:ascii="Arial" w:hAnsi="Arial"/>
          <w:sz w:val="16"/>
          <w:szCs w:val="16"/>
          <w:lang w:val="en-US"/>
        </w:rPr>
        <w:t>ABSSSI: Acute bacterial skin and skin structure infection; HIV: Human immunodeficiency virus; ITT: Intent-to-treat; IV; Intravenous; N: Number of patients in population; n: Number of patients in specific category</w:t>
      </w:r>
    </w:p>
    <w:p w14:paraId="7734D3E0" w14:textId="25BF35F5" w:rsidR="00962E32" w:rsidRDefault="00933BDF" w:rsidP="00C24317">
      <w:pPr>
        <w:pStyle w:val="Heading5"/>
        <w:numPr>
          <w:ilvl w:val="0"/>
          <w:numId w:val="36"/>
        </w:numPr>
        <w:ind w:left="426" w:hanging="426"/>
        <w:rPr>
          <w:rFonts w:ascii="Arial" w:hAnsi="Arial"/>
          <w:b/>
          <w:color w:val="auto"/>
          <w:sz w:val="22"/>
          <w:szCs w:val="22"/>
          <w:lang w:val="en-US"/>
        </w:rPr>
      </w:pPr>
      <w:r w:rsidRPr="001F257D">
        <w:rPr>
          <w:rFonts w:ascii="Arial" w:hAnsi="Arial"/>
          <w:b/>
          <w:color w:val="auto"/>
          <w:sz w:val="22"/>
          <w:szCs w:val="22"/>
          <w:lang w:val="en-US"/>
        </w:rPr>
        <w:lastRenderedPageBreak/>
        <w:t>Type and location of infections in ESTABLISH-1</w:t>
      </w:r>
      <w:r w:rsidR="00431298" w:rsidRPr="001F257D">
        <w:rPr>
          <w:rFonts w:ascii="Arial" w:hAnsi="Arial"/>
          <w:b/>
          <w:color w:val="auto"/>
          <w:sz w:val="22"/>
          <w:szCs w:val="22"/>
          <w:lang w:val="en-US"/>
        </w:rPr>
        <w:t xml:space="preserve"> </w:t>
      </w:r>
    </w:p>
    <w:p w14:paraId="4D343949" w14:textId="1FB5DB28" w:rsidR="00933BDF" w:rsidRPr="001F257D" w:rsidRDefault="00933BDF" w:rsidP="00962E32">
      <w:pPr>
        <w:pStyle w:val="Heading5"/>
        <w:rPr>
          <w:rFonts w:ascii="Arial" w:hAnsi="Arial"/>
          <w:b/>
          <w:color w:val="auto"/>
          <w:sz w:val="22"/>
          <w:szCs w:val="22"/>
          <w:lang w:val="en-US"/>
        </w:rPr>
      </w:pPr>
      <w:r w:rsidRPr="001F257D">
        <w:rPr>
          <w:rFonts w:ascii="Arial" w:hAnsi="Arial"/>
          <w:color w:val="auto"/>
          <w:sz w:val="22"/>
          <w:szCs w:val="22"/>
          <w:lang w:val="en-US"/>
        </w:rPr>
        <w:t>Infection types occurred with similar frequency in both treatment groups. The most common infection of patients enrolled in the study was cellulitis/erysipelas (tedizolid phosphate group: 40.7%; linezolid group: 41.5%), followed by major cutaneous abscess (tedizolid phosphate group: 30.1%; linezolid group 29.3%) and wound infection (tedizolid phosphate group:</w:t>
      </w:r>
      <w:r w:rsidR="00023175">
        <w:rPr>
          <w:rFonts w:ascii="Arial" w:hAnsi="Arial"/>
          <w:color w:val="auto"/>
          <w:sz w:val="22"/>
          <w:szCs w:val="22"/>
          <w:lang w:val="en-US"/>
        </w:rPr>
        <w:t xml:space="preserve"> 29.2%; linezolid group: 29.3</w:t>
      </w:r>
      <w:r w:rsidR="00023175" w:rsidRPr="00E511D0">
        <w:rPr>
          <w:rFonts w:ascii="Arial" w:hAnsi="Arial"/>
          <w:color w:val="auto"/>
          <w:sz w:val="22"/>
          <w:szCs w:val="22"/>
          <w:lang w:val="en-US"/>
        </w:rPr>
        <w:t>%)</w:t>
      </w:r>
      <w:r w:rsidR="00547560" w:rsidRPr="00E511D0">
        <w:rPr>
          <w:rFonts w:ascii="Arial" w:hAnsi="Arial"/>
          <w:color w:val="auto"/>
          <w:sz w:val="22"/>
          <w:szCs w:val="22"/>
          <w:lang w:val="en-US"/>
        </w:rPr>
        <w:t>(</w:t>
      </w:r>
      <w:r w:rsidR="007323E7" w:rsidRPr="00E511D0">
        <w:rPr>
          <w:rFonts w:ascii="Arial" w:hAnsi="Arial"/>
          <w:color w:val="auto"/>
          <w:sz w:val="22"/>
          <w:szCs w:val="22"/>
          <w:lang w:val="en-US"/>
        </w:rPr>
        <w:fldChar w:fldCharType="begin"/>
      </w:r>
      <w:r w:rsidR="007323E7" w:rsidRPr="00E511D0">
        <w:rPr>
          <w:rFonts w:ascii="Arial" w:hAnsi="Arial"/>
          <w:color w:val="auto"/>
          <w:sz w:val="22"/>
          <w:szCs w:val="22"/>
          <w:lang w:val="en-US"/>
        </w:rPr>
        <w:instrText xml:space="preserve"> REF _Ref384050329 \h </w:instrText>
      </w:r>
      <w:r w:rsidR="007323E7" w:rsidRPr="00E511D0">
        <w:rPr>
          <w:rFonts w:ascii="Arial" w:hAnsi="Arial"/>
          <w:color w:val="auto"/>
          <w:sz w:val="22"/>
          <w:szCs w:val="22"/>
          <w:lang w:val="en-US"/>
        </w:rPr>
      </w:r>
      <w:r w:rsidR="007323E7" w:rsidRPr="00E511D0">
        <w:rPr>
          <w:rFonts w:ascii="Arial" w:hAnsi="Arial"/>
          <w:color w:val="auto"/>
          <w:sz w:val="22"/>
          <w:szCs w:val="22"/>
          <w:lang w:val="en-US"/>
        </w:rPr>
        <w:fldChar w:fldCharType="separate"/>
      </w:r>
      <w:r w:rsidR="00151A1C" w:rsidRPr="001F257D">
        <w:rPr>
          <w:rFonts w:ascii="Arial" w:hAnsi="Arial"/>
          <w:sz w:val="22"/>
          <w:szCs w:val="22"/>
          <w:lang w:val="en-US"/>
        </w:rPr>
        <w:t xml:space="preserve">Table </w:t>
      </w:r>
      <w:r w:rsidR="00151A1C">
        <w:rPr>
          <w:rFonts w:ascii="Arial" w:hAnsi="Arial"/>
          <w:noProof/>
          <w:sz w:val="22"/>
          <w:szCs w:val="22"/>
          <w:lang w:val="en-US"/>
        </w:rPr>
        <w:t>9</w:t>
      </w:r>
      <w:r w:rsidR="007323E7" w:rsidRPr="00E511D0">
        <w:rPr>
          <w:rFonts w:ascii="Arial" w:hAnsi="Arial"/>
          <w:color w:val="auto"/>
          <w:sz w:val="22"/>
          <w:szCs w:val="22"/>
          <w:lang w:val="en-US"/>
        </w:rPr>
        <w:fldChar w:fldCharType="end"/>
      </w:r>
      <w:r w:rsidRPr="00E511D0">
        <w:rPr>
          <w:rFonts w:ascii="Arial" w:hAnsi="Arial"/>
          <w:color w:val="auto"/>
          <w:sz w:val="22"/>
          <w:szCs w:val="22"/>
          <w:lang w:val="en-US"/>
        </w:rPr>
        <w:t>).</w:t>
      </w:r>
      <w:r w:rsidR="00090519" w:rsidRPr="001F257D">
        <w:rPr>
          <w:rFonts w:ascii="Arial" w:hAnsi="Arial"/>
          <w:b/>
          <w:color w:val="auto"/>
          <w:sz w:val="22"/>
          <w:szCs w:val="22"/>
          <w:lang w:val="en-US"/>
        </w:rPr>
        <w:t xml:space="preserve"> </w:t>
      </w:r>
    </w:p>
    <w:p w14:paraId="67868700" w14:textId="77777777" w:rsidR="00933BDF" w:rsidRPr="001F257D" w:rsidRDefault="00933BDF" w:rsidP="00933BDF">
      <w:pPr>
        <w:pStyle w:val="Caption"/>
        <w:rPr>
          <w:rFonts w:ascii="Arial" w:eastAsia="Arial Unicode MS" w:hAnsi="Arial"/>
          <w:sz w:val="22"/>
          <w:szCs w:val="22"/>
          <w:lang w:val="en-US"/>
        </w:rPr>
      </w:pPr>
      <w:bookmarkStart w:id="71" w:name="_Ref384050329"/>
      <w:bookmarkStart w:id="72" w:name="_Toc396058435"/>
      <w:r w:rsidRPr="001F257D">
        <w:rPr>
          <w:rFonts w:ascii="Arial" w:hAnsi="Arial"/>
          <w:sz w:val="22"/>
          <w:szCs w:val="22"/>
          <w:lang w:val="en-US"/>
        </w:rPr>
        <w:t xml:space="preserve">Table </w:t>
      </w:r>
      <w:r w:rsidRPr="001F257D">
        <w:rPr>
          <w:rFonts w:ascii="Arial" w:hAnsi="Arial"/>
          <w:sz w:val="22"/>
          <w:szCs w:val="22"/>
          <w:lang w:val="en-US"/>
        </w:rPr>
        <w:fldChar w:fldCharType="begin"/>
      </w:r>
      <w:r w:rsidRPr="001F257D">
        <w:rPr>
          <w:rFonts w:ascii="Arial" w:hAnsi="Arial"/>
          <w:sz w:val="22"/>
          <w:szCs w:val="22"/>
          <w:lang w:val="en-US"/>
        </w:rPr>
        <w:instrText xml:space="preserve"> SEQ Table \* ARABIC </w:instrText>
      </w:r>
      <w:r w:rsidRPr="001F257D">
        <w:rPr>
          <w:rFonts w:ascii="Arial" w:hAnsi="Arial"/>
          <w:sz w:val="22"/>
          <w:szCs w:val="22"/>
          <w:lang w:val="en-US"/>
        </w:rPr>
        <w:fldChar w:fldCharType="separate"/>
      </w:r>
      <w:r w:rsidR="00151A1C">
        <w:rPr>
          <w:rFonts w:ascii="Arial" w:hAnsi="Arial"/>
          <w:noProof/>
          <w:sz w:val="22"/>
          <w:szCs w:val="22"/>
          <w:lang w:val="en-US"/>
        </w:rPr>
        <w:t>9</w:t>
      </w:r>
      <w:r w:rsidRPr="001F257D">
        <w:rPr>
          <w:rFonts w:ascii="Arial" w:hAnsi="Arial"/>
          <w:sz w:val="22"/>
          <w:szCs w:val="22"/>
          <w:lang w:val="en-US"/>
        </w:rPr>
        <w:fldChar w:fldCharType="end"/>
      </w:r>
      <w:bookmarkEnd w:id="71"/>
      <w:r w:rsidRPr="001F257D">
        <w:rPr>
          <w:rFonts w:ascii="Arial" w:eastAsia="Arial Unicode MS" w:hAnsi="Arial"/>
          <w:sz w:val="22"/>
          <w:szCs w:val="22"/>
          <w:lang w:val="en-US"/>
        </w:rPr>
        <w:t xml:space="preserve">: ABSSSI infections in ESTABLISH-1 (ITT </w:t>
      </w:r>
      <w:r w:rsidRPr="001F257D">
        <w:rPr>
          <w:rFonts w:ascii="Arial" w:hAnsi="Arial"/>
          <w:sz w:val="22"/>
          <w:szCs w:val="22"/>
          <w:lang w:val="en-US"/>
        </w:rPr>
        <w:t>population</w:t>
      </w:r>
      <w:r w:rsidRPr="001F257D">
        <w:rPr>
          <w:rFonts w:ascii="Arial" w:eastAsia="Arial Unicode MS" w:hAnsi="Arial"/>
          <w:sz w:val="22"/>
          <w:szCs w:val="22"/>
          <w:lang w:val="en-US"/>
        </w:rPr>
        <w:t>)</w:t>
      </w:r>
      <w:bookmarkEnd w:id="72"/>
    </w:p>
    <w:tbl>
      <w:tblPr>
        <w:tblStyle w:val="Table-HERONplain"/>
        <w:tblW w:w="0" w:type="auto"/>
        <w:tblLook w:val="04A0" w:firstRow="1" w:lastRow="0" w:firstColumn="1" w:lastColumn="0" w:noHBand="0" w:noVBand="1"/>
      </w:tblPr>
      <w:tblGrid>
        <w:gridCol w:w="4035"/>
        <w:gridCol w:w="2436"/>
        <w:gridCol w:w="2432"/>
      </w:tblGrid>
      <w:tr w:rsidR="00933BDF" w:rsidRPr="007323E7" w14:paraId="25160CAA" w14:textId="77777777" w:rsidTr="00AF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EF5F0E7" w14:textId="77777777" w:rsidR="00933BDF" w:rsidRPr="007323E7" w:rsidRDefault="00933BDF" w:rsidP="00100BE6">
            <w:pPr>
              <w:pStyle w:val="TableBodyText-H54"/>
              <w:rPr>
                <w:rFonts w:ascii="Arial" w:hAnsi="Arial"/>
                <w:sz w:val="20"/>
                <w:lang w:val="en-US" w:eastAsia="en-GB"/>
              </w:rPr>
            </w:pPr>
            <w:r w:rsidRPr="007323E7">
              <w:rPr>
                <w:rFonts w:ascii="Arial" w:hAnsi="Arial"/>
                <w:sz w:val="20"/>
                <w:lang w:val="en-US" w:eastAsia="en-GB"/>
              </w:rPr>
              <w:t>Type of ABSSSI infection</w:t>
            </w:r>
          </w:p>
        </w:tc>
        <w:tc>
          <w:tcPr>
            <w:tcW w:w="2480" w:type="dxa"/>
            <w:shd w:val="clear" w:color="auto" w:fill="auto"/>
            <w:hideMark/>
          </w:tcPr>
          <w:p w14:paraId="2C27A8F5"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Tedizolid phosphate</w:t>
            </w:r>
          </w:p>
          <w:p w14:paraId="08898D15"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(N=332)</w:t>
            </w:r>
          </w:p>
          <w:p w14:paraId="1FF61C72"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n (%)</w:t>
            </w:r>
          </w:p>
        </w:tc>
        <w:tc>
          <w:tcPr>
            <w:tcW w:w="2481" w:type="dxa"/>
            <w:shd w:val="clear" w:color="auto" w:fill="auto"/>
            <w:hideMark/>
          </w:tcPr>
          <w:p w14:paraId="3FAE15A2"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Linezolid</w:t>
            </w:r>
          </w:p>
          <w:p w14:paraId="1480C7FD"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(N=335)</w:t>
            </w:r>
          </w:p>
          <w:p w14:paraId="2B84EA1C" w14:textId="77777777" w:rsidR="00933BDF" w:rsidRPr="007323E7" w:rsidRDefault="00933BDF"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n (%)</w:t>
            </w:r>
          </w:p>
        </w:tc>
      </w:tr>
      <w:tr w:rsidR="00933BDF" w:rsidRPr="007323E7" w14:paraId="5989CFA7" w14:textId="77777777" w:rsidTr="00AF2281">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59F09D17" w14:textId="77777777" w:rsidR="00933BDF" w:rsidRPr="007323E7" w:rsidRDefault="00933BDF" w:rsidP="00100BE6">
            <w:pPr>
              <w:pStyle w:val="TableBodyText-H54"/>
              <w:rPr>
                <w:rFonts w:ascii="Arial" w:hAnsi="Arial"/>
                <w:sz w:val="20"/>
                <w:lang w:val="en-US" w:eastAsia="en-GB"/>
              </w:rPr>
            </w:pPr>
            <w:r w:rsidRPr="007323E7">
              <w:rPr>
                <w:rFonts w:ascii="Arial" w:hAnsi="Arial"/>
                <w:sz w:val="20"/>
                <w:lang w:val="en-US" w:eastAsia="en-GB"/>
              </w:rPr>
              <w:t>Cellulitis/erysipelas</w:t>
            </w:r>
          </w:p>
        </w:tc>
        <w:tc>
          <w:tcPr>
            <w:tcW w:w="2480" w:type="dxa"/>
            <w:hideMark/>
          </w:tcPr>
          <w:p w14:paraId="7EC75232"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135 (40.7)</w:t>
            </w:r>
          </w:p>
        </w:tc>
        <w:tc>
          <w:tcPr>
            <w:tcW w:w="2481" w:type="dxa"/>
            <w:hideMark/>
          </w:tcPr>
          <w:p w14:paraId="3FA93602"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139 (41.5)</w:t>
            </w:r>
          </w:p>
        </w:tc>
      </w:tr>
      <w:tr w:rsidR="00933BDF" w:rsidRPr="007323E7" w14:paraId="6F80A2AF"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16F02D36" w14:textId="77777777" w:rsidR="00933BDF" w:rsidRPr="007323E7" w:rsidRDefault="00933BDF" w:rsidP="00100BE6">
            <w:pPr>
              <w:pStyle w:val="TableBodyText-H54"/>
              <w:rPr>
                <w:rFonts w:ascii="Arial" w:hAnsi="Arial"/>
                <w:sz w:val="20"/>
                <w:lang w:val="en-US" w:eastAsia="en-GB"/>
              </w:rPr>
            </w:pPr>
            <w:r w:rsidRPr="007323E7">
              <w:rPr>
                <w:rFonts w:ascii="Arial" w:hAnsi="Arial"/>
                <w:sz w:val="20"/>
                <w:lang w:val="en-US" w:eastAsia="en-GB"/>
              </w:rPr>
              <w:t>Major cutaneous abscess</w:t>
            </w:r>
          </w:p>
        </w:tc>
        <w:tc>
          <w:tcPr>
            <w:tcW w:w="2480" w:type="dxa"/>
            <w:hideMark/>
          </w:tcPr>
          <w:p w14:paraId="1703278B" w14:textId="77777777" w:rsidR="00933BDF" w:rsidRPr="007323E7" w:rsidRDefault="00933BDF"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7323E7">
              <w:rPr>
                <w:rFonts w:ascii="Arial" w:hAnsi="Arial"/>
                <w:sz w:val="20"/>
                <w:lang w:val="en-US" w:eastAsia="en-GB"/>
              </w:rPr>
              <w:t>100 (30.1)</w:t>
            </w:r>
          </w:p>
        </w:tc>
        <w:tc>
          <w:tcPr>
            <w:tcW w:w="2481" w:type="dxa"/>
            <w:hideMark/>
          </w:tcPr>
          <w:p w14:paraId="6F10B870" w14:textId="77777777" w:rsidR="00933BDF" w:rsidRPr="007323E7" w:rsidRDefault="00933BDF"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7323E7">
              <w:rPr>
                <w:rFonts w:ascii="Arial" w:hAnsi="Arial"/>
                <w:sz w:val="20"/>
                <w:lang w:val="en-US" w:eastAsia="en-GB"/>
              </w:rPr>
              <w:t>98 (29.3)</w:t>
            </w:r>
          </w:p>
        </w:tc>
      </w:tr>
      <w:tr w:rsidR="00933BDF" w:rsidRPr="007323E7" w14:paraId="683A4FC9" w14:textId="77777777" w:rsidTr="00AF2281">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34EE1979" w14:textId="77777777" w:rsidR="00933BDF" w:rsidRPr="007323E7" w:rsidRDefault="00933BDF" w:rsidP="00100BE6">
            <w:pPr>
              <w:pStyle w:val="TableBodyText-H54"/>
              <w:rPr>
                <w:rFonts w:ascii="Arial" w:hAnsi="Arial"/>
                <w:sz w:val="20"/>
                <w:lang w:val="en-US" w:eastAsia="en-GB"/>
              </w:rPr>
            </w:pPr>
            <w:r w:rsidRPr="007323E7">
              <w:rPr>
                <w:rFonts w:ascii="Arial" w:hAnsi="Arial"/>
                <w:sz w:val="20"/>
                <w:lang w:val="en-US" w:eastAsia="en-GB"/>
              </w:rPr>
              <w:t>Wound infection:</w:t>
            </w:r>
          </w:p>
        </w:tc>
        <w:tc>
          <w:tcPr>
            <w:tcW w:w="2480" w:type="dxa"/>
            <w:hideMark/>
          </w:tcPr>
          <w:p w14:paraId="2D540136"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97 (29.2)</w:t>
            </w:r>
          </w:p>
        </w:tc>
        <w:tc>
          <w:tcPr>
            <w:tcW w:w="2481" w:type="dxa"/>
            <w:hideMark/>
          </w:tcPr>
          <w:p w14:paraId="0ABF4EAF"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98 (29.3)</w:t>
            </w:r>
          </w:p>
        </w:tc>
      </w:tr>
      <w:tr w:rsidR="00933BDF" w:rsidRPr="007323E7" w14:paraId="2FCE4C0B"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013C569" w14:textId="77777777" w:rsidR="00933BDF" w:rsidRPr="007323E7" w:rsidRDefault="00933BDF" w:rsidP="00100BE6">
            <w:pPr>
              <w:pStyle w:val="TableBodyText-H54"/>
              <w:ind w:left="454"/>
              <w:rPr>
                <w:rFonts w:ascii="Arial" w:hAnsi="Arial"/>
                <w:sz w:val="20"/>
                <w:lang w:val="en-US" w:eastAsia="en-GB"/>
              </w:rPr>
            </w:pPr>
            <w:r w:rsidRPr="007323E7">
              <w:rPr>
                <w:rFonts w:ascii="Arial" w:hAnsi="Arial"/>
                <w:sz w:val="20"/>
                <w:lang w:val="en-US" w:eastAsia="en-GB"/>
              </w:rPr>
              <w:t>Superficial incisional surgical site infection</w:t>
            </w:r>
          </w:p>
        </w:tc>
        <w:tc>
          <w:tcPr>
            <w:tcW w:w="2480" w:type="dxa"/>
            <w:hideMark/>
          </w:tcPr>
          <w:p w14:paraId="31891C7F" w14:textId="77777777" w:rsidR="00933BDF" w:rsidRPr="007323E7" w:rsidRDefault="00933BDF"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7323E7">
              <w:rPr>
                <w:rFonts w:ascii="Arial" w:hAnsi="Arial"/>
                <w:sz w:val="20"/>
                <w:lang w:val="en-US" w:eastAsia="en-GB"/>
              </w:rPr>
              <w:t>3 (0.9)</w:t>
            </w:r>
          </w:p>
        </w:tc>
        <w:tc>
          <w:tcPr>
            <w:tcW w:w="2481" w:type="dxa"/>
            <w:hideMark/>
          </w:tcPr>
          <w:p w14:paraId="7416F552" w14:textId="77777777" w:rsidR="00933BDF" w:rsidRPr="007323E7" w:rsidRDefault="00933BDF"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7323E7">
              <w:rPr>
                <w:rFonts w:ascii="Arial" w:hAnsi="Arial"/>
                <w:sz w:val="20"/>
                <w:lang w:val="en-US" w:eastAsia="en-GB"/>
              </w:rPr>
              <w:t>3 (0.9)</w:t>
            </w:r>
          </w:p>
        </w:tc>
      </w:tr>
      <w:tr w:rsidR="00933BDF" w:rsidRPr="007323E7" w14:paraId="36C3D16F" w14:textId="77777777" w:rsidTr="00AF2281">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18480236" w14:textId="77777777" w:rsidR="00933BDF" w:rsidRPr="007323E7" w:rsidRDefault="00933BDF" w:rsidP="00100BE6">
            <w:pPr>
              <w:pStyle w:val="TableBodyText-H54"/>
              <w:ind w:left="454"/>
              <w:rPr>
                <w:rFonts w:ascii="Arial" w:hAnsi="Arial"/>
                <w:sz w:val="20"/>
                <w:lang w:val="en-US" w:eastAsia="en-GB"/>
              </w:rPr>
            </w:pPr>
            <w:r w:rsidRPr="007323E7">
              <w:rPr>
                <w:rFonts w:ascii="Arial" w:hAnsi="Arial"/>
                <w:sz w:val="20"/>
                <w:lang w:val="en-US" w:eastAsia="en-GB"/>
              </w:rPr>
              <w:t>Post-traumatic wound</w:t>
            </w:r>
          </w:p>
        </w:tc>
        <w:tc>
          <w:tcPr>
            <w:tcW w:w="2480" w:type="dxa"/>
            <w:hideMark/>
          </w:tcPr>
          <w:p w14:paraId="1D899EA5"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94 (28.3)</w:t>
            </w:r>
          </w:p>
        </w:tc>
        <w:tc>
          <w:tcPr>
            <w:tcW w:w="2481" w:type="dxa"/>
            <w:hideMark/>
          </w:tcPr>
          <w:p w14:paraId="4397EF4A" w14:textId="77777777" w:rsidR="00933BDF" w:rsidRPr="007323E7" w:rsidRDefault="00933BDF"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7323E7">
              <w:rPr>
                <w:rFonts w:ascii="Arial" w:hAnsi="Arial"/>
                <w:sz w:val="20"/>
                <w:lang w:val="en-US" w:eastAsia="en-GB"/>
              </w:rPr>
              <w:t>95 (28.4)</w:t>
            </w:r>
          </w:p>
        </w:tc>
      </w:tr>
    </w:tbl>
    <w:p w14:paraId="11466A37" w14:textId="3FB03A26" w:rsidR="00933BDF" w:rsidRPr="006555E0" w:rsidRDefault="00933BDF" w:rsidP="006555E0">
      <w:pPr>
        <w:pStyle w:val="TableNote-H58"/>
        <w:spacing w:before="0" w:after="0"/>
        <w:rPr>
          <w:rFonts w:ascii="Arial" w:hAnsi="Arial"/>
          <w:sz w:val="16"/>
          <w:szCs w:val="16"/>
          <w:lang w:val="en-US"/>
        </w:rPr>
      </w:pPr>
      <w:r w:rsidRPr="006555E0">
        <w:rPr>
          <w:rFonts w:ascii="Arial" w:hAnsi="Arial"/>
          <w:sz w:val="16"/>
          <w:szCs w:val="16"/>
          <w:lang w:val="en-US"/>
        </w:rPr>
        <w:t xml:space="preserve">SOURCE: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6555E0">
        <w:rPr>
          <w:rFonts w:ascii="Arial" w:hAnsi="Arial"/>
          <w:sz w:val="16"/>
          <w:szCs w:val="16"/>
          <w:lang w:val="en-US"/>
        </w:rPr>
        <w:t xml:space="preserve">: section 11.2.3.1 Table 11-7 </w:t>
      </w:r>
    </w:p>
    <w:p w14:paraId="5565801E" w14:textId="77777777" w:rsidR="00933BDF" w:rsidRPr="006555E0" w:rsidRDefault="00933BDF" w:rsidP="006555E0">
      <w:pPr>
        <w:pStyle w:val="TableNote-H58"/>
        <w:spacing w:before="0" w:after="0"/>
        <w:rPr>
          <w:rFonts w:ascii="Arial" w:hAnsi="Arial"/>
          <w:sz w:val="16"/>
          <w:szCs w:val="16"/>
          <w:lang w:val="en-US"/>
        </w:rPr>
      </w:pPr>
      <w:r w:rsidRPr="006555E0">
        <w:rPr>
          <w:rFonts w:ascii="Arial" w:hAnsi="Arial"/>
          <w:sz w:val="16"/>
          <w:szCs w:val="16"/>
          <w:lang w:val="en-US"/>
        </w:rPr>
        <w:t>ABSSSI: Acute bacterial skin and skin structure infection; ITT: Intent-to-treat; N: Number of patients in population; n: Number of patients in specific category</w:t>
      </w:r>
    </w:p>
    <w:p w14:paraId="0721A379" w14:textId="77777777" w:rsidR="002E314E" w:rsidRDefault="002E314E" w:rsidP="00933BDF">
      <w:pPr>
        <w:pStyle w:val="BodyText"/>
        <w:rPr>
          <w:sz w:val="22"/>
          <w:szCs w:val="22"/>
          <w:lang w:val="en-US"/>
        </w:rPr>
      </w:pPr>
    </w:p>
    <w:p w14:paraId="31F0EB52" w14:textId="0DCDAF01" w:rsidR="00933BDF" w:rsidRPr="00962E32" w:rsidRDefault="00933BDF" w:rsidP="00023175">
      <w:pPr>
        <w:pStyle w:val="BodyText"/>
        <w:rPr>
          <w:sz w:val="22"/>
          <w:szCs w:val="22"/>
          <w:lang w:val="en-US"/>
        </w:rPr>
      </w:pPr>
      <w:r w:rsidRPr="00962E32">
        <w:rPr>
          <w:sz w:val="22"/>
          <w:szCs w:val="22"/>
          <w:lang w:val="en-US"/>
        </w:rPr>
        <w:t>The anatomic</w:t>
      </w:r>
      <w:r w:rsidR="00547560" w:rsidRPr="00962E32">
        <w:rPr>
          <w:sz w:val="22"/>
          <w:szCs w:val="22"/>
          <w:lang w:val="en-US"/>
        </w:rPr>
        <w:t>al</w:t>
      </w:r>
      <w:r w:rsidRPr="00962E32">
        <w:rPr>
          <w:sz w:val="22"/>
          <w:szCs w:val="22"/>
          <w:lang w:val="en-US"/>
        </w:rPr>
        <w:t xml:space="preserve"> sites of infection were also similar in the tedizolid phosphate and linezolid treatment groups with the most common locations being leg (39.8% vs. 40.9%), arm (23.2% vs. 27.5%), and buttock (10.8% vs. 9.9%). </w:t>
      </w:r>
      <w:r w:rsidRPr="00962E32">
        <w:rPr>
          <w:rFonts w:eastAsia="TimesNewRoman"/>
          <w:sz w:val="22"/>
          <w:szCs w:val="22"/>
          <w:lang w:val="en-US"/>
        </w:rPr>
        <w:t xml:space="preserve">In addition, baseline median surface area of lesion was also similar in both the tedizolid phosphate and linezolid treatment groups </w:t>
      </w:r>
      <w:r w:rsidRPr="00962E32">
        <w:rPr>
          <w:sz w:val="22"/>
          <w:szCs w:val="22"/>
          <w:lang w:val="en-US"/>
        </w:rPr>
        <w:t>(188.3 cm</w:t>
      </w:r>
      <w:r w:rsidRPr="00962E32">
        <w:rPr>
          <w:rStyle w:val="BodyText-SuperScript-H14"/>
          <w:rFonts w:ascii="Arial" w:hAnsi="Arial"/>
          <w:sz w:val="22"/>
          <w:szCs w:val="22"/>
          <w:lang w:val="en-US"/>
        </w:rPr>
        <w:t xml:space="preserve">2 </w:t>
      </w:r>
      <w:r w:rsidRPr="00962E32">
        <w:rPr>
          <w:sz w:val="22"/>
          <w:szCs w:val="22"/>
          <w:lang w:val="en-US"/>
        </w:rPr>
        <w:t>vs. 190.0 cm</w:t>
      </w:r>
      <w:r w:rsidRPr="00962E32">
        <w:rPr>
          <w:rStyle w:val="BodyText-SuperScript-H14"/>
          <w:rFonts w:ascii="Arial" w:hAnsi="Arial"/>
          <w:sz w:val="22"/>
          <w:szCs w:val="22"/>
          <w:lang w:val="en-US"/>
        </w:rPr>
        <w:t>2</w:t>
      </w:r>
      <w:r w:rsidRPr="00962E32">
        <w:rPr>
          <w:sz w:val="22"/>
          <w:szCs w:val="22"/>
          <w:lang w:val="en-US"/>
        </w:rPr>
        <w:t>). Median surface area of lesion was balanced between the tedizolid phosphate and linezolid groups for cellulitis/erysipelas (232.0 cm</w:t>
      </w:r>
      <w:r w:rsidRPr="00962E32">
        <w:rPr>
          <w:rStyle w:val="BodyText-SuperScript-H14"/>
          <w:rFonts w:ascii="Arial" w:hAnsi="Arial"/>
          <w:sz w:val="22"/>
          <w:szCs w:val="22"/>
          <w:lang w:val="en-US"/>
        </w:rPr>
        <w:t>2</w:t>
      </w:r>
      <w:r w:rsidRPr="00962E32">
        <w:rPr>
          <w:sz w:val="22"/>
          <w:szCs w:val="22"/>
          <w:lang w:val="en-US"/>
        </w:rPr>
        <w:t xml:space="preserve"> vs. 238.0 cm</w:t>
      </w:r>
      <w:r w:rsidRPr="00962E32">
        <w:rPr>
          <w:rStyle w:val="BodyText-SuperScript-H14"/>
          <w:rFonts w:ascii="Arial" w:hAnsi="Arial"/>
          <w:sz w:val="22"/>
          <w:szCs w:val="22"/>
          <w:lang w:val="en-US"/>
        </w:rPr>
        <w:t>2</w:t>
      </w:r>
      <w:r w:rsidRPr="00962E32">
        <w:rPr>
          <w:sz w:val="22"/>
          <w:szCs w:val="22"/>
          <w:lang w:val="en-US"/>
        </w:rPr>
        <w:t>), major cutaneous abscess (168.0 cm</w:t>
      </w:r>
      <w:r w:rsidRPr="00962E32">
        <w:rPr>
          <w:rStyle w:val="BodyText-SuperScript-H14"/>
          <w:rFonts w:ascii="Arial" w:hAnsi="Arial"/>
          <w:sz w:val="22"/>
          <w:szCs w:val="22"/>
          <w:lang w:val="en-US"/>
        </w:rPr>
        <w:t>2</w:t>
      </w:r>
      <w:r w:rsidRPr="00962E32">
        <w:rPr>
          <w:sz w:val="22"/>
          <w:szCs w:val="22"/>
          <w:lang w:val="en-US"/>
        </w:rPr>
        <w:t xml:space="preserve"> vs. 172.0 cm</w:t>
      </w:r>
      <w:r w:rsidRPr="00962E32">
        <w:rPr>
          <w:rStyle w:val="BodyText-SuperScript-H14"/>
          <w:rFonts w:ascii="Arial" w:hAnsi="Arial"/>
          <w:sz w:val="22"/>
          <w:szCs w:val="22"/>
          <w:lang w:val="en-US"/>
        </w:rPr>
        <w:t>2</w:t>
      </w:r>
      <w:r w:rsidRPr="00962E32">
        <w:rPr>
          <w:sz w:val="22"/>
          <w:szCs w:val="22"/>
          <w:lang w:val="en-US"/>
        </w:rPr>
        <w:t>), and wound infection (162.5 cm</w:t>
      </w:r>
      <w:r w:rsidRPr="00962E32">
        <w:rPr>
          <w:rStyle w:val="BodyText-SuperScript-H14"/>
          <w:rFonts w:ascii="Arial" w:hAnsi="Arial"/>
          <w:sz w:val="22"/>
          <w:szCs w:val="22"/>
          <w:lang w:val="en-US"/>
        </w:rPr>
        <w:t>2</w:t>
      </w:r>
      <w:r w:rsidRPr="00962E32">
        <w:rPr>
          <w:sz w:val="22"/>
          <w:szCs w:val="22"/>
          <w:lang w:val="en-US"/>
        </w:rPr>
        <w:t xml:space="preserve"> vs. 168.1 cm</w:t>
      </w:r>
      <w:r w:rsidRPr="00962E32">
        <w:rPr>
          <w:rStyle w:val="BodyText-SuperScript-H14"/>
          <w:rFonts w:ascii="Arial" w:hAnsi="Arial"/>
          <w:sz w:val="22"/>
          <w:szCs w:val="22"/>
          <w:lang w:val="en-US"/>
        </w:rPr>
        <w:t>2</w:t>
      </w:r>
      <w:r w:rsidRPr="00962E32">
        <w:rPr>
          <w:sz w:val="22"/>
          <w:szCs w:val="22"/>
          <w:lang w:val="en-US"/>
        </w:rPr>
        <w:t>).</w:t>
      </w:r>
      <w:r w:rsidR="00090519" w:rsidRPr="00962E32">
        <w:rPr>
          <w:sz w:val="22"/>
          <w:szCs w:val="22"/>
          <w:lang w:val="en-US"/>
        </w:rPr>
        <w:t xml:space="preserve"> </w:t>
      </w:r>
    </w:p>
    <w:p w14:paraId="02807C43" w14:textId="121A717C" w:rsidR="00933BDF" w:rsidRPr="000C4ABB" w:rsidRDefault="00933BDF" w:rsidP="00C24317">
      <w:pPr>
        <w:pStyle w:val="Heading5"/>
        <w:numPr>
          <w:ilvl w:val="0"/>
          <w:numId w:val="36"/>
        </w:numPr>
        <w:ind w:left="426" w:hanging="426"/>
        <w:rPr>
          <w:rFonts w:ascii="Arial" w:hAnsi="Arial"/>
          <w:color w:val="auto"/>
          <w:sz w:val="22"/>
          <w:szCs w:val="22"/>
          <w:lang w:val="en-US"/>
        </w:rPr>
      </w:pPr>
      <w:r w:rsidRPr="00962E32">
        <w:rPr>
          <w:rFonts w:ascii="Arial" w:hAnsi="Arial"/>
          <w:b/>
          <w:color w:val="auto"/>
          <w:sz w:val="22"/>
          <w:szCs w:val="22"/>
          <w:lang w:val="en-US"/>
        </w:rPr>
        <w:t>Baseline ABSSSI infecting pathogens in ESTABLISH-1</w:t>
      </w:r>
    </w:p>
    <w:p w14:paraId="74E5AFA4" w14:textId="77777777" w:rsidR="00962E32" w:rsidRDefault="00962E32" w:rsidP="00933BDF">
      <w:pPr>
        <w:pStyle w:val="BodyText"/>
        <w:rPr>
          <w:sz w:val="24"/>
        </w:rPr>
      </w:pPr>
    </w:p>
    <w:p w14:paraId="162BD728" w14:textId="44BE9B45" w:rsidR="00933BDF" w:rsidRPr="00547560" w:rsidRDefault="00933BDF" w:rsidP="00933BDF">
      <w:pPr>
        <w:pStyle w:val="BodyText"/>
        <w:rPr>
          <w:rStyle w:val="CommentReference"/>
          <w:rFonts w:eastAsia="Arial Unicode MS"/>
          <w:sz w:val="22"/>
          <w:szCs w:val="22"/>
          <w:lang w:val="en-US"/>
        </w:rPr>
      </w:pPr>
      <w:r w:rsidRPr="00547560">
        <w:rPr>
          <w:rFonts w:eastAsia="Arial Unicode MS"/>
          <w:sz w:val="22"/>
          <w:szCs w:val="22"/>
          <w:lang w:val="en-US"/>
        </w:rPr>
        <w:lastRenderedPageBreak/>
        <w:t xml:space="preserve">The majority of the infecting pathogens were Gram-positive aerobes in both the tedizolid phosphate and linezolid groups within the MITT </w:t>
      </w:r>
      <w:r w:rsidRPr="00547560">
        <w:rPr>
          <w:sz w:val="22"/>
          <w:szCs w:val="22"/>
          <w:lang w:val="en-US"/>
        </w:rPr>
        <w:t xml:space="preserve">population. </w:t>
      </w:r>
      <w:r w:rsidRPr="00547560">
        <w:rPr>
          <w:rFonts w:eastAsia="Arial Unicode MS"/>
          <w:sz w:val="22"/>
          <w:szCs w:val="22"/>
          <w:lang w:val="en-US"/>
        </w:rPr>
        <w:t xml:space="preserve">In both treatment groups, </w:t>
      </w:r>
      <w:r w:rsidRPr="00547560">
        <w:rPr>
          <w:rStyle w:val="BodyText-italic-H12"/>
          <w:rFonts w:eastAsia="Arial Unicode MS"/>
          <w:sz w:val="22"/>
          <w:szCs w:val="22"/>
          <w:lang w:val="en-US"/>
        </w:rPr>
        <w:t>S. aureus</w:t>
      </w:r>
      <w:r w:rsidRPr="00547560">
        <w:rPr>
          <w:rFonts w:eastAsia="Arial Unicode MS"/>
          <w:sz w:val="22"/>
          <w:szCs w:val="22"/>
          <w:lang w:val="en-US"/>
        </w:rPr>
        <w:t xml:space="preserve"> represented over 80% of the pathogens. MRSA was prevalent in 42.1% of cases in the tedizolid phosphate group and 43.1% in the linezolid group (</w:t>
      </w:r>
      <w:r w:rsidR="00B3545C">
        <w:rPr>
          <w:sz w:val="22"/>
          <w:szCs w:val="22"/>
          <w:lang w:val="en-US"/>
        </w:rPr>
        <w:fldChar w:fldCharType="begin"/>
      </w:r>
      <w:r w:rsidR="00B3545C">
        <w:rPr>
          <w:rFonts w:eastAsia="Arial Unicode MS"/>
          <w:sz w:val="22"/>
          <w:szCs w:val="22"/>
          <w:lang w:val="en-US"/>
        </w:rPr>
        <w:instrText xml:space="preserve"> REF _Ref381628493 \h </w:instrText>
      </w:r>
      <w:r w:rsidR="00B3545C">
        <w:rPr>
          <w:sz w:val="22"/>
          <w:szCs w:val="22"/>
          <w:lang w:val="en-US"/>
        </w:rPr>
      </w:r>
      <w:r w:rsidR="00B3545C">
        <w:rPr>
          <w:sz w:val="22"/>
          <w:szCs w:val="22"/>
          <w:lang w:val="en-US"/>
        </w:rPr>
        <w:fldChar w:fldCharType="separate"/>
      </w:r>
      <w:r w:rsidR="00151A1C" w:rsidRPr="00547560">
        <w:rPr>
          <w:sz w:val="22"/>
          <w:szCs w:val="22"/>
          <w:lang w:val="en-US"/>
        </w:rPr>
        <w:t xml:space="preserve">Table </w:t>
      </w:r>
      <w:r w:rsidR="00151A1C">
        <w:rPr>
          <w:noProof/>
          <w:sz w:val="22"/>
          <w:szCs w:val="22"/>
          <w:lang w:val="en-US"/>
        </w:rPr>
        <w:t>10</w:t>
      </w:r>
      <w:r w:rsidR="00B3545C">
        <w:rPr>
          <w:sz w:val="22"/>
          <w:szCs w:val="22"/>
          <w:lang w:val="en-US"/>
        </w:rPr>
        <w:fldChar w:fldCharType="end"/>
      </w:r>
      <w:r w:rsidRPr="00547560">
        <w:rPr>
          <w:rFonts w:eastAsia="Arial Unicode MS"/>
          <w:sz w:val="22"/>
          <w:szCs w:val="22"/>
          <w:lang w:val="en-US"/>
        </w:rPr>
        <w:t>).</w:t>
      </w:r>
      <w:r w:rsidR="006558B2">
        <w:rPr>
          <w:rFonts w:eastAsia="Arial Unicode MS"/>
          <w:sz w:val="22"/>
          <w:szCs w:val="22"/>
          <w:lang w:val="en-US"/>
        </w:rPr>
        <w:t xml:space="preserve"> This sub-population of patients </w:t>
      </w:r>
      <w:r w:rsidR="00CC5012">
        <w:rPr>
          <w:rFonts w:eastAsia="Arial Unicode MS"/>
          <w:sz w:val="22"/>
          <w:szCs w:val="22"/>
          <w:lang w:val="en-US"/>
        </w:rPr>
        <w:t xml:space="preserve">with MRSA-caused ABSSSI </w:t>
      </w:r>
      <w:r w:rsidR="006558B2">
        <w:rPr>
          <w:rFonts w:eastAsia="Arial Unicode MS"/>
          <w:sz w:val="22"/>
          <w:szCs w:val="22"/>
          <w:lang w:val="en-US"/>
        </w:rPr>
        <w:t>is described in more detail in section 3b).</w:t>
      </w:r>
    </w:p>
    <w:p w14:paraId="2AE9D195" w14:textId="77777777" w:rsidR="00933BDF" w:rsidRPr="00547560" w:rsidRDefault="00933BDF" w:rsidP="00933BDF">
      <w:pPr>
        <w:pStyle w:val="Caption"/>
        <w:rPr>
          <w:rFonts w:ascii="Arial" w:hAnsi="Arial"/>
          <w:sz w:val="22"/>
          <w:szCs w:val="22"/>
          <w:lang w:val="en-US"/>
        </w:rPr>
      </w:pPr>
      <w:bookmarkStart w:id="73" w:name="_Ref381628493"/>
      <w:bookmarkStart w:id="74" w:name="_Toc396058436"/>
      <w:r w:rsidRPr="00547560">
        <w:rPr>
          <w:rFonts w:ascii="Arial" w:hAnsi="Arial"/>
          <w:sz w:val="22"/>
          <w:szCs w:val="22"/>
          <w:lang w:val="en-US"/>
        </w:rPr>
        <w:t xml:space="preserve">Table </w:t>
      </w:r>
      <w:r w:rsidRPr="00547560">
        <w:rPr>
          <w:rFonts w:ascii="Arial" w:hAnsi="Arial"/>
          <w:sz w:val="22"/>
          <w:szCs w:val="22"/>
          <w:lang w:val="en-US"/>
        </w:rPr>
        <w:fldChar w:fldCharType="begin"/>
      </w:r>
      <w:r w:rsidRPr="00547560">
        <w:rPr>
          <w:rFonts w:ascii="Arial" w:hAnsi="Arial"/>
          <w:sz w:val="22"/>
          <w:szCs w:val="22"/>
          <w:lang w:val="en-US"/>
        </w:rPr>
        <w:instrText xml:space="preserve"> SEQ Table \* ARABIC </w:instrText>
      </w:r>
      <w:r w:rsidRPr="00547560">
        <w:rPr>
          <w:rFonts w:ascii="Arial" w:hAnsi="Arial"/>
          <w:sz w:val="22"/>
          <w:szCs w:val="22"/>
          <w:lang w:val="en-US"/>
        </w:rPr>
        <w:fldChar w:fldCharType="separate"/>
      </w:r>
      <w:r w:rsidR="00151A1C">
        <w:rPr>
          <w:rFonts w:ascii="Arial" w:hAnsi="Arial"/>
          <w:noProof/>
          <w:sz w:val="22"/>
          <w:szCs w:val="22"/>
          <w:lang w:val="en-US"/>
        </w:rPr>
        <w:t>10</w:t>
      </w:r>
      <w:r w:rsidRPr="00547560">
        <w:rPr>
          <w:rFonts w:ascii="Arial" w:hAnsi="Arial"/>
          <w:sz w:val="22"/>
          <w:szCs w:val="22"/>
          <w:lang w:val="en-US"/>
        </w:rPr>
        <w:fldChar w:fldCharType="end"/>
      </w:r>
      <w:bookmarkEnd w:id="73"/>
      <w:r w:rsidRPr="00547560">
        <w:rPr>
          <w:rFonts w:ascii="Arial" w:hAnsi="Arial"/>
          <w:sz w:val="22"/>
          <w:szCs w:val="22"/>
          <w:lang w:val="en-US"/>
        </w:rPr>
        <w:t>: Pathogenic organisms from primary ABSSSI site or blood culture in ESTABLISH-1 (MITT population)</w:t>
      </w:r>
      <w:bookmarkEnd w:id="74"/>
      <w:r w:rsidRPr="00547560">
        <w:rPr>
          <w:rFonts w:ascii="Arial" w:hAnsi="Arial"/>
          <w:sz w:val="22"/>
          <w:szCs w:val="22"/>
          <w:lang w:val="en-US"/>
        </w:rPr>
        <w:t xml:space="preserve"> </w:t>
      </w:r>
    </w:p>
    <w:tbl>
      <w:tblPr>
        <w:tblStyle w:val="Table-HERONplain1"/>
        <w:tblW w:w="0" w:type="auto"/>
        <w:tblLook w:val="04A0" w:firstRow="1" w:lastRow="0" w:firstColumn="1" w:lastColumn="0" w:noHBand="0" w:noVBand="1"/>
      </w:tblPr>
      <w:tblGrid>
        <w:gridCol w:w="3586"/>
        <w:gridCol w:w="2904"/>
        <w:gridCol w:w="2413"/>
      </w:tblGrid>
      <w:tr w:rsidR="00933BDF" w:rsidRPr="00B3545C" w14:paraId="13DA9304" w14:textId="77777777" w:rsidTr="00AF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671A0683" w14:textId="77777777" w:rsidR="00933BDF" w:rsidRPr="00B3545C" w:rsidRDefault="00933BDF" w:rsidP="00100BE6">
            <w:pPr>
              <w:pStyle w:val="TableBodyText-H54"/>
              <w:rPr>
                <w:rStyle w:val="CommentReference"/>
                <w:rFonts w:ascii="Arial" w:hAnsi="Arial"/>
                <w:sz w:val="20"/>
                <w:lang w:val="en-US"/>
              </w:rPr>
            </w:pPr>
            <w:r w:rsidRPr="00B3545C">
              <w:rPr>
                <w:rStyle w:val="CommentReference"/>
                <w:rFonts w:ascii="Arial" w:eastAsiaTheme="majorEastAsia" w:hAnsi="Arial"/>
                <w:sz w:val="20"/>
                <w:lang w:val="en-US" w:eastAsia="en-GB"/>
              </w:rPr>
              <w:t xml:space="preserve">Pathogenic organism </w:t>
            </w:r>
          </w:p>
        </w:tc>
        <w:tc>
          <w:tcPr>
            <w:tcW w:w="2977" w:type="dxa"/>
            <w:shd w:val="clear" w:color="auto" w:fill="auto"/>
            <w:hideMark/>
          </w:tcPr>
          <w:p w14:paraId="6C78B112" w14:textId="77777777" w:rsidR="00933BDF" w:rsidRPr="00B3545C"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Tedizolid phosphate (N=209)</w:t>
            </w:r>
          </w:p>
          <w:p w14:paraId="6D2DE570" w14:textId="77777777" w:rsidR="00933BDF" w:rsidRPr="00B3545C"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sz w:val="20"/>
                <w:lang w:val="en-US" w:eastAsia="en-GB"/>
              </w:rPr>
            </w:pPr>
            <w:r w:rsidRPr="00B3545C">
              <w:rPr>
                <w:rStyle w:val="CommentReference"/>
                <w:rFonts w:ascii="Arial" w:eastAsiaTheme="majorEastAsia" w:hAnsi="Arial"/>
                <w:sz w:val="20"/>
                <w:lang w:val="en-US" w:eastAsia="en-GB"/>
              </w:rPr>
              <w:t>n (%)</w:t>
            </w:r>
          </w:p>
        </w:tc>
        <w:tc>
          <w:tcPr>
            <w:tcW w:w="2471" w:type="dxa"/>
            <w:shd w:val="clear" w:color="auto" w:fill="auto"/>
            <w:hideMark/>
          </w:tcPr>
          <w:p w14:paraId="14C7FB17" w14:textId="77777777" w:rsidR="00933BDF" w:rsidRPr="00B3545C"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Linezolid (N=209)</w:t>
            </w:r>
          </w:p>
          <w:p w14:paraId="56F86F81" w14:textId="77777777" w:rsidR="00933BDF" w:rsidRPr="00B3545C" w:rsidRDefault="00933BDF"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sz w:val="20"/>
                <w:lang w:val="en-US" w:eastAsia="en-GB"/>
              </w:rPr>
            </w:pPr>
            <w:r w:rsidRPr="00B3545C">
              <w:rPr>
                <w:rStyle w:val="CommentReference"/>
                <w:rFonts w:ascii="Arial" w:eastAsiaTheme="majorEastAsia" w:hAnsi="Arial"/>
                <w:sz w:val="20"/>
                <w:lang w:val="en-US" w:eastAsia="en-GB"/>
              </w:rPr>
              <w:t>n (%)</w:t>
            </w:r>
          </w:p>
        </w:tc>
      </w:tr>
      <w:tr w:rsidR="00933BDF" w:rsidRPr="00B3545C" w14:paraId="2B89F4E4" w14:textId="77777777" w:rsidTr="00AF2281">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4346AA30" w14:textId="77777777" w:rsidR="00933BDF" w:rsidRPr="00B3545C" w:rsidRDefault="00933BDF" w:rsidP="00100BE6">
            <w:pPr>
              <w:pStyle w:val="TableBodyText-H54"/>
              <w:rPr>
                <w:rStyle w:val="CommentReference"/>
                <w:rFonts w:ascii="Arial" w:hAnsi="Arial"/>
                <w:sz w:val="20"/>
                <w:lang w:val="en-US"/>
              </w:rPr>
            </w:pPr>
            <w:r w:rsidRPr="00B3545C">
              <w:rPr>
                <w:rStyle w:val="CommentReference"/>
                <w:rFonts w:ascii="Arial" w:eastAsiaTheme="majorEastAsia" w:hAnsi="Arial"/>
                <w:sz w:val="20"/>
                <w:lang w:val="en-US" w:eastAsia="en-GB"/>
              </w:rPr>
              <w:t>Gram-positive (aerobes):</w:t>
            </w:r>
          </w:p>
        </w:tc>
        <w:tc>
          <w:tcPr>
            <w:tcW w:w="2977" w:type="dxa"/>
            <w:hideMark/>
          </w:tcPr>
          <w:p w14:paraId="08FBD3F3"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207 (99.0)</w:t>
            </w:r>
          </w:p>
        </w:tc>
        <w:tc>
          <w:tcPr>
            <w:tcW w:w="2471" w:type="dxa"/>
            <w:hideMark/>
          </w:tcPr>
          <w:p w14:paraId="3FFEC2F5"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205 (98.1)</w:t>
            </w:r>
          </w:p>
        </w:tc>
      </w:tr>
      <w:tr w:rsidR="00933BDF" w:rsidRPr="00B3545C" w14:paraId="274D91ED"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66849808" w14:textId="77777777" w:rsidR="00933BDF" w:rsidRPr="00B3545C" w:rsidRDefault="00933BDF" w:rsidP="00100BE6">
            <w:pPr>
              <w:pStyle w:val="TableBodyText-H54"/>
              <w:ind w:left="313"/>
              <w:rPr>
                <w:rStyle w:val="BodyText-italic-H12"/>
                <w:rFonts w:ascii="Arial" w:hAnsi="Arial"/>
                <w:sz w:val="20"/>
                <w:lang w:val="en-US"/>
              </w:rPr>
            </w:pPr>
            <w:r w:rsidRPr="00B3545C">
              <w:rPr>
                <w:rStyle w:val="BodyText-italic-H12"/>
                <w:rFonts w:ascii="Arial" w:hAnsi="Arial"/>
                <w:sz w:val="20"/>
                <w:lang w:val="en-US" w:eastAsia="en-GB"/>
              </w:rPr>
              <w:t>S. aureus</w:t>
            </w:r>
          </w:p>
        </w:tc>
        <w:tc>
          <w:tcPr>
            <w:tcW w:w="2977" w:type="dxa"/>
            <w:hideMark/>
          </w:tcPr>
          <w:p w14:paraId="07C95682"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171 (81.8)</w:t>
            </w:r>
          </w:p>
        </w:tc>
        <w:tc>
          <w:tcPr>
            <w:tcW w:w="2471" w:type="dxa"/>
            <w:hideMark/>
          </w:tcPr>
          <w:p w14:paraId="52086668"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175 (83.7)</w:t>
            </w:r>
          </w:p>
        </w:tc>
      </w:tr>
      <w:tr w:rsidR="00933BDF" w:rsidRPr="00B3545C" w14:paraId="53C6D394" w14:textId="77777777" w:rsidTr="00AF2281">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65E40B62" w14:textId="77777777" w:rsidR="00933BDF" w:rsidRPr="00B3545C" w:rsidRDefault="00933BDF" w:rsidP="00100BE6">
            <w:pPr>
              <w:pStyle w:val="TableBodyText-H54"/>
              <w:ind w:left="313"/>
              <w:rPr>
                <w:rStyle w:val="CommentReference"/>
                <w:rFonts w:ascii="Arial" w:hAnsi="Arial"/>
                <w:sz w:val="20"/>
                <w:lang w:val="en-US"/>
              </w:rPr>
            </w:pPr>
            <w:r w:rsidRPr="00B3545C">
              <w:rPr>
                <w:rStyle w:val="CommentReference"/>
                <w:rFonts w:ascii="Arial" w:eastAsiaTheme="majorEastAsia" w:hAnsi="Arial"/>
                <w:sz w:val="20"/>
                <w:lang w:val="en-US" w:eastAsia="en-GB"/>
              </w:rPr>
              <w:t>MRSA</w:t>
            </w:r>
          </w:p>
        </w:tc>
        <w:tc>
          <w:tcPr>
            <w:tcW w:w="2977" w:type="dxa"/>
            <w:hideMark/>
          </w:tcPr>
          <w:p w14:paraId="7895AA15"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88 (42.1)</w:t>
            </w:r>
          </w:p>
        </w:tc>
        <w:tc>
          <w:tcPr>
            <w:tcW w:w="2471" w:type="dxa"/>
            <w:hideMark/>
          </w:tcPr>
          <w:p w14:paraId="20AACEA8"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90 (43.1)</w:t>
            </w:r>
          </w:p>
        </w:tc>
      </w:tr>
      <w:tr w:rsidR="00933BDF" w:rsidRPr="00B3545C" w14:paraId="46040800"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0DAFB8B9" w14:textId="77777777" w:rsidR="00933BDF" w:rsidRPr="00B3545C" w:rsidRDefault="00933BDF" w:rsidP="00100BE6">
            <w:pPr>
              <w:pStyle w:val="TableBodyText-H54"/>
              <w:ind w:left="313"/>
              <w:rPr>
                <w:rStyle w:val="CommentReference"/>
                <w:rFonts w:ascii="Arial" w:hAnsi="Arial"/>
                <w:sz w:val="20"/>
                <w:lang w:val="en-US"/>
              </w:rPr>
            </w:pPr>
            <w:r w:rsidRPr="00B3545C">
              <w:rPr>
                <w:rStyle w:val="CommentReference"/>
                <w:rFonts w:ascii="Arial" w:eastAsiaTheme="majorEastAsia" w:hAnsi="Arial"/>
                <w:sz w:val="20"/>
                <w:lang w:val="en-US" w:eastAsia="en-GB"/>
              </w:rPr>
              <w:t>MSSA</w:t>
            </w:r>
          </w:p>
        </w:tc>
        <w:tc>
          <w:tcPr>
            <w:tcW w:w="2977" w:type="dxa"/>
            <w:hideMark/>
          </w:tcPr>
          <w:p w14:paraId="294E5086"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Fonts w:ascii="Arial" w:eastAsia="TimesNewRoman" w:hAnsi="Arial"/>
                <w:sz w:val="20"/>
                <w:lang w:val="en-US" w:eastAsia="en-GB"/>
              </w:rPr>
              <w:t xml:space="preserve">83 (39.7) </w:t>
            </w:r>
          </w:p>
        </w:tc>
        <w:tc>
          <w:tcPr>
            <w:tcW w:w="2471" w:type="dxa"/>
            <w:hideMark/>
          </w:tcPr>
          <w:p w14:paraId="3C73EAD0"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Fonts w:ascii="Arial" w:eastAsia="TimesNewRoman" w:hAnsi="Arial"/>
                <w:sz w:val="20"/>
                <w:lang w:val="en-US" w:eastAsia="en-GB"/>
              </w:rPr>
              <w:t>87 (41.6)</w:t>
            </w:r>
          </w:p>
        </w:tc>
      </w:tr>
      <w:tr w:rsidR="00933BDF" w:rsidRPr="00B3545C" w14:paraId="65FF85BD" w14:textId="77777777" w:rsidTr="00AF2281">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23B3CB0F" w14:textId="77777777" w:rsidR="00933BDF" w:rsidRPr="00B3545C" w:rsidRDefault="00933BDF" w:rsidP="00100BE6">
            <w:pPr>
              <w:pStyle w:val="TableBodyText-H54"/>
              <w:ind w:left="313"/>
              <w:rPr>
                <w:rStyle w:val="CommentReference"/>
                <w:rFonts w:ascii="Arial" w:hAnsi="Arial"/>
                <w:sz w:val="20"/>
                <w:lang w:val="en-US"/>
              </w:rPr>
            </w:pPr>
            <w:r w:rsidRPr="00B3545C">
              <w:rPr>
                <w:rStyle w:val="CommentReference"/>
                <w:rFonts w:ascii="Arial" w:eastAsiaTheme="majorEastAsia" w:hAnsi="Arial"/>
                <w:sz w:val="20"/>
                <w:lang w:val="en-US" w:eastAsia="en-GB"/>
              </w:rPr>
              <w:t xml:space="preserve">PVL </w:t>
            </w:r>
            <w:r w:rsidRPr="00B3545C">
              <w:rPr>
                <w:rStyle w:val="BodyText-italic-H12"/>
                <w:rFonts w:ascii="Arial" w:hAnsi="Arial"/>
                <w:sz w:val="20"/>
                <w:lang w:val="en-US" w:eastAsia="en-GB"/>
              </w:rPr>
              <w:t>S. aureus</w:t>
            </w:r>
          </w:p>
        </w:tc>
        <w:tc>
          <w:tcPr>
            <w:tcW w:w="2977" w:type="dxa"/>
            <w:hideMark/>
          </w:tcPr>
          <w:p w14:paraId="4381B6DF"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97 (46.4)</w:t>
            </w:r>
          </w:p>
        </w:tc>
        <w:tc>
          <w:tcPr>
            <w:tcW w:w="2471" w:type="dxa"/>
            <w:hideMark/>
          </w:tcPr>
          <w:p w14:paraId="62515A3B"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102 (48.8)</w:t>
            </w:r>
          </w:p>
        </w:tc>
      </w:tr>
      <w:tr w:rsidR="00933BDF" w:rsidRPr="00B3545C" w14:paraId="2B888296"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16BA8A9D" w14:textId="77777777" w:rsidR="00933BDF" w:rsidRPr="00B3545C" w:rsidRDefault="00933BDF" w:rsidP="00100BE6">
            <w:pPr>
              <w:pStyle w:val="TableBodyText-H54"/>
              <w:ind w:left="313"/>
              <w:rPr>
                <w:rStyle w:val="CommentReference"/>
                <w:rFonts w:ascii="Arial" w:hAnsi="Arial"/>
                <w:sz w:val="20"/>
                <w:lang w:val="en-US"/>
              </w:rPr>
            </w:pPr>
            <w:r w:rsidRPr="00B3545C">
              <w:rPr>
                <w:rStyle w:val="CommentReference"/>
                <w:rFonts w:ascii="Arial" w:eastAsiaTheme="majorEastAsia" w:hAnsi="Arial"/>
                <w:sz w:val="20"/>
                <w:lang w:val="en-US" w:eastAsia="en-GB"/>
              </w:rPr>
              <w:t xml:space="preserve">Other Gram-positive (aerobes) </w:t>
            </w:r>
          </w:p>
        </w:tc>
        <w:tc>
          <w:tcPr>
            <w:tcW w:w="2977" w:type="dxa"/>
            <w:hideMark/>
          </w:tcPr>
          <w:p w14:paraId="0D64728B"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 xml:space="preserve">59 (28.3) </w:t>
            </w:r>
          </w:p>
        </w:tc>
        <w:tc>
          <w:tcPr>
            <w:tcW w:w="2471" w:type="dxa"/>
            <w:hideMark/>
          </w:tcPr>
          <w:p w14:paraId="618AF93D"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 xml:space="preserve">44 (21.2) </w:t>
            </w:r>
          </w:p>
        </w:tc>
      </w:tr>
      <w:tr w:rsidR="00933BDF" w:rsidRPr="00B3545C" w14:paraId="53AE2E73" w14:textId="77777777" w:rsidTr="00AF2281">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2F067DC6" w14:textId="77777777" w:rsidR="00933BDF" w:rsidRPr="00B3545C" w:rsidRDefault="00933BDF" w:rsidP="00100BE6">
            <w:pPr>
              <w:pStyle w:val="TableBodyText-H54"/>
              <w:rPr>
                <w:rStyle w:val="CommentReference"/>
                <w:rFonts w:ascii="Arial" w:hAnsi="Arial"/>
                <w:sz w:val="20"/>
                <w:lang w:val="en-US"/>
              </w:rPr>
            </w:pPr>
            <w:r w:rsidRPr="00B3545C">
              <w:rPr>
                <w:rStyle w:val="CommentReference"/>
                <w:rFonts w:ascii="Arial" w:eastAsiaTheme="majorEastAsia" w:hAnsi="Arial"/>
                <w:sz w:val="20"/>
                <w:lang w:val="en-US" w:eastAsia="en-GB"/>
              </w:rPr>
              <w:t>Gram-positive (anaerobes)</w:t>
            </w:r>
          </w:p>
        </w:tc>
        <w:tc>
          <w:tcPr>
            <w:tcW w:w="2977" w:type="dxa"/>
            <w:hideMark/>
          </w:tcPr>
          <w:p w14:paraId="2713E122"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3 (1.4)</w:t>
            </w:r>
          </w:p>
        </w:tc>
        <w:tc>
          <w:tcPr>
            <w:tcW w:w="2471" w:type="dxa"/>
            <w:hideMark/>
          </w:tcPr>
          <w:p w14:paraId="40B0A4C7"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8 (3.8)</w:t>
            </w:r>
          </w:p>
        </w:tc>
      </w:tr>
      <w:tr w:rsidR="00933BDF" w:rsidRPr="00B3545C" w14:paraId="365DCD60"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5C38C88B" w14:textId="77777777" w:rsidR="00933BDF" w:rsidRPr="00B3545C" w:rsidRDefault="00933BDF" w:rsidP="00100BE6">
            <w:pPr>
              <w:pStyle w:val="TableBodyText-H54"/>
              <w:rPr>
                <w:rStyle w:val="CommentReference"/>
                <w:rFonts w:ascii="Arial" w:hAnsi="Arial"/>
                <w:sz w:val="20"/>
                <w:lang w:val="en-US"/>
              </w:rPr>
            </w:pPr>
            <w:r w:rsidRPr="00B3545C">
              <w:rPr>
                <w:rStyle w:val="CommentReference"/>
                <w:rFonts w:ascii="Arial" w:eastAsiaTheme="majorEastAsia" w:hAnsi="Arial"/>
                <w:sz w:val="20"/>
                <w:lang w:val="en-US" w:eastAsia="en-GB"/>
              </w:rPr>
              <w:t>Gram-negative organisms (aerobes)</w:t>
            </w:r>
          </w:p>
        </w:tc>
        <w:tc>
          <w:tcPr>
            <w:tcW w:w="2977" w:type="dxa"/>
            <w:hideMark/>
          </w:tcPr>
          <w:p w14:paraId="09726360"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6 (2.9)</w:t>
            </w:r>
          </w:p>
        </w:tc>
        <w:tc>
          <w:tcPr>
            <w:tcW w:w="2471" w:type="dxa"/>
            <w:hideMark/>
          </w:tcPr>
          <w:p w14:paraId="045B1C6A" w14:textId="77777777" w:rsidR="00933BDF" w:rsidRPr="00B3545C" w:rsidRDefault="00933BDF"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6 (2.9)</w:t>
            </w:r>
          </w:p>
        </w:tc>
      </w:tr>
      <w:tr w:rsidR="00933BDF" w:rsidRPr="00B3545C" w14:paraId="08EBF186" w14:textId="77777777" w:rsidTr="00AF2281">
        <w:tc>
          <w:tcPr>
            <w:cnfStyle w:val="001000000000" w:firstRow="0" w:lastRow="0" w:firstColumn="1" w:lastColumn="0" w:oddVBand="0" w:evenVBand="0" w:oddHBand="0" w:evenHBand="0" w:firstRowFirstColumn="0" w:firstRowLastColumn="0" w:lastRowFirstColumn="0" w:lastRowLastColumn="0"/>
            <w:tcW w:w="3681" w:type="dxa"/>
            <w:shd w:val="clear" w:color="auto" w:fill="auto"/>
            <w:hideMark/>
          </w:tcPr>
          <w:p w14:paraId="479C9E90" w14:textId="77777777" w:rsidR="00933BDF" w:rsidRPr="00B3545C" w:rsidRDefault="00933BDF" w:rsidP="00100BE6">
            <w:pPr>
              <w:pStyle w:val="TableBodyText-H54"/>
              <w:rPr>
                <w:rStyle w:val="CommentReference"/>
                <w:rFonts w:ascii="Arial" w:hAnsi="Arial"/>
                <w:sz w:val="20"/>
                <w:lang w:val="en-US"/>
              </w:rPr>
            </w:pPr>
            <w:r w:rsidRPr="00B3545C">
              <w:rPr>
                <w:rStyle w:val="CommentReference"/>
                <w:rFonts w:ascii="Arial" w:eastAsiaTheme="majorEastAsia" w:hAnsi="Arial"/>
                <w:sz w:val="20"/>
                <w:lang w:val="en-US" w:eastAsia="en-GB"/>
              </w:rPr>
              <w:t>Gram-negative organisms (anaerobes)</w:t>
            </w:r>
          </w:p>
        </w:tc>
        <w:tc>
          <w:tcPr>
            <w:tcW w:w="2977" w:type="dxa"/>
            <w:hideMark/>
          </w:tcPr>
          <w:p w14:paraId="5E7BC71D"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0</w:t>
            </w:r>
          </w:p>
        </w:tc>
        <w:tc>
          <w:tcPr>
            <w:tcW w:w="2471" w:type="dxa"/>
            <w:hideMark/>
          </w:tcPr>
          <w:p w14:paraId="4D928458" w14:textId="77777777" w:rsidR="00933BDF" w:rsidRPr="00B3545C" w:rsidRDefault="00933BDF" w:rsidP="00100BE6">
            <w:pPr>
              <w:pStyle w:val="TableBodyCentered-H52"/>
              <w:cnfStyle w:val="000000000000" w:firstRow="0" w:lastRow="0" w:firstColumn="0" w:lastColumn="0" w:oddVBand="0" w:evenVBand="0" w:oddHBand="0" w:evenHBand="0" w:firstRowFirstColumn="0" w:firstRowLastColumn="0" w:lastRowFirstColumn="0" w:lastRowLastColumn="0"/>
              <w:rPr>
                <w:rStyle w:val="CommentReference"/>
                <w:rFonts w:ascii="Arial" w:hAnsi="Arial"/>
                <w:sz w:val="20"/>
                <w:lang w:val="en-US"/>
              </w:rPr>
            </w:pPr>
            <w:r w:rsidRPr="00B3545C">
              <w:rPr>
                <w:rStyle w:val="CommentReference"/>
                <w:rFonts w:ascii="Arial" w:eastAsiaTheme="majorEastAsia" w:hAnsi="Arial"/>
                <w:sz w:val="20"/>
                <w:lang w:val="en-US" w:eastAsia="en-GB"/>
              </w:rPr>
              <w:t>1 (0.5)</w:t>
            </w:r>
          </w:p>
        </w:tc>
      </w:tr>
    </w:tbl>
    <w:p w14:paraId="5E9D5514" w14:textId="2A8225F2" w:rsidR="00933BDF" w:rsidRPr="00B3545C" w:rsidRDefault="00933BDF" w:rsidP="00B3545C">
      <w:pPr>
        <w:pStyle w:val="TableNote-H58"/>
        <w:spacing w:before="0" w:after="0"/>
        <w:rPr>
          <w:rStyle w:val="CommentReference"/>
          <w:rFonts w:ascii="Arial" w:hAnsi="Arial"/>
          <w:sz w:val="16"/>
          <w:szCs w:val="16"/>
          <w:lang w:val="en-US"/>
        </w:rPr>
      </w:pPr>
      <w:r w:rsidRPr="00B3545C">
        <w:rPr>
          <w:rStyle w:val="CommentReference"/>
          <w:rFonts w:ascii="Arial" w:eastAsiaTheme="majorEastAsia" w:hAnsi="Arial"/>
          <w:sz w:val="16"/>
          <w:szCs w:val="16"/>
          <w:lang w:val="en-US"/>
        </w:rPr>
        <w:t>SOURCE:</w:t>
      </w:r>
      <w:r w:rsidRPr="00B3545C">
        <w:rPr>
          <w:rFonts w:ascii="Arial" w:hAnsi="Arial"/>
          <w:sz w:val="16"/>
          <w:szCs w:val="16"/>
          <w:lang w:val="en-US"/>
        </w:rPr>
        <w:t xml:space="preserve"> </w:t>
      </w:r>
      <w:r w:rsidR="00A214EB" w:rsidRPr="00511D47">
        <w:rPr>
          <w:rFonts w:ascii="Arial" w:hAnsi="Arial"/>
          <w:sz w:val="16"/>
          <w:szCs w:val="16"/>
          <w:lang w:val="en-US"/>
        </w:rPr>
        <w:t>ESTABLISH-1 CSR</w:t>
      </w:r>
      <w:r w:rsidR="00A214EB">
        <w:rPr>
          <w:rFonts w:ascii="Arial" w:hAnsi="Arial"/>
          <w:sz w:val="16"/>
          <w:szCs w:val="16"/>
          <w:lang w:val="en-US"/>
        </w:rPr>
        <w:t xml:space="preserve"> (</w:t>
      </w:r>
      <w:r w:rsidR="00A214EB">
        <w:rPr>
          <w:rFonts w:ascii="Arial" w:hAnsi="Arial"/>
          <w:sz w:val="16"/>
          <w:szCs w:val="16"/>
          <w:lang w:val="en-US"/>
        </w:rPr>
        <w:fldChar w:fldCharType="begin"/>
      </w:r>
      <w:r w:rsidR="00A214EB">
        <w:rPr>
          <w:rFonts w:ascii="Arial" w:hAnsi="Arial"/>
          <w:sz w:val="16"/>
          <w:szCs w:val="16"/>
          <w:lang w:val="en-US"/>
        </w:rPr>
        <w:instrText xml:space="preserve"> REF _Ref284171334 \r \h </w:instrText>
      </w:r>
      <w:r w:rsidR="00A214EB">
        <w:rPr>
          <w:rFonts w:ascii="Arial" w:hAnsi="Arial"/>
          <w:sz w:val="16"/>
          <w:szCs w:val="16"/>
          <w:lang w:val="en-US"/>
        </w:rPr>
      </w:r>
      <w:r w:rsidR="00A214EB">
        <w:rPr>
          <w:rFonts w:ascii="Arial" w:hAnsi="Arial"/>
          <w:sz w:val="16"/>
          <w:szCs w:val="16"/>
          <w:lang w:val="en-US"/>
        </w:rPr>
        <w:fldChar w:fldCharType="separate"/>
      </w:r>
      <w:r w:rsidR="00151A1C">
        <w:rPr>
          <w:rFonts w:ascii="Arial" w:hAnsi="Arial"/>
          <w:sz w:val="16"/>
          <w:szCs w:val="16"/>
          <w:lang w:val="en-US"/>
        </w:rPr>
        <w:t>41</w:t>
      </w:r>
      <w:r w:rsidR="00A214EB">
        <w:rPr>
          <w:rFonts w:ascii="Arial" w:hAnsi="Arial"/>
          <w:sz w:val="16"/>
          <w:szCs w:val="16"/>
          <w:lang w:val="en-US"/>
        </w:rPr>
        <w:fldChar w:fldCharType="end"/>
      </w:r>
      <w:r w:rsidR="00A214EB">
        <w:rPr>
          <w:rFonts w:ascii="Arial" w:hAnsi="Arial"/>
          <w:sz w:val="16"/>
          <w:szCs w:val="16"/>
          <w:lang w:val="en-US"/>
        </w:rPr>
        <w:t>)</w:t>
      </w:r>
      <w:r w:rsidRPr="00B3545C">
        <w:rPr>
          <w:rFonts w:ascii="Arial" w:hAnsi="Arial"/>
          <w:sz w:val="16"/>
          <w:szCs w:val="16"/>
          <w:lang w:val="en-US"/>
        </w:rPr>
        <w:t>: section 11.2.3.3 Table 11-13</w:t>
      </w:r>
      <w:r w:rsidRPr="00B3545C">
        <w:rPr>
          <w:rStyle w:val="CommentReference"/>
          <w:rFonts w:ascii="Arial" w:eastAsiaTheme="majorEastAsia" w:hAnsi="Arial"/>
          <w:sz w:val="16"/>
          <w:szCs w:val="16"/>
          <w:lang w:val="en-US"/>
        </w:rPr>
        <w:t xml:space="preserve"> </w:t>
      </w:r>
    </w:p>
    <w:p w14:paraId="54D5D155" w14:textId="5DF670C8" w:rsidR="00933BDF" w:rsidRPr="00B3545C" w:rsidRDefault="00933BDF" w:rsidP="00B3545C">
      <w:pPr>
        <w:pStyle w:val="TableNote-H58"/>
        <w:spacing w:before="0" w:after="0"/>
        <w:rPr>
          <w:rFonts w:ascii="Arial" w:eastAsiaTheme="majorEastAsia" w:hAnsi="Arial"/>
          <w:sz w:val="16"/>
          <w:szCs w:val="16"/>
          <w:lang w:val="en-US"/>
        </w:rPr>
      </w:pPr>
      <w:r w:rsidRPr="00B3545C">
        <w:rPr>
          <w:rStyle w:val="CommentReference"/>
          <w:rFonts w:ascii="Arial" w:eastAsiaTheme="majorEastAsia" w:hAnsi="Arial"/>
          <w:sz w:val="16"/>
          <w:szCs w:val="16"/>
          <w:lang w:val="en-US"/>
        </w:rPr>
        <w:t xml:space="preserve">Note: Patients with the same pathogen isolated from multiple specimens are counted only once for that pathogen. Patients with the same pathogen identified from both the blood and primary ABSSSI cultures are counted only once. Patients with both MRSA and MSSA are counted only once in overall </w:t>
      </w:r>
      <w:r w:rsidRPr="00B3545C">
        <w:rPr>
          <w:rStyle w:val="BodyText-italic-H12"/>
          <w:rFonts w:ascii="Arial" w:eastAsiaTheme="majorEastAsia" w:hAnsi="Arial"/>
          <w:sz w:val="16"/>
          <w:szCs w:val="16"/>
          <w:lang w:val="en-US"/>
        </w:rPr>
        <w:t>S. aureus</w:t>
      </w:r>
      <w:r w:rsidRPr="00B3545C">
        <w:rPr>
          <w:rStyle w:val="CommentReference"/>
          <w:rFonts w:ascii="Arial" w:eastAsiaTheme="majorEastAsia" w:hAnsi="Arial"/>
          <w:sz w:val="16"/>
          <w:szCs w:val="16"/>
          <w:lang w:val="en-US"/>
        </w:rPr>
        <w:t xml:space="preserve"> row and untyped </w:t>
      </w:r>
      <w:r w:rsidRPr="00B3545C">
        <w:rPr>
          <w:rStyle w:val="BodyText-italic-H12"/>
          <w:rFonts w:ascii="Arial" w:eastAsiaTheme="majorEastAsia" w:hAnsi="Arial"/>
          <w:sz w:val="16"/>
          <w:szCs w:val="16"/>
          <w:lang w:val="en-US"/>
        </w:rPr>
        <w:t>S. aureus</w:t>
      </w:r>
      <w:r w:rsidRPr="00B3545C">
        <w:rPr>
          <w:rStyle w:val="CommentReference"/>
          <w:rFonts w:ascii="Arial" w:eastAsiaTheme="majorEastAsia" w:hAnsi="Arial"/>
          <w:sz w:val="16"/>
          <w:szCs w:val="16"/>
          <w:lang w:val="en-US"/>
        </w:rPr>
        <w:t xml:space="preserve"> pathogens are only counted in the overall </w:t>
      </w:r>
      <w:r w:rsidRPr="00B3545C">
        <w:rPr>
          <w:rStyle w:val="BodyText-italic-H12"/>
          <w:rFonts w:ascii="Arial" w:eastAsiaTheme="majorEastAsia" w:hAnsi="Arial"/>
          <w:sz w:val="16"/>
          <w:szCs w:val="16"/>
          <w:lang w:val="en-US"/>
        </w:rPr>
        <w:t>S. aureus</w:t>
      </w:r>
      <w:r w:rsidRPr="00B3545C">
        <w:rPr>
          <w:rStyle w:val="CommentReference"/>
          <w:rFonts w:ascii="Arial" w:eastAsiaTheme="majorEastAsia" w:hAnsi="Arial"/>
          <w:sz w:val="16"/>
          <w:szCs w:val="16"/>
          <w:lang w:val="en-US"/>
        </w:rPr>
        <w:t xml:space="preserve"> row</w:t>
      </w:r>
      <w:r w:rsidR="00A214EB">
        <w:rPr>
          <w:rStyle w:val="CommentReference"/>
          <w:rFonts w:ascii="Arial" w:eastAsiaTheme="majorEastAsia" w:hAnsi="Arial"/>
          <w:sz w:val="16"/>
          <w:szCs w:val="16"/>
          <w:lang w:val="en-US"/>
        </w:rPr>
        <w:t>.</w:t>
      </w:r>
    </w:p>
    <w:p w14:paraId="29CC8764" w14:textId="3966A760" w:rsidR="00933BDF" w:rsidRPr="00B3545C" w:rsidRDefault="00933BDF" w:rsidP="00B3545C">
      <w:pPr>
        <w:pStyle w:val="TableNote-H58"/>
        <w:spacing w:before="0" w:after="0"/>
        <w:rPr>
          <w:rFonts w:ascii="Arial" w:hAnsi="Arial"/>
          <w:sz w:val="16"/>
          <w:szCs w:val="16"/>
          <w:lang w:val="en-US"/>
        </w:rPr>
      </w:pPr>
      <w:r w:rsidRPr="00B3545C">
        <w:rPr>
          <w:rStyle w:val="CommentReference"/>
          <w:rFonts w:ascii="Arial" w:eastAsiaTheme="majorEastAsia" w:hAnsi="Arial"/>
          <w:sz w:val="16"/>
          <w:szCs w:val="16"/>
          <w:lang w:val="en-US"/>
        </w:rPr>
        <w:t xml:space="preserve">ABSSSI: Acute bacterial skin and skin structure infection; MITT: Microbiological intent-to-treat; MRSA: Methicillin-resistant </w:t>
      </w:r>
      <w:r w:rsidRPr="00B3545C">
        <w:rPr>
          <w:rStyle w:val="BodyText-italic-H12"/>
          <w:rFonts w:ascii="Arial" w:hAnsi="Arial"/>
          <w:bCs w:val="0"/>
          <w:sz w:val="16"/>
          <w:szCs w:val="16"/>
          <w:lang w:val="en-US"/>
        </w:rPr>
        <w:t>S. aureus</w:t>
      </w:r>
      <w:r w:rsidR="00AF795E">
        <w:rPr>
          <w:rStyle w:val="CommentReference"/>
          <w:rFonts w:ascii="Arial" w:eastAsiaTheme="majorEastAsia" w:hAnsi="Arial"/>
          <w:sz w:val="16"/>
          <w:szCs w:val="16"/>
          <w:lang w:val="en-US"/>
        </w:rPr>
        <w:t>; Methicillin-</w:t>
      </w:r>
      <w:r w:rsidRPr="00B3545C">
        <w:rPr>
          <w:rStyle w:val="CommentReference"/>
          <w:rFonts w:ascii="Arial" w:eastAsiaTheme="majorEastAsia" w:hAnsi="Arial"/>
          <w:sz w:val="16"/>
          <w:szCs w:val="16"/>
          <w:lang w:val="en-US"/>
        </w:rPr>
        <w:t xml:space="preserve">susceptible </w:t>
      </w:r>
      <w:r w:rsidRPr="00B3545C">
        <w:rPr>
          <w:rStyle w:val="BodyText-italic-H12"/>
          <w:rFonts w:ascii="Arial" w:hAnsi="Arial"/>
          <w:bCs w:val="0"/>
          <w:sz w:val="16"/>
          <w:szCs w:val="16"/>
          <w:lang w:val="en-US"/>
        </w:rPr>
        <w:t>S. aureus</w:t>
      </w:r>
      <w:r w:rsidRPr="00B3545C">
        <w:rPr>
          <w:rStyle w:val="CommentReference"/>
          <w:rFonts w:ascii="Arial" w:eastAsiaTheme="majorEastAsia" w:hAnsi="Arial"/>
          <w:sz w:val="16"/>
          <w:szCs w:val="16"/>
          <w:lang w:val="en-US"/>
        </w:rPr>
        <w:t xml:space="preserve">; PVL: Panton-Valentine Leukocidin; n: Number of patients in specific category; </w:t>
      </w:r>
      <w:r w:rsidRPr="00B3545C">
        <w:rPr>
          <w:rFonts w:ascii="Arial" w:hAnsi="Arial"/>
          <w:sz w:val="16"/>
          <w:szCs w:val="16"/>
          <w:lang w:val="en-US"/>
        </w:rPr>
        <w:t>N: Number of patients in population</w:t>
      </w:r>
    </w:p>
    <w:p w14:paraId="1CD3902B" w14:textId="77777777" w:rsidR="007764DC" w:rsidRDefault="007764DC" w:rsidP="007764DC">
      <w:pPr>
        <w:pStyle w:val="Caption"/>
        <w:spacing w:before="0" w:after="0"/>
        <w:jc w:val="left"/>
        <w:rPr>
          <w:rFonts w:ascii="Arial" w:hAnsi="Arial" w:cs="Arial"/>
          <w:b w:val="0"/>
          <w:bCs w:val="0"/>
          <w:sz w:val="22"/>
          <w:szCs w:val="22"/>
          <w:lang w:eastAsia="ja-JP"/>
        </w:rPr>
      </w:pPr>
    </w:p>
    <w:p w14:paraId="20283C30" w14:textId="325A0DF0" w:rsidR="005934C5" w:rsidRPr="007764DC" w:rsidRDefault="002E314E" w:rsidP="008F2E61">
      <w:pPr>
        <w:pStyle w:val="Caption"/>
        <w:spacing w:before="0" w:after="0"/>
        <w:jc w:val="left"/>
        <w:rPr>
          <w:rFonts w:ascii="Arial" w:hAnsi="Arial" w:cs="Arial"/>
          <w:b w:val="0"/>
          <w:color w:val="000000" w:themeColor="text1"/>
          <w:sz w:val="22"/>
          <w:szCs w:val="22"/>
          <w:lang w:val="en-US"/>
        </w:rPr>
      </w:pPr>
      <w:r w:rsidRPr="007764DC">
        <w:rPr>
          <w:rFonts w:ascii="Arial" w:hAnsi="Arial" w:cs="Arial"/>
          <w:bCs w:val="0"/>
          <w:sz w:val="22"/>
          <w:szCs w:val="22"/>
          <w:lang w:eastAsia="ja-JP"/>
        </w:rPr>
        <w:t>3.3</w:t>
      </w:r>
      <w:r w:rsidR="001A3DC5" w:rsidRPr="007764DC">
        <w:rPr>
          <w:rFonts w:ascii="Arial" w:hAnsi="Arial" w:cs="Arial"/>
          <w:bCs w:val="0"/>
          <w:sz w:val="22"/>
          <w:szCs w:val="22"/>
          <w:lang w:eastAsia="ja-JP"/>
        </w:rPr>
        <w:t>.15</w:t>
      </w:r>
      <w:r w:rsidR="00333BE9" w:rsidRPr="007764DC">
        <w:rPr>
          <w:rFonts w:ascii="Arial" w:hAnsi="Arial" w:cs="Arial"/>
          <w:bCs w:val="0"/>
          <w:sz w:val="22"/>
          <w:szCs w:val="22"/>
          <w:lang w:eastAsia="ja-JP"/>
        </w:rPr>
        <w:t xml:space="preserve"> </w:t>
      </w:r>
      <w:r w:rsidR="008E4E92" w:rsidRPr="007764DC">
        <w:rPr>
          <w:rFonts w:ascii="Arial" w:hAnsi="Arial" w:cs="Arial"/>
          <w:bCs w:val="0"/>
          <w:sz w:val="22"/>
          <w:szCs w:val="22"/>
          <w:lang w:eastAsia="ja-JP"/>
        </w:rPr>
        <w:t>Results</w:t>
      </w:r>
      <w:r w:rsidR="001A3DC5" w:rsidRPr="007764DC">
        <w:rPr>
          <w:rFonts w:ascii="Arial" w:hAnsi="Arial" w:cs="Arial"/>
          <w:bCs w:val="0"/>
          <w:sz w:val="22"/>
          <w:szCs w:val="22"/>
          <w:lang w:eastAsia="ja-JP"/>
        </w:rPr>
        <w:t xml:space="preserve"> of the primary analysis of the primary outcome</w:t>
      </w:r>
      <w:r w:rsidR="00B3545C" w:rsidRPr="007764DC">
        <w:rPr>
          <w:rFonts w:ascii="Arial" w:hAnsi="Arial" w:cs="Arial"/>
          <w:bCs w:val="0"/>
          <w:sz w:val="22"/>
          <w:szCs w:val="22"/>
          <w:lang w:eastAsia="ja-JP"/>
        </w:rPr>
        <w:t>:</w:t>
      </w:r>
      <w:r w:rsidR="00B3545C" w:rsidRPr="007764DC">
        <w:rPr>
          <w:rFonts w:ascii="Arial" w:hAnsi="Arial" w:cs="Arial"/>
          <w:b w:val="0"/>
          <w:bCs w:val="0"/>
          <w:sz w:val="22"/>
          <w:szCs w:val="22"/>
          <w:lang w:eastAsia="ja-JP"/>
        </w:rPr>
        <w:t xml:space="preserve"> </w:t>
      </w:r>
      <w:r w:rsidR="008E4E92" w:rsidRPr="007764DC">
        <w:rPr>
          <w:rFonts w:ascii="Arial" w:hAnsi="Arial" w:cs="Arial"/>
          <w:b w:val="0"/>
          <w:sz w:val="22"/>
          <w:szCs w:val="22"/>
          <w:lang w:eastAsia="ja-JP"/>
        </w:rPr>
        <w:t xml:space="preserve">In the </w:t>
      </w:r>
      <w:r w:rsidR="00BC5328" w:rsidRPr="007764DC">
        <w:rPr>
          <w:rFonts w:ascii="Arial" w:hAnsi="Arial" w:cs="Arial"/>
          <w:b w:val="0"/>
          <w:sz w:val="22"/>
          <w:szCs w:val="22"/>
          <w:lang w:eastAsia="ja-JP"/>
        </w:rPr>
        <w:t>primary efficacy ITT analysis</w:t>
      </w:r>
      <w:r w:rsidR="008E4E92" w:rsidRPr="007764DC">
        <w:rPr>
          <w:rFonts w:ascii="Arial" w:hAnsi="Arial" w:cs="Arial"/>
          <w:b w:val="0"/>
          <w:sz w:val="22"/>
          <w:szCs w:val="22"/>
          <w:lang w:eastAsia="ja-JP"/>
        </w:rPr>
        <w:t>, the early clinical treatment response rates</w:t>
      </w:r>
      <w:r w:rsidR="00C30026" w:rsidRPr="007764DC">
        <w:rPr>
          <w:rFonts w:ascii="Arial" w:hAnsi="Arial" w:cs="Arial"/>
          <w:b w:val="0"/>
          <w:sz w:val="22"/>
          <w:szCs w:val="22"/>
          <w:lang w:eastAsia="ja-JP"/>
        </w:rPr>
        <w:t xml:space="preserve"> </w:t>
      </w:r>
      <w:r w:rsidR="008E4E92" w:rsidRPr="007764DC">
        <w:rPr>
          <w:rFonts w:ascii="Arial" w:hAnsi="Arial" w:cs="Arial"/>
          <w:b w:val="0"/>
          <w:sz w:val="22"/>
          <w:szCs w:val="22"/>
          <w:lang w:eastAsia="ja-JP"/>
        </w:rPr>
        <w:t xml:space="preserve">were 79.5% (95% CI, 74.8% to 83.7%) of 332 patients in the tedizolid phosphate group and 79.4% (95% CI, 74.7% to 83.6%) of 335 patients in the linezolid group (a treatment difference of 0.1% [95% CI, </w:t>
      </w:r>
      <w:r w:rsidR="00BC5328" w:rsidRPr="007764DC">
        <w:rPr>
          <w:rFonts w:ascii="Arial" w:hAnsi="Arial" w:cs="Arial"/>
          <w:b w:val="0"/>
          <w:sz w:val="22"/>
          <w:szCs w:val="22"/>
          <w:lang w:eastAsia="ja-JP"/>
        </w:rPr>
        <w:t>-</w:t>
      </w:r>
      <w:r w:rsidR="008E4E92" w:rsidRPr="007764DC">
        <w:rPr>
          <w:rFonts w:ascii="Arial" w:hAnsi="Arial" w:cs="Arial"/>
          <w:b w:val="0"/>
          <w:sz w:val="22"/>
          <w:szCs w:val="22"/>
          <w:lang w:eastAsia="ja-JP"/>
        </w:rPr>
        <w:t>6.1% to 6.2%])</w:t>
      </w:r>
      <w:r w:rsidR="00BC5328" w:rsidRPr="007764DC">
        <w:rPr>
          <w:rFonts w:ascii="Arial" w:hAnsi="Arial" w:cs="Arial"/>
          <w:b w:val="0"/>
          <w:sz w:val="22"/>
          <w:szCs w:val="22"/>
          <w:lang w:eastAsia="ja-JP"/>
        </w:rPr>
        <w:t>(</w:t>
      </w:r>
      <w:r w:rsidR="008F2E61">
        <w:rPr>
          <w:rFonts w:ascii="Arial" w:hAnsi="Arial" w:cs="Arial"/>
          <w:b w:val="0"/>
          <w:sz w:val="22"/>
          <w:szCs w:val="22"/>
          <w:lang w:eastAsia="ja-JP"/>
        </w:rPr>
        <w:fldChar w:fldCharType="begin"/>
      </w:r>
      <w:r w:rsidR="008F2E61">
        <w:rPr>
          <w:rFonts w:ascii="Arial" w:hAnsi="Arial" w:cs="Arial"/>
          <w:b w:val="0"/>
          <w:sz w:val="22"/>
          <w:szCs w:val="22"/>
          <w:lang w:eastAsia="ja-JP"/>
        </w:rPr>
        <w:instrText xml:space="preserve"> REF _Ref284485242 \r \h </w:instrText>
      </w:r>
      <w:r w:rsidR="008F2E61">
        <w:rPr>
          <w:rFonts w:ascii="Arial" w:hAnsi="Arial" w:cs="Arial"/>
          <w:b w:val="0"/>
          <w:sz w:val="22"/>
          <w:szCs w:val="22"/>
          <w:lang w:eastAsia="ja-JP"/>
        </w:rPr>
      </w:r>
      <w:r w:rsidR="008F2E61">
        <w:rPr>
          <w:rFonts w:ascii="Arial" w:hAnsi="Arial" w:cs="Arial"/>
          <w:b w:val="0"/>
          <w:sz w:val="22"/>
          <w:szCs w:val="22"/>
          <w:lang w:eastAsia="ja-JP"/>
        </w:rPr>
        <w:fldChar w:fldCharType="separate"/>
      </w:r>
      <w:r w:rsidR="00151A1C">
        <w:rPr>
          <w:rFonts w:ascii="Arial" w:hAnsi="Arial" w:cs="Arial"/>
          <w:b w:val="0"/>
          <w:sz w:val="22"/>
          <w:szCs w:val="22"/>
          <w:lang w:eastAsia="ja-JP"/>
        </w:rPr>
        <w:t>38</w:t>
      </w:r>
      <w:r w:rsidR="008F2E61">
        <w:rPr>
          <w:rFonts w:ascii="Arial" w:hAnsi="Arial" w:cs="Arial"/>
          <w:b w:val="0"/>
          <w:sz w:val="22"/>
          <w:szCs w:val="22"/>
          <w:lang w:eastAsia="ja-JP"/>
        </w:rPr>
        <w:fldChar w:fldCharType="end"/>
      </w:r>
      <w:r w:rsidR="00BC5328" w:rsidRPr="007764DC">
        <w:rPr>
          <w:rFonts w:ascii="Arial" w:hAnsi="Arial" w:cs="Arial"/>
          <w:b w:val="0"/>
          <w:sz w:val="22"/>
          <w:szCs w:val="22"/>
          <w:lang w:eastAsia="ja-JP"/>
        </w:rPr>
        <w:t>)</w:t>
      </w:r>
      <w:r w:rsidR="00431298" w:rsidRPr="007764DC">
        <w:rPr>
          <w:rFonts w:ascii="Arial" w:hAnsi="Arial" w:cs="Arial"/>
          <w:b w:val="0"/>
          <w:sz w:val="22"/>
          <w:szCs w:val="22"/>
          <w:lang w:eastAsia="ja-JP"/>
        </w:rPr>
        <w:t xml:space="preserve">(see </w:t>
      </w:r>
      <w:bookmarkStart w:id="75" w:name="_Ref382402660"/>
      <w:bookmarkStart w:id="76" w:name="_Ref280723072"/>
      <w:bookmarkStart w:id="77" w:name="_Toc396058452"/>
      <w:r w:rsidR="008F2E61">
        <w:rPr>
          <w:rFonts w:ascii="Arial" w:hAnsi="Arial" w:cs="Arial"/>
          <w:b w:val="0"/>
          <w:sz w:val="22"/>
          <w:szCs w:val="22"/>
          <w:lang w:eastAsia="ja-JP"/>
        </w:rPr>
        <w:t>Table 11).</w:t>
      </w:r>
    </w:p>
    <w:p w14:paraId="37937091" w14:textId="4D793428" w:rsidR="002F3088" w:rsidRPr="00C37493" w:rsidRDefault="002F3088" w:rsidP="000C53EB">
      <w:pPr>
        <w:pStyle w:val="Caption"/>
        <w:jc w:val="left"/>
        <w:rPr>
          <w:rFonts w:ascii="Arial" w:hAnsi="Arial" w:cs="Arial"/>
          <w:color w:val="000000" w:themeColor="text1"/>
          <w:sz w:val="22"/>
          <w:szCs w:val="22"/>
          <w:lang w:val="en-US"/>
        </w:rPr>
      </w:pPr>
      <w:r w:rsidRPr="00C37493">
        <w:rPr>
          <w:rFonts w:ascii="Arial" w:hAnsi="Arial" w:cs="Arial"/>
          <w:color w:val="000000" w:themeColor="text1"/>
          <w:sz w:val="22"/>
          <w:szCs w:val="22"/>
          <w:lang w:val="en-US"/>
        </w:rPr>
        <w:t>Table</w:t>
      </w:r>
      <w:bookmarkEnd w:id="75"/>
      <w:r w:rsidRPr="00C37493">
        <w:rPr>
          <w:rFonts w:ascii="Arial" w:hAnsi="Arial" w:cs="Arial"/>
          <w:color w:val="000000" w:themeColor="text1"/>
          <w:sz w:val="22"/>
          <w:szCs w:val="22"/>
          <w:lang w:val="en-US"/>
        </w:rPr>
        <w:t xml:space="preserve"> </w:t>
      </w:r>
      <w:r w:rsidRPr="00023175">
        <w:rPr>
          <w:rFonts w:ascii="Arial" w:hAnsi="Arial"/>
          <w:color w:val="000000" w:themeColor="text1"/>
          <w:sz w:val="22"/>
          <w:szCs w:val="22"/>
        </w:rPr>
        <w:fldChar w:fldCharType="begin"/>
      </w:r>
      <w:r w:rsidRPr="00023175">
        <w:rPr>
          <w:rFonts w:ascii="Arial" w:hAnsi="Arial"/>
          <w:color w:val="000000" w:themeColor="text1"/>
          <w:sz w:val="22"/>
          <w:szCs w:val="22"/>
        </w:rPr>
        <w:instrText xml:space="preserve"> SEQ Table \* ARABIC </w:instrText>
      </w:r>
      <w:r w:rsidRPr="00023175">
        <w:rPr>
          <w:rFonts w:ascii="Arial" w:hAnsi="Arial"/>
          <w:color w:val="000000" w:themeColor="text1"/>
          <w:sz w:val="22"/>
          <w:szCs w:val="22"/>
        </w:rPr>
        <w:fldChar w:fldCharType="separate"/>
      </w:r>
      <w:r w:rsidR="00151A1C">
        <w:rPr>
          <w:rFonts w:ascii="Arial" w:hAnsi="Arial"/>
          <w:noProof/>
          <w:color w:val="000000" w:themeColor="text1"/>
          <w:sz w:val="22"/>
          <w:szCs w:val="22"/>
        </w:rPr>
        <w:t>11</w:t>
      </w:r>
      <w:r w:rsidRPr="00023175">
        <w:rPr>
          <w:rFonts w:ascii="Arial" w:hAnsi="Arial"/>
          <w:color w:val="000000" w:themeColor="text1"/>
          <w:sz w:val="22"/>
          <w:szCs w:val="22"/>
        </w:rPr>
        <w:fldChar w:fldCharType="end"/>
      </w:r>
      <w:bookmarkEnd w:id="76"/>
      <w:r w:rsidRPr="00023175">
        <w:rPr>
          <w:rFonts w:ascii="Arial" w:hAnsi="Arial" w:cs="Arial"/>
          <w:color w:val="000000" w:themeColor="text1"/>
          <w:sz w:val="22"/>
          <w:szCs w:val="22"/>
          <w:lang w:val="en-US"/>
        </w:rPr>
        <w:t>:</w:t>
      </w:r>
      <w:r w:rsidRPr="00C37493">
        <w:rPr>
          <w:rFonts w:ascii="Arial" w:hAnsi="Arial" w:cs="Arial"/>
          <w:color w:val="000000" w:themeColor="text1"/>
          <w:sz w:val="22"/>
          <w:szCs w:val="22"/>
          <w:lang w:val="en-US"/>
        </w:rPr>
        <w:t xml:space="preserve"> Proportion of clinical responders (</w:t>
      </w:r>
      <w:r w:rsidRPr="00C37493">
        <w:rPr>
          <w:rFonts w:ascii="Arial" w:hAnsi="Arial" w:cs="Arial"/>
          <w:color w:val="000000" w:themeColor="text1"/>
          <w:sz w:val="22"/>
          <w:szCs w:val="22"/>
        </w:rPr>
        <w:t xml:space="preserve">defined as </w:t>
      </w:r>
      <w:r w:rsidRPr="00C37493">
        <w:rPr>
          <w:rFonts w:ascii="Arial" w:hAnsi="Arial" w:cs="Arial"/>
          <w:color w:val="000000" w:themeColor="text1"/>
          <w:sz w:val="22"/>
          <w:szCs w:val="22"/>
          <w:lang w:val="en-US"/>
        </w:rPr>
        <w:t xml:space="preserve">defined as ≥20% decrease in lesion area or </w:t>
      </w:r>
      <w:r w:rsidRPr="00C37493">
        <w:rPr>
          <w:rFonts w:ascii="Arial" w:hAnsi="Arial" w:cs="Arial"/>
          <w:color w:val="000000" w:themeColor="text1"/>
          <w:sz w:val="22"/>
          <w:szCs w:val="22"/>
        </w:rPr>
        <w:t>cessation of primary lesion spread and absence of fever</w:t>
      </w:r>
      <w:r w:rsidR="00B3545C">
        <w:rPr>
          <w:rFonts w:ascii="Arial" w:hAnsi="Arial" w:cs="Arial"/>
          <w:color w:val="000000" w:themeColor="text1"/>
          <w:sz w:val="22"/>
          <w:szCs w:val="22"/>
        </w:rPr>
        <w:t xml:space="preserve"> </w:t>
      </w:r>
      <w:r w:rsidRPr="00C37493">
        <w:rPr>
          <w:rFonts w:ascii="Arial" w:hAnsi="Arial" w:cs="Arial"/>
          <w:color w:val="000000" w:themeColor="text1"/>
          <w:sz w:val="22"/>
          <w:szCs w:val="22"/>
        </w:rPr>
        <w:t>-</w:t>
      </w:r>
      <w:r w:rsidR="00B3545C">
        <w:rPr>
          <w:rFonts w:ascii="Arial" w:hAnsi="Arial" w:cs="Arial"/>
          <w:color w:val="000000" w:themeColor="text1"/>
          <w:sz w:val="22"/>
          <w:szCs w:val="22"/>
        </w:rPr>
        <w:t xml:space="preserve"> </w:t>
      </w:r>
      <w:r w:rsidRPr="00C37493">
        <w:rPr>
          <w:rFonts w:ascii="Arial" w:hAnsi="Arial" w:cs="Arial"/>
          <w:color w:val="000000" w:themeColor="text1"/>
          <w:sz w:val="22"/>
          <w:szCs w:val="22"/>
        </w:rPr>
        <w:t>p</w:t>
      </w:r>
      <w:r w:rsidR="00C37493">
        <w:rPr>
          <w:rFonts w:ascii="Arial" w:hAnsi="Arial" w:cs="Arial"/>
          <w:color w:val="000000" w:themeColor="text1"/>
          <w:sz w:val="22"/>
          <w:szCs w:val="22"/>
        </w:rPr>
        <w:t>r</w:t>
      </w:r>
      <w:r w:rsidRPr="00C37493">
        <w:rPr>
          <w:rFonts w:ascii="Arial" w:hAnsi="Arial" w:cs="Arial"/>
          <w:color w:val="000000" w:themeColor="text1"/>
          <w:sz w:val="22"/>
          <w:szCs w:val="22"/>
        </w:rPr>
        <w:t xml:space="preserve">imary endpoint, or </w:t>
      </w:r>
      <w:r w:rsidRPr="00C37493">
        <w:rPr>
          <w:rFonts w:ascii="Arial" w:hAnsi="Arial" w:cs="Arial"/>
          <w:color w:val="000000" w:themeColor="text1"/>
          <w:sz w:val="22"/>
          <w:szCs w:val="22"/>
          <w:lang w:val="en-US"/>
        </w:rPr>
        <w:t>≥20% decrease from baseline in lesion area – sensit</w:t>
      </w:r>
      <w:r w:rsidR="00C37493">
        <w:rPr>
          <w:rFonts w:ascii="Arial" w:hAnsi="Arial" w:cs="Arial"/>
          <w:color w:val="000000" w:themeColor="text1"/>
          <w:sz w:val="22"/>
          <w:szCs w:val="22"/>
          <w:lang w:val="en-US"/>
        </w:rPr>
        <w:t>i</w:t>
      </w:r>
      <w:r w:rsidRPr="00C37493">
        <w:rPr>
          <w:rFonts w:ascii="Arial" w:hAnsi="Arial" w:cs="Arial"/>
          <w:color w:val="000000" w:themeColor="text1"/>
          <w:sz w:val="22"/>
          <w:szCs w:val="22"/>
          <w:lang w:val="en-US"/>
        </w:rPr>
        <w:t>vity analysis) at the 48-Hour to 72-Hour Visit in ESTABLISH-1 (ITT population)</w:t>
      </w:r>
      <w:bookmarkEnd w:id="77"/>
    </w:p>
    <w:tbl>
      <w:tblPr>
        <w:tblStyle w:val="Table-HERONplain"/>
        <w:tblW w:w="9209" w:type="dxa"/>
        <w:tblLayout w:type="fixed"/>
        <w:tblLook w:val="04A0" w:firstRow="1" w:lastRow="0" w:firstColumn="1" w:lastColumn="0" w:noHBand="0" w:noVBand="1"/>
      </w:tblPr>
      <w:tblGrid>
        <w:gridCol w:w="1638"/>
        <w:gridCol w:w="2497"/>
        <w:gridCol w:w="1260"/>
        <w:gridCol w:w="1283"/>
        <w:gridCol w:w="1255"/>
        <w:gridCol w:w="1276"/>
      </w:tblGrid>
      <w:tr w:rsidR="002F3088" w:rsidRPr="000C53EB" w14:paraId="5E72DAD5" w14:textId="77777777" w:rsidTr="00AF2281">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2E523322" w14:textId="77777777" w:rsidR="002F3088" w:rsidRPr="000C53EB" w:rsidRDefault="002F3088" w:rsidP="00C37493">
            <w:pPr>
              <w:pStyle w:val="TableBodyText-H54"/>
              <w:rPr>
                <w:rFonts w:ascii="Arial" w:hAnsi="Arial" w:cs="Arial"/>
                <w:sz w:val="20"/>
                <w:lang w:val="en-US"/>
              </w:rPr>
            </w:pPr>
            <w:r w:rsidRPr="000C53EB">
              <w:rPr>
                <w:rFonts w:ascii="Arial" w:hAnsi="Arial" w:cs="Arial"/>
                <w:sz w:val="20"/>
                <w:lang w:val="en-US"/>
              </w:rPr>
              <w:t xml:space="preserve">Outcome measure </w:t>
            </w:r>
          </w:p>
        </w:tc>
        <w:tc>
          <w:tcPr>
            <w:tcW w:w="2497" w:type="dxa"/>
            <w:shd w:val="clear" w:color="auto" w:fill="auto"/>
            <w:hideMark/>
          </w:tcPr>
          <w:p w14:paraId="22806BA1" w14:textId="77777777" w:rsidR="002F3088" w:rsidRPr="000C53EB" w:rsidRDefault="002F3088" w:rsidP="00C37493">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Response</w:t>
            </w:r>
          </w:p>
        </w:tc>
        <w:tc>
          <w:tcPr>
            <w:tcW w:w="1260" w:type="dxa"/>
            <w:shd w:val="clear" w:color="auto" w:fill="auto"/>
            <w:hideMark/>
          </w:tcPr>
          <w:p w14:paraId="33ADD5E2"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Tedizolid phosphate</w:t>
            </w:r>
          </w:p>
          <w:p w14:paraId="2EF30323"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n (%)</w:t>
            </w:r>
          </w:p>
        </w:tc>
        <w:tc>
          <w:tcPr>
            <w:tcW w:w="1283" w:type="dxa"/>
            <w:shd w:val="clear" w:color="auto" w:fill="auto"/>
            <w:hideMark/>
          </w:tcPr>
          <w:p w14:paraId="3BCC2CDB"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Linezolid</w:t>
            </w:r>
          </w:p>
          <w:p w14:paraId="22E1B0EA"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n (%)</w:t>
            </w:r>
          </w:p>
        </w:tc>
        <w:tc>
          <w:tcPr>
            <w:tcW w:w="1255" w:type="dxa"/>
            <w:shd w:val="clear" w:color="auto" w:fill="auto"/>
            <w:hideMark/>
          </w:tcPr>
          <w:p w14:paraId="474CD54D"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Difference</w:t>
            </w:r>
          </w:p>
          <w:p w14:paraId="699FD212"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w:t>
            </w:r>
          </w:p>
        </w:tc>
        <w:tc>
          <w:tcPr>
            <w:tcW w:w="1276" w:type="dxa"/>
            <w:shd w:val="clear" w:color="auto" w:fill="auto"/>
            <w:hideMark/>
          </w:tcPr>
          <w:p w14:paraId="334AFA58" w14:textId="77777777" w:rsidR="002F3088" w:rsidRPr="000C53EB" w:rsidRDefault="002F3088"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95% CI for difference</w:t>
            </w:r>
          </w:p>
        </w:tc>
      </w:tr>
      <w:tr w:rsidR="002F3088" w:rsidRPr="000C53EB" w14:paraId="3B2894D3" w14:textId="77777777" w:rsidTr="00AF2281">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auto"/>
            <w:hideMark/>
          </w:tcPr>
          <w:p w14:paraId="7742078D" w14:textId="77777777" w:rsidR="002F3088" w:rsidRPr="000C53EB" w:rsidRDefault="002F3088" w:rsidP="00C37493">
            <w:pPr>
              <w:pStyle w:val="TableBodyText-H54"/>
              <w:rPr>
                <w:rFonts w:ascii="Arial" w:hAnsi="Arial" w:cs="Arial"/>
                <w:sz w:val="20"/>
                <w:lang w:val="en-US"/>
              </w:rPr>
            </w:pPr>
            <w:r w:rsidRPr="000C53EB">
              <w:rPr>
                <w:rFonts w:ascii="Arial" w:hAnsi="Arial" w:cs="Arial"/>
                <w:sz w:val="20"/>
                <w:lang w:val="en-US"/>
              </w:rPr>
              <w:t>Primary outcome</w:t>
            </w:r>
          </w:p>
        </w:tc>
      </w:tr>
      <w:tr w:rsidR="002F3088" w:rsidRPr="000C53EB" w14:paraId="10B22E93"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1EE22C02" w14:textId="77777777" w:rsidR="002F3088" w:rsidRPr="000C53EB" w:rsidRDefault="002F3088" w:rsidP="00C37493">
            <w:pPr>
              <w:pStyle w:val="TableBodyText-H54"/>
              <w:rPr>
                <w:rFonts w:ascii="Arial" w:hAnsi="Arial" w:cs="Arial"/>
                <w:sz w:val="20"/>
                <w:lang w:val="en-US"/>
              </w:rPr>
            </w:pPr>
            <w:r w:rsidRPr="000C53EB">
              <w:rPr>
                <w:rFonts w:ascii="Arial" w:hAnsi="Arial" w:cs="Arial"/>
                <w:sz w:val="20"/>
                <w:lang w:val="en-US"/>
              </w:rPr>
              <w:t xml:space="preserve">≥20% decrease from baseline in lesion area at the 48 Hour to 72 Hour Visit </w:t>
            </w:r>
            <w:r w:rsidRPr="000C53EB">
              <w:rPr>
                <w:rFonts w:ascii="Arial" w:hAnsi="Arial" w:cs="Arial"/>
                <w:i/>
                <w:sz w:val="20"/>
                <w:lang w:val="en-US"/>
              </w:rPr>
              <w:t>(sensitivity analysis)</w:t>
            </w:r>
          </w:p>
        </w:tc>
        <w:tc>
          <w:tcPr>
            <w:tcW w:w="2497" w:type="dxa"/>
            <w:hideMark/>
          </w:tcPr>
          <w:p w14:paraId="65BF1BE5" w14:textId="77777777" w:rsidR="002F3088" w:rsidRPr="000C53EB" w:rsidRDefault="002F3088"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N</w:t>
            </w:r>
          </w:p>
        </w:tc>
        <w:tc>
          <w:tcPr>
            <w:tcW w:w="1260" w:type="dxa"/>
            <w:hideMark/>
          </w:tcPr>
          <w:p w14:paraId="6F9E11DB"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332</w:t>
            </w:r>
          </w:p>
        </w:tc>
        <w:tc>
          <w:tcPr>
            <w:tcW w:w="1283" w:type="dxa"/>
            <w:hideMark/>
          </w:tcPr>
          <w:p w14:paraId="1E1FED74"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335</w:t>
            </w:r>
          </w:p>
        </w:tc>
        <w:tc>
          <w:tcPr>
            <w:tcW w:w="1255" w:type="dxa"/>
            <w:hideMark/>
          </w:tcPr>
          <w:p w14:paraId="49E54E63"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w:t>
            </w:r>
          </w:p>
        </w:tc>
        <w:tc>
          <w:tcPr>
            <w:tcW w:w="1276" w:type="dxa"/>
            <w:hideMark/>
          </w:tcPr>
          <w:p w14:paraId="7CFCFE3C"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w:t>
            </w:r>
          </w:p>
        </w:tc>
      </w:tr>
      <w:tr w:rsidR="002F3088" w:rsidRPr="000C53EB" w14:paraId="5B1D518D" w14:textId="77777777" w:rsidTr="00AF2281">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EB16ABC" w14:textId="77777777" w:rsidR="002F3088" w:rsidRPr="000C53EB" w:rsidRDefault="002F3088" w:rsidP="00C37493">
            <w:pPr>
              <w:rPr>
                <w:rFonts w:cs="Arial"/>
                <w:sz w:val="20"/>
                <w:lang w:val="en-US"/>
              </w:rPr>
            </w:pPr>
          </w:p>
        </w:tc>
        <w:tc>
          <w:tcPr>
            <w:tcW w:w="2497" w:type="dxa"/>
            <w:hideMark/>
          </w:tcPr>
          <w:p w14:paraId="17588405" w14:textId="77777777" w:rsidR="002F3088" w:rsidRPr="000C53EB" w:rsidRDefault="002F3088"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Responder</w:t>
            </w:r>
          </w:p>
        </w:tc>
        <w:tc>
          <w:tcPr>
            <w:tcW w:w="1260" w:type="dxa"/>
            <w:hideMark/>
          </w:tcPr>
          <w:p w14:paraId="39CD5F80"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259 (78.0)</w:t>
            </w:r>
          </w:p>
        </w:tc>
        <w:tc>
          <w:tcPr>
            <w:tcW w:w="1283" w:type="dxa"/>
            <w:hideMark/>
          </w:tcPr>
          <w:p w14:paraId="16D5875F"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255 (76.1)</w:t>
            </w:r>
          </w:p>
        </w:tc>
        <w:tc>
          <w:tcPr>
            <w:tcW w:w="1255" w:type="dxa"/>
            <w:vMerge w:val="restart"/>
            <w:hideMark/>
          </w:tcPr>
          <w:p w14:paraId="18B70122"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1.9</w:t>
            </w:r>
          </w:p>
        </w:tc>
        <w:tc>
          <w:tcPr>
            <w:tcW w:w="1276" w:type="dxa"/>
            <w:vMerge w:val="restart"/>
            <w:hideMark/>
          </w:tcPr>
          <w:p w14:paraId="3FB342FA"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(-4.5, 8.3)</w:t>
            </w:r>
          </w:p>
        </w:tc>
      </w:tr>
      <w:tr w:rsidR="002F3088" w:rsidRPr="000C53EB" w14:paraId="3C839932"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0ECE7B2C" w14:textId="77777777" w:rsidR="002F3088" w:rsidRPr="000C53EB" w:rsidRDefault="002F3088" w:rsidP="00C37493">
            <w:pPr>
              <w:rPr>
                <w:rFonts w:cs="Arial"/>
                <w:sz w:val="20"/>
                <w:lang w:val="en-US"/>
              </w:rPr>
            </w:pPr>
          </w:p>
        </w:tc>
        <w:tc>
          <w:tcPr>
            <w:tcW w:w="2497" w:type="dxa"/>
            <w:hideMark/>
          </w:tcPr>
          <w:p w14:paraId="2257FE82" w14:textId="77777777" w:rsidR="002F3088" w:rsidRPr="000C53EB" w:rsidRDefault="002F3088"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Non-responder or indeterminate</w:t>
            </w:r>
          </w:p>
        </w:tc>
        <w:tc>
          <w:tcPr>
            <w:tcW w:w="1260" w:type="dxa"/>
            <w:hideMark/>
          </w:tcPr>
          <w:p w14:paraId="24CB8B8F"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73 (22.0)</w:t>
            </w:r>
          </w:p>
        </w:tc>
        <w:tc>
          <w:tcPr>
            <w:tcW w:w="1283" w:type="dxa"/>
            <w:hideMark/>
          </w:tcPr>
          <w:p w14:paraId="2FB5A79F"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80 (23.9)</w:t>
            </w:r>
          </w:p>
        </w:tc>
        <w:tc>
          <w:tcPr>
            <w:tcW w:w="1255" w:type="dxa"/>
            <w:vMerge/>
            <w:hideMark/>
          </w:tcPr>
          <w:p w14:paraId="66EC3ADA" w14:textId="77777777" w:rsidR="002F3088" w:rsidRPr="000C53EB" w:rsidRDefault="002F3088" w:rsidP="00C3749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276" w:type="dxa"/>
            <w:vMerge/>
            <w:hideMark/>
          </w:tcPr>
          <w:p w14:paraId="0F9AB0F6" w14:textId="77777777" w:rsidR="002F3088" w:rsidRPr="000C53EB" w:rsidRDefault="002F3088" w:rsidP="00C37493">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2F3088" w:rsidRPr="000C53EB" w14:paraId="3462EF22" w14:textId="77777777" w:rsidTr="00AF2281">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F98E61D" w14:textId="77777777" w:rsidR="002F3088" w:rsidRPr="000C53EB" w:rsidRDefault="002F3088" w:rsidP="00C37493">
            <w:pPr>
              <w:rPr>
                <w:rFonts w:cs="Arial"/>
                <w:sz w:val="20"/>
                <w:lang w:val="en-US"/>
              </w:rPr>
            </w:pPr>
          </w:p>
        </w:tc>
        <w:tc>
          <w:tcPr>
            <w:tcW w:w="2497" w:type="dxa"/>
            <w:hideMark/>
          </w:tcPr>
          <w:p w14:paraId="47C09CEF" w14:textId="77777777" w:rsidR="002F3088" w:rsidRPr="000C53EB" w:rsidRDefault="002F3088"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Non-responder</w:t>
            </w:r>
          </w:p>
        </w:tc>
        <w:tc>
          <w:tcPr>
            <w:tcW w:w="1260" w:type="dxa"/>
            <w:hideMark/>
          </w:tcPr>
          <w:p w14:paraId="435151B8"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50 (15.1)</w:t>
            </w:r>
          </w:p>
        </w:tc>
        <w:tc>
          <w:tcPr>
            <w:tcW w:w="1283" w:type="dxa"/>
            <w:hideMark/>
          </w:tcPr>
          <w:p w14:paraId="21B8D1F8"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56 (16.7)</w:t>
            </w:r>
          </w:p>
        </w:tc>
        <w:tc>
          <w:tcPr>
            <w:tcW w:w="1255" w:type="dxa"/>
            <w:vMerge/>
            <w:hideMark/>
          </w:tcPr>
          <w:p w14:paraId="4A5BCD91" w14:textId="77777777" w:rsidR="002F3088" w:rsidRPr="000C53EB" w:rsidRDefault="002F3088" w:rsidP="00C37493">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276" w:type="dxa"/>
            <w:vMerge/>
            <w:hideMark/>
          </w:tcPr>
          <w:p w14:paraId="3EEA0F8A" w14:textId="77777777" w:rsidR="002F3088" w:rsidRPr="000C53EB" w:rsidRDefault="002F3088" w:rsidP="00C37493">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2F3088" w:rsidRPr="000C53EB" w14:paraId="3B54E0FB"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527CC890" w14:textId="77777777" w:rsidR="002F3088" w:rsidRPr="000C53EB" w:rsidRDefault="002F3088" w:rsidP="00C37493">
            <w:pPr>
              <w:rPr>
                <w:rFonts w:cs="Arial"/>
                <w:sz w:val="20"/>
                <w:lang w:val="en-US"/>
              </w:rPr>
            </w:pPr>
          </w:p>
        </w:tc>
        <w:tc>
          <w:tcPr>
            <w:tcW w:w="2497" w:type="dxa"/>
            <w:hideMark/>
          </w:tcPr>
          <w:p w14:paraId="182714A8" w14:textId="77777777" w:rsidR="002F3088" w:rsidRPr="000C53EB" w:rsidRDefault="002F3088"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Indeterminate</w:t>
            </w:r>
          </w:p>
        </w:tc>
        <w:tc>
          <w:tcPr>
            <w:tcW w:w="1260" w:type="dxa"/>
            <w:hideMark/>
          </w:tcPr>
          <w:p w14:paraId="2E502A6D"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23 (6.9)</w:t>
            </w:r>
          </w:p>
        </w:tc>
        <w:tc>
          <w:tcPr>
            <w:tcW w:w="1283" w:type="dxa"/>
            <w:hideMark/>
          </w:tcPr>
          <w:p w14:paraId="547876AE"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24 (7.2)</w:t>
            </w:r>
          </w:p>
        </w:tc>
        <w:tc>
          <w:tcPr>
            <w:tcW w:w="1255" w:type="dxa"/>
            <w:vMerge/>
            <w:hideMark/>
          </w:tcPr>
          <w:p w14:paraId="2C6DDE4F" w14:textId="77777777" w:rsidR="002F3088" w:rsidRPr="000C53EB" w:rsidRDefault="002F3088" w:rsidP="00C3749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276" w:type="dxa"/>
            <w:vMerge/>
            <w:hideMark/>
          </w:tcPr>
          <w:p w14:paraId="0DF64229" w14:textId="77777777" w:rsidR="002F3088" w:rsidRPr="000C53EB" w:rsidRDefault="002F3088" w:rsidP="00C37493">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2F3088" w:rsidRPr="000C53EB" w14:paraId="78417833" w14:textId="77777777" w:rsidTr="00AF2281">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4247DEF7" w14:textId="77777777" w:rsidR="002F3088" w:rsidRPr="000C53EB" w:rsidRDefault="002F3088" w:rsidP="00C37493">
            <w:pPr>
              <w:rPr>
                <w:rFonts w:cs="Arial"/>
                <w:b w:val="0"/>
                <w:sz w:val="20"/>
              </w:rPr>
            </w:pPr>
            <w:r w:rsidRPr="000C53EB">
              <w:rPr>
                <w:rFonts w:cs="Arial"/>
                <w:sz w:val="20"/>
                <w:lang w:val="en-US"/>
              </w:rPr>
              <w:t xml:space="preserve">No increase from baseline at 48-Hour to 72-Hour Visit in lesion area and length and width, and absence of fever </w:t>
            </w:r>
            <w:r w:rsidRPr="000C53EB">
              <w:rPr>
                <w:rFonts w:cs="Arial"/>
                <w:i/>
                <w:sz w:val="20"/>
                <w:lang w:val="en-US"/>
              </w:rPr>
              <w:t>(primary endpoint)</w:t>
            </w:r>
          </w:p>
        </w:tc>
        <w:tc>
          <w:tcPr>
            <w:tcW w:w="2497" w:type="dxa"/>
          </w:tcPr>
          <w:p w14:paraId="5A418524" w14:textId="77777777" w:rsidR="002F3088" w:rsidRPr="000C53EB" w:rsidRDefault="002F3088"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N</w:t>
            </w:r>
          </w:p>
        </w:tc>
        <w:tc>
          <w:tcPr>
            <w:tcW w:w="1260" w:type="dxa"/>
          </w:tcPr>
          <w:p w14:paraId="1E9DA6FF"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332</w:t>
            </w:r>
          </w:p>
        </w:tc>
        <w:tc>
          <w:tcPr>
            <w:tcW w:w="1283" w:type="dxa"/>
          </w:tcPr>
          <w:p w14:paraId="211C5436"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335</w:t>
            </w:r>
          </w:p>
        </w:tc>
        <w:tc>
          <w:tcPr>
            <w:tcW w:w="1255" w:type="dxa"/>
          </w:tcPr>
          <w:p w14:paraId="56D771B5"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0C53EB">
              <w:rPr>
                <w:rFonts w:cs="Arial"/>
                <w:sz w:val="20"/>
                <w:lang w:val="en-US"/>
              </w:rPr>
              <w:t>-</w:t>
            </w:r>
          </w:p>
        </w:tc>
        <w:tc>
          <w:tcPr>
            <w:tcW w:w="1276" w:type="dxa"/>
          </w:tcPr>
          <w:p w14:paraId="223221A5"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0C53EB">
              <w:rPr>
                <w:rFonts w:cs="Arial"/>
                <w:sz w:val="20"/>
                <w:lang w:val="en-US"/>
              </w:rPr>
              <w:t>-</w:t>
            </w:r>
          </w:p>
        </w:tc>
      </w:tr>
      <w:tr w:rsidR="002F3088" w:rsidRPr="000C53EB" w14:paraId="3839EB19"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02AD44C0" w14:textId="77777777" w:rsidR="002F3088" w:rsidRPr="000C53EB" w:rsidRDefault="002F3088" w:rsidP="00C37493">
            <w:pPr>
              <w:rPr>
                <w:rFonts w:cs="Arial"/>
                <w:sz w:val="20"/>
              </w:rPr>
            </w:pPr>
          </w:p>
        </w:tc>
        <w:tc>
          <w:tcPr>
            <w:tcW w:w="2497" w:type="dxa"/>
          </w:tcPr>
          <w:p w14:paraId="4C3335EB" w14:textId="77777777" w:rsidR="002F3088" w:rsidRPr="000C53EB" w:rsidRDefault="002F3088"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Responder</w:t>
            </w:r>
          </w:p>
        </w:tc>
        <w:tc>
          <w:tcPr>
            <w:tcW w:w="1260" w:type="dxa"/>
          </w:tcPr>
          <w:p w14:paraId="63A84CBE"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264 (79.5)</w:t>
            </w:r>
          </w:p>
        </w:tc>
        <w:tc>
          <w:tcPr>
            <w:tcW w:w="1283" w:type="dxa"/>
          </w:tcPr>
          <w:p w14:paraId="4A94F3BC"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266 (79.4)</w:t>
            </w:r>
          </w:p>
        </w:tc>
        <w:tc>
          <w:tcPr>
            <w:tcW w:w="1255" w:type="dxa"/>
            <w:vMerge w:val="restart"/>
          </w:tcPr>
          <w:p w14:paraId="4F573D8D" w14:textId="77777777" w:rsidR="002F3088" w:rsidRPr="000C53EB" w:rsidRDefault="002F3088" w:rsidP="00C37493">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0C53EB">
              <w:rPr>
                <w:rFonts w:cs="Arial"/>
                <w:sz w:val="20"/>
                <w:lang w:val="en-US"/>
              </w:rPr>
              <w:t>0.1</w:t>
            </w:r>
          </w:p>
        </w:tc>
        <w:tc>
          <w:tcPr>
            <w:tcW w:w="1276" w:type="dxa"/>
            <w:vMerge w:val="restart"/>
          </w:tcPr>
          <w:p w14:paraId="60E12449" w14:textId="77777777" w:rsidR="002F3088" w:rsidRPr="000C53EB" w:rsidRDefault="002F3088" w:rsidP="00C37493">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0C53EB">
              <w:rPr>
                <w:rFonts w:cs="Arial"/>
                <w:sz w:val="20"/>
                <w:lang w:val="en-US"/>
              </w:rPr>
              <w:t>(-6.1, 6.2)</w:t>
            </w:r>
          </w:p>
        </w:tc>
      </w:tr>
      <w:tr w:rsidR="002F3088" w:rsidRPr="000C53EB" w14:paraId="02FD0DC6" w14:textId="77777777" w:rsidTr="00AF2281">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20FCEB1C" w14:textId="77777777" w:rsidR="002F3088" w:rsidRPr="000C53EB" w:rsidRDefault="002F3088" w:rsidP="00C37493">
            <w:pPr>
              <w:rPr>
                <w:rFonts w:cs="Arial"/>
                <w:sz w:val="20"/>
              </w:rPr>
            </w:pPr>
          </w:p>
        </w:tc>
        <w:tc>
          <w:tcPr>
            <w:tcW w:w="2497" w:type="dxa"/>
          </w:tcPr>
          <w:p w14:paraId="21D46086" w14:textId="77777777" w:rsidR="002F3088" w:rsidRPr="000C53EB" w:rsidRDefault="002F3088"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Non-responder or indeterminate</w:t>
            </w:r>
          </w:p>
        </w:tc>
        <w:tc>
          <w:tcPr>
            <w:tcW w:w="1260" w:type="dxa"/>
          </w:tcPr>
          <w:p w14:paraId="6B87B5DD"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68 (20.5)</w:t>
            </w:r>
          </w:p>
        </w:tc>
        <w:tc>
          <w:tcPr>
            <w:tcW w:w="1283" w:type="dxa"/>
          </w:tcPr>
          <w:p w14:paraId="5058E089"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69 (20.6)</w:t>
            </w:r>
          </w:p>
        </w:tc>
        <w:tc>
          <w:tcPr>
            <w:tcW w:w="1255" w:type="dxa"/>
            <w:vMerge/>
          </w:tcPr>
          <w:p w14:paraId="7CAACE58"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Merge/>
          </w:tcPr>
          <w:p w14:paraId="3FBAF95C"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2F3088" w:rsidRPr="000C53EB" w14:paraId="528C60BB" w14:textId="77777777" w:rsidTr="00AF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4106261E" w14:textId="77777777" w:rsidR="002F3088" w:rsidRPr="000C53EB" w:rsidRDefault="002F3088" w:rsidP="00C37493">
            <w:pPr>
              <w:rPr>
                <w:rFonts w:cs="Arial"/>
                <w:sz w:val="20"/>
              </w:rPr>
            </w:pPr>
          </w:p>
        </w:tc>
        <w:tc>
          <w:tcPr>
            <w:tcW w:w="2497" w:type="dxa"/>
          </w:tcPr>
          <w:p w14:paraId="23F127CA" w14:textId="77777777" w:rsidR="002F3088" w:rsidRPr="000C53EB" w:rsidRDefault="002F3088"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Non-responder</w:t>
            </w:r>
          </w:p>
        </w:tc>
        <w:tc>
          <w:tcPr>
            <w:tcW w:w="1260" w:type="dxa"/>
          </w:tcPr>
          <w:p w14:paraId="75904785"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27 (8.1)</w:t>
            </w:r>
          </w:p>
        </w:tc>
        <w:tc>
          <w:tcPr>
            <w:tcW w:w="1283" w:type="dxa"/>
          </w:tcPr>
          <w:p w14:paraId="3B14C309" w14:textId="77777777" w:rsidR="002F3088" w:rsidRPr="000C53EB" w:rsidRDefault="002F3088" w:rsidP="00C3749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C53EB">
              <w:rPr>
                <w:rFonts w:ascii="Arial" w:hAnsi="Arial" w:cs="Arial"/>
                <w:sz w:val="20"/>
                <w:lang w:val="en-US"/>
              </w:rPr>
              <w:t>35 (10.4)</w:t>
            </w:r>
          </w:p>
        </w:tc>
        <w:tc>
          <w:tcPr>
            <w:tcW w:w="1255" w:type="dxa"/>
            <w:vMerge/>
          </w:tcPr>
          <w:p w14:paraId="268B04B7" w14:textId="77777777" w:rsidR="002F3088" w:rsidRPr="000C53EB" w:rsidRDefault="002F3088" w:rsidP="00C37493">
            <w:pPr>
              <w:jc w:val="center"/>
              <w:cnfStyle w:val="000000010000" w:firstRow="0" w:lastRow="0" w:firstColumn="0" w:lastColumn="0" w:oddVBand="0" w:evenVBand="0" w:oddHBand="0" w:evenHBand="1" w:firstRowFirstColumn="0" w:firstRowLastColumn="0" w:lastRowFirstColumn="0" w:lastRowLastColumn="0"/>
              <w:rPr>
                <w:rFonts w:cs="Arial"/>
                <w:sz w:val="20"/>
              </w:rPr>
            </w:pPr>
          </w:p>
        </w:tc>
        <w:tc>
          <w:tcPr>
            <w:tcW w:w="1276" w:type="dxa"/>
            <w:vMerge/>
          </w:tcPr>
          <w:p w14:paraId="3E40AF28" w14:textId="77777777" w:rsidR="002F3088" w:rsidRPr="000C53EB" w:rsidRDefault="002F3088" w:rsidP="00C37493">
            <w:pPr>
              <w:jc w:val="center"/>
              <w:cnfStyle w:val="000000010000" w:firstRow="0" w:lastRow="0" w:firstColumn="0" w:lastColumn="0" w:oddVBand="0" w:evenVBand="0" w:oddHBand="0" w:evenHBand="1" w:firstRowFirstColumn="0" w:firstRowLastColumn="0" w:lastRowFirstColumn="0" w:lastRowLastColumn="0"/>
              <w:rPr>
                <w:rFonts w:cs="Arial"/>
                <w:sz w:val="20"/>
              </w:rPr>
            </w:pPr>
          </w:p>
        </w:tc>
      </w:tr>
      <w:tr w:rsidR="002F3088" w:rsidRPr="000C53EB" w14:paraId="3F06397D" w14:textId="77777777" w:rsidTr="00AF2281">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6E67BF8C" w14:textId="77777777" w:rsidR="002F3088" w:rsidRPr="000C53EB" w:rsidRDefault="002F3088" w:rsidP="00C37493">
            <w:pPr>
              <w:rPr>
                <w:rFonts w:cs="Arial"/>
                <w:sz w:val="20"/>
              </w:rPr>
            </w:pPr>
          </w:p>
        </w:tc>
        <w:tc>
          <w:tcPr>
            <w:tcW w:w="2497" w:type="dxa"/>
          </w:tcPr>
          <w:p w14:paraId="1D2C40FE" w14:textId="77777777" w:rsidR="002F3088" w:rsidRPr="000C53EB" w:rsidRDefault="002F3088"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Indeterminate</w:t>
            </w:r>
          </w:p>
        </w:tc>
        <w:tc>
          <w:tcPr>
            <w:tcW w:w="1260" w:type="dxa"/>
          </w:tcPr>
          <w:p w14:paraId="45C60FBD"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41 (12.3)</w:t>
            </w:r>
          </w:p>
        </w:tc>
        <w:tc>
          <w:tcPr>
            <w:tcW w:w="1283" w:type="dxa"/>
          </w:tcPr>
          <w:p w14:paraId="5A5699BA" w14:textId="77777777" w:rsidR="002F3088" w:rsidRPr="000C53EB" w:rsidRDefault="002F3088"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C53EB">
              <w:rPr>
                <w:rFonts w:ascii="Arial" w:hAnsi="Arial" w:cs="Arial"/>
                <w:sz w:val="20"/>
                <w:lang w:val="en-US"/>
              </w:rPr>
              <w:t>34 (10.1)</w:t>
            </w:r>
          </w:p>
        </w:tc>
        <w:tc>
          <w:tcPr>
            <w:tcW w:w="1255" w:type="dxa"/>
            <w:vMerge/>
          </w:tcPr>
          <w:p w14:paraId="47546D21"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Merge/>
          </w:tcPr>
          <w:p w14:paraId="0CEB6ECC" w14:textId="77777777" w:rsidR="002F3088" w:rsidRPr="000C53EB" w:rsidRDefault="002F3088" w:rsidP="00C37493">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bl>
    <w:p w14:paraId="0DB3C058" w14:textId="555755CB" w:rsidR="00501CC8" w:rsidRDefault="002F3088" w:rsidP="00501CC8">
      <w:pPr>
        <w:autoSpaceDE w:val="0"/>
        <w:autoSpaceDN w:val="0"/>
        <w:adjustRightInd w:val="0"/>
        <w:rPr>
          <w:rFonts w:cs="Arial"/>
          <w:sz w:val="22"/>
          <w:szCs w:val="22"/>
          <w:lang w:eastAsia="ja-JP"/>
        </w:rPr>
      </w:pPr>
      <w:r w:rsidRPr="000C53EB">
        <w:rPr>
          <w:rFonts w:cs="Arial"/>
          <w:sz w:val="16"/>
          <w:szCs w:val="16"/>
          <w:lang w:val="en-US"/>
        </w:rPr>
        <w:t xml:space="preserve">SOURCE: </w:t>
      </w:r>
      <w:r w:rsidR="000C53EB">
        <w:rPr>
          <w:rFonts w:cs="Arial"/>
          <w:sz w:val="16"/>
          <w:szCs w:val="16"/>
          <w:lang w:val="en-US"/>
        </w:rPr>
        <w:t xml:space="preserve">Prokocimer, </w:t>
      </w:r>
      <w:r w:rsidR="000C53EB" w:rsidRPr="005934C5">
        <w:rPr>
          <w:rFonts w:cs="Arial"/>
          <w:sz w:val="18"/>
          <w:szCs w:val="18"/>
          <w:lang w:val="en-US"/>
        </w:rPr>
        <w:t>2013</w:t>
      </w:r>
      <w:r w:rsidR="00501CC8" w:rsidRPr="005934C5">
        <w:rPr>
          <w:rFonts w:cs="Arial"/>
          <w:sz w:val="18"/>
          <w:szCs w:val="18"/>
          <w:lang w:eastAsia="ja-JP"/>
        </w:rPr>
        <w:t xml:space="preserve"> (</w:t>
      </w:r>
      <w:r w:rsidR="008F2E61">
        <w:rPr>
          <w:rFonts w:cs="Arial"/>
          <w:sz w:val="18"/>
          <w:szCs w:val="18"/>
          <w:lang w:eastAsia="ja-JP"/>
        </w:rPr>
        <w:fldChar w:fldCharType="begin"/>
      </w:r>
      <w:r w:rsidR="008F2E61">
        <w:rPr>
          <w:rFonts w:cs="Arial"/>
          <w:sz w:val="18"/>
          <w:szCs w:val="18"/>
          <w:lang w:eastAsia="ja-JP"/>
        </w:rPr>
        <w:instrText xml:space="preserve"> REF _Ref284485242 \r \h </w:instrText>
      </w:r>
      <w:r w:rsidR="008F2E61">
        <w:rPr>
          <w:rFonts w:cs="Arial"/>
          <w:sz w:val="18"/>
          <w:szCs w:val="18"/>
          <w:lang w:eastAsia="ja-JP"/>
        </w:rPr>
      </w:r>
      <w:r w:rsidR="008F2E61">
        <w:rPr>
          <w:rFonts w:cs="Arial"/>
          <w:sz w:val="18"/>
          <w:szCs w:val="18"/>
          <w:lang w:eastAsia="ja-JP"/>
        </w:rPr>
        <w:fldChar w:fldCharType="separate"/>
      </w:r>
      <w:r w:rsidR="00151A1C">
        <w:rPr>
          <w:rFonts w:cs="Arial"/>
          <w:sz w:val="18"/>
          <w:szCs w:val="18"/>
          <w:lang w:eastAsia="ja-JP"/>
        </w:rPr>
        <w:t>38</w:t>
      </w:r>
      <w:r w:rsidR="008F2E61">
        <w:rPr>
          <w:rFonts w:cs="Arial"/>
          <w:sz w:val="18"/>
          <w:szCs w:val="18"/>
          <w:lang w:eastAsia="ja-JP"/>
        </w:rPr>
        <w:fldChar w:fldCharType="end"/>
      </w:r>
      <w:r w:rsidR="00501CC8" w:rsidRPr="005934C5">
        <w:rPr>
          <w:rFonts w:cs="Arial"/>
          <w:sz w:val="18"/>
          <w:szCs w:val="18"/>
          <w:lang w:eastAsia="ja-JP"/>
        </w:rPr>
        <w:t>)</w:t>
      </w:r>
    </w:p>
    <w:p w14:paraId="6CD83EC8" w14:textId="5B4553FC" w:rsidR="002F3088" w:rsidRPr="000C53EB" w:rsidRDefault="002F3088" w:rsidP="000C53EB">
      <w:pPr>
        <w:pStyle w:val="TableNote-H58"/>
        <w:spacing w:before="0" w:after="0"/>
        <w:rPr>
          <w:rFonts w:ascii="Arial" w:hAnsi="Arial" w:cs="Arial"/>
          <w:sz w:val="16"/>
          <w:szCs w:val="16"/>
          <w:lang w:val="en-US"/>
        </w:rPr>
      </w:pPr>
    </w:p>
    <w:p w14:paraId="3EED7EB6" w14:textId="77777777" w:rsidR="002F3088" w:rsidRPr="000C53EB" w:rsidRDefault="002F3088" w:rsidP="000C53EB">
      <w:pPr>
        <w:pStyle w:val="TableNote-H58"/>
        <w:spacing w:before="0" w:after="0"/>
        <w:rPr>
          <w:rFonts w:ascii="Arial" w:hAnsi="Arial" w:cs="Arial"/>
          <w:sz w:val="16"/>
          <w:szCs w:val="16"/>
          <w:lang w:val="en-US"/>
        </w:rPr>
      </w:pPr>
      <w:r w:rsidRPr="000C53EB">
        <w:rPr>
          <w:rFonts w:ascii="Arial" w:hAnsi="Arial" w:cs="Arial"/>
          <w:sz w:val="16"/>
          <w:szCs w:val="16"/>
          <w:lang w:val="en-US"/>
        </w:rPr>
        <w:lastRenderedPageBreak/>
        <w:t>CI: Confidence interval; ITT: Intent-to-treat; N: Number of patients in population; n: Number of patients in specific category</w:t>
      </w:r>
    </w:p>
    <w:p w14:paraId="3E219414" w14:textId="77777777" w:rsidR="000C53EB" w:rsidRDefault="000C53EB" w:rsidP="000C53EB">
      <w:pPr>
        <w:widowControl w:val="0"/>
        <w:autoSpaceDE w:val="0"/>
        <w:autoSpaceDN w:val="0"/>
        <w:adjustRightInd w:val="0"/>
        <w:rPr>
          <w:rFonts w:cs="Arial"/>
          <w:sz w:val="22"/>
          <w:szCs w:val="22"/>
          <w:lang w:val="en-US" w:eastAsia="ja-JP"/>
        </w:rPr>
      </w:pPr>
    </w:p>
    <w:p w14:paraId="723ADB09" w14:textId="727DD1AE" w:rsidR="00440E36" w:rsidRPr="007942A0" w:rsidRDefault="00440E36" w:rsidP="000C53EB">
      <w:pPr>
        <w:widowControl w:val="0"/>
        <w:autoSpaceDE w:val="0"/>
        <w:autoSpaceDN w:val="0"/>
        <w:adjustRightInd w:val="0"/>
        <w:rPr>
          <w:rFonts w:cs="Arial"/>
          <w:sz w:val="22"/>
          <w:szCs w:val="22"/>
          <w:lang w:val="en-US" w:eastAsia="ja-JP"/>
        </w:rPr>
      </w:pPr>
      <w:r w:rsidRPr="007942A0">
        <w:rPr>
          <w:rFonts w:cs="Arial"/>
          <w:sz w:val="22"/>
          <w:szCs w:val="22"/>
          <w:lang w:val="en-US" w:eastAsia="ja-JP"/>
        </w:rPr>
        <w:t>The lower limit of the</w:t>
      </w:r>
      <w:r w:rsidR="001B7D67" w:rsidRPr="007942A0">
        <w:rPr>
          <w:rFonts w:cs="Arial"/>
          <w:sz w:val="22"/>
          <w:szCs w:val="22"/>
          <w:lang w:val="en-US" w:eastAsia="ja-JP"/>
        </w:rPr>
        <w:t xml:space="preserve"> </w:t>
      </w:r>
      <w:r w:rsidRPr="007942A0">
        <w:rPr>
          <w:rFonts w:cs="Arial"/>
          <w:sz w:val="22"/>
          <w:szCs w:val="22"/>
          <w:lang w:val="en-US" w:eastAsia="ja-JP"/>
        </w:rPr>
        <w:t>95% confidence interval was above</w:t>
      </w:r>
      <w:r w:rsidR="001B7D67" w:rsidRPr="007942A0">
        <w:rPr>
          <w:rFonts w:cs="Arial"/>
          <w:sz w:val="22"/>
          <w:szCs w:val="22"/>
          <w:lang w:val="en-US" w:eastAsia="ja-JP"/>
        </w:rPr>
        <w:t xml:space="preserve"> -</w:t>
      </w:r>
      <w:r w:rsidRPr="007942A0">
        <w:rPr>
          <w:rFonts w:cs="Arial"/>
          <w:sz w:val="22"/>
          <w:szCs w:val="22"/>
          <w:lang w:val="en-US" w:eastAsia="ja-JP"/>
        </w:rPr>
        <w:t>10%, which was the predefined requirement</w:t>
      </w:r>
      <w:r w:rsidR="001B7D67" w:rsidRPr="007942A0">
        <w:rPr>
          <w:rFonts w:cs="Arial"/>
          <w:sz w:val="22"/>
          <w:szCs w:val="22"/>
          <w:lang w:val="en-US" w:eastAsia="ja-JP"/>
        </w:rPr>
        <w:t xml:space="preserve"> </w:t>
      </w:r>
      <w:r w:rsidRPr="007942A0">
        <w:rPr>
          <w:rFonts w:cs="Arial"/>
          <w:sz w:val="22"/>
          <w:szCs w:val="22"/>
          <w:lang w:val="en-US" w:eastAsia="ja-JP"/>
        </w:rPr>
        <w:t>for non</w:t>
      </w:r>
      <w:r w:rsidR="0098259B" w:rsidRPr="007942A0">
        <w:rPr>
          <w:rFonts w:cs="Arial"/>
          <w:sz w:val="22"/>
          <w:szCs w:val="22"/>
          <w:lang w:val="en-US" w:eastAsia="ja-JP"/>
        </w:rPr>
        <w:t>-</w:t>
      </w:r>
      <w:r w:rsidRPr="007942A0">
        <w:rPr>
          <w:rFonts w:cs="Arial"/>
          <w:sz w:val="22"/>
          <w:szCs w:val="22"/>
          <w:lang w:val="en-US" w:eastAsia="ja-JP"/>
        </w:rPr>
        <w:t>inferiority. The primary</w:t>
      </w:r>
      <w:r w:rsidR="001B7D67" w:rsidRPr="007942A0">
        <w:rPr>
          <w:rFonts w:cs="Arial"/>
          <w:sz w:val="22"/>
          <w:szCs w:val="22"/>
          <w:lang w:val="en-US" w:eastAsia="ja-JP"/>
        </w:rPr>
        <w:t xml:space="preserve"> </w:t>
      </w:r>
      <w:r w:rsidRPr="007942A0">
        <w:rPr>
          <w:rFonts w:cs="Arial"/>
          <w:sz w:val="22"/>
          <w:szCs w:val="22"/>
          <w:lang w:val="en-US" w:eastAsia="ja-JP"/>
        </w:rPr>
        <w:t>reason for clinical outcomes of</w:t>
      </w:r>
      <w:r w:rsidR="001B7D67" w:rsidRPr="007942A0">
        <w:rPr>
          <w:rFonts w:cs="Arial"/>
          <w:sz w:val="22"/>
          <w:szCs w:val="22"/>
          <w:lang w:val="en-US" w:eastAsia="ja-JP"/>
        </w:rPr>
        <w:t xml:space="preserve"> </w:t>
      </w:r>
      <w:r w:rsidRPr="007942A0">
        <w:rPr>
          <w:rFonts w:cs="Arial"/>
          <w:sz w:val="22"/>
          <w:szCs w:val="22"/>
          <w:lang w:val="en-US" w:eastAsia="ja-JP"/>
        </w:rPr>
        <w:t>treatment non</w:t>
      </w:r>
      <w:r w:rsidR="0098259B" w:rsidRPr="007942A0">
        <w:rPr>
          <w:rFonts w:cs="Arial"/>
          <w:sz w:val="22"/>
          <w:szCs w:val="22"/>
          <w:lang w:val="en-US" w:eastAsia="ja-JP"/>
        </w:rPr>
        <w:t>-</w:t>
      </w:r>
      <w:r w:rsidRPr="007942A0">
        <w:rPr>
          <w:rFonts w:cs="Arial"/>
          <w:sz w:val="22"/>
          <w:szCs w:val="22"/>
          <w:lang w:val="en-US" w:eastAsia="ja-JP"/>
        </w:rPr>
        <w:t>responder or indeterminate</w:t>
      </w:r>
      <w:r w:rsidR="001B7D67" w:rsidRPr="007942A0">
        <w:rPr>
          <w:rFonts w:cs="Arial"/>
          <w:sz w:val="22"/>
          <w:szCs w:val="22"/>
          <w:lang w:val="en-US" w:eastAsia="ja-JP"/>
        </w:rPr>
        <w:t xml:space="preserve"> </w:t>
      </w:r>
      <w:r w:rsidRPr="007942A0">
        <w:rPr>
          <w:rFonts w:cs="Arial"/>
          <w:sz w:val="22"/>
          <w:szCs w:val="22"/>
          <w:lang w:val="en-US" w:eastAsia="ja-JP"/>
        </w:rPr>
        <w:t>was missing temperature data or</w:t>
      </w:r>
      <w:r w:rsidR="001B7D67" w:rsidRPr="007942A0">
        <w:rPr>
          <w:rFonts w:cs="Arial"/>
          <w:sz w:val="22"/>
          <w:szCs w:val="22"/>
          <w:lang w:val="en-US" w:eastAsia="ja-JP"/>
        </w:rPr>
        <w:t xml:space="preserve"> </w:t>
      </w:r>
      <w:r w:rsidRPr="007942A0">
        <w:rPr>
          <w:rFonts w:cs="Arial"/>
          <w:sz w:val="22"/>
          <w:szCs w:val="22"/>
          <w:lang w:val="en-US" w:eastAsia="ja-JP"/>
        </w:rPr>
        <w:t>outside the pre</w:t>
      </w:r>
      <w:r w:rsidR="0098259B" w:rsidRPr="007942A0">
        <w:rPr>
          <w:rFonts w:cs="Arial"/>
          <w:sz w:val="22"/>
          <w:szCs w:val="22"/>
          <w:lang w:val="en-US" w:eastAsia="ja-JP"/>
        </w:rPr>
        <w:t>-</w:t>
      </w:r>
      <w:r w:rsidRPr="007942A0">
        <w:rPr>
          <w:rFonts w:cs="Arial"/>
          <w:sz w:val="22"/>
          <w:szCs w:val="22"/>
          <w:lang w:val="en-US" w:eastAsia="ja-JP"/>
        </w:rPr>
        <w:t>specified time window</w:t>
      </w:r>
      <w:r w:rsidR="001B7D67" w:rsidRPr="007942A0">
        <w:rPr>
          <w:rFonts w:cs="Arial"/>
          <w:sz w:val="22"/>
          <w:szCs w:val="22"/>
          <w:lang w:val="en-US" w:eastAsia="ja-JP"/>
        </w:rPr>
        <w:t xml:space="preserve"> </w:t>
      </w:r>
      <w:r w:rsidRPr="007942A0">
        <w:rPr>
          <w:rFonts w:cs="Arial"/>
          <w:sz w:val="22"/>
          <w:szCs w:val="22"/>
          <w:lang w:val="en-US" w:eastAsia="ja-JP"/>
        </w:rPr>
        <w:t>in the tedizolid phosphate (11.1%) and</w:t>
      </w:r>
      <w:r w:rsidR="001B7D67" w:rsidRPr="007942A0">
        <w:rPr>
          <w:rFonts w:cs="Arial"/>
          <w:sz w:val="22"/>
          <w:szCs w:val="22"/>
          <w:lang w:val="en-US" w:eastAsia="ja-JP"/>
        </w:rPr>
        <w:t xml:space="preserve"> </w:t>
      </w:r>
      <w:r w:rsidRPr="007942A0">
        <w:rPr>
          <w:rFonts w:cs="Arial"/>
          <w:sz w:val="22"/>
          <w:szCs w:val="22"/>
          <w:lang w:val="en-US" w:eastAsia="ja-JP"/>
        </w:rPr>
        <w:t>linezolid (9.6%) groups. A total of 8.1%</w:t>
      </w:r>
      <w:r w:rsidR="001B7D67" w:rsidRPr="007942A0">
        <w:rPr>
          <w:rFonts w:cs="Arial"/>
          <w:sz w:val="22"/>
          <w:szCs w:val="22"/>
          <w:lang w:val="en-US" w:eastAsia="ja-JP"/>
        </w:rPr>
        <w:t xml:space="preserve"> </w:t>
      </w:r>
      <w:r w:rsidRPr="007942A0">
        <w:rPr>
          <w:rFonts w:cs="Arial"/>
          <w:sz w:val="22"/>
          <w:szCs w:val="22"/>
          <w:lang w:val="en-US" w:eastAsia="ja-JP"/>
        </w:rPr>
        <w:t>and 10.4% of patients in the tedizolid</w:t>
      </w:r>
      <w:r w:rsidR="001B7D67" w:rsidRPr="007942A0">
        <w:rPr>
          <w:rFonts w:cs="Arial"/>
          <w:sz w:val="22"/>
          <w:szCs w:val="22"/>
          <w:lang w:val="en-US" w:eastAsia="ja-JP"/>
        </w:rPr>
        <w:t xml:space="preserve"> </w:t>
      </w:r>
      <w:r w:rsidRPr="007942A0">
        <w:rPr>
          <w:rFonts w:cs="Arial"/>
          <w:sz w:val="22"/>
          <w:szCs w:val="22"/>
          <w:lang w:val="en-US" w:eastAsia="ja-JP"/>
        </w:rPr>
        <w:t>phosphate and linezolid groups, respectively,</w:t>
      </w:r>
      <w:r w:rsidR="001B7D67" w:rsidRPr="007942A0">
        <w:rPr>
          <w:rFonts w:cs="Arial"/>
          <w:sz w:val="22"/>
          <w:szCs w:val="22"/>
          <w:lang w:val="en-US" w:eastAsia="ja-JP"/>
        </w:rPr>
        <w:t xml:space="preserve"> </w:t>
      </w:r>
      <w:r w:rsidRPr="007942A0">
        <w:rPr>
          <w:rFonts w:cs="Arial"/>
          <w:sz w:val="22"/>
          <w:szCs w:val="22"/>
          <w:lang w:val="en-US" w:eastAsia="ja-JP"/>
        </w:rPr>
        <w:t>were true treatment non</w:t>
      </w:r>
      <w:r w:rsidR="001B7D67" w:rsidRPr="007942A0">
        <w:rPr>
          <w:rFonts w:cs="Arial"/>
          <w:sz w:val="22"/>
          <w:szCs w:val="22"/>
          <w:lang w:val="en-US" w:eastAsia="ja-JP"/>
        </w:rPr>
        <w:t>-</w:t>
      </w:r>
      <w:r w:rsidRPr="007942A0">
        <w:rPr>
          <w:rFonts w:cs="Arial"/>
          <w:sz w:val="22"/>
          <w:szCs w:val="22"/>
          <w:lang w:val="en-US" w:eastAsia="ja-JP"/>
        </w:rPr>
        <w:t>responders</w:t>
      </w:r>
      <w:r w:rsidR="001B7D67" w:rsidRPr="007942A0">
        <w:rPr>
          <w:rFonts w:cs="Arial"/>
          <w:sz w:val="22"/>
          <w:szCs w:val="22"/>
          <w:lang w:val="en-US" w:eastAsia="ja-JP"/>
        </w:rPr>
        <w:t xml:space="preserve"> </w:t>
      </w:r>
      <w:r w:rsidRPr="007942A0">
        <w:rPr>
          <w:rFonts w:cs="Arial"/>
          <w:sz w:val="22"/>
          <w:szCs w:val="22"/>
          <w:lang w:val="en-US" w:eastAsia="ja-JP"/>
        </w:rPr>
        <w:t>(i</w:t>
      </w:r>
      <w:r w:rsidR="001B7D67" w:rsidRPr="007942A0">
        <w:rPr>
          <w:rFonts w:cs="Arial"/>
          <w:sz w:val="22"/>
          <w:szCs w:val="22"/>
          <w:lang w:val="en-US" w:eastAsia="ja-JP"/>
        </w:rPr>
        <w:t>.</w:t>
      </w:r>
      <w:r w:rsidRPr="007942A0">
        <w:rPr>
          <w:rFonts w:cs="Arial"/>
          <w:sz w:val="22"/>
          <w:szCs w:val="22"/>
          <w:lang w:val="en-US" w:eastAsia="ja-JP"/>
        </w:rPr>
        <w:t>e, had spread of the primary</w:t>
      </w:r>
      <w:r w:rsidR="001B7D67" w:rsidRPr="007942A0">
        <w:rPr>
          <w:rFonts w:cs="Arial"/>
          <w:sz w:val="22"/>
          <w:szCs w:val="22"/>
          <w:lang w:val="en-US" w:eastAsia="ja-JP"/>
        </w:rPr>
        <w:t xml:space="preserve"> </w:t>
      </w:r>
      <w:r w:rsidRPr="007942A0">
        <w:rPr>
          <w:rFonts w:cs="Arial"/>
          <w:sz w:val="22"/>
          <w:szCs w:val="22"/>
          <w:lang w:val="en-US" w:eastAsia="ja-JP"/>
        </w:rPr>
        <w:t>ABSSSI lesions and/or had</w:t>
      </w:r>
    </w:p>
    <w:p w14:paraId="502879DA" w14:textId="09412905" w:rsidR="00440E36" w:rsidRPr="007942A0" w:rsidRDefault="001B7D67" w:rsidP="00501CC8">
      <w:pPr>
        <w:autoSpaceDE w:val="0"/>
        <w:autoSpaceDN w:val="0"/>
        <w:adjustRightInd w:val="0"/>
        <w:rPr>
          <w:rFonts w:cs="Arial"/>
          <w:sz w:val="22"/>
          <w:szCs w:val="22"/>
          <w:lang w:eastAsia="ja-JP"/>
        </w:rPr>
      </w:pPr>
      <w:r w:rsidRPr="007942A0">
        <w:rPr>
          <w:rFonts w:cs="Arial"/>
          <w:sz w:val="22"/>
          <w:szCs w:val="22"/>
          <w:lang w:val="en-US" w:eastAsia="ja-JP"/>
        </w:rPr>
        <w:t>temperatures &gt;</w:t>
      </w:r>
      <w:r w:rsidR="000C53EB" w:rsidRPr="007942A0">
        <w:rPr>
          <w:rFonts w:cs="Arial"/>
          <w:sz w:val="22"/>
          <w:szCs w:val="22"/>
          <w:lang w:val="en-US" w:eastAsia="ja-JP"/>
        </w:rPr>
        <w:t>37.6</w:t>
      </w:r>
      <w:r w:rsidR="000C53EB" w:rsidRPr="007942A0">
        <w:rPr>
          <w:rFonts w:cs="Arial"/>
          <w:sz w:val="22"/>
          <w:szCs w:val="22"/>
          <w:vertAlign w:val="superscript"/>
          <w:lang w:val="en-US" w:eastAsia="ja-JP"/>
        </w:rPr>
        <w:t>0</w:t>
      </w:r>
      <w:r w:rsidR="00440E36" w:rsidRPr="007942A0">
        <w:rPr>
          <w:rFonts w:cs="Arial"/>
          <w:sz w:val="22"/>
          <w:szCs w:val="22"/>
          <w:lang w:val="en-US" w:eastAsia="ja-JP"/>
        </w:rPr>
        <w:t>C</w:t>
      </w:r>
      <w:r w:rsidRPr="007942A0">
        <w:rPr>
          <w:rFonts w:cs="Arial"/>
          <w:sz w:val="22"/>
          <w:szCs w:val="22"/>
          <w:lang w:val="en-US" w:eastAsia="ja-JP"/>
        </w:rPr>
        <w:t xml:space="preserve"> </w:t>
      </w:r>
      <w:r w:rsidR="00440E36" w:rsidRPr="007942A0">
        <w:rPr>
          <w:rFonts w:cs="Arial"/>
          <w:sz w:val="22"/>
          <w:szCs w:val="22"/>
          <w:lang w:val="en-US" w:eastAsia="ja-JP"/>
        </w:rPr>
        <w:t xml:space="preserve">at </w:t>
      </w:r>
      <w:r w:rsidR="00501CC8" w:rsidRPr="007942A0">
        <w:rPr>
          <w:rFonts w:cs="Arial"/>
          <w:sz w:val="22"/>
          <w:szCs w:val="22"/>
          <w:lang w:val="en-US" w:eastAsia="ja-JP"/>
        </w:rPr>
        <w:t xml:space="preserve">the 48- to 72-hour assessment) </w:t>
      </w:r>
      <w:r w:rsidR="00501CC8" w:rsidRPr="007942A0">
        <w:rPr>
          <w:rFonts w:cs="Arial"/>
          <w:sz w:val="22"/>
          <w:szCs w:val="22"/>
          <w:lang w:eastAsia="ja-JP"/>
        </w:rPr>
        <w:t>(</w:t>
      </w:r>
      <w:r w:rsidR="00224E51">
        <w:rPr>
          <w:rFonts w:cs="Arial"/>
          <w:sz w:val="22"/>
          <w:szCs w:val="22"/>
          <w:lang w:eastAsia="ja-JP"/>
        </w:rPr>
        <w:fldChar w:fldCharType="begin"/>
      </w:r>
      <w:r w:rsidR="00224E51">
        <w:rPr>
          <w:rFonts w:cs="Arial"/>
          <w:sz w:val="22"/>
          <w:szCs w:val="22"/>
          <w:lang w:eastAsia="ja-JP"/>
        </w:rPr>
        <w:instrText xml:space="preserve"> REF _Ref284485242 \r \h </w:instrText>
      </w:r>
      <w:r w:rsidR="00224E51">
        <w:rPr>
          <w:rFonts w:cs="Arial"/>
          <w:sz w:val="22"/>
          <w:szCs w:val="22"/>
          <w:lang w:eastAsia="ja-JP"/>
        </w:rPr>
      </w:r>
      <w:r w:rsidR="00224E51">
        <w:rPr>
          <w:rFonts w:cs="Arial"/>
          <w:sz w:val="22"/>
          <w:szCs w:val="22"/>
          <w:lang w:eastAsia="ja-JP"/>
        </w:rPr>
        <w:fldChar w:fldCharType="separate"/>
      </w:r>
      <w:r w:rsidR="00151A1C">
        <w:rPr>
          <w:rFonts w:cs="Arial"/>
          <w:sz w:val="22"/>
          <w:szCs w:val="22"/>
          <w:lang w:eastAsia="ja-JP"/>
        </w:rPr>
        <w:t>38</w:t>
      </w:r>
      <w:r w:rsidR="00224E51">
        <w:rPr>
          <w:rFonts w:cs="Arial"/>
          <w:sz w:val="22"/>
          <w:szCs w:val="22"/>
          <w:lang w:eastAsia="ja-JP"/>
        </w:rPr>
        <w:fldChar w:fldCharType="end"/>
      </w:r>
      <w:r w:rsidR="00501CC8" w:rsidRPr="007942A0">
        <w:rPr>
          <w:rFonts w:cs="Arial"/>
          <w:sz w:val="22"/>
          <w:szCs w:val="22"/>
          <w:lang w:val="en-US" w:eastAsia="ja-JP"/>
        </w:rPr>
        <w:t>,</w:t>
      </w:r>
      <w:r w:rsidRPr="007942A0">
        <w:rPr>
          <w:rFonts w:cs="Arial"/>
          <w:sz w:val="22"/>
          <w:szCs w:val="22"/>
          <w:lang w:val="en-US" w:eastAsia="ja-JP"/>
        </w:rPr>
        <w:t>Table 2</w:t>
      </w:r>
      <w:r w:rsidR="00440E36" w:rsidRPr="007942A0">
        <w:rPr>
          <w:rFonts w:cs="Arial"/>
          <w:sz w:val="22"/>
          <w:szCs w:val="22"/>
          <w:lang w:val="en-US" w:eastAsia="ja-JP"/>
        </w:rPr>
        <w:t>).</w:t>
      </w:r>
    </w:p>
    <w:p w14:paraId="5A3B7F87" w14:textId="77777777" w:rsidR="002E314E" w:rsidRPr="007942A0" w:rsidRDefault="002E314E" w:rsidP="002E314E">
      <w:pPr>
        <w:pStyle w:val="ListParagraph"/>
        <w:autoSpaceDE w:val="0"/>
        <w:autoSpaceDN w:val="0"/>
        <w:adjustRightInd w:val="0"/>
        <w:ind w:left="0"/>
        <w:rPr>
          <w:rFonts w:cs="Arial"/>
          <w:sz w:val="22"/>
          <w:szCs w:val="22"/>
          <w:lang w:eastAsia="ja-JP"/>
        </w:rPr>
      </w:pPr>
    </w:p>
    <w:p w14:paraId="1E0042F7" w14:textId="669DF94A" w:rsidR="007764DC" w:rsidRPr="007942A0" w:rsidRDefault="002E314E" w:rsidP="007764DC">
      <w:pPr>
        <w:autoSpaceDE w:val="0"/>
        <w:autoSpaceDN w:val="0"/>
        <w:adjustRightInd w:val="0"/>
        <w:rPr>
          <w:rFonts w:cs="Arial"/>
          <w:sz w:val="22"/>
          <w:szCs w:val="22"/>
          <w:lang w:val="en-US" w:eastAsia="ja-JP"/>
        </w:rPr>
      </w:pPr>
      <w:r w:rsidRPr="007942A0">
        <w:rPr>
          <w:rFonts w:cs="Arial"/>
          <w:sz w:val="22"/>
          <w:szCs w:val="22"/>
          <w:lang w:val="en-US" w:eastAsia="ja-JP"/>
        </w:rPr>
        <w:t xml:space="preserve">3.3.16 </w:t>
      </w:r>
      <w:r w:rsidR="00FA0985" w:rsidRPr="007942A0">
        <w:rPr>
          <w:rFonts w:cs="Arial"/>
          <w:sz w:val="22"/>
          <w:szCs w:val="22"/>
          <w:lang w:val="en-US" w:eastAsia="ja-JP"/>
        </w:rPr>
        <w:t>Results of s</w:t>
      </w:r>
      <w:r w:rsidR="00BC5328" w:rsidRPr="007942A0">
        <w:rPr>
          <w:rFonts w:cs="Arial"/>
          <w:sz w:val="22"/>
          <w:szCs w:val="22"/>
          <w:lang w:val="en-US" w:eastAsia="ja-JP"/>
        </w:rPr>
        <w:t>ensitivity analyses of the primary efficacy outcome</w:t>
      </w:r>
      <w:r w:rsidR="009B2C92" w:rsidRPr="007942A0">
        <w:rPr>
          <w:rFonts w:cs="Arial"/>
          <w:sz w:val="22"/>
          <w:szCs w:val="22"/>
          <w:lang w:val="en-US" w:eastAsia="ja-JP"/>
        </w:rPr>
        <w:t xml:space="preserve">: </w:t>
      </w:r>
      <w:r w:rsidR="00440E36" w:rsidRPr="007942A0">
        <w:rPr>
          <w:rFonts w:cs="Arial"/>
          <w:sz w:val="22"/>
          <w:szCs w:val="22"/>
          <w:lang w:val="en-US" w:eastAsia="ja-JP"/>
        </w:rPr>
        <w:t>For each of the sensitivity analyses</w:t>
      </w:r>
      <w:r w:rsidR="001A6C22" w:rsidRPr="007942A0">
        <w:rPr>
          <w:rFonts w:cs="Arial"/>
          <w:sz w:val="22"/>
          <w:szCs w:val="22"/>
          <w:lang w:val="en-US" w:eastAsia="ja-JP"/>
        </w:rPr>
        <w:t xml:space="preserve"> </w:t>
      </w:r>
      <w:r w:rsidR="00440E36" w:rsidRPr="007942A0">
        <w:rPr>
          <w:rFonts w:cs="Arial"/>
          <w:sz w:val="22"/>
          <w:szCs w:val="22"/>
          <w:lang w:val="en-US" w:eastAsia="ja-JP"/>
        </w:rPr>
        <w:t>of the primary efficacy outcome, the differences</w:t>
      </w:r>
      <w:r w:rsidR="001A6C22" w:rsidRPr="007942A0">
        <w:rPr>
          <w:rFonts w:cs="Arial"/>
          <w:sz w:val="22"/>
          <w:szCs w:val="22"/>
          <w:lang w:val="en-US" w:eastAsia="ja-JP"/>
        </w:rPr>
        <w:t xml:space="preserve"> </w:t>
      </w:r>
      <w:r w:rsidR="00440E36" w:rsidRPr="007942A0">
        <w:rPr>
          <w:rFonts w:cs="Arial"/>
          <w:sz w:val="22"/>
          <w:szCs w:val="22"/>
          <w:lang w:val="en-US" w:eastAsia="ja-JP"/>
        </w:rPr>
        <w:t>between treatments and 95%</w:t>
      </w:r>
      <w:r w:rsidR="001A6C22" w:rsidRPr="007942A0">
        <w:rPr>
          <w:rFonts w:cs="Arial"/>
          <w:sz w:val="22"/>
          <w:szCs w:val="22"/>
          <w:lang w:val="en-US" w:eastAsia="ja-JP"/>
        </w:rPr>
        <w:t xml:space="preserve"> </w:t>
      </w:r>
      <w:r w:rsidR="00440E36" w:rsidRPr="007942A0">
        <w:rPr>
          <w:rFonts w:cs="Arial"/>
          <w:sz w:val="22"/>
          <w:szCs w:val="22"/>
          <w:lang w:val="en-US" w:eastAsia="ja-JP"/>
        </w:rPr>
        <w:t>confidence intervals were similar to</w:t>
      </w:r>
      <w:r w:rsidR="001A6C22" w:rsidRPr="007942A0">
        <w:rPr>
          <w:rFonts w:cs="Arial"/>
          <w:sz w:val="22"/>
          <w:szCs w:val="22"/>
          <w:lang w:val="en-US" w:eastAsia="ja-JP"/>
        </w:rPr>
        <w:t xml:space="preserve"> </w:t>
      </w:r>
      <w:r w:rsidR="00440E36" w:rsidRPr="007942A0">
        <w:rPr>
          <w:rFonts w:cs="Arial"/>
          <w:sz w:val="22"/>
          <w:szCs w:val="22"/>
          <w:lang w:val="en-US" w:eastAsia="ja-JP"/>
        </w:rPr>
        <w:t>those of the primary analysis</w:t>
      </w:r>
      <w:r w:rsidR="009B2C92" w:rsidRPr="007942A0">
        <w:rPr>
          <w:rFonts w:cs="Arial"/>
          <w:sz w:val="22"/>
          <w:szCs w:val="22"/>
          <w:lang w:val="en-US" w:eastAsia="ja-JP"/>
        </w:rPr>
        <w:t>.</w:t>
      </w:r>
      <w:r w:rsidR="00FA0985" w:rsidRPr="007942A0">
        <w:rPr>
          <w:rFonts w:cs="Arial"/>
          <w:sz w:val="22"/>
          <w:szCs w:val="22"/>
          <w:lang w:val="en-US" w:eastAsia="ja-JP"/>
        </w:rPr>
        <w:t xml:space="preserve"> Excluding the fever/temperature component or varying the lesion response definitions (-20% decreases in lesion areas from baseline or no increase from baseline in lesion area, length, or width) had no significant effect on treatment response rates (</w:t>
      </w:r>
      <w:r w:rsidR="00A2513A">
        <w:rPr>
          <w:rFonts w:cs="Arial"/>
          <w:sz w:val="22"/>
          <w:szCs w:val="22"/>
          <w:lang w:val="en-US" w:eastAsia="ja-JP"/>
        </w:rPr>
        <w:fldChar w:fldCharType="begin"/>
      </w:r>
      <w:r w:rsidR="00A2513A">
        <w:rPr>
          <w:rFonts w:cs="Arial"/>
          <w:sz w:val="22"/>
          <w:szCs w:val="22"/>
          <w:lang w:val="en-US" w:eastAsia="ja-JP"/>
        </w:rPr>
        <w:instrText xml:space="preserve"> REF _Ref284485921 \r \h </w:instrText>
      </w:r>
      <w:r w:rsidR="00A2513A">
        <w:rPr>
          <w:rFonts w:cs="Arial"/>
          <w:sz w:val="22"/>
          <w:szCs w:val="22"/>
          <w:lang w:val="en-US" w:eastAsia="ja-JP"/>
        </w:rPr>
      </w:r>
      <w:r w:rsidR="00A2513A">
        <w:rPr>
          <w:rFonts w:cs="Arial"/>
          <w:sz w:val="22"/>
          <w:szCs w:val="22"/>
          <w:lang w:val="en-US" w:eastAsia="ja-JP"/>
        </w:rPr>
        <w:fldChar w:fldCharType="separate"/>
      </w:r>
      <w:r w:rsidR="00151A1C">
        <w:rPr>
          <w:rFonts w:cs="Arial"/>
          <w:sz w:val="22"/>
          <w:szCs w:val="22"/>
          <w:lang w:val="en-US" w:eastAsia="ja-JP"/>
        </w:rPr>
        <w:t>39</w:t>
      </w:r>
      <w:r w:rsidR="00A2513A">
        <w:rPr>
          <w:rFonts w:cs="Arial"/>
          <w:sz w:val="22"/>
          <w:szCs w:val="22"/>
          <w:lang w:val="en-US" w:eastAsia="ja-JP"/>
        </w:rPr>
        <w:fldChar w:fldCharType="end"/>
      </w:r>
      <w:r w:rsidR="00501CC8" w:rsidRPr="007942A0">
        <w:rPr>
          <w:rFonts w:cs="Arial"/>
          <w:sz w:val="22"/>
          <w:szCs w:val="22"/>
          <w:lang w:val="en-US" w:eastAsia="ja-JP"/>
        </w:rPr>
        <w:t xml:space="preserve">, </w:t>
      </w:r>
      <w:r w:rsidR="00FA0985" w:rsidRPr="007942A0">
        <w:rPr>
          <w:rFonts w:cs="Arial"/>
          <w:sz w:val="22"/>
          <w:szCs w:val="22"/>
          <w:lang w:val="en-US" w:eastAsia="ja-JP"/>
        </w:rPr>
        <w:t xml:space="preserve">Table 3). </w:t>
      </w:r>
    </w:p>
    <w:p w14:paraId="5B86A10D" w14:textId="77777777" w:rsidR="007764DC" w:rsidRPr="007942A0" w:rsidRDefault="007764DC" w:rsidP="007764DC">
      <w:pPr>
        <w:autoSpaceDE w:val="0"/>
        <w:autoSpaceDN w:val="0"/>
        <w:adjustRightInd w:val="0"/>
        <w:rPr>
          <w:rFonts w:cs="Arial"/>
          <w:sz w:val="22"/>
          <w:szCs w:val="22"/>
          <w:lang w:val="en-US" w:eastAsia="ja-JP"/>
        </w:rPr>
      </w:pPr>
    </w:p>
    <w:p w14:paraId="1A30C89F" w14:textId="7B311C05" w:rsidR="009B2C92" w:rsidRPr="007942A0" w:rsidRDefault="009B2C92" w:rsidP="008F2E61">
      <w:pPr>
        <w:pStyle w:val="Caption"/>
        <w:spacing w:before="0" w:after="0"/>
        <w:jc w:val="left"/>
        <w:rPr>
          <w:rFonts w:ascii="Arial" w:hAnsi="Arial" w:cs="Arial"/>
          <w:b w:val="0"/>
          <w:color w:val="000000" w:themeColor="text1"/>
          <w:sz w:val="22"/>
          <w:szCs w:val="22"/>
          <w:lang w:val="en-US"/>
        </w:rPr>
      </w:pPr>
      <w:r w:rsidRPr="007942A0">
        <w:rPr>
          <w:rFonts w:ascii="Arial" w:hAnsi="Arial" w:cs="Arial"/>
          <w:b w:val="0"/>
          <w:sz w:val="22"/>
          <w:szCs w:val="22"/>
          <w:lang w:eastAsia="ja-JP"/>
        </w:rPr>
        <w:t xml:space="preserve">In the sensitivity analysis where early clinical response was defined as a </w:t>
      </w:r>
      <w:r w:rsidRPr="007942A0">
        <w:rPr>
          <w:rFonts w:ascii="Arial" w:hAnsi="Arial" w:cs="Arial"/>
          <w:b w:val="0"/>
          <w:sz w:val="22"/>
          <w:szCs w:val="22"/>
          <w:lang w:val="en-US"/>
        </w:rPr>
        <w:t>≥20% decrease from baseline in lesion area</w:t>
      </w:r>
      <w:r w:rsidR="00C42E8E" w:rsidRPr="007942A0">
        <w:rPr>
          <w:rFonts w:ascii="Arial" w:hAnsi="Arial" w:cs="Arial"/>
          <w:b w:val="0"/>
          <w:sz w:val="22"/>
          <w:szCs w:val="22"/>
          <w:lang w:val="en-US"/>
        </w:rPr>
        <w:t xml:space="preserve"> with no fever criteria</w:t>
      </w:r>
      <w:r w:rsidRPr="007942A0">
        <w:rPr>
          <w:rFonts w:ascii="Arial" w:hAnsi="Arial" w:cs="Arial"/>
          <w:b w:val="0"/>
          <w:sz w:val="22"/>
          <w:szCs w:val="22"/>
          <w:lang w:val="en-US"/>
        </w:rPr>
        <w:t xml:space="preserve">, 78.0% of patients in the tedizolid phosphate group </w:t>
      </w:r>
      <w:r w:rsidR="00C42E8E" w:rsidRPr="007942A0">
        <w:rPr>
          <w:rFonts w:ascii="Arial" w:hAnsi="Arial" w:cs="Arial"/>
          <w:b w:val="0"/>
          <w:sz w:val="22"/>
          <w:szCs w:val="22"/>
          <w:lang w:val="en-US"/>
        </w:rPr>
        <w:t xml:space="preserve">(n=259; </w:t>
      </w:r>
      <w:r w:rsidR="00E92500" w:rsidRPr="007942A0">
        <w:rPr>
          <w:rFonts w:ascii="Arial" w:hAnsi="Arial" w:cs="Arial"/>
          <w:b w:val="0"/>
          <w:sz w:val="22"/>
          <w:szCs w:val="22"/>
          <w:lang w:val="en-US" w:eastAsia="ja-JP"/>
        </w:rPr>
        <w:t xml:space="preserve">95% CI, 73.2%-82.4%) </w:t>
      </w:r>
      <w:r w:rsidRPr="007942A0">
        <w:rPr>
          <w:rFonts w:ascii="Arial" w:hAnsi="Arial" w:cs="Arial"/>
          <w:b w:val="0"/>
          <w:sz w:val="22"/>
          <w:szCs w:val="22"/>
          <w:lang w:val="en-US"/>
        </w:rPr>
        <w:t xml:space="preserve">and 76.1% in the linezolid group </w:t>
      </w:r>
      <w:r w:rsidR="00C42E8E" w:rsidRPr="007942A0">
        <w:rPr>
          <w:rFonts w:ascii="Arial" w:hAnsi="Arial" w:cs="Arial"/>
          <w:b w:val="0"/>
          <w:sz w:val="22"/>
          <w:szCs w:val="22"/>
          <w:lang w:val="en-US"/>
        </w:rPr>
        <w:t xml:space="preserve">(n=255; </w:t>
      </w:r>
      <w:r w:rsidR="00C42E8E" w:rsidRPr="007942A0">
        <w:rPr>
          <w:rFonts w:ascii="Arial" w:hAnsi="Arial" w:cs="Arial"/>
          <w:b w:val="0"/>
          <w:sz w:val="22"/>
          <w:szCs w:val="22"/>
          <w:lang w:val="en-US" w:eastAsia="ja-JP"/>
        </w:rPr>
        <w:t xml:space="preserve">95% CI, 71.1%-80.6%) </w:t>
      </w:r>
      <w:r w:rsidRPr="007942A0">
        <w:rPr>
          <w:rFonts w:ascii="Arial" w:hAnsi="Arial" w:cs="Arial"/>
          <w:b w:val="0"/>
          <w:sz w:val="22"/>
          <w:szCs w:val="22"/>
          <w:lang w:val="en-US"/>
        </w:rPr>
        <w:t>met the endpoint (a treatment difference of 1.9% [95% CI, -4.5% to 8.3%)</w:t>
      </w:r>
      <w:r w:rsidRPr="007942A0">
        <w:rPr>
          <w:rFonts w:ascii="Arial" w:hAnsi="Arial" w:cs="Arial"/>
          <w:b w:val="0"/>
          <w:sz w:val="22"/>
          <w:szCs w:val="22"/>
          <w:lang w:eastAsia="ja-JP"/>
        </w:rPr>
        <w:t xml:space="preserve">(see </w:t>
      </w:r>
      <w:r w:rsidR="008F2E61">
        <w:rPr>
          <w:rFonts w:ascii="Arial" w:hAnsi="Arial" w:cs="Arial"/>
          <w:b w:val="0"/>
          <w:sz w:val="22"/>
          <w:szCs w:val="22"/>
          <w:lang w:eastAsia="ja-JP"/>
        </w:rPr>
        <w:t>Table 11).</w:t>
      </w:r>
    </w:p>
    <w:p w14:paraId="42F5BC86" w14:textId="77777777" w:rsidR="009B2C92" w:rsidRPr="007942A0" w:rsidRDefault="009B2C92" w:rsidP="00440E36">
      <w:pPr>
        <w:widowControl w:val="0"/>
        <w:autoSpaceDE w:val="0"/>
        <w:autoSpaceDN w:val="0"/>
        <w:adjustRightInd w:val="0"/>
        <w:rPr>
          <w:rFonts w:cs="Arial"/>
          <w:sz w:val="22"/>
          <w:szCs w:val="22"/>
          <w:lang w:val="en-US" w:eastAsia="ja-JP"/>
        </w:rPr>
      </w:pPr>
    </w:p>
    <w:p w14:paraId="089546DF" w14:textId="71FAA234" w:rsidR="00C42E8E" w:rsidRPr="007942A0" w:rsidRDefault="00C42E8E" w:rsidP="008E4E92">
      <w:pPr>
        <w:autoSpaceDE w:val="0"/>
        <w:autoSpaceDN w:val="0"/>
        <w:adjustRightInd w:val="0"/>
        <w:rPr>
          <w:rFonts w:cs="Arial"/>
          <w:sz w:val="22"/>
          <w:szCs w:val="22"/>
          <w:lang w:val="en-US" w:eastAsia="ja-JP"/>
        </w:rPr>
      </w:pPr>
      <w:r w:rsidRPr="007942A0">
        <w:rPr>
          <w:rFonts w:cs="Arial"/>
          <w:sz w:val="22"/>
          <w:szCs w:val="22"/>
          <w:lang w:eastAsia="ja-JP"/>
        </w:rPr>
        <w:t xml:space="preserve">In the sensitivity analysis where early clinical response was defined as no increase in lesion size (with no fever criteria), </w:t>
      </w:r>
      <w:r w:rsidRPr="007942A0">
        <w:rPr>
          <w:rFonts w:cs="Arial"/>
          <w:sz w:val="22"/>
          <w:szCs w:val="22"/>
          <w:lang w:val="en-US"/>
        </w:rPr>
        <w:t xml:space="preserve">87.0% of patients in the tedizolid phosphate group (n=289; </w:t>
      </w:r>
      <w:r w:rsidRPr="007942A0">
        <w:rPr>
          <w:rFonts w:cs="Arial"/>
          <w:sz w:val="22"/>
          <w:szCs w:val="22"/>
          <w:lang w:val="en-US" w:eastAsia="ja-JP"/>
        </w:rPr>
        <w:t xml:space="preserve">95% CI, 83.0%-90.5%) </w:t>
      </w:r>
      <w:r w:rsidRPr="007942A0">
        <w:rPr>
          <w:rFonts w:cs="Arial"/>
          <w:sz w:val="22"/>
          <w:szCs w:val="22"/>
          <w:lang w:val="en-US"/>
        </w:rPr>
        <w:t xml:space="preserve">and 85.4% in the linezolid group (n=286; </w:t>
      </w:r>
      <w:r w:rsidRPr="007942A0">
        <w:rPr>
          <w:rFonts w:cs="Arial"/>
          <w:sz w:val="22"/>
          <w:szCs w:val="22"/>
          <w:lang w:val="en-US" w:eastAsia="ja-JP"/>
        </w:rPr>
        <w:t xml:space="preserve">95% CI, 81.1%-89.0%) </w:t>
      </w:r>
      <w:r w:rsidRPr="007942A0">
        <w:rPr>
          <w:rFonts w:cs="Arial"/>
          <w:sz w:val="22"/>
          <w:szCs w:val="22"/>
          <w:lang w:val="en-US"/>
        </w:rPr>
        <w:t>met the endpoint (a treatment difference of 1.6% [95% CI, -3.5% to 7.0%)</w:t>
      </w:r>
      <w:r w:rsidRPr="007942A0">
        <w:rPr>
          <w:rFonts w:cs="Arial"/>
          <w:sz w:val="22"/>
          <w:szCs w:val="22"/>
          <w:lang w:val="en-US" w:eastAsia="ja-JP"/>
        </w:rPr>
        <w:t>(</w:t>
      </w:r>
      <w:r w:rsidR="0072307A">
        <w:rPr>
          <w:rFonts w:cs="Arial"/>
          <w:sz w:val="22"/>
          <w:szCs w:val="22"/>
          <w:lang w:val="en-US" w:eastAsia="ja-JP"/>
        </w:rPr>
        <w:fldChar w:fldCharType="begin"/>
      </w:r>
      <w:r w:rsidR="0072307A">
        <w:rPr>
          <w:rFonts w:cs="Arial"/>
          <w:sz w:val="22"/>
          <w:szCs w:val="22"/>
          <w:lang w:val="en-US" w:eastAsia="ja-JP"/>
        </w:rPr>
        <w:instrText xml:space="preserve"> REF _Ref284485921 \r \h </w:instrText>
      </w:r>
      <w:r w:rsidR="0072307A">
        <w:rPr>
          <w:rFonts w:cs="Arial"/>
          <w:sz w:val="22"/>
          <w:szCs w:val="22"/>
          <w:lang w:val="en-US" w:eastAsia="ja-JP"/>
        </w:rPr>
      </w:r>
      <w:r w:rsidR="0072307A">
        <w:rPr>
          <w:rFonts w:cs="Arial"/>
          <w:sz w:val="22"/>
          <w:szCs w:val="22"/>
          <w:lang w:val="en-US" w:eastAsia="ja-JP"/>
        </w:rPr>
        <w:fldChar w:fldCharType="separate"/>
      </w:r>
      <w:r w:rsidR="00151A1C">
        <w:rPr>
          <w:rFonts w:cs="Arial"/>
          <w:sz w:val="22"/>
          <w:szCs w:val="22"/>
          <w:lang w:val="en-US" w:eastAsia="ja-JP"/>
        </w:rPr>
        <w:t>39</w:t>
      </w:r>
      <w:r w:rsidR="0072307A">
        <w:rPr>
          <w:rFonts w:cs="Arial"/>
          <w:sz w:val="22"/>
          <w:szCs w:val="22"/>
          <w:lang w:val="en-US" w:eastAsia="ja-JP"/>
        </w:rPr>
        <w:fldChar w:fldCharType="end"/>
      </w:r>
      <w:r w:rsidRPr="007942A0">
        <w:rPr>
          <w:rFonts w:cs="Arial"/>
          <w:sz w:val="22"/>
          <w:szCs w:val="22"/>
          <w:lang w:val="en-US" w:eastAsia="ja-JP"/>
        </w:rPr>
        <w:t>, Table 3).</w:t>
      </w:r>
    </w:p>
    <w:p w14:paraId="4299D0AF" w14:textId="77777777" w:rsidR="005934C5" w:rsidRPr="007942A0" w:rsidRDefault="005934C5" w:rsidP="008E4E92">
      <w:pPr>
        <w:autoSpaceDE w:val="0"/>
        <w:autoSpaceDN w:val="0"/>
        <w:adjustRightInd w:val="0"/>
        <w:rPr>
          <w:rFonts w:cs="Arial"/>
          <w:sz w:val="22"/>
          <w:szCs w:val="22"/>
          <w:lang w:val="en-US"/>
        </w:rPr>
      </w:pPr>
    </w:p>
    <w:p w14:paraId="3130616E" w14:textId="1F75ABF4" w:rsidR="001F06C8" w:rsidRPr="00112ABA" w:rsidRDefault="00112ABA" w:rsidP="00112ABA">
      <w:pPr>
        <w:autoSpaceDE w:val="0"/>
        <w:autoSpaceDN w:val="0"/>
        <w:adjustRightInd w:val="0"/>
        <w:rPr>
          <w:rFonts w:cs="Arial"/>
          <w:b/>
          <w:sz w:val="22"/>
          <w:szCs w:val="22"/>
          <w:lang w:eastAsia="ja-JP"/>
        </w:rPr>
      </w:pPr>
      <w:r>
        <w:rPr>
          <w:rFonts w:cs="Arial"/>
          <w:b/>
          <w:sz w:val="22"/>
          <w:szCs w:val="22"/>
          <w:lang w:eastAsia="ja-JP"/>
        </w:rPr>
        <w:t xml:space="preserve">3.3.17 </w:t>
      </w:r>
      <w:r w:rsidR="009B2C92" w:rsidRPr="00112ABA">
        <w:rPr>
          <w:rFonts w:cs="Arial"/>
          <w:b/>
          <w:sz w:val="22"/>
          <w:szCs w:val="22"/>
          <w:lang w:eastAsia="ja-JP"/>
        </w:rPr>
        <w:t xml:space="preserve">Analyses of </w:t>
      </w:r>
      <w:r w:rsidR="001F06C8" w:rsidRPr="00112ABA">
        <w:rPr>
          <w:rFonts w:cs="Arial"/>
          <w:b/>
          <w:sz w:val="22"/>
          <w:szCs w:val="22"/>
          <w:lang w:eastAsia="ja-JP"/>
        </w:rPr>
        <w:t>s</w:t>
      </w:r>
      <w:r w:rsidR="00DE4BD8" w:rsidRPr="00112ABA">
        <w:rPr>
          <w:rFonts w:cs="Arial"/>
          <w:b/>
          <w:sz w:val="22"/>
          <w:szCs w:val="22"/>
          <w:lang w:eastAsia="ja-JP"/>
        </w:rPr>
        <w:t>econdary outcome</w:t>
      </w:r>
      <w:r w:rsidR="001F06C8" w:rsidRPr="00112ABA">
        <w:rPr>
          <w:rFonts w:cs="Arial"/>
          <w:b/>
          <w:sz w:val="22"/>
          <w:szCs w:val="22"/>
          <w:lang w:eastAsia="ja-JP"/>
        </w:rPr>
        <w:t>s</w:t>
      </w:r>
    </w:p>
    <w:p w14:paraId="790A8798" w14:textId="0613AF0F" w:rsidR="001F06C8" w:rsidRPr="001750F1" w:rsidRDefault="00112ABA" w:rsidP="00C24317">
      <w:pPr>
        <w:pStyle w:val="ListParagraph"/>
        <w:numPr>
          <w:ilvl w:val="0"/>
          <w:numId w:val="36"/>
        </w:numPr>
        <w:autoSpaceDE w:val="0"/>
        <w:autoSpaceDN w:val="0"/>
        <w:adjustRightInd w:val="0"/>
        <w:ind w:left="360"/>
        <w:rPr>
          <w:rFonts w:cs="Arial"/>
          <w:b/>
          <w:sz w:val="22"/>
          <w:szCs w:val="22"/>
          <w:lang w:eastAsia="ja-JP"/>
        </w:rPr>
      </w:pPr>
      <w:r>
        <w:rPr>
          <w:rFonts w:cs="Arial"/>
          <w:b/>
          <w:sz w:val="22"/>
          <w:szCs w:val="22"/>
          <w:lang w:eastAsia="ja-JP"/>
        </w:rPr>
        <w:t>3.3</w:t>
      </w:r>
      <w:r w:rsidR="001F06C8" w:rsidRPr="001750F1">
        <w:rPr>
          <w:rFonts w:cs="Arial"/>
          <w:b/>
          <w:sz w:val="22"/>
          <w:szCs w:val="22"/>
          <w:lang w:eastAsia="ja-JP"/>
        </w:rPr>
        <w:t xml:space="preserve">.17.1 </w:t>
      </w:r>
      <w:r w:rsidR="00BC5328" w:rsidRPr="001750F1">
        <w:rPr>
          <w:rFonts w:cs="Arial"/>
          <w:b/>
          <w:sz w:val="22"/>
          <w:szCs w:val="22"/>
          <w:lang w:eastAsia="ja-JP"/>
        </w:rPr>
        <w:t>Sustained clinical response at EOT in the ITT population</w:t>
      </w:r>
      <w:r w:rsidR="001F06C8" w:rsidRPr="001750F1">
        <w:rPr>
          <w:rFonts w:cs="Arial"/>
          <w:b/>
          <w:sz w:val="22"/>
          <w:szCs w:val="22"/>
          <w:lang w:eastAsia="ja-JP"/>
        </w:rPr>
        <w:t xml:space="preserve">: </w:t>
      </w:r>
      <w:r w:rsidR="00BC5328" w:rsidRPr="001750F1">
        <w:rPr>
          <w:rFonts w:cs="Arial"/>
          <w:sz w:val="22"/>
          <w:szCs w:val="22"/>
          <w:lang w:eastAsia="ja-JP"/>
        </w:rPr>
        <w:t xml:space="preserve">The sustained clinical treatment response rates at the end of treatment (EOT)(day 11) were similar in both groups in the </w:t>
      </w:r>
      <w:r w:rsidR="0069387D" w:rsidRPr="001750F1">
        <w:rPr>
          <w:rFonts w:cs="Arial"/>
          <w:sz w:val="22"/>
          <w:szCs w:val="22"/>
          <w:lang w:eastAsia="ja-JP"/>
        </w:rPr>
        <w:t>ITT population:</w:t>
      </w:r>
      <w:r w:rsidR="00BC5328" w:rsidRPr="001750F1">
        <w:rPr>
          <w:rFonts w:cs="Arial"/>
          <w:sz w:val="22"/>
          <w:szCs w:val="22"/>
          <w:lang w:eastAsia="ja-JP"/>
        </w:rPr>
        <w:t xml:space="preserve"> 69.3% (95% CI, 64.0% to 74.2%) in the </w:t>
      </w:r>
      <w:r w:rsidR="00BC5328" w:rsidRPr="001750F1">
        <w:rPr>
          <w:rFonts w:cs="Arial"/>
          <w:sz w:val="22"/>
          <w:szCs w:val="22"/>
          <w:lang w:eastAsia="ja-JP"/>
        </w:rPr>
        <w:lastRenderedPageBreak/>
        <w:t>tedizolid phosphate group and 71.9% (95% CI, 66.8% to 76.7%) in the linezolid group (a</w:t>
      </w:r>
      <w:r w:rsidR="004D4D22" w:rsidRPr="001750F1">
        <w:rPr>
          <w:rFonts w:cs="Arial"/>
          <w:sz w:val="22"/>
          <w:szCs w:val="22"/>
          <w:lang w:eastAsia="ja-JP"/>
        </w:rPr>
        <w:t>n absolute</w:t>
      </w:r>
      <w:r w:rsidR="00BC5328" w:rsidRPr="001750F1">
        <w:rPr>
          <w:rFonts w:cs="Arial"/>
          <w:sz w:val="22"/>
          <w:szCs w:val="22"/>
          <w:lang w:eastAsia="ja-JP"/>
        </w:rPr>
        <w:t xml:space="preserve"> treatment difference of -2.6% [95% CI, -9.6% to 4.2%]) (</w:t>
      </w:r>
      <w:r w:rsidR="0072307A">
        <w:rPr>
          <w:rFonts w:cs="Arial"/>
          <w:sz w:val="22"/>
          <w:szCs w:val="22"/>
          <w:lang w:eastAsia="ja-JP"/>
        </w:rPr>
        <w:fldChar w:fldCharType="begin"/>
      </w:r>
      <w:r w:rsidR="0072307A">
        <w:rPr>
          <w:rFonts w:cs="Arial"/>
          <w:sz w:val="22"/>
          <w:szCs w:val="22"/>
          <w:lang w:eastAsia="ja-JP"/>
        </w:rPr>
        <w:instrText xml:space="preserve"> REF _Ref284485921 \r \h </w:instrText>
      </w:r>
      <w:r w:rsidR="0072307A">
        <w:rPr>
          <w:rFonts w:cs="Arial"/>
          <w:sz w:val="22"/>
          <w:szCs w:val="22"/>
          <w:lang w:eastAsia="ja-JP"/>
        </w:rPr>
      </w:r>
      <w:r w:rsidR="0072307A">
        <w:rPr>
          <w:rFonts w:cs="Arial"/>
          <w:sz w:val="22"/>
          <w:szCs w:val="22"/>
          <w:lang w:eastAsia="ja-JP"/>
        </w:rPr>
        <w:fldChar w:fldCharType="separate"/>
      </w:r>
      <w:r w:rsidR="00151A1C">
        <w:rPr>
          <w:rFonts w:cs="Arial"/>
          <w:sz w:val="22"/>
          <w:szCs w:val="22"/>
          <w:lang w:eastAsia="ja-JP"/>
        </w:rPr>
        <w:t>39</w:t>
      </w:r>
      <w:r w:rsidR="0072307A">
        <w:rPr>
          <w:rFonts w:cs="Arial"/>
          <w:sz w:val="22"/>
          <w:szCs w:val="22"/>
          <w:lang w:eastAsia="ja-JP"/>
        </w:rPr>
        <w:fldChar w:fldCharType="end"/>
      </w:r>
      <w:r w:rsidR="00BC5328" w:rsidRPr="001750F1">
        <w:rPr>
          <w:rFonts w:cs="Arial"/>
          <w:sz w:val="22"/>
          <w:szCs w:val="22"/>
          <w:lang w:eastAsia="ja-JP"/>
        </w:rPr>
        <w:t>).</w:t>
      </w:r>
    </w:p>
    <w:p w14:paraId="7CEC17D1" w14:textId="77777777" w:rsidR="001F06C8" w:rsidRPr="001750F1" w:rsidRDefault="001F06C8" w:rsidP="00904EC9">
      <w:pPr>
        <w:autoSpaceDE w:val="0"/>
        <w:autoSpaceDN w:val="0"/>
        <w:adjustRightInd w:val="0"/>
        <w:rPr>
          <w:rFonts w:cs="Arial"/>
          <w:b/>
          <w:sz w:val="22"/>
          <w:szCs w:val="22"/>
          <w:lang w:eastAsia="ja-JP"/>
        </w:rPr>
      </w:pPr>
    </w:p>
    <w:p w14:paraId="184F01EE" w14:textId="1EB6B548" w:rsidR="001F06C8" w:rsidRPr="001750F1" w:rsidRDefault="00112ABA" w:rsidP="00C24317">
      <w:pPr>
        <w:pStyle w:val="ListParagraph"/>
        <w:numPr>
          <w:ilvl w:val="0"/>
          <w:numId w:val="36"/>
        </w:numPr>
        <w:autoSpaceDE w:val="0"/>
        <w:autoSpaceDN w:val="0"/>
        <w:adjustRightInd w:val="0"/>
        <w:ind w:left="360"/>
        <w:rPr>
          <w:rFonts w:cs="Arial"/>
          <w:b/>
          <w:sz w:val="22"/>
          <w:szCs w:val="22"/>
          <w:lang w:eastAsia="ja-JP"/>
        </w:rPr>
      </w:pPr>
      <w:r>
        <w:rPr>
          <w:rFonts w:cs="Arial"/>
          <w:b/>
          <w:sz w:val="22"/>
          <w:szCs w:val="22"/>
          <w:lang w:eastAsia="ja-JP"/>
        </w:rPr>
        <w:t>3.3</w:t>
      </w:r>
      <w:r w:rsidR="001F06C8" w:rsidRPr="001750F1">
        <w:rPr>
          <w:rFonts w:cs="Arial"/>
          <w:b/>
          <w:sz w:val="22"/>
          <w:szCs w:val="22"/>
          <w:lang w:eastAsia="ja-JP"/>
        </w:rPr>
        <w:t xml:space="preserve">.17.2 </w:t>
      </w:r>
      <w:r w:rsidR="0069387D" w:rsidRPr="001750F1">
        <w:rPr>
          <w:rFonts w:cs="Arial"/>
          <w:b/>
          <w:sz w:val="22"/>
          <w:szCs w:val="22"/>
          <w:lang w:eastAsia="ja-JP"/>
        </w:rPr>
        <w:t>Sustained clinical response at EOT in the CE-EOT population</w:t>
      </w:r>
      <w:r w:rsidR="001F06C8" w:rsidRPr="001750F1">
        <w:rPr>
          <w:rFonts w:cs="Arial"/>
          <w:b/>
          <w:sz w:val="22"/>
          <w:szCs w:val="22"/>
          <w:lang w:eastAsia="ja-JP"/>
        </w:rPr>
        <w:t xml:space="preserve">: </w:t>
      </w:r>
      <w:r w:rsidR="0069387D" w:rsidRPr="001750F1">
        <w:rPr>
          <w:rFonts w:cs="Arial"/>
          <w:sz w:val="22"/>
          <w:szCs w:val="22"/>
          <w:lang w:eastAsia="ja-JP"/>
        </w:rPr>
        <w:t xml:space="preserve">The sustained clinical treatment response rates at the end of treatment (EOT)(day 11) were similar in both groups in the CE-EOT analysis: </w:t>
      </w:r>
      <w:r w:rsidR="004D4D22" w:rsidRPr="001750F1">
        <w:rPr>
          <w:rFonts w:cs="Arial"/>
          <w:sz w:val="22"/>
          <w:szCs w:val="22"/>
          <w:lang w:eastAsia="ja-JP"/>
        </w:rPr>
        <w:t>80.2</w:t>
      </w:r>
      <w:r w:rsidR="0069387D" w:rsidRPr="001750F1">
        <w:rPr>
          <w:rFonts w:cs="Arial"/>
          <w:sz w:val="22"/>
          <w:szCs w:val="22"/>
          <w:lang w:eastAsia="ja-JP"/>
        </w:rPr>
        <w:t xml:space="preserve">% (95% CI, </w:t>
      </w:r>
      <w:r w:rsidR="004D4D22" w:rsidRPr="001750F1">
        <w:rPr>
          <w:rFonts w:cs="Arial"/>
          <w:sz w:val="22"/>
          <w:szCs w:val="22"/>
          <w:lang w:eastAsia="ja-JP"/>
        </w:rPr>
        <w:t>80.0% to 84.8</w:t>
      </w:r>
      <w:r w:rsidR="0069387D" w:rsidRPr="001750F1">
        <w:rPr>
          <w:rFonts w:cs="Arial"/>
          <w:sz w:val="22"/>
          <w:szCs w:val="22"/>
          <w:lang w:eastAsia="ja-JP"/>
        </w:rPr>
        <w:t xml:space="preserve">%) in the tedizolid phosphate group and </w:t>
      </w:r>
      <w:r w:rsidR="004D4D22" w:rsidRPr="001750F1">
        <w:rPr>
          <w:rFonts w:cs="Arial"/>
          <w:sz w:val="22"/>
          <w:szCs w:val="22"/>
          <w:lang w:eastAsia="ja-JP"/>
        </w:rPr>
        <w:t>81.1</w:t>
      </w:r>
      <w:r w:rsidR="0069387D" w:rsidRPr="001750F1">
        <w:rPr>
          <w:rFonts w:cs="Arial"/>
          <w:sz w:val="22"/>
          <w:szCs w:val="22"/>
          <w:lang w:eastAsia="ja-JP"/>
        </w:rPr>
        <w:t>% (95% CI,</w:t>
      </w:r>
      <w:r w:rsidR="004D4D22" w:rsidRPr="001750F1">
        <w:rPr>
          <w:rFonts w:cs="Arial"/>
          <w:sz w:val="22"/>
          <w:szCs w:val="22"/>
          <w:lang w:eastAsia="ja-JP"/>
        </w:rPr>
        <w:t xml:space="preserve"> 76.1 to 85.5%</w:t>
      </w:r>
      <w:r w:rsidR="0069387D" w:rsidRPr="001750F1">
        <w:rPr>
          <w:rFonts w:cs="Arial"/>
          <w:sz w:val="22"/>
          <w:szCs w:val="22"/>
          <w:lang w:eastAsia="ja-JP"/>
        </w:rPr>
        <w:t>) in the linezolid group (a</w:t>
      </w:r>
      <w:r w:rsidR="004D4D22" w:rsidRPr="001750F1">
        <w:rPr>
          <w:rFonts w:cs="Arial"/>
          <w:sz w:val="22"/>
          <w:szCs w:val="22"/>
          <w:lang w:eastAsia="ja-JP"/>
        </w:rPr>
        <w:t>n absolute treatment difference of -0.9</w:t>
      </w:r>
      <w:r w:rsidR="0069387D" w:rsidRPr="001750F1">
        <w:rPr>
          <w:rFonts w:cs="Arial"/>
          <w:sz w:val="22"/>
          <w:szCs w:val="22"/>
          <w:lang w:eastAsia="ja-JP"/>
        </w:rPr>
        <w:t>% [95% CI, -</w:t>
      </w:r>
      <w:r w:rsidR="004D4D22" w:rsidRPr="001750F1">
        <w:rPr>
          <w:rFonts w:cs="Arial"/>
          <w:sz w:val="22"/>
          <w:szCs w:val="22"/>
          <w:lang w:eastAsia="ja-JP"/>
        </w:rPr>
        <w:t>7.7% to 5.4</w:t>
      </w:r>
      <w:r w:rsidR="0069387D" w:rsidRPr="001750F1">
        <w:rPr>
          <w:rFonts w:cs="Arial"/>
          <w:sz w:val="22"/>
          <w:szCs w:val="22"/>
          <w:lang w:eastAsia="ja-JP"/>
        </w:rPr>
        <w:t>%]) (</w:t>
      </w:r>
      <w:r w:rsidR="0072307A">
        <w:rPr>
          <w:rFonts w:cs="Arial"/>
          <w:sz w:val="22"/>
          <w:szCs w:val="22"/>
          <w:lang w:eastAsia="ja-JP"/>
        </w:rPr>
        <w:fldChar w:fldCharType="begin"/>
      </w:r>
      <w:r w:rsidR="0072307A">
        <w:rPr>
          <w:rFonts w:cs="Arial"/>
          <w:sz w:val="22"/>
          <w:szCs w:val="22"/>
          <w:lang w:eastAsia="ja-JP"/>
        </w:rPr>
        <w:instrText xml:space="preserve"> REF _Ref284485921 \r \h </w:instrText>
      </w:r>
      <w:r w:rsidR="0072307A">
        <w:rPr>
          <w:rFonts w:cs="Arial"/>
          <w:sz w:val="22"/>
          <w:szCs w:val="22"/>
          <w:lang w:eastAsia="ja-JP"/>
        </w:rPr>
      </w:r>
      <w:r w:rsidR="0072307A">
        <w:rPr>
          <w:rFonts w:cs="Arial"/>
          <w:sz w:val="22"/>
          <w:szCs w:val="22"/>
          <w:lang w:eastAsia="ja-JP"/>
        </w:rPr>
        <w:fldChar w:fldCharType="separate"/>
      </w:r>
      <w:r w:rsidR="00151A1C">
        <w:rPr>
          <w:rFonts w:cs="Arial"/>
          <w:sz w:val="22"/>
          <w:szCs w:val="22"/>
          <w:lang w:eastAsia="ja-JP"/>
        </w:rPr>
        <w:t>39</w:t>
      </w:r>
      <w:r w:rsidR="0072307A">
        <w:rPr>
          <w:rFonts w:cs="Arial"/>
          <w:sz w:val="22"/>
          <w:szCs w:val="22"/>
          <w:lang w:eastAsia="ja-JP"/>
        </w:rPr>
        <w:fldChar w:fldCharType="end"/>
      </w:r>
      <w:r w:rsidR="0069387D" w:rsidRPr="001750F1">
        <w:rPr>
          <w:rFonts w:cs="Arial"/>
          <w:sz w:val="22"/>
          <w:szCs w:val="22"/>
          <w:lang w:eastAsia="ja-JP"/>
        </w:rPr>
        <w:t>).</w:t>
      </w:r>
    </w:p>
    <w:p w14:paraId="085A960E" w14:textId="77777777" w:rsidR="001F06C8" w:rsidRPr="001750F1" w:rsidRDefault="001F06C8" w:rsidP="00904EC9">
      <w:pPr>
        <w:autoSpaceDE w:val="0"/>
        <w:autoSpaceDN w:val="0"/>
        <w:adjustRightInd w:val="0"/>
        <w:rPr>
          <w:rFonts w:cs="Arial"/>
          <w:b/>
          <w:sz w:val="22"/>
          <w:szCs w:val="22"/>
          <w:lang w:eastAsia="ja-JP"/>
        </w:rPr>
      </w:pPr>
    </w:p>
    <w:p w14:paraId="7A04C07D" w14:textId="0DD66E76" w:rsidR="004D4D22" w:rsidRPr="001750F1" w:rsidRDefault="001F06C8" w:rsidP="00C24317">
      <w:pPr>
        <w:pStyle w:val="ListParagraph"/>
        <w:numPr>
          <w:ilvl w:val="0"/>
          <w:numId w:val="36"/>
        </w:numPr>
        <w:autoSpaceDE w:val="0"/>
        <w:autoSpaceDN w:val="0"/>
        <w:adjustRightInd w:val="0"/>
        <w:ind w:left="360"/>
        <w:rPr>
          <w:rFonts w:cs="Arial"/>
          <w:b/>
          <w:sz w:val="22"/>
          <w:szCs w:val="22"/>
          <w:lang w:eastAsia="ja-JP"/>
        </w:rPr>
      </w:pPr>
      <w:r w:rsidRPr="001750F1">
        <w:rPr>
          <w:rFonts w:cs="Arial"/>
          <w:b/>
          <w:sz w:val="22"/>
          <w:szCs w:val="22"/>
          <w:lang w:eastAsia="ja-JP"/>
        </w:rPr>
        <w:t>3.</w:t>
      </w:r>
      <w:r w:rsidR="00112ABA">
        <w:rPr>
          <w:rFonts w:cs="Arial"/>
          <w:b/>
          <w:sz w:val="22"/>
          <w:szCs w:val="22"/>
          <w:lang w:val="en-US" w:eastAsia="ja-JP"/>
        </w:rPr>
        <w:t>3</w:t>
      </w:r>
      <w:r w:rsidRPr="001750F1">
        <w:rPr>
          <w:rFonts w:cs="Arial"/>
          <w:b/>
          <w:sz w:val="22"/>
          <w:szCs w:val="22"/>
          <w:lang w:val="en-US" w:eastAsia="ja-JP"/>
        </w:rPr>
        <w:t xml:space="preserve">.17.3 </w:t>
      </w:r>
      <w:r w:rsidR="004D4D22" w:rsidRPr="001750F1">
        <w:rPr>
          <w:rFonts w:cs="Arial"/>
          <w:b/>
          <w:sz w:val="22"/>
          <w:szCs w:val="22"/>
          <w:lang w:val="en-US" w:eastAsia="ja-JP"/>
        </w:rPr>
        <w:t>Investigator-assessed clinical treatment response at the PTE visit in the ITT population</w:t>
      </w:r>
      <w:r w:rsidR="001750F1" w:rsidRPr="001750F1">
        <w:rPr>
          <w:rFonts w:cs="Arial"/>
          <w:b/>
          <w:sz w:val="22"/>
          <w:szCs w:val="22"/>
          <w:lang w:val="en-US" w:eastAsia="ja-JP"/>
        </w:rPr>
        <w:t xml:space="preserve">: </w:t>
      </w:r>
      <w:r w:rsidR="00440E36" w:rsidRPr="001750F1">
        <w:rPr>
          <w:rFonts w:cs="Arial"/>
          <w:sz w:val="22"/>
          <w:szCs w:val="22"/>
          <w:lang w:val="en-US" w:eastAsia="ja-JP"/>
        </w:rPr>
        <w:t>Investigator-assessed clinical</w:t>
      </w:r>
      <w:r w:rsidR="004D4D22" w:rsidRPr="001750F1">
        <w:rPr>
          <w:rFonts w:cs="Arial"/>
          <w:sz w:val="22"/>
          <w:szCs w:val="22"/>
          <w:lang w:val="en-US" w:eastAsia="ja-JP"/>
        </w:rPr>
        <w:t xml:space="preserve"> </w:t>
      </w:r>
      <w:r w:rsidR="00440E36" w:rsidRPr="001750F1">
        <w:rPr>
          <w:rFonts w:cs="Arial"/>
          <w:sz w:val="22"/>
          <w:szCs w:val="22"/>
          <w:lang w:val="en-US" w:eastAsia="ja-JP"/>
        </w:rPr>
        <w:t>treatment response at the PTE visit</w:t>
      </w:r>
      <w:r w:rsidR="004D4D22" w:rsidRPr="001750F1">
        <w:rPr>
          <w:rFonts w:cs="Arial"/>
          <w:sz w:val="22"/>
          <w:szCs w:val="22"/>
          <w:lang w:val="en-US" w:eastAsia="ja-JP"/>
        </w:rPr>
        <w:t xml:space="preserve"> </w:t>
      </w:r>
      <w:r w:rsidR="00440E36" w:rsidRPr="001750F1">
        <w:rPr>
          <w:rFonts w:cs="Arial"/>
          <w:sz w:val="22"/>
          <w:szCs w:val="22"/>
          <w:lang w:val="en-US" w:eastAsia="ja-JP"/>
        </w:rPr>
        <w:t>was also similar in the tedizolid phosphate</w:t>
      </w:r>
      <w:r w:rsidR="00440E36" w:rsidRPr="001750F1">
        <w:rPr>
          <w:rFonts w:cs="Arial"/>
          <w:sz w:val="22"/>
          <w:szCs w:val="22"/>
          <w:lang w:eastAsia="ja-JP"/>
        </w:rPr>
        <w:t xml:space="preserve"> </w:t>
      </w:r>
      <w:r w:rsidR="00440E36" w:rsidRPr="001750F1">
        <w:rPr>
          <w:rFonts w:cs="Arial"/>
          <w:sz w:val="22"/>
          <w:szCs w:val="22"/>
          <w:lang w:val="en-US" w:eastAsia="ja-JP"/>
        </w:rPr>
        <w:t>and linezolid groups in the ITT</w:t>
      </w:r>
      <w:r w:rsidR="004D4D22" w:rsidRPr="001750F1">
        <w:rPr>
          <w:rFonts w:cs="Arial"/>
          <w:sz w:val="22"/>
          <w:szCs w:val="22"/>
          <w:lang w:val="en-US" w:eastAsia="ja-JP"/>
        </w:rPr>
        <w:t xml:space="preserve"> </w:t>
      </w:r>
      <w:r w:rsidR="00440E36" w:rsidRPr="001750F1">
        <w:rPr>
          <w:rFonts w:cs="Arial"/>
          <w:sz w:val="22"/>
          <w:szCs w:val="22"/>
          <w:lang w:val="en-US" w:eastAsia="ja-JP"/>
        </w:rPr>
        <w:t xml:space="preserve">analysis set (85.5% </w:t>
      </w:r>
      <w:r w:rsidR="004D4D22" w:rsidRPr="001750F1">
        <w:rPr>
          <w:rFonts w:cs="Arial"/>
          <w:sz w:val="22"/>
          <w:szCs w:val="22"/>
          <w:lang w:val="en-US" w:eastAsia="ja-JP"/>
        </w:rPr>
        <w:t xml:space="preserve">[95% CI, 81.3% to 89.1%] </w:t>
      </w:r>
      <w:r w:rsidR="00440E36" w:rsidRPr="001750F1">
        <w:rPr>
          <w:rFonts w:cs="Arial"/>
          <w:sz w:val="22"/>
          <w:szCs w:val="22"/>
          <w:lang w:val="en-US" w:eastAsia="ja-JP"/>
        </w:rPr>
        <w:t>vs 86.0%</w:t>
      </w:r>
      <w:r w:rsidR="004D4D22" w:rsidRPr="001750F1">
        <w:rPr>
          <w:rFonts w:cs="Arial"/>
          <w:sz w:val="22"/>
          <w:szCs w:val="22"/>
          <w:lang w:val="en-US" w:eastAsia="ja-JP"/>
        </w:rPr>
        <w:t xml:space="preserve"> [95% CI, 81.8% to 89.5%]</w:t>
      </w:r>
      <w:r w:rsidR="00440E36" w:rsidRPr="001750F1">
        <w:rPr>
          <w:rFonts w:cs="Arial"/>
          <w:sz w:val="22"/>
          <w:szCs w:val="22"/>
          <w:lang w:val="en-US" w:eastAsia="ja-JP"/>
        </w:rPr>
        <w:t>, respectively)</w:t>
      </w:r>
      <w:r w:rsidR="004D4D22" w:rsidRPr="001750F1">
        <w:rPr>
          <w:rFonts w:cs="Arial"/>
          <w:sz w:val="22"/>
          <w:szCs w:val="22"/>
          <w:lang w:val="en-US" w:eastAsia="ja-JP"/>
        </w:rPr>
        <w:t xml:space="preserve"> </w:t>
      </w:r>
      <w:r w:rsidR="00440E36" w:rsidRPr="001750F1">
        <w:rPr>
          <w:rFonts w:cs="Arial"/>
          <w:sz w:val="22"/>
          <w:szCs w:val="22"/>
          <w:lang w:val="en-US" w:eastAsia="ja-JP"/>
        </w:rPr>
        <w:t>and in the CE-PTE analysis set</w:t>
      </w:r>
      <w:r w:rsidR="001B7D67" w:rsidRPr="001750F1">
        <w:rPr>
          <w:rFonts w:cs="Arial"/>
          <w:sz w:val="22"/>
          <w:szCs w:val="22"/>
          <w:lang w:val="en-US" w:eastAsia="ja-JP"/>
        </w:rPr>
        <w:t xml:space="preserve"> </w:t>
      </w:r>
      <w:r w:rsidR="00440E36" w:rsidRPr="001750F1">
        <w:rPr>
          <w:rFonts w:cs="Arial"/>
          <w:sz w:val="22"/>
          <w:szCs w:val="22"/>
          <w:lang w:val="en-US" w:eastAsia="ja-JP"/>
        </w:rPr>
        <w:t xml:space="preserve">(94.6% </w:t>
      </w:r>
      <w:r w:rsidR="001B7D67" w:rsidRPr="001750F1">
        <w:rPr>
          <w:rFonts w:cs="Arial"/>
          <w:sz w:val="22"/>
          <w:szCs w:val="22"/>
          <w:lang w:val="en-US" w:eastAsia="ja-JP"/>
        </w:rPr>
        <w:t>[95%CI, 91.3% to</w:t>
      </w:r>
      <w:r w:rsidR="004D4D22" w:rsidRPr="001750F1">
        <w:rPr>
          <w:rFonts w:cs="Arial"/>
          <w:sz w:val="22"/>
          <w:szCs w:val="22"/>
          <w:lang w:val="en-US" w:eastAsia="ja-JP"/>
        </w:rPr>
        <w:t xml:space="preserve"> 97.0%] </w:t>
      </w:r>
      <w:r w:rsidR="00440E36" w:rsidRPr="001750F1">
        <w:rPr>
          <w:rFonts w:cs="Arial"/>
          <w:sz w:val="22"/>
          <w:szCs w:val="22"/>
          <w:lang w:val="en-US" w:eastAsia="ja-JP"/>
        </w:rPr>
        <w:t>vs 95.4%</w:t>
      </w:r>
      <w:r w:rsidR="004D4D22" w:rsidRPr="001750F1">
        <w:rPr>
          <w:rFonts w:cs="Arial"/>
          <w:sz w:val="22"/>
          <w:szCs w:val="22"/>
          <w:lang w:val="en-US" w:eastAsia="ja-JP"/>
        </w:rPr>
        <w:t xml:space="preserve"> </w:t>
      </w:r>
      <w:r w:rsidR="001B7D67" w:rsidRPr="001750F1">
        <w:rPr>
          <w:rFonts w:cs="Arial"/>
          <w:sz w:val="22"/>
          <w:szCs w:val="22"/>
          <w:lang w:val="en-US" w:eastAsia="ja-JP"/>
        </w:rPr>
        <w:t>[95% CI, 92.2% to 97.5%</w:t>
      </w:r>
      <w:r w:rsidR="004D4D22" w:rsidRPr="001750F1">
        <w:rPr>
          <w:rFonts w:cs="Arial"/>
          <w:sz w:val="22"/>
          <w:szCs w:val="22"/>
          <w:lang w:val="en-US" w:eastAsia="ja-JP"/>
        </w:rPr>
        <w:t>, respectively</w:t>
      </w:r>
      <w:r w:rsidR="00440E36" w:rsidRPr="001750F1">
        <w:rPr>
          <w:rFonts w:cs="Arial"/>
          <w:sz w:val="22"/>
          <w:szCs w:val="22"/>
          <w:lang w:val="en-US" w:eastAsia="ja-JP"/>
        </w:rPr>
        <w:t xml:space="preserve">). </w:t>
      </w:r>
    </w:p>
    <w:p w14:paraId="3A5B3995" w14:textId="77777777" w:rsidR="004D4D22" w:rsidRPr="00783040" w:rsidRDefault="004D4D22" w:rsidP="00440E36">
      <w:pPr>
        <w:widowControl w:val="0"/>
        <w:autoSpaceDE w:val="0"/>
        <w:autoSpaceDN w:val="0"/>
        <w:adjustRightInd w:val="0"/>
        <w:rPr>
          <w:rFonts w:cs="Arial"/>
          <w:color w:val="FF0000"/>
          <w:sz w:val="22"/>
          <w:szCs w:val="22"/>
          <w:lang w:val="en-US" w:eastAsia="ja-JP"/>
        </w:rPr>
      </w:pPr>
    </w:p>
    <w:p w14:paraId="43B8BA32" w14:textId="37BA5E00" w:rsidR="001B7D67" w:rsidRPr="00721E8D" w:rsidRDefault="00440E36" w:rsidP="00440E36">
      <w:pPr>
        <w:widowControl w:val="0"/>
        <w:autoSpaceDE w:val="0"/>
        <w:autoSpaceDN w:val="0"/>
        <w:adjustRightInd w:val="0"/>
        <w:rPr>
          <w:rFonts w:cs="Arial"/>
          <w:sz w:val="22"/>
          <w:szCs w:val="22"/>
          <w:lang w:val="en-US" w:eastAsia="ja-JP"/>
        </w:rPr>
      </w:pPr>
      <w:r w:rsidRPr="00721E8D">
        <w:rPr>
          <w:rFonts w:cs="Arial"/>
          <w:sz w:val="22"/>
          <w:szCs w:val="22"/>
          <w:lang w:val="en-US" w:eastAsia="ja-JP"/>
        </w:rPr>
        <w:t>For all of these secondary</w:t>
      </w:r>
      <w:r w:rsidR="001B7D67" w:rsidRPr="00721E8D">
        <w:rPr>
          <w:rFonts w:cs="Arial"/>
          <w:sz w:val="22"/>
          <w:szCs w:val="22"/>
          <w:lang w:val="en-US" w:eastAsia="ja-JP"/>
        </w:rPr>
        <w:t xml:space="preserve"> </w:t>
      </w:r>
      <w:r w:rsidRPr="00721E8D">
        <w:rPr>
          <w:rFonts w:cs="Arial"/>
          <w:sz w:val="22"/>
          <w:szCs w:val="22"/>
          <w:lang w:val="en-US" w:eastAsia="ja-JP"/>
        </w:rPr>
        <w:t>analyses, the lower limit of the</w:t>
      </w:r>
      <w:r w:rsidR="001B7D67" w:rsidRPr="00721E8D">
        <w:rPr>
          <w:rFonts w:cs="Arial"/>
          <w:sz w:val="22"/>
          <w:szCs w:val="22"/>
          <w:lang w:val="en-US" w:eastAsia="ja-JP"/>
        </w:rPr>
        <w:t xml:space="preserve"> </w:t>
      </w:r>
      <w:r w:rsidRPr="00721E8D">
        <w:rPr>
          <w:rFonts w:cs="Arial"/>
          <w:sz w:val="22"/>
          <w:szCs w:val="22"/>
          <w:lang w:val="en-US" w:eastAsia="ja-JP"/>
        </w:rPr>
        <w:t>95% confidence interval for the difference</w:t>
      </w:r>
      <w:r w:rsidR="001B7D67" w:rsidRPr="00721E8D">
        <w:rPr>
          <w:rFonts w:cs="Arial"/>
          <w:sz w:val="22"/>
          <w:szCs w:val="22"/>
          <w:lang w:val="en-US" w:eastAsia="ja-JP"/>
        </w:rPr>
        <w:t xml:space="preserve"> </w:t>
      </w:r>
      <w:r w:rsidR="004D4D22" w:rsidRPr="00721E8D">
        <w:rPr>
          <w:rFonts w:cs="Arial"/>
          <w:sz w:val="22"/>
          <w:szCs w:val="22"/>
          <w:lang w:val="en-US" w:eastAsia="ja-JP"/>
        </w:rPr>
        <w:t>was above -</w:t>
      </w:r>
      <w:r w:rsidR="00721E8D" w:rsidRPr="00721E8D">
        <w:rPr>
          <w:rFonts w:cs="Arial"/>
          <w:sz w:val="22"/>
          <w:szCs w:val="22"/>
          <w:lang w:val="en-US" w:eastAsia="ja-JP"/>
        </w:rPr>
        <w:t xml:space="preserve">10%; and thus the </w:t>
      </w:r>
      <w:r w:rsidRPr="00721E8D">
        <w:rPr>
          <w:rFonts w:cs="Arial"/>
          <w:sz w:val="22"/>
          <w:szCs w:val="22"/>
          <w:lang w:val="en-US" w:eastAsia="ja-JP"/>
        </w:rPr>
        <w:t>non</w:t>
      </w:r>
      <w:r w:rsidR="001B7D67" w:rsidRPr="00721E8D">
        <w:rPr>
          <w:rFonts w:cs="Arial"/>
          <w:sz w:val="22"/>
          <w:szCs w:val="22"/>
          <w:lang w:val="en-US" w:eastAsia="ja-JP"/>
        </w:rPr>
        <w:t>-</w:t>
      </w:r>
      <w:r w:rsidRPr="00721E8D">
        <w:rPr>
          <w:rFonts w:cs="Arial"/>
          <w:sz w:val="22"/>
          <w:szCs w:val="22"/>
          <w:lang w:val="en-US" w:eastAsia="ja-JP"/>
        </w:rPr>
        <w:t xml:space="preserve">inferiority </w:t>
      </w:r>
      <w:r w:rsidR="00721E8D" w:rsidRPr="00721E8D">
        <w:rPr>
          <w:rFonts w:cs="Arial"/>
          <w:sz w:val="22"/>
          <w:szCs w:val="22"/>
          <w:lang w:val="en-US" w:eastAsia="ja-JP"/>
        </w:rPr>
        <w:t xml:space="preserve">of tedizolid phosphate to linezolid </w:t>
      </w:r>
      <w:r w:rsidRPr="00721E8D">
        <w:rPr>
          <w:rFonts w:cs="Arial"/>
          <w:sz w:val="22"/>
          <w:szCs w:val="22"/>
          <w:lang w:val="en-US" w:eastAsia="ja-JP"/>
        </w:rPr>
        <w:t>can be concluded for each</w:t>
      </w:r>
      <w:r w:rsidR="001B7D67" w:rsidRPr="00721E8D">
        <w:rPr>
          <w:rFonts w:cs="Arial"/>
          <w:sz w:val="22"/>
          <w:szCs w:val="22"/>
          <w:lang w:val="en-US" w:eastAsia="ja-JP"/>
        </w:rPr>
        <w:t xml:space="preserve"> of these </w:t>
      </w:r>
      <w:r w:rsidRPr="00721E8D">
        <w:rPr>
          <w:rFonts w:cs="Arial"/>
          <w:sz w:val="22"/>
          <w:szCs w:val="22"/>
          <w:lang w:val="en-US" w:eastAsia="ja-JP"/>
        </w:rPr>
        <w:t>secondary outcome measures.</w:t>
      </w:r>
    </w:p>
    <w:p w14:paraId="23879930" w14:textId="77777777" w:rsidR="00C37493" w:rsidRPr="00721E8D" w:rsidRDefault="00C37493" w:rsidP="00440E36">
      <w:pPr>
        <w:widowControl w:val="0"/>
        <w:autoSpaceDE w:val="0"/>
        <w:autoSpaceDN w:val="0"/>
        <w:adjustRightInd w:val="0"/>
        <w:rPr>
          <w:rFonts w:cs="Arial"/>
          <w:sz w:val="22"/>
          <w:szCs w:val="22"/>
          <w:lang w:val="en-US" w:eastAsia="ja-JP"/>
        </w:rPr>
      </w:pPr>
    </w:p>
    <w:p w14:paraId="3371BEBB" w14:textId="7AA0AD5C" w:rsidR="00C37493" w:rsidRPr="00721E8D" w:rsidRDefault="00721E8D" w:rsidP="00C37493">
      <w:pPr>
        <w:widowControl w:val="0"/>
        <w:autoSpaceDE w:val="0"/>
        <w:autoSpaceDN w:val="0"/>
        <w:adjustRightInd w:val="0"/>
        <w:rPr>
          <w:rFonts w:cs="Arial"/>
          <w:sz w:val="22"/>
          <w:szCs w:val="22"/>
          <w:lang w:val="en-US" w:eastAsia="ja-JP"/>
        </w:rPr>
      </w:pPr>
      <w:r w:rsidRPr="00721E8D">
        <w:rPr>
          <w:rFonts w:cs="Arial"/>
          <w:sz w:val="22"/>
          <w:szCs w:val="22"/>
          <w:lang w:val="en-US" w:eastAsia="ja-JP"/>
        </w:rPr>
        <w:t>The main s</w:t>
      </w:r>
      <w:r w:rsidR="00C37493" w:rsidRPr="00721E8D">
        <w:rPr>
          <w:rFonts w:cs="Arial"/>
          <w:sz w:val="22"/>
          <w:szCs w:val="22"/>
          <w:lang w:val="en-US" w:eastAsia="ja-JP"/>
        </w:rPr>
        <w:t xml:space="preserve">econdary outcomes are summarised </w:t>
      </w:r>
      <w:r w:rsidR="00C37493" w:rsidRPr="00A21E46">
        <w:rPr>
          <w:rFonts w:cs="Arial"/>
          <w:sz w:val="22"/>
          <w:szCs w:val="22"/>
          <w:lang w:val="en-US" w:eastAsia="ja-JP"/>
        </w:rPr>
        <w:t xml:space="preserve">in </w:t>
      </w:r>
      <w:r w:rsidRPr="00226B08">
        <w:rPr>
          <w:rFonts w:cs="Arial"/>
          <w:sz w:val="22"/>
          <w:szCs w:val="22"/>
          <w:lang w:val="en-US" w:eastAsia="ja-JP"/>
        </w:rPr>
        <w:fldChar w:fldCharType="begin"/>
      </w:r>
      <w:r w:rsidRPr="00226B08">
        <w:rPr>
          <w:rFonts w:cs="Arial"/>
          <w:sz w:val="22"/>
          <w:szCs w:val="22"/>
          <w:lang w:val="en-US" w:eastAsia="ja-JP"/>
        </w:rPr>
        <w:instrText xml:space="preserve"> REF _Ref281746424 \h </w:instrText>
      </w:r>
      <w:r w:rsidRPr="00226B08">
        <w:rPr>
          <w:rFonts w:cs="Arial"/>
          <w:sz w:val="22"/>
          <w:szCs w:val="22"/>
          <w:lang w:val="en-US" w:eastAsia="ja-JP"/>
        </w:rPr>
      </w:r>
      <w:r w:rsidRPr="00226B08">
        <w:rPr>
          <w:rFonts w:cs="Arial"/>
          <w:sz w:val="22"/>
          <w:szCs w:val="22"/>
          <w:lang w:val="en-US" w:eastAsia="ja-JP"/>
        </w:rPr>
        <w:fldChar w:fldCharType="separate"/>
      </w:r>
      <w:r w:rsidR="00151A1C" w:rsidRPr="007A0AA3">
        <w:rPr>
          <w:rFonts w:cs="Arial"/>
          <w:b/>
          <w:sz w:val="22"/>
          <w:szCs w:val="22"/>
          <w:lang w:val="en-US"/>
        </w:rPr>
        <w:t xml:space="preserve">Table </w:t>
      </w:r>
      <w:r w:rsidR="00151A1C">
        <w:rPr>
          <w:rFonts w:cs="Arial"/>
          <w:b/>
          <w:noProof/>
          <w:sz w:val="22"/>
          <w:szCs w:val="22"/>
          <w:lang w:val="en-US"/>
        </w:rPr>
        <w:t>12</w:t>
      </w:r>
      <w:r w:rsidRPr="00226B08">
        <w:rPr>
          <w:rFonts w:cs="Arial"/>
          <w:sz w:val="22"/>
          <w:szCs w:val="22"/>
          <w:lang w:val="en-US" w:eastAsia="ja-JP"/>
        </w:rPr>
        <w:fldChar w:fldCharType="end"/>
      </w:r>
      <w:r w:rsidR="00C37493" w:rsidRPr="00226B08">
        <w:rPr>
          <w:rFonts w:cs="Arial"/>
          <w:sz w:val="22"/>
          <w:szCs w:val="22"/>
          <w:lang w:val="en-US" w:eastAsia="ja-JP"/>
        </w:rPr>
        <w:t>.</w:t>
      </w:r>
      <w:bookmarkStart w:id="78" w:name="_Ref280723264"/>
    </w:p>
    <w:p w14:paraId="2A6106B7" w14:textId="77777777" w:rsidR="00C37493" w:rsidRPr="007A0AA3" w:rsidRDefault="00C37493" w:rsidP="00C37493">
      <w:pPr>
        <w:widowControl w:val="0"/>
        <w:autoSpaceDE w:val="0"/>
        <w:autoSpaceDN w:val="0"/>
        <w:adjustRightInd w:val="0"/>
        <w:rPr>
          <w:rFonts w:cs="Arial"/>
          <w:color w:val="FF0000"/>
          <w:sz w:val="22"/>
          <w:szCs w:val="22"/>
          <w:lang w:val="en-US" w:eastAsia="ja-JP"/>
        </w:rPr>
      </w:pPr>
    </w:p>
    <w:p w14:paraId="0875278D" w14:textId="14FE11B3" w:rsidR="00C37493" w:rsidRPr="007A0AA3" w:rsidRDefault="00C37493" w:rsidP="00C37493">
      <w:pPr>
        <w:widowControl w:val="0"/>
        <w:autoSpaceDE w:val="0"/>
        <w:autoSpaceDN w:val="0"/>
        <w:adjustRightInd w:val="0"/>
        <w:rPr>
          <w:rFonts w:cs="Arial"/>
          <w:sz w:val="22"/>
          <w:szCs w:val="22"/>
          <w:lang w:val="en-US"/>
        </w:rPr>
      </w:pPr>
      <w:bookmarkStart w:id="79" w:name="_Ref281746424"/>
      <w:r w:rsidRPr="007A0AA3">
        <w:rPr>
          <w:rFonts w:cs="Arial"/>
          <w:b/>
          <w:sz w:val="22"/>
          <w:szCs w:val="22"/>
          <w:lang w:val="en-US"/>
        </w:rPr>
        <w:t xml:space="preserve">Table </w:t>
      </w:r>
      <w:r w:rsidRPr="007A0AA3">
        <w:rPr>
          <w:rFonts w:cs="Arial"/>
          <w:b/>
          <w:sz w:val="22"/>
          <w:szCs w:val="22"/>
          <w:lang w:val="en-US"/>
        </w:rPr>
        <w:fldChar w:fldCharType="begin"/>
      </w:r>
      <w:r w:rsidRPr="007A0AA3">
        <w:rPr>
          <w:rFonts w:cs="Arial"/>
          <w:b/>
          <w:sz w:val="22"/>
          <w:szCs w:val="22"/>
          <w:lang w:val="en-US"/>
        </w:rPr>
        <w:instrText xml:space="preserve"> SEQ Table \* ARABIC </w:instrText>
      </w:r>
      <w:r w:rsidRPr="007A0AA3">
        <w:rPr>
          <w:rFonts w:cs="Arial"/>
          <w:b/>
          <w:sz w:val="22"/>
          <w:szCs w:val="22"/>
          <w:lang w:val="en-US"/>
        </w:rPr>
        <w:fldChar w:fldCharType="separate"/>
      </w:r>
      <w:r w:rsidR="00151A1C">
        <w:rPr>
          <w:rFonts w:cs="Arial"/>
          <w:b/>
          <w:noProof/>
          <w:sz w:val="22"/>
          <w:szCs w:val="22"/>
          <w:lang w:val="en-US"/>
        </w:rPr>
        <w:t>12</w:t>
      </w:r>
      <w:r w:rsidRPr="007A0AA3">
        <w:rPr>
          <w:rFonts w:cs="Arial"/>
          <w:b/>
          <w:sz w:val="22"/>
          <w:szCs w:val="22"/>
          <w:lang w:val="en-US"/>
        </w:rPr>
        <w:fldChar w:fldCharType="end"/>
      </w:r>
      <w:bookmarkEnd w:id="78"/>
      <w:bookmarkEnd w:id="79"/>
      <w:r w:rsidRPr="007A0AA3">
        <w:rPr>
          <w:rFonts w:cs="Arial"/>
          <w:b/>
          <w:sz w:val="22"/>
          <w:szCs w:val="22"/>
          <w:lang w:val="en-US"/>
        </w:rPr>
        <w:t xml:space="preserve">: </w:t>
      </w:r>
      <w:r w:rsidR="00E87187">
        <w:rPr>
          <w:rFonts w:cs="Arial"/>
          <w:b/>
          <w:sz w:val="22"/>
          <w:szCs w:val="22"/>
          <w:lang w:val="en-US"/>
        </w:rPr>
        <w:t>Key s</w:t>
      </w:r>
      <w:r w:rsidRPr="007A0AA3">
        <w:rPr>
          <w:rFonts w:cs="Arial"/>
          <w:b/>
          <w:sz w:val="22"/>
          <w:szCs w:val="22"/>
          <w:lang w:val="en-US"/>
        </w:rPr>
        <w:t xml:space="preserve">econdary outcomes </w:t>
      </w:r>
      <w:r w:rsidR="00E87187">
        <w:rPr>
          <w:rFonts w:cs="Arial"/>
          <w:b/>
          <w:sz w:val="22"/>
          <w:szCs w:val="22"/>
          <w:lang w:val="en-US"/>
        </w:rPr>
        <w:t xml:space="preserve">- </w:t>
      </w:r>
      <w:r w:rsidRPr="007A0AA3">
        <w:rPr>
          <w:rFonts w:cs="Arial"/>
          <w:b/>
          <w:sz w:val="22"/>
          <w:szCs w:val="22"/>
          <w:lang w:val="en-US"/>
        </w:rPr>
        <w:t>ESTABLISH</w:t>
      </w:r>
      <w:r w:rsidRPr="007A0AA3">
        <w:rPr>
          <w:rFonts w:cs="Arial"/>
          <w:sz w:val="22"/>
          <w:szCs w:val="22"/>
          <w:lang w:val="en-US"/>
        </w:rPr>
        <w:t xml:space="preserve"> 1 </w:t>
      </w:r>
    </w:p>
    <w:p w14:paraId="674B5EAA" w14:textId="77777777" w:rsidR="00C37493" w:rsidRPr="00C37493" w:rsidRDefault="00C37493" w:rsidP="00C37493">
      <w:pPr>
        <w:widowControl w:val="0"/>
        <w:autoSpaceDE w:val="0"/>
        <w:autoSpaceDN w:val="0"/>
        <w:adjustRightInd w:val="0"/>
        <w:rPr>
          <w:rFonts w:cs="Arial"/>
          <w:color w:val="FF0000"/>
          <w:sz w:val="22"/>
          <w:szCs w:val="22"/>
          <w:lang w:val="en-US" w:eastAsia="ja-JP"/>
        </w:rPr>
      </w:pPr>
    </w:p>
    <w:tbl>
      <w:tblPr>
        <w:tblStyle w:val="Table-HERONplain"/>
        <w:tblW w:w="8838" w:type="dxa"/>
        <w:tblLayout w:type="fixed"/>
        <w:tblLook w:val="04A0" w:firstRow="1" w:lastRow="0" w:firstColumn="1" w:lastColumn="0" w:noHBand="0" w:noVBand="1"/>
      </w:tblPr>
      <w:tblGrid>
        <w:gridCol w:w="1638"/>
        <w:gridCol w:w="2497"/>
        <w:gridCol w:w="1260"/>
        <w:gridCol w:w="1283"/>
        <w:gridCol w:w="1080"/>
        <w:gridCol w:w="1080"/>
      </w:tblGrid>
      <w:tr w:rsidR="00C37493" w:rsidRPr="00675EB1" w14:paraId="2E80FC6F" w14:textId="77777777" w:rsidTr="00226B08">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117AF1B1" w14:textId="77777777" w:rsidR="00C37493" w:rsidRPr="00675EB1" w:rsidRDefault="00C37493" w:rsidP="00C37493">
            <w:pPr>
              <w:pStyle w:val="TableBodyText-H54"/>
              <w:rPr>
                <w:rFonts w:ascii="Arial" w:hAnsi="Arial" w:cs="Arial"/>
                <w:sz w:val="20"/>
                <w:lang w:val="en-US"/>
              </w:rPr>
            </w:pPr>
            <w:r w:rsidRPr="00675EB1">
              <w:rPr>
                <w:rFonts w:ascii="Arial" w:hAnsi="Arial" w:cs="Arial"/>
                <w:sz w:val="20"/>
                <w:lang w:val="en-US"/>
              </w:rPr>
              <w:t xml:space="preserve">Outcome measure </w:t>
            </w:r>
          </w:p>
        </w:tc>
        <w:tc>
          <w:tcPr>
            <w:tcW w:w="2497" w:type="dxa"/>
            <w:shd w:val="clear" w:color="auto" w:fill="auto"/>
            <w:hideMark/>
          </w:tcPr>
          <w:p w14:paraId="3496BFE2" w14:textId="77777777" w:rsidR="00C37493" w:rsidRPr="00675EB1" w:rsidRDefault="00C37493" w:rsidP="00C37493">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Response</w:t>
            </w:r>
          </w:p>
        </w:tc>
        <w:tc>
          <w:tcPr>
            <w:tcW w:w="1260" w:type="dxa"/>
            <w:shd w:val="clear" w:color="auto" w:fill="auto"/>
            <w:hideMark/>
          </w:tcPr>
          <w:p w14:paraId="164C1DDE"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Tedizolid phosphate</w:t>
            </w:r>
          </w:p>
          <w:p w14:paraId="01227C2F"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n (%)</w:t>
            </w:r>
          </w:p>
        </w:tc>
        <w:tc>
          <w:tcPr>
            <w:tcW w:w="1283" w:type="dxa"/>
            <w:shd w:val="clear" w:color="auto" w:fill="auto"/>
            <w:hideMark/>
          </w:tcPr>
          <w:p w14:paraId="2302C2D6"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Linezolid</w:t>
            </w:r>
          </w:p>
          <w:p w14:paraId="3BF94238"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n (%)</w:t>
            </w:r>
          </w:p>
        </w:tc>
        <w:tc>
          <w:tcPr>
            <w:tcW w:w="1080" w:type="dxa"/>
            <w:shd w:val="clear" w:color="auto" w:fill="auto"/>
            <w:hideMark/>
          </w:tcPr>
          <w:p w14:paraId="646E1F58"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Difference</w:t>
            </w:r>
          </w:p>
          <w:p w14:paraId="6FB54F94"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w:t>
            </w:r>
          </w:p>
        </w:tc>
        <w:tc>
          <w:tcPr>
            <w:tcW w:w="1080" w:type="dxa"/>
            <w:shd w:val="clear" w:color="auto" w:fill="auto"/>
            <w:hideMark/>
          </w:tcPr>
          <w:p w14:paraId="19BACE17" w14:textId="77777777" w:rsidR="00C37493" w:rsidRPr="00675EB1" w:rsidRDefault="00C37493" w:rsidP="00C3749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95% CI for difference</w:t>
            </w:r>
          </w:p>
        </w:tc>
      </w:tr>
      <w:tr w:rsidR="00C37493" w:rsidRPr="00675EB1" w14:paraId="1224D73E" w14:textId="77777777" w:rsidTr="00226B08">
        <w:tc>
          <w:tcPr>
            <w:cnfStyle w:val="001000000000" w:firstRow="0" w:lastRow="0" w:firstColumn="1" w:lastColumn="0" w:oddVBand="0" w:evenVBand="0" w:oddHBand="0" w:evenHBand="0" w:firstRowFirstColumn="0" w:firstRowLastColumn="0" w:lastRowFirstColumn="0" w:lastRowLastColumn="0"/>
            <w:tcW w:w="8838" w:type="dxa"/>
            <w:gridSpan w:val="6"/>
            <w:shd w:val="clear" w:color="auto" w:fill="auto"/>
          </w:tcPr>
          <w:p w14:paraId="2560EB05" w14:textId="77777777" w:rsidR="00C37493" w:rsidRPr="00675EB1" w:rsidRDefault="00C37493" w:rsidP="00C37493">
            <w:pPr>
              <w:rPr>
                <w:rFonts w:cs="Arial"/>
                <w:sz w:val="20"/>
              </w:rPr>
            </w:pPr>
            <w:r w:rsidRPr="00675EB1">
              <w:rPr>
                <w:rFonts w:cs="Arial"/>
                <w:sz w:val="20"/>
              </w:rPr>
              <w:t xml:space="preserve">Secondary outcomes </w:t>
            </w:r>
          </w:p>
        </w:tc>
      </w:tr>
      <w:tr w:rsidR="00C37493" w:rsidRPr="00675EB1" w14:paraId="3665277C"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2A621062" w14:textId="77777777" w:rsidR="00C37493" w:rsidRPr="00675EB1" w:rsidRDefault="00C37493" w:rsidP="00C37493">
            <w:pPr>
              <w:rPr>
                <w:rFonts w:cs="Arial"/>
                <w:sz w:val="20"/>
              </w:rPr>
            </w:pPr>
            <w:r w:rsidRPr="00675EB1">
              <w:rPr>
                <w:rFonts w:cs="Arial"/>
                <w:sz w:val="20"/>
                <w:lang w:val="en-US"/>
              </w:rPr>
              <w:t xml:space="preserve">Clinical response at the EOT Visit (ITT population) </w:t>
            </w:r>
          </w:p>
        </w:tc>
        <w:tc>
          <w:tcPr>
            <w:tcW w:w="2497" w:type="dxa"/>
          </w:tcPr>
          <w:p w14:paraId="0F1B558C"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N</w:t>
            </w:r>
          </w:p>
        </w:tc>
        <w:tc>
          <w:tcPr>
            <w:tcW w:w="1260" w:type="dxa"/>
          </w:tcPr>
          <w:p w14:paraId="26AD9C73"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332</w:t>
            </w:r>
          </w:p>
        </w:tc>
        <w:tc>
          <w:tcPr>
            <w:tcW w:w="1283" w:type="dxa"/>
          </w:tcPr>
          <w:p w14:paraId="6D57B148"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335</w:t>
            </w:r>
          </w:p>
        </w:tc>
        <w:tc>
          <w:tcPr>
            <w:tcW w:w="1080" w:type="dxa"/>
          </w:tcPr>
          <w:p w14:paraId="5838F843"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w:t>
            </w:r>
          </w:p>
        </w:tc>
        <w:tc>
          <w:tcPr>
            <w:tcW w:w="1080" w:type="dxa"/>
          </w:tcPr>
          <w:p w14:paraId="1C990BC4"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w:t>
            </w:r>
          </w:p>
        </w:tc>
      </w:tr>
      <w:tr w:rsidR="00C37493" w:rsidRPr="00675EB1" w14:paraId="0880E34E"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61A88C3F" w14:textId="77777777" w:rsidR="00C37493" w:rsidRPr="00675EB1" w:rsidRDefault="00C37493" w:rsidP="00C37493">
            <w:pPr>
              <w:rPr>
                <w:rFonts w:cs="Arial"/>
                <w:sz w:val="20"/>
              </w:rPr>
            </w:pPr>
          </w:p>
        </w:tc>
        <w:tc>
          <w:tcPr>
            <w:tcW w:w="2497" w:type="dxa"/>
          </w:tcPr>
          <w:p w14:paraId="1A1942AD"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Clinical success</w:t>
            </w:r>
          </w:p>
        </w:tc>
        <w:tc>
          <w:tcPr>
            <w:tcW w:w="1260" w:type="dxa"/>
          </w:tcPr>
          <w:p w14:paraId="561FAF01"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230 (69.3)</w:t>
            </w:r>
          </w:p>
        </w:tc>
        <w:tc>
          <w:tcPr>
            <w:tcW w:w="1283" w:type="dxa"/>
          </w:tcPr>
          <w:p w14:paraId="18899022"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241 (71.9)</w:t>
            </w:r>
          </w:p>
        </w:tc>
        <w:tc>
          <w:tcPr>
            <w:tcW w:w="1080" w:type="dxa"/>
            <w:vMerge w:val="restart"/>
          </w:tcPr>
          <w:p w14:paraId="706B28DD"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-2.6</w:t>
            </w:r>
          </w:p>
        </w:tc>
        <w:tc>
          <w:tcPr>
            <w:tcW w:w="1080" w:type="dxa"/>
            <w:vMerge w:val="restart"/>
          </w:tcPr>
          <w:p w14:paraId="5A0B8F2F"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(-9.6, 4.2)</w:t>
            </w:r>
          </w:p>
        </w:tc>
      </w:tr>
      <w:tr w:rsidR="00C37493" w:rsidRPr="00675EB1" w14:paraId="4F71C5EA"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539CEA05" w14:textId="77777777" w:rsidR="00C37493" w:rsidRPr="00675EB1" w:rsidRDefault="00C37493" w:rsidP="00C37493">
            <w:pPr>
              <w:rPr>
                <w:rFonts w:cs="Arial"/>
                <w:sz w:val="20"/>
              </w:rPr>
            </w:pPr>
          </w:p>
        </w:tc>
        <w:tc>
          <w:tcPr>
            <w:tcW w:w="2497" w:type="dxa"/>
          </w:tcPr>
          <w:p w14:paraId="45CAB4FB"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Clinical failure or indeterminate</w:t>
            </w:r>
          </w:p>
        </w:tc>
        <w:tc>
          <w:tcPr>
            <w:tcW w:w="1260" w:type="dxa"/>
          </w:tcPr>
          <w:p w14:paraId="0C8DE1FF"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102 (30.7)</w:t>
            </w:r>
          </w:p>
        </w:tc>
        <w:tc>
          <w:tcPr>
            <w:tcW w:w="1283" w:type="dxa"/>
          </w:tcPr>
          <w:p w14:paraId="3A239AD3"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94 (28.1)</w:t>
            </w:r>
          </w:p>
        </w:tc>
        <w:tc>
          <w:tcPr>
            <w:tcW w:w="1080" w:type="dxa"/>
            <w:vMerge/>
          </w:tcPr>
          <w:p w14:paraId="02F76A6C"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p>
        </w:tc>
        <w:tc>
          <w:tcPr>
            <w:tcW w:w="1080" w:type="dxa"/>
            <w:vMerge/>
          </w:tcPr>
          <w:p w14:paraId="68BA5593"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p>
        </w:tc>
      </w:tr>
      <w:tr w:rsidR="00C37493" w:rsidRPr="00675EB1" w14:paraId="7E18C724"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5AC286DC" w14:textId="77777777" w:rsidR="00C37493" w:rsidRPr="00675EB1" w:rsidRDefault="00C37493" w:rsidP="00C37493">
            <w:pPr>
              <w:rPr>
                <w:rFonts w:cs="Arial"/>
                <w:sz w:val="20"/>
              </w:rPr>
            </w:pPr>
            <w:r w:rsidRPr="00675EB1">
              <w:rPr>
                <w:rFonts w:cs="Arial"/>
                <w:sz w:val="20"/>
                <w:lang w:val="en-US"/>
              </w:rPr>
              <w:lastRenderedPageBreak/>
              <w:t>Clinical response at the EOT Visit (CE-EOT population)</w:t>
            </w:r>
          </w:p>
        </w:tc>
        <w:tc>
          <w:tcPr>
            <w:tcW w:w="2497" w:type="dxa"/>
          </w:tcPr>
          <w:p w14:paraId="73BC927D"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N</w:t>
            </w:r>
          </w:p>
        </w:tc>
        <w:tc>
          <w:tcPr>
            <w:tcW w:w="1260" w:type="dxa"/>
          </w:tcPr>
          <w:p w14:paraId="244CCD2F"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273</w:t>
            </w:r>
          </w:p>
        </w:tc>
        <w:tc>
          <w:tcPr>
            <w:tcW w:w="1283" w:type="dxa"/>
          </w:tcPr>
          <w:p w14:paraId="31683CA5"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286</w:t>
            </w:r>
          </w:p>
        </w:tc>
        <w:tc>
          <w:tcPr>
            <w:tcW w:w="1080" w:type="dxa"/>
          </w:tcPr>
          <w:p w14:paraId="06EB651B"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w:t>
            </w:r>
          </w:p>
        </w:tc>
        <w:tc>
          <w:tcPr>
            <w:tcW w:w="1080" w:type="dxa"/>
          </w:tcPr>
          <w:p w14:paraId="0F926426"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w:t>
            </w:r>
          </w:p>
        </w:tc>
      </w:tr>
      <w:tr w:rsidR="00C37493" w:rsidRPr="00675EB1" w14:paraId="0C777267"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179C98E8" w14:textId="77777777" w:rsidR="00C37493" w:rsidRPr="00675EB1" w:rsidRDefault="00C37493" w:rsidP="00C37493">
            <w:pPr>
              <w:rPr>
                <w:rFonts w:cs="Arial"/>
                <w:sz w:val="20"/>
              </w:rPr>
            </w:pPr>
          </w:p>
        </w:tc>
        <w:tc>
          <w:tcPr>
            <w:tcW w:w="2497" w:type="dxa"/>
          </w:tcPr>
          <w:p w14:paraId="6DA2B440"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Clinical success</w:t>
            </w:r>
          </w:p>
        </w:tc>
        <w:tc>
          <w:tcPr>
            <w:tcW w:w="1260" w:type="dxa"/>
          </w:tcPr>
          <w:p w14:paraId="15E9EF64"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219 (80.2)</w:t>
            </w:r>
          </w:p>
        </w:tc>
        <w:tc>
          <w:tcPr>
            <w:tcW w:w="1283" w:type="dxa"/>
          </w:tcPr>
          <w:p w14:paraId="4A9197C9"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232 (81.1)</w:t>
            </w:r>
          </w:p>
        </w:tc>
        <w:tc>
          <w:tcPr>
            <w:tcW w:w="1080" w:type="dxa"/>
            <w:vMerge w:val="restart"/>
          </w:tcPr>
          <w:p w14:paraId="4E78C64C"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-0.9</w:t>
            </w:r>
          </w:p>
        </w:tc>
        <w:tc>
          <w:tcPr>
            <w:tcW w:w="1080" w:type="dxa"/>
            <w:vMerge w:val="restart"/>
          </w:tcPr>
          <w:p w14:paraId="0A5C2801"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(-7.7, 5.4)</w:t>
            </w:r>
          </w:p>
        </w:tc>
      </w:tr>
      <w:tr w:rsidR="00C37493" w:rsidRPr="00675EB1" w14:paraId="5DF4D50C"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5D6C8A32" w14:textId="77777777" w:rsidR="00C37493" w:rsidRPr="00675EB1" w:rsidRDefault="00C37493" w:rsidP="00C37493">
            <w:pPr>
              <w:rPr>
                <w:rFonts w:cs="Arial"/>
                <w:sz w:val="20"/>
              </w:rPr>
            </w:pPr>
          </w:p>
        </w:tc>
        <w:tc>
          <w:tcPr>
            <w:tcW w:w="2497" w:type="dxa"/>
          </w:tcPr>
          <w:p w14:paraId="27FE8385"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Clinical failure</w:t>
            </w:r>
          </w:p>
        </w:tc>
        <w:tc>
          <w:tcPr>
            <w:tcW w:w="1260" w:type="dxa"/>
          </w:tcPr>
          <w:p w14:paraId="6A08599C"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54 (19.8)</w:t>
            </w:r>
          </w:p>
        </w:tc>
        <w:tc>
          <w:tcPr>
            <w:tcW w:w="1283" w:type="dxa"/>
          </w:tcPr>
          <w:p w14:paraId="5D629CC6"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54 (18.9)</w:t>
            </w:r>
          </w:p>
        </w:tc>
        <w:tc>
          <w:tcPr>
            <w:tcW w:w="1080" w:type="dxa"/>
            <w:vMerge/>
          </w:tcPr>
          <w:p w14:paraId="2B252F5F"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080" w:type="dxa"/>
            <w:vMerge/>
          </w:tcPr>
          <w:p w14:paraId="4C972860"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37493" w:rsidRPr="00675EB1" w14:paraId="1BD8748C"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149E15F6" w14:textId="77777777" w:rsidR="00C37493" w:rsidRPr="00675EB1" w:rsidRDefault="00C37493" w:rsidP="00C37493">
            <w:pPr>
              <w:rPr>
                <w:rFonts w:cs="Arial"/>
                <w:sz w:val="20"/>
              </w:rPr>
            </w:pPr>
            <w:r w:rsidRPr="00675EB1">
              <w:rPr>
                <w:rFonts w:cs="Arial"/>
                <w:sz w:val="20"/>
                <w:lang w:val="en-US"/>
              </w:rPr>
              <w:t>Investigator’s assessment of clinical success at the PTE Visit (ITT population)</w:t>
            </w:r>
          </w:p>
        </w:tc>
        <w:tc>
          <w:tcPr>
            <w:tcW w:w="2497" w:type="dxa"/>
          </w:tcPr>
          <w:p w14:paraId="0FBD47BA"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N</w:t>
            </w:r>
          </w:p>
        </w:tc>
        <w:tc>
          <w:tcPr>
            <w:tcW w:w="1260" w:type="dxa"/>
          </w:tcPr>
          <w:p w14:paraId="6B755760"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332</w:t>
            </w:r>
          </w:p>
        </w:tc>
        <w:tc>
          <w:tcPr>
            <w:tcW w:w="1283" w:type="dxa"/>
          </w:tcPr>
          <w:p w14:paraId="0FA5EF8B"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335</w:t>
            </w:r>
          </w:p>
        </w:tc>
        <w:tc>
          <w:tcPr>
            <w:tcW w:w="1080" w:type="dxa"/>
          </w:tcPr>
          <w:p w14:paraId="6BE37019"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w:t>
            </w:r>
          </w:p>
        </w:tc>
        <w:tc>
          <w:tcPr>
            <w:tcW w:w="1080" w:type="dxa"/>
          </w:tcPr>
          <w:p w14:paraId="0F506FAA"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w:t>
            </w:r>
          </w:p>
        </w:tc>
      </w:tr>
      <w:tr w:rsidR="00C37493" w:rsidRPr="00675EB1" w14:paraId="6EB7D652"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59FBE3A4" w14:textId="77777777" w:rsidR="00C37493" w:rsidRPr="00675EB1" w:rsidRDefault="00C37493" w:rsidP="00C37493">
            <w:pPr>
              <w:rPr>
                <w:rFonts w:cs="Arial"/>
                <w:sz w:val="20"/>
              </w:rPr>
            </w:pPr>
          </w:p>
        </w:tc>
        <w:tc>
          <w:tcPr>
            <w:tcW w:w="2497" w:type="dxa"/>
          </w:tcPr>
          <w:p w14:paraId="2F59010B"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Clinical success</w:t>
            </w:r>
          </w:p>
        </w:tc>
        <w:tc>
          <w:tcPr>
            <w:tcW w:w="1260" w:type="dxa"/>
          </w:tcPr>
          <w:p w14:paraId="0489BD25"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284 (85.5)</w:t>
            </w:r>
          </w:p>
        </w:tc>
        <w:tc>
          <w:tcPr>
            <w:tcW w:w="1283" w:type="dxa"/>
          </w:tcPr>
          <w:p w14:paraId="3329E61F"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288 (86.0)</w:t>
            </w:r>
          </w:p>
        </w:tc>
        <w:tc>
          <w:tcPr>
            <w:tcW w:w="1080" w:type="dxa"/>
            <w:vMerge w:val="restart"/>
          </w:tcPr>
          <w:p w14:paraId="696DF725"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-0.5</w:t>
            </w:r>
          </w:p>
        </w:tc>
        <w:tc>
          <w:tcPr>
            <w:tcW w:w="1080" w:type="dxa"/>
            <w:vMerge w:val="restart"/>
          </w:tcPr>
          <w:p w14:paraId="3AAF3603"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(-5.8, 4.9)</w:t>
            </w:r>
          </w:p>
        </w:tc>
      </w:tr>
      <w:tr w:rsidR="00C37493" w:rsidRPr="00675EB1" w14:paraId="5A5EAFBE"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1DA601B3" w14:textId="77777777" w:rsidR="00C37493" w:rsidRPr="00675EB1" w:rsidRDefault="00C37493" w:rsidP="00C37493">
            <w:pPr>
              <w:rPr>
                <w:rFonts w:cs="Arial"/>
                <w:sz w:val="20"/>
              </w:rPr>
            </w:pPr>
          </w:p>
        </w:tc>
        <w:tc>
          <w:tcPr>
            <w:tcW w:w="2497" w:type="dxa"/>
          </w:tcPr>
          <w:p w14:paraId="049BF7E3"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Clinical failure or indeterminate</w:t>
            </w:r>
          </w:p>
        </w:tc>
        <w:tc>
          <w:tcPr>
            <w:tcW w:w="1260" w:type="dxa"/>
          </w:tcPr>
          <w:p w14:paraId="6E817A5B"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48 (14.5)</w:t>
            </w:r>
          </w:p>
        </w:tc>
        <w:tc>
          <w:tcPr>
            <w:tcW w:w="1283" w:type="dxa"/>
          </w:tcPr>
          <w:p w14:paraId="783FEC6B"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47 (14.0)</w:t>
            </w:r>
          </w:p>
        </w:tc>
        <w:tc>
          <w:tcPr>
            <w:tcW w:w="1080" w:type="dxa"/>
            <w:vMerge/>
          </w:tcPr>
          <w:p w14:paraId="475DAC59"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p>
        </w:tc>
        <w:tc>
          <w:tcPr>
            <w:tcW w:w="1080" w:type="dxa"/>
            <w:vMerge/>
          </w:tcPr>
          <w:p w14:paraId="6FA9A653"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p>
        </w:tc>
      </w:tr>
      <w:tr w:rsidR="00C37493" w:rsidRPr="00675EB1" w14:paraId="2147B67A"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7D88F3F2" w14:textId="77777777" w:rsidR="00C37493" w:rsidRPr="00675EB1" w:rsidRDefault="00C37493" w:rsidP="00C37493">
            <w:pPr>
              <w:rPr>
                <w:rFonts w:cs="Arial"/>
                <w:sz w:val="20"/>
              </w:rPr>
            </w:pPr>
            <w:r w:rsidRPr="00675EB1">
              <w:rPr>
                <w:rFonts w:cs="Arial"/>
                <w:sz w:val="20"/>
                <w:lang w:val="en-US"/>
              </w:rPr>
              <w:t>Investigator’s assessment of clinical success at the PTE Visit (CE-PTE population)</w:t>
            </w:r>
          </w:p>
        </w:tc>
        <w:tc>
          <w:tcPr>
            <w:tcW w:w="2497" w:type="dxa"/>
          </w:tcPr>
          <w:p w14:paraId="0A0388A6"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N</w:t>
            </w:r>
          </w:p>
        </w:tc>
        <w:tc>
          <w:tcPr>
            <w:tcW w:w="1260" w:type="dxa"/>
          </w:tcPr>
          <w:p w14:paraId="449DF3FD"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279</w:t>
            </w:r>
          </w:p>
        </w:tc>
        <w:tc>
          <w:tcPr>
            <w:tcW w:w="1283" w:type="dxa"/>
          </w:tcPr>
          <w:p w14:paraId="7AA606C6" w14:textId="77777777" w:rsidR="00C37493" w:rsidRPr="00675EB1" w:rsidRDefault="00C37493" w:rsidP="003826D5">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280</w:t>
            </w:r>
          </w:p>
        </w:tc>
        <w:tc>
          <w:tcPr>
            <w:tcW w:w="1080" w:type="dxa"/>
          </w:tcPr>
          <w:p w14:paraId="4E5EE047"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w:t>
            </w:r>
          </w:p>
        </w:tc>
        <w:tc>
          <w:tcPr>
            <w:tcW w:w="1080" w:type="dxa"/>
          </w:tcPr>
          <w:p w14:paraId="28CED17F" w14:textId="77777777" w:rsidR="00C37493" w:rsidRPr="00675EB1" w:rsidRDefault="00C37493" w:rsidP="003826D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675EB1">
              <w:rPr>
                <w:rFonts w:cs="Arial"/>
                <w:sz w:val="20"/>
                <w:lang w:val="en-US"/>
              </w:rPr>
              <w:t>-</w:t>
            </w:r>
          </w:p>
        </w:tc>
      </w:tr>
      <w:tr w:rsidR="00C37493" w:rsidRPr="00675EB1" w14:paraId="66F9BC42" w14:textId="77777777" w:rsidTr="0022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573028C8" w14:textId="77777777" w:rsidR="00C37493" w:rsidRPr="00675EB1" w:rsidRDefault="00C37493" w:rsidP="00C37493">
            <w:pPr>
              <w:rPr>
                <w:rFonts w:cs="Arial"/>
                <w:sz w:val="20"/>
              </w:rPr>
            </w:pPr>
          </w:p>
        </w:tc>
        <w:tc>
          <w:tcPr>
            <w:tcW w:w="2497" w:type="dxa"/>
          </w:tcPr>
          <w:p w14:paraId="6D995EEA" w14:textId="77777777" w:rsidR="00C37493" w:rsidRPr="00675EB1" w:rsidRDefault="00C37493" w:rsidP="00C37493">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Clinical success</w:t>
            </w:r>
          </w:p>
        </w:tc>
        <w:tc>
          <w:tcPr>
            <w:tcW w:w="1260" w:type="dxa"/>
          </w:tcPr>
          <w:p w14:paraId="2FDB242E"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264 (94.6)</w:t>
            </w:r>
          </w:p>
        </w:tc>
        <w:tc>
          <w:tcPr>
            <w:tcW w:w="1283" w:type="dxa"/>
          </w:tcPr>
          <w:p w14:paraId="0507C537" w14:textId="77777777" w:rsidR="00C37493" w:rsidRPr="00675EB1" w:rsidRDefault="00C37493" w:rsidP="003826D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75EB1">
              <w:rPr>
                <w:rFonts w:ascii="Arial" w:hAnsi="Arial" w:cs="Arial"/>
                <w:sz w:val="20"/>
                <w:lang w:val="en-US"/>
              </w:rPr>
              <w:t>267 (95.4)</w:t>
            </w:r>
          </w:p>
        </w:tc>
        <w:tc>
          <w:tcPr>
            <w:tcW w:w="1080" w:type="dxa"/>
            <w:vMerge w:val="restart"/>
          </w:tcPr>
          <w:p w14:paraId="162593EB"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-0.8</w:t>
            </w:r>
          </w:p>
        </w:tc>
        <w:tc>
          <w:tcPr>
            <w:tcW w:w="1080" w:type="dxa"/>
            <w:vMerge w:val="restart"/>
          </w:tcPr>
          <w:p w14:paraId="3AA8560B" w14:textId="77777777" w:rsidR="00C37493" w:rsidRPr="00675EB1" w:rsidRDefault="00C37493" w:rsidP="003826D5">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75EB1">
              <w:rPr>
                <w:rFonts w:cs="Arial"/>
                <w:sz w:val="20"/>
                <w:lang w:val="en-US"/>
              </w:rPr>
              <w:t>(-4.6, 3.0)</w:t>
            </w:r>
          </w:p>
        </w:tc>
      </w:tr>
      <w:tr w:rsidR="00C37493" w:rsidRPr="00675EB1" w14:paraId="66B89A93" w14:textId="77777777" w:rsidTr="00226B08">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15B82F22" w14:textId="77777777" w:rsidR="00C37493" w:rsidRPr="00675EB1" w:rsidRDefault="00C37493" w:rsidP="00C37493">
            <w:pPr>
              <w:rPr>
                <w:rFonts w:cs="Arial"/>
                <w:sz w:val="20"/>
              </w:rPr>
            </w:pPr>
          </w:p>
        </w:tc>
        <w:tc>
          <w:tcPr>
            <w:tcW w:w="2497" w:type="dxa"/>
          </w:tcPr>
          <w:p w14:paraId="55F4E831" w14:textId="77777777" w:rsidR="00C37493" w:rsidRPr="00675EB1" w:rsidRDefault="00C37493" w:rsidP="00C37493">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Clinical failure</w:t>
            </w:r>
          </w:p>
        </w:tc>
        <w:tc>
          <w:tcPr>
            <w:tcW w:w="1260" w:type="dxa"/>
          </w:tcPr>
          <w:p w14:paraId="2F7C8C86" w14:textId="77777777" w:rsidR="00C37493" w:rsidRPr="00675EB1" w:rsidRDefault="00C37493"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15 (5.4)</w:t>
            </w:r>
          </w:p>
        </w:tc>
        <w:tc>
          <w:tcPr>
            <w:tcW w:w="1283" w:type="dxa"/>
          </w:tcPr>
          <w:p w14:paraId="5827B9A9" w14:textId="77777777" w:rsidR="00C37493" w:rsidRPr="00675EB1" w:rsidRDefault="00C37493" w:rsidP="00C3749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75EB1">
              <w:rPr>
                <w:rFonts w:ascii="Arial" w:hAnsi="Arial" w:cs="Arial"/>
                <w:sz w:val="20"/>
                <w:lang w:val="en-US"/>
              </w:rPr>
              <w:t>13 (4.6)</w:t>
            </w:r>
          </w:p>
        </w:tc>
        <w:tc>
          <w:tcPr>
            <w:tcW w:w="1080" w:type="dxa"/>
            <w:vMerge/>
          </w:tcPr>
          <w:p w14:paraId="070A5F17" w14:textId="77777777" w:rsidR="00C37493" w:rsidRPr="00675EB1" w:rsidRDefault="00C37493" w:rsidP="00C37493">
            <w:pPr>
              <w:cnfStyle w:val="000000000000" w:firstRow="0" w:lastRow="0" w:firstColumn="0" w:lastColumn="0" w:oddVBand="0" w:evenVBand="0" w:oddHBand="0" w:evenHBand="0" w:firstRowFirstColumn="0" w:firstRowLastColumn="0" w:lastRowFirstColumn="0" w:lastRowLastColumn="0"/>
              <w:rPr>
                <w:rFonts w:cs="Arial"/>
                <w:sz w:val="20"/>
              </w:rPr>
            </w:pPr>
          </w:p>
        </w:tc>
        <w:tc>
          <w:tcPr>
            <w:tcW w:w="1080" w:type="dxa"/>
            <w:vMerge/>
          </w:tcPr>
          <w:p w14:paraId="33EEAEE7" w14:textId="77777777" w:rsidR="00C37493" w:rsidRPr="00675EB1" w:rsidRDefault="00C37493" w:rsidP="00C37493">
            <w:pPr>
              <w:cnfStyle w:val="000000000000" w:firstRow="0" w:lastRow="0" w:firstColumn="0" w:lastColumn="0" w:oddVBand="0" w:evenVBand="0" w:oddHBand="0" w:evenHBand="0" w:firstRowFirstColumn="0" w:firstRowLastColumn="0" w:lastRowFirstColumn="0" w:lastRowLastColumn="0"/>
              <w:rPr>
                <w:rFonts w:cs="Arial"/>
                <w:sz w:val="20"/>
              </w:rPr>
            </w:pPr>
          </w:p>
        </w:tc>
      </w:tr>
    </w:tbl>
    <w:p w14:paraId="52F29A5C" w14:textId="3B309679" w:rsidR="000F1029" w:rsidRPr="00C636D7" w:rsidRDefault="00C636D7" w:rsidP="000F1029">
      <w:pPr>
        <w:pStyle w:val="Heading3"/>
        <w:keepLines w:val="0"/>
        <w:spacing w:before="240" w:after="120"/>
        <w:rPr>
          <w:rFonts w:ascii="Arial" w:hAnsi="Arial" w:cs="Arial"/>
          <w:color w:val="auto"/>
          <w:sz w:val="22"/>
          <w:szCs w:val="22"/>
          <w:lang w:val="en-US"/>
        </w:rPr>
      </w:pPr>
      <w:bookmarkStart w:id="80" w:name="_Ref384384165"/>
      <w:bookmarkStart w:id="81" w:name="_Toc396058831"/>
      <w:r w:rsidRPr="00C636D7">
        <w:rPr>
          <w:rFonts w:ascii="Arial" w:hAnsi="Arial" w:cs="Arial"/>
          <w:color w:val="auto"/>
          <w:sz w:val="22"/>
          <w:szCs w:val="22"/>
          <w:lang w:val="en-US"/>
        </w:rPr>
        <w:t>3.3.17.4 Concordance between</w:t>
      </w:r>
      <w:r w:rsidR="000F1029" w:rsidRPr="00C636D7">
        <w:rPr>
          <w:rFonts w:ascii="Arial" w:hAnsi="Arial" w:cs="Arial"/>
          <w:color w:val="auto"/>
          <w:sz w:val="22"/>
          <w:szCs w:val="22"/>
          <w:lang w:val="en-US"/>
        </w:rPr>
        <w:t xml:space="preserve"> early clinical response assessments and those at the EOT and PTE Visits </w:t>
      </w:r>
      <w:bookmarkEnd w:id="80"/>
      <w:bookmarkEnd w:id="81"/>
    </w:p>
    <w:p w14:paraId="3830FF7C" w14:textId="723EA7AC" w:rsidR="00C636D7" w:rsidRPr="0072307A" w:rsidRDefault="000F1029" w:rsidP="00C636D7">
      <w:pPr>
        <w:rPr>
          <w:rFonts w:cs="Arial"/>
          <w:sz w:val="22"/>
          <w:szCs w:val="22"/>
          <w:lang w:val="en-US"/>
        </w:rPr>
      </w:pPr>
      <w:r w:rsidRPr="00C636D7">
        <w:rPr>
          <w:rFonts w:cs="Arial"/>
          <w:sz w:val="22"/>
          <w:szCs w:val="22"/>
          <w:lang w:val="en-US"/>
        </w:rPr>
        <w:t>ESTABLISH-1 demonstrated a high concordance between early clinical response and the clinical re</w:t>
      </w:r>
      <w:r w:rsidR="00C636D7" w:rsidRPr="00C636D7">
        <w:rPr>
          <w:rFonts w:cs="Arial"/>
          <w:sz w:val="22"/>
          <w:szCs w:val="22"/>
          <w:lang w:val="en-US"/>
        </w:rPr>
        <w:t xml:space="preserve">sponse at </w:t>
      </w:r>
      <w:r w:rsidR="00225ACA">
        <w:rPr>
          <w:rFonts w:cs="Arial"/>
          <w:sz w:val="22"/>
          <w:szCs w:val="22"/>
          <w:lang w:val="en-US"/>
        </w:rPr>
        <w:t xml:space="preserve">both </w:t>
      </w:r>
      <w:r w:rsidR="00C636D7" w:rsidRPr="00C636D7">
        <w:rPr>
          <w:rFonts w:cs="Arial"/>
          <w:sz w:val="22"/>
          <w:szCs w:val="22"/>
          <w:lang w:val="en-US"/>
        </w:rPr>
        <w:t xml:space="preserve">the </w:t>
      </w:r>
      <w:r w:rsidR="00C636D7" w:rsidRPr="00226B08">
        <w:rPr>
          <w:rFonts w:cs="Arial"/>
          <w:sz w:val="22"/>
          <w:szCs w:val="22"/>
          <w:lang w:val="en-US"/>
        </w:rPr>
        <w:t xml:space="preserve">EOT </w:t>
      </w:r>
      <w:r w:rsidR="00225ACA" w:rsidRPr="00226B08">
        <w:rPr>
          <w:rFonts w:cs="Arial"/>
          <w:sz w:val="22"/>
          <w:szCs w:val="22"/>
          <w:lang w:val="en-US"/>
        </w:rPr>
        <w:t xml:space="preserve">and PTE </w:t>
      </w:r>
      <w:r w:rsidR="00C636D7" w:rsidRPr="00226B08">
        <w:rPr>
          <w:rFonts w:cs="Arial"/>
          <w:sz w:val="22"/>
          <w:szCs w:val="22"/>
          <w:lang w:val="en-US"/>
        </w:rPr>
        <w:t xml:space="preserve">visits (&gt;80%). Concordance </w:t>
      </w:r>
      <w:r w:rsidRPr="00226B08">
        <w:rPr>
          <w:rFonts w:cs="Arial"/>
          <w:sz w:val="22"/>
          <w:szCs w:val="22"/>
          <w:lang w:val="en-US"/>
        </w:rPr>
        <w:t xml:space="preserve">was comparable for both the tedizolid phosphate and linezolid groups </w:t>
      </w:r>
      <w:r w:rsidR="0072307A">
        <w:rPr>
          <w:rFonts w:cs="Arial"/>
          <w:sz w:val="22"/>
          <w:szCs w:val="22"/>
          <w:lang w:val="en-US"/>
        </w:rPr>
        <w:t xml:space="preserve">(Table 13). </w:t>
      </w:r>
      <w:r w:rsidR="00C636D7" w:rsidRPr="00226B08">
        <w:rPr>
          <w:rFonts w:cs="Arial"/>
          <w:sz w:val="22"/>
          <w:szCs w:val="22"/>
          <w:lang w:val="en-US"/>
        </w:rPr>
        <w:t>The</w:t>
      </w:r>
      <w:r w:rsidRPr="00226B08">
        <w:rPr>
          <w:rFonts w:cs="Arial"/>
          <w:sz w:val="22"/>
          <w:szCs w:val="22"/>
          <w:lang w:val="en-US"/>
        </w:rPr>
        <w:t>s</w:t>
      </w:r>
      <w:r w:rsidR="00C636D7" w:rsidRPr="00226B08">
        <w:rPr>
          <w:rFonts w:cs="Arial"/>
          <w:sz w:val="22"/>
          <w:szCs w:val="22"/>
          <w:lang w:val="en-US"/>
        </w:rPr>
        <w:t>e</w:t>
      </w:r>
      <w:r w:rsidRPr="00226B08">
        <w:rPr>
          <w:rFonts w:cs="Arial"/>
          <w:sz w:val="22"/>
          <w:szCs w:val="22"/>
          <w:lang w:val="en-US"/>
        </w:rPr>
        <w:t xml:space="preserve"> data suggest that the early assessment can be used as a marker of the longer-term clinical outcomes.</w:t>
      </w:r>
      <w:bookmarkStart w:id="82" w:name="_Ref390272835"/>
      <w:bookmarkStart w:id="83" w:name="_Toc396058458"/>
    </w:p>
    <w:p w14:paraId="77C7B82E" w14:textId="77777777" w:rsidR="007764DC" w:rsidRDefault="007764DC" w:rsidP="00C636D7">
      <w:pPr>
        <w:rPr>
          <w:b/>
          <w:sz w:val="22"/>
          <w:szCs w:val="22"/>
          <w:lang w:val="en-US"/>
        </w:rPr>
      </w:pPr>
    </w:p>
    <w:p w14:paraId="66B40E18" w14:textId="77777777" w:rsidR="007764DC" w:rsidRDefault="007764DC" w:rsidP="00C636D7">
      <w:pPr>
        <w:rPr>
          <w:b/>
          <w:sz w:val="22"/>
          <w:szCs w:val="22"/>
          <w:lang w:val="en-US"/>
        </w:rPr>
      </w:pPr>
    </w:p>
    <w:p w14:paraId="22582B50" w14:textId="77777777" w:rsidR="00226B08" w:rsidRDefault="00226B08" w:rsidP="00C636D7">
      <w:pPr>
        <w:rPr>
          <w:b/>
          <w:sz w:val="22"/>
          <w:szCs w:val="22"/>
          <w:lang w:val="en-US"/>
        </w:rPr>
      </w:pPr>
    </w:p>
    <w:p w14:paraId="43F1BFE9" w14:textId="77777777" w:rsidR="007764DC" w:rsidRDefault="007764DC" w:rsidP="00C636D7">
      <w:pPr>
        <w:rPr>
          <w:b/>
          <w:sz w:val="22"/>
          <w:szCs w:val="22"/>
          <w:lang w:val="en-US"/>
        </w:rPr>
      </w:pPr>
    </w:p>
    <w:p w14:paraId="1866055B" w14:textId="29691064" w:rsidR="000F1029" w:rsidRPr="00C636D7" w:rsidRDefault="000F1029" w:rsidP="00C636D7">
      <w:pPr>
        <w:rPr>
          <w:b/>
          <w:sz w:val="22"/>
          <w:szCs w:val="22"/>
        </w:rPr>
      </w:pPr>
      <w:r w:rsidRPr="00C636D7">
        <w:rPr>
          <w:b/>
          <w:sz w:val="22"/>
          <w:szCs w:val="22"/>
          <w:lang w:val="en-US"/>
        </w:rPr>
        <w:lastRenderedPageBreak/>
        <w:t xml:space="preserve">Table </w:t>
      </w:r>
      <w:r w:rsidRPr="00C636D7">
        <w:rPr>
          <w:b/>
          <w:sz w:val="22"/>
          <w:szCs w:val="22"/>
          <w:lang w:val="en-US"/>
        </w:rPr>
        <w:fldChar w:fldCharType="begin"/>
      </w:r>
      <w:r w:rsidRPr="00C636D7">
        <w:rPr>
          <w:b/>
          <w:sz w:val="22"/>
          <w:szCs w:val="22"/>
          <w:lang w:val="en-US"/>
        </w:rPr>
        <w:instrText xml:space="preserve"> SEQ Table \* ARABIC </w:instrText>
      </w:r>
      <w:r w:rsidRPr="00C636D7">
        <w:rPr>
          <w:b/>
          <w:sz w:val="22"/>
          <w:szCs w:val="22"/>
          <w:lang w:val="en-US"/>
        </w:rPr>
        <w:fldChar w:fldCharType="separate"/>
      </w:r>
      <w:r w:rsidR="00151A1C">
        <w:rPr>
          <w:b/>
          <w:noProof/>
          <w:sz w:val="22"/>
          <w:szCs w:val="22"/>
          <w:lang w:val="en-US"/>
        </w:rPr>
        <w:t>13</w:t>
      </w:r>
      <w:r w:rsidRPr="00C636D7">
        <w:rPr>
          <w:b/>
          <w:sz w:val="22"/>
          <w:szCs w:val="22"/>
          <w:lang w:val="en-US"/>
        </w:rPr>
        <w:fldChar w:fldCharType="end"/>
      </w:r>
      <w:bookmarkEnd w:id="82"/>
      <w:r w:rsidRPr="00C636D7">
        <w:rPr>
          <w:b/>
          <w:sz w:val="22"/>
          <w:szCs w:val="22"/>
          <w:lang w:val="en-US"/>
        </w:rPr>
        <w:t xml:space="preserve">: </w:t>
      </w:r>
      <w:r w:rsidR="002F5734">
        <w:rPr>
          <w:b/>
          <w:sz w:val="22"/>
          <w:szCs w:val="22"/>
          <w:lang w:val="en-US"/>
        </w:rPr>
        <w:t xml:space="preserve">ESTABLISH-1 </w:t>
      </w:r>
      <w:r w:rsidRPr="00C636D7">
        <w:rPr>
          <w:b/>
          <w:sz w:val="22"/>
          <w:szCs w:val="22"/>
          <w:lang w:val="en-US"/>
        </w:rPr>
        <w:t xml:space="preserve">Concordance and discordance of early clinical response at the 48-Hour to 72-Hour Visit and investigator assessment of clinical response at the EOT </w:t>
      </w:r>
      <w:r w:rsidR="00686546">
        <w:rPr>
          <w:b/>
          <w:sz w:val="22"/>
          <w:szCs w:val="22"/>
          <w:lang w:val="en-US"/>
        </w:rPr>
        <w:t xml:space="preserve">and PTE </w:t>
      </w:r>
      <w:r w:rsidRPr="00C636D7">
        <w:rPr>
          <w:b/>
          <w:sz w:val="22"/>
          <w:szCs w:val="22"/>
          <w:lang w:val="en-US"/>
        </w:rPr>
        <w:t>Visit</w:t>
      </w:r>
      <w:r w:rsidR="00686546">
        <w:rPr>
          <w:b/>
          <w:sz w:val="22"/>
          <w:szCs w:val="22"/>
          <w:lang w:val="en-US"/>
        </w:rPr>
        <w:t>s</w:t>
      </w:r>
      <w:r w:rsidRPr="00C636D7">
        <w:rPr>
          <w:b/>
          <w:sz w:val="22"/>
          <w:szCs w:val="22"/>
          <w:lang w:val="en-US"/>
        </w:rPr>
        <w:t xml:space="preserve"> (ITT population)</w:t>
      </w:r>
      <w:bookmarkEnd w:id="83"/>
    </w:p>
    <w:tbl>
      <w:tblPr>
        <w:tblStyle w:val="Table-HERONplain"/>
        <w:tblW w:w="9000" w:type="dxa"/>
        <w:tblLayout w:type="fixed"/>
        <w:tblLook w:val="04A0" w:firstRow="1" w:lastRow="0" w:firstColumn="1" w:lastColumn="0" w:noHBand="0" w:noVBand="1"/>
      </w:tblPr>
      <w:tblGrid>
        <w:gridCol w:w="1696"/>
        <w:gridCol w:w="1560"/>
        <w:gridCol w:w="939"/>
        <w:gridCol w:w="961"/>
        <w:gridCol w:w="961"/>
        <w:gridCol w:w="961"/>
        <w:gridCol w:w="961"/>
        <w:gridCol w:w="961"/>
      </w:tblGrid>
      <w:tr w:rsidR="000F1029" w:rsidRPr="00686546" w14:paraId="511460B2" w14:textId="77777777" w:rsidTr="001042C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hideMark/>
          </w:tcPr>
          <w:p w14:paraId="1CE83D0B" w14:textId="77777777" w:rsidR="000F1029" w:rsidRPr="00686546" w:rsidRDefault="000F1029" w:rsidP="002F5734">
            <w:pPr>
              <w:pStyle w:val="TableBodyText-H54"/>
              <w:rPr>
                <w:rFonts w:ascii="Arial" w:hAnsi="Arial" w:cs="Arial"/>
                <w:sz w:val="20"/>
                <w:lang w:val="en-US"/>
              </w:rPr>
            </w:pPr>
            <w:r w:rsidRPr="00686546">
              <w:rPr>
                <w:rFonts w:ascii="Arial" w:hAnsi="Arial" w:cs="Arial"/>
                <w:sz w:val="20"/>
                <w:lang w:val="en-US"/>
              </w:rPr>
              <w:t xml:space="preserve">Outcome measure </w:t>
            </w:r>
          </w:p>
        </w:tc>
        <w:tc>
          <w:tcPr>
            <w:tcW w:w="1560" w:type="dxa"/>
            <w:shd w:val="clear" w:color="auto" w:fill="auto"/>
            <w:hideMark/>
          </w:tcPr>
          <w:p w14:paraId="147A7F54" w14:textId="77777777" w:rsidR="000F1029" w:rsidRPr="00686546" w:rsidRDefault="000F1029" w:rsidP="002F5734">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Response</w:t>
            </w:r>
          </w:p>
        </w:tc>
        <w:tc>
          <w:tcPr>
            <w:tcW w:w="2861" w:type="dxa"/>
            <w:gridSpan w:val="3"/>
            <w:shd w:val="clear" w:color="auto" w:fill="auto"/>
            <w:hideMark/>
          </w:tcPr>
          <w:p w14:paraId="3A737310" w14:textId="77777777" w:rsidR="000F1029" w:rsidRPr="00686546"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Tedizolid phosphate</w:t>
            </w:r>
          </w:p>
          <w:p w14:paraId="7A11F377" w14:textId="77777777" w:rsidR="000F1029" w:rsidRPr="00686546"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n (%)</w:t>
            </w:r>
          </w:p>
        </w:tc>
        <w:tc>
          <w:tcPr>
            <w:tcW w:w="2883" w:type="dxa"/>
            <w:gridSpan w:val="3"/>
            <w:shd w:val="clear" w:color="auto" w:fill="auto"/>
            <w:hideMark/>
          </w:tcPr>
          <w:p w14:paraId="1DB62773" w14:textId="77777777" w:rsidR="000F1029" w:rsidRPr="00686546"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Linezolid</w:t>
            </w:r>
          </w:p>
          <w:p w14:paraId="70142D22" w14:textId="77777777" w:rsidR="000F1029" w:rsidRPr="00686546"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n (%)</w:t>
            </w:r>
          </w:p>
        </w:tc>
      </w:tr>
      <w:tr w:rsidR="000F1029" w:rsidRPr="00686546" w14:paraId="2D29E081" w14:textId="77777777" w:rsidTr="001042CC">
        <w:trPr>
          <w:trHeight w:val="603"/>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hideMark/>
          </w:tcPr>
          <w:p w14:paraId="1ACEB989" w14:textId="77777777" w:rsidR="000F1029" w:rsidRPr="00686546" w:rsidRDefault="000F1029" w:rsidP="002F5734">
            <w:pPr>
              <w:pStyle w:val="TableBodyText-H54"/>
              <w:rPr>
                <w:rFonts w:ascii="Arial" w:hAnsi="Arial" w:cs="Arial"/>
                <w:sz w:val="20"/>
                <w:lang w:val="en-US"/>
              </w:rPr>
            </w:pPr>
            <w:r w:rsidRPr="00686546">
              <w:rPr>
                <w:rFonts w:ascii="Arial" w:hAnsi="Arial" w:cs="Arial"/>
                <w:sz w:val="20"/>
                <w:lang w:val="en-US"/>
              </w:rPr>
              <w:t>Sustained clinical success at the EOT Visit</w:t>
            </w:r>
          </w:p>
        </w:tc>
        <w:tc>
          <w:tcPr>
            <w:tcW w:w="1560" w:type="dxa"/>
            <w:hideMark/>
          </w:tcPr>
          <w:p w14:paraId="07B07C03" w14:textId="77777777" w:rsidR="000F1029" w:rsidRPr="00686546" w:rsidRDefault="000F1029" w:rsidP="002F5734">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939" w:type="dxa"/>
            <w:hideMark/>
          </w:tcPr>
          <w:p w14:paraId="18923E42"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Early responder</w:t>
            </w:r>
          </w:p>
        </w:tc>
        <w:tc>
          <w:tcPr>
            <w:tcW w:w="961" w:type="dxa"/>
            <w:hideMark/>
          </w:tcPr>
          <w:p w14:paraId="3D6B222C"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Early non-responder</w:t>
            </w:r>
          </w:p>
        </w:tc>
        <w:tc>
          <w:tcPr>
            <w:tcW w:w="961" w:type="dxa"/>
            <w:hideMark/>
          </w:tcPr>
          <w:p w14:paraId="520AD4AA" w14:textId="183388F6" w:rsidR="000F1029"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Early indetermi</w:t>
            </w:r>
            <w:r w:rsidR="000F1029" w:rsidRPr="00686546">
              <w:rPr>
                <w:rFonts w:ascii="Arial" w:hAnsi="Arial" w:cs="Arial"/>
                <w:sz w:val="20"/>
                <w:lang w:val="en-US"/>
              </w:rPr>
              <w:t>nate</w:t>
            </w:r>
          </w:p>
        </w:tc>
        <w:tc>
          <w:tcPr>
            <w:tcW w:w="961" w:type="dxa"/>
            <w:hideMark/>
          </w:tcPr>
          <w:p w14:paraId="048D6011"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Early responder</w:t>
            </w:r>
          </w:p>
        </w:tc>
        <w:tc>
          <w:tcPr>
            <w:tcW w:w="961" w:type="dxa"/>
            <w:hideMark/>
          </w:tcPr>
          <w:p w14:paraId="3EAB2BA4"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Early non-responder</w:t>
            </w:r>
          </w:p>
        </w:tc>
        <w:tc>
          <w:tcPr>
            <w:tcW w:w="961" w:type="dxa"/>
            <w:hideMark/>
          </w:tcPr>
          <w:p w14:paraId="47B606A6" w14:textId="6E0B9C0D" w:rsidR="000F1029" w:rsidRPr="00686546" w:rsidRDefault="00EB204C"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Pr>
                <w:rFonts w:ascii="Arial" w:hAnsi="Arial" w:cs="Arial"/>
                <w:sz w:val="20"/>
                <w:lang w:val="en-US"/>
              </w:rPr>
              <w:t>Early indetermi</w:t>
            </w:r>
            <w:r w:rsidR="000F1029" w:rsidRPr="00686546">
              <w:rPr>
                <w:rFonts w:ascii="Arial" w:hAnsi="Arial" w:cs="Arial"/>
                <w:sz w:val="20"/>
                <w:lang w:val="en-US"/>
              </w:rPr>
              <w:t>nate</w:t>
            </w:r>
          </w:p>
        </w:tc>
      </w:tr>
      <w:tr w:rsidR="000F1029" w:rsidRPr="00686546" w14:paraId="262E2E41"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hideMark/>
          </w:tcPr>
          <w:p w14:paraId="3A96724E" w14:textId="77777777" w:rsidR="000F1029" w:rsidRPr="00686546" w:rsidRDefault="000F1029" w:rsidP="002F5734">
            <w:pPr>
              <w:rPr>
                <w:rFonts w:cs="Arial"/>
                <w:sz w:val="20"/>
                <w:lang w:val="en-US"/>
              </w:rPr>
            </w:pPr>
          </w:p>
        </w:tc>
        <w:tc>
          <w:tcPr>
            <w:tcW w:w="1560" w:type="dxa"/>
            <w:hideMark/>
          </w:tcPr>
          <w:p w14:paraId="38ABF214" w14:textId="77777777" w:rsidR="000F1029" w:rsidRPr="00686546"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hAnsi="Arial" w:cs="Arial"/>
                <w:sz w:val="20"/>
                <w:lang w:val="en-US"/>
              </w:rPr>
              <w:t>Clinical success</w:t>
            </w:r>
          </w:p>
        </w:tc>
        <w:tc>
          <w:tcPr>
            <w:tcW w:w="939" w:type="dxa"/>
            <w:hideMark/>
          </w:tcPr>
          <w:p w14:paraId="3772B7A4"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i/>
                <w:sz w:val="20"/>
                <w:lang w:val="en-US"/>
              </w:rPr>
            </w:pPr>
            <w:r w:rsidRPr="00686546">
              <w:rPr>
                <w:rFonts w:ascii="Arial" w:eastAsia="Tahoma" w:hAnsi="Arial" w:cs="Arial"/>
                <w:b/>
                <w:i/>
                <w:sz w:val="20"/>
                <w:lang w:val="en-US"/>
              </w:rPr>
              <w:t>253/332 (76.2)</w:t>
            </w:r>
          </w:p>
        </w:tc>
        <w:tc>
          <w:tcPr>
            <w:tcW w:w="961" w:type="dxa"/>
            <w:hideMark/>
          </w:tcPr>
          <w:p w14:paraId="46FBE844"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21/332 (6.3)</w:t>
            </w:r>
          </w:p>
        </w:tc>
        <w:tc>
          <w:tcPr>
            <w:tcW w:w="961" w:type="dxa"/>
            <w:hideMark/>
          </w:tcPr>
          <w:p w14:paraId="490A62CD"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21/332 (6.3)</w:t>
            </w:r>
          </w:p>
        </w:tc>
        <w:tc>
          <w:tcPr>
            <w:tcW w:w="961" w:type="dxa"/>
            <w:hideMark/>
          </w:tcPr>
          <w:p w14:paraId="2E7D341B"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i/>
                <w:sz w:val="20"/>
                <w:lang w:val="en-US"/>
              </w:rPr>
            </w:pPr>
            <w:r w:rsidRPr="00686546">
              <w:rPr>
                <w:rFonts w:ascii="Arial" w:eastAsia="Tahoma" w:hAnsi="Arial" w:cs="Arial"/>
                <w:b/>
                <w:i/>
                <w:sz w:val="20"/>
                <w:lang w:val="en-US"/>
              </w:rPr>
              <w:t>256/335  (76.4)</w:t>
            </w:r>
          </w:p>
        </w:tc>
        <w:tc>
          <w:tcPr>
            <w:tcW w:w="961" w:type="dxa"/>
            <w:hideMark/>
          </w:tcPr>
          <w:p w14:paraId="1444BD4A"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25/335 (7.5)</w:t>
            </w:r>
          </w:p>
        </w:tc>
        <w:tc>
          <w:tcPr>
            <w:tcW w:w="961" w:type="dxa"/>
            <w:hideMark/>
          </w:tcPr>
          <w:p w14:paraId="2C1E6C51"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17/335 (5.1)</w:t>
            </w:r>
          </w:p>
        </w:tc>
      </w:tr>
      <w:tr w:rsidR="000F1029" w:rsidRPr="00686546" w14:paraId="3A6640FF" w14:textId="77777777" w:rsidTr="001042CC">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hideMark/>
          </w:tcPr>
          <w:p w14:paraId="54B12A63" w14:textId="77777777" w:rsidR="000F1029" w:rsidRPr="00686546" w:rsidRDefault="000F1029" w:rsidP="002F5734">
            <w:pPr>
              <w:rPr>
                <w:rFonts w:cs="Arial"/>
                <w:sz w:val="20"/>
                <w:lang w:val="en-US"/>
              </w:rPr>
            </w:pPr>
          </w:p>
        </w:tc>
        <w:tc>
          <w:tcPr>
            <w:tcW w:w="1560" w:type="dxa"/>
            <w:hideMark/>
          </w:tcPr>
          <w:p w14:paraId="2BB3E957" w14:textId="77777777" w:rsidR="000F1029" w:rsidRPr="00686546"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Clinical failure</w:t>
            </w:r>
          </w:p>
        </w:tc>
        <w:tc>
          <w:tcPr>
            <w:tcW w:w="939" w:type="dxa"/>
            <w:hideMark/>
          </w:tcPr>
          <w:p w14:paraId="300B6C1F"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4/332 (1.2)</w:t>
            </w:r>
          </w:p>
        </w:tc>
        <w:tc>
          <w:tcPr>
            <w:tcW w:w="961" w:type="dxa"/>
            <w:hideMark/>
          </w:tcPr>
          <w:p w14:paraId="413FBFF9"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20"/>
                <w:lang w:val="en-US"/>
              </w:rPr>
            </w:pPr>
            <w:r w:rsidRPr="00686546">
              <w:rPr>
                <w:rFonts w:ascii="Arial" w:eastAsia="Tahoma" w:hAnsi="Arial" w:cs="Arial"/>
                <w:b/>
                <w:i/>
                <w:sz w:val="20"/>
                <w:lang w:val="en-US"/>
              </w:rPr>
              <w:t>5/332 (1.5)</w:t>
            </w:r>
          </w:p>
        </w:tc>
        <w:tc>
          <w:tcPr>
            <w:tcW w:w="961" w:type="dxa"/>
            <w:hideMark/>
          </w:tcPr>
          <w:p w14:paraId="45B47DB6"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3/332 (0.9)</w:t>
            </w:r>
          </w:p>
        </w:tc>
        <w:tc>
          <w:tcPr>
            <w:tcW w:w="961" w:type="dxa"/>
            <w:hideMark/>
          </w:tcPr>
          <w:p w14:paraId="3847892F"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4/335 (1.2)</w:t>
            </w:r>
          </w:p>
        </w:tc>
        <w:tc>
          <w:tcPr>
            <w:tcW w:w="961" w:type="dxa"/>
            <w:hideMark/>
          </w:tcPr>
          <w:p w14:paraId="2B66904A"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20"/>
                <w:lang w:val="en-US"/>
              </w:rPr>
            </w:pPr>
            <w:r w:rsidRPr="00686546">
              <w:rPr>
                <w:rFonts w:ascii="Arial" w:eastAsia="Tahoma" w:hAnsi="Arial" w:cs="Arial"/>
                <w:b/>
                <w:i/>
                <w:sz w:val="20"/>
                <w:lang w:val="en-US"/>
              </w:rPr>
              <w:t>7/335 (2.1)</w:t>
            </w:r>
          </w:p>
        </w:tc>
        <w:tc>
          <w:tcPr>
            <w:tcW w:w="961" w:type="dxa"/>
            <w:hideMark/>
          </w:tcPr>
          <w:p w14:paraId="18BA33E9" w14:textId="77777777" w:rsidR="000F1029" w:rsidRPr="00686546"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lang w:val="en-US"/>
              </w:rPr>
            </w:pPr>
            <w:r w:rsidRPr="00686546">
              <w:rPr>
                <w:rFonts w:ascii="Arial" w:eastAsia="Tahoma" w:hAnsi="Arial" w:cs="Arial"/>
                <w:sz w:val="20"/>
                <w:lang w:val="en-US"/>
              </w:rPr>
              <w:t>1/335 (0.3)</w:t>
            </w:r>
          </w:p>
        </w:tc>
      </w:tr>
      <w:tr w:rsidR="000F1029" w:rsidRPr="00686546" w14:paraId="4517BDD2" w14:textId="77777777" w:rsidTr="001042C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hideMark/>
          </w:tcPr>
          <w:p w14:paraId="7FD837D2" w14:textId="77777777" w:rsidR="000F1029" w:rsidRPr="00686546" w:rsidRDefault="000F1029" w:rsidP="002F5734">
            <w:pPr>
              <w:rPr>
                <w:rFonts w:cs="Arial"/>
                <w:sz w:val="20"/>
                <w:lang w:val="en-US"/>
              </w:rPr>
            </w:pPr>
          </w:p>
        </w:tc>
        <w:tc>
          <w:tcPr>
            <w:tcW w:w="1560" w:type="dxa"/>
            <w:hideMark/>
          </w:tcPr>
          <w:p w14:paraId="24E2748B" w14:textId="77777777" w:rsidR="000F1029" w:rsidRPr="00686546"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hAnsi="Arial" w:cs="Arial"/>
                <w:sz w:val="20"/>
                <w:lang w:val="en-US"/>
              </w:rPr>
              <w:t>Indeterminate</w:t>
            </w:r>
          </w:p>
        </w:tc>
        <w:tc>
          <w:tcPr>
            <w:tcW w:w="939" w:type="dxa"/>
            <w:hideMark/>
          </w:tcPr>
          <w:p w14:paraId="1E9DB8B6"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7/332 (2.1)</w:t>
            </w:r>
          </w:p>
        </w:tc>
        <w:tc>
          <w:tcPr>
            <w:tcW w:w="961" w:type="dxa"/>
            <w:hideMark/>
          </w:tcPr>
          <w:p w14:paraId="23C3EB25"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1/332 (0.3)</w:t>
            </w:r>
          </w:p>
        </w:tc>
        <w:tc>
          <w:tcPr>
            <w:tcW w:w="961" w:type="dxa"/>
            <w:hideMark/>
          </w:tcPr>
          <w:p w14:paraId="2E20B9CB"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i/>
                <w:sz w:val="20"/>
                <w:lang w:val="en-US"/>
              </w:rPr>
            </w:pPr>
            <w:r w:rsidRPr="00686546">
              <w:rPr>
                <w:rFonts w:ascii="Arial" w:hAnsi="Arial" w:cs="Arial"/>
                <w:b/>
                <w:i/>
                <w:sz w:val="20"/>
                <w:lang w:val="en-US"/>
              </w:rPr>
              <w:t>17/332 (5.1)</w:t>
            </w:r>
          </w:p>
        </w:tc>
        <w:tc>
          <w:tcPr>
            <w:tcW w:w="961" w:type="dxa"/>
            <w:hideMark/>
          </w:tcPr>
          <w:p w14:paraId="388461EF"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6/335 (1.8)</w:t>
            </w:r>
          </w:p>
        </w:tc>
        <w:tc>
          <w:tcPr>
            <w:tcW w:w="961" w:type="dxa"/>
            <w:hideMark/>
          </w:tcPr>
          <w:p w14:paraId="49ADE8B6"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sz w:val="20"/>
                <w:lang w:val="en-US"/>
              </w:rPr>
            </w:pPr>
            <w:r w:rsidRPr="00686546">
              <w:rPr>
                <w:rFonts w:ascii="Arial" w:hAnsi="Arial" w:cs="Arial"/>
                <w:sz w:val="20"/>
                <w:lang w:val="en-US"/>
              </w:rPr>
              <w:t>3/335 (0.9)</w:t>
            </w:r>
          </w:p>
        </w:tc>
        <w:tc>
          <w:tcPr>
            <w:tcW w:w="961" w:type="dxa"/>
            <w:hideMark/>
          </w:tcPr>
          <w:p w14:paraId="2FC5749F" w14:textId="77777777" w:rsidR="000F1029" w:rsidRPr="00686546"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i/>
                <w:sz w:val="20"/>
                <w:lang w:val="en-US"/>
              </w:rPr>
            </w:pPr>
            <w:r w:rsidRPr="00686546">
              <w:rPr>
                <w:rFonts w:ascii="Arial" w:hAnsi="Arial" w:cs="Arial"/>
                <w:b/>
                <w:i/>
                <w:sz w:val="20"/>
                <w:lang w:val="en-US"/>
              </w:rPr>
              <w:t>16/335 (4.8)</w:t>
            </w:r>
          </w:p>
        </w:tc>
      </w:tr>
      <w:tr w:rsidR="00686546" w:rsidRPr="00686546" w14:paraId="3471BFA7" w14:textId="77777777" w:rsidTr="001042CC">
        <w:trPr>
          <w:trHeight w:val="284"/>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tcPr>
          <w:p w14:paraId="547E6BC6" w14:textId="2F5C7CE6" w:rsidR="00686546" w:rsidRPr="00686546" w:rsidRDefault="00686546" w:rsidP="002F5734">
            <w:pPr>
              <w:rPr>
                <w:rFonts w:cs="Arial"/>
                <w:sz w:val="20"/>
                <w:lang w:val="en-US"/>
              </w:rPr>
            </w:pPr>
            <w:r w:rsidRPr="00686546">
              <w:rPr>
                <w:rFonts w:cs="Arial"/>
                <w:sz w:val="20"/>
                <w:lang w:val="en-US"/>
              </w:rPr>
              <w:t>Sustained clinical success at the PTE Visit</w:t>
            </w:r>
          </w:p>
        </w:tc>
        <w:tc>
          <w:tcPr>
            <w:tcW w:w="1560" w:type="dxa"/>
          </w:tcPr>
          <w:p w14:paraId="10F97A20" w14:textId="57D12EE7" w:rsidR="00686546" w:rsidRPr="00686546" w:rsidRDefault="00686546"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Clinical success</w:t>
            </w:r>
          </w:p>
        </w:tc>
        <w:tc>
          <w:tcPr>
            <w:tcW w:w="939" w:type="dxa"/>
            <w:vAlign w:val="top"/>
          </w:tcPr>
          <w:p w14:paraId="4DCEE661" w14:textId="0F012897"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b/>
                <w:i/>
                <w:sz w:val="20"/>
                <w:lang w:val="en-US"/>
              </w:rPr>
              <w:t>243/332 (73.2)</w:t>
            </w:r>
          </w:p>
        </w:tc>
        <w:tc>
          <w:tcPr>
            <w:tcW w:w="961" w:type="dxa"/>
            <w:vAlign w:val="top"/>
          </w:tcPr>
          <w:p w14:paraId="1568FF64" w14:textId="3A7EE613"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21/332 (6.3)</w:t>
            </w:r>
          </w:p>
        </w:tc>
        <w:tc>
          <w:tcPr>
            <w:tcW w:w="961" w:type="dxa"/>
            <w:vAlign w:val="top"/>
          </w:tcPr>
          <w:p w14:paraId="781A653C" w14:textId="314D29BD"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b/>
                <w:i/>
                <w:sz w:val="20"/>
                <w:lang w:val="en-US"/>
              </w:rPr>
            </w:pPr>
            <w:r w:rsidRPr="00686546">
              <w:rPr>
                <w:rFonts w:ascii="Arial" w:hAnsi="Arial" w:cs="Arial"/>
                <w:sz w:val="20"/>
                <w:lang w:val="en-US"/>
              </w:rPr>
              <w:t>20/332 (6.0)</w:t>
            </w:r>
          </w:p>
        </w:tc>
        <w:tc>
          <w:tcPr>
            <w:tcW w:w="961" w:type="dxa"/>
            <w:vAlign w:val="top"/>
          </w:tcPr>
          <w:p w14:paraId="27AA9AB2" w14:textId="78471265"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b/>
                <w:i/>
                <w:sz w:val="20"/>
                <w:lang w:val="en-US"/>
              </w:rPr>
              <w:t>247/335 (73.7)</w:t>
            </w:r>
          </w:p>
        </w:tc>
        <w:tc>
          <w:tcPr>
            <w:tcW w:w="961" w:type="dxa"/>
            <w:vAlign w:val="top"/>
          </w:tcPr>
          <w:p w14:paraId="56FD67B8" w14:textId="5999AB9E"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24/335 (7.2)</w:t>
            </w:r>
          </w:p>
        </w:tc>
        <w:tc>
          <w:tcPr>
            <w:tcW w:w="961" w:type="dxa"/>
            <w:vAlign w:val="top"/>
          </w:tcPr>
          <w:p w14:paraId="5280DB81" w14:textId="7759C135"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b/>
                <w:i/>
                <w:sz w:val="20"/>
                <w:lang w:val="en-US"/>
              </w:rPr>
            </w:pPr>
            <w:r w:rsidRPr="00686546">
              <w:rPr>
                <w:rFonts w:ascii="Arial" w:hAnsi="Arial" w:cs="Arial"/>
                <w:sz w:val="20"/>
                <w:lang w:val="en-US"/>
              </w:rPr>
              <w:t>17/335 (5.1)</w:t>
            </w:r>
          </w:p>
        </w:tc>
      </w:tr>
      <w:tr w:rsidR="00686546" w:rsidRPr="00686546" w14:paraId="2C7A6CAD" w14:textId="77777777" w:rsidTr="001042C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54655595" w14:textId="77777777" w:rsidR="00686546" w:rsidRPr="00686546" w:rsidRDefault="00686546" w:rsidP="002F5734">
            <w:pPr>
              <w:rPr>
                <w:rFonts w:cs="Arial"/>
                <w:sz w:val="20"/>
                <w:lang w:val="en-US"/>
              </w:rPr>
            </w:pPr>
          </w:p>
        </w:tc>
        <w:tc>
          <w:tcPr>
            <w:tcW w:w="1560" w:type="dxa"/>
          </w:tcPr>
          <w:p w14:paraId="4E9118C8" w14:textId="4DA90B71" w:rsidR="00686546" w:rsidRPr="00686546" w:rsidRDefault="00686546"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hAnsi="Arial" w:cs="Arial"/>
                <w:sz w:val="20"/>
                <w:lang w:val="en-US"/>
              </w:rPr>
              <w:t>Clinical failure</w:t>
            </w:r>
          </w:p>
        </w:tc>
        <w:tc>
          <w:tcPr>
            <w:tcW w:w="939" w:type="dxa"/>
            <w:vAlign w:val="top"/>
          </w:tcPr>
          <w:p w14:paraId="2F70A0D3" w14:textId="6928BB3A"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7/332 (2.1)</w:t>
            </w:r>
          </w:p>
        </w:tc>
        <w:tc>
          <w:tcPr>
            <w:tcW w:w="961" w:type="dxa"/>
            <w:vAlign w:val="top"/>
          </w:tcPr>
          <w:p w14:paraId="0ED69546" w14:textId="5AA37D5B"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eastAsia="Tahoma" w:hAnsi="Arial" w:cs="Arial"/>
                <w:b/>
                <w:i/>
                <w:sz w:val="20"/>
                <w:lang w:val="en-US"/>
              </w:rPr>
              <w:t>5/332 (1.5)</w:t>
            </w:r>
          </w:p>
        </w:tc>
        <w:tc>
          <w:tcPr>
            <w:tcW w:w="961" w:type="dxa"/>
            <w:vAlign w:val="top"/>
          </w:tcPr>
          <w:p w14:paraId="59295101" w14:textId="4D0CEB5E"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686546">
              <w:rPr>
                <w:rFonts w:ascii="Arial" w:eastAsia="Tahoma" w:hAnsi="Arial" w:cs="Arial"/>
                <w:sz w:val="20"/>
                <w:lang w:val="en-US"/>
              </w:rPr>
              <w:t>3/332 (0.9)</w:t>
            </w:r>
          </w:p>
        </w:tc>
        <w:tc>
          <w:tcPr>
            <w:tcW w:w="961" w:type="dxa"/>
            <w:vAlign w:val="top"/>
          </w:tcPr>
          <w:p w14:paraId="21158482" w14:textId="03AE50CA"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6/335 (1.8)</w:t>
            </w:r>
          </w:p>
        </w:tc>
        <w:tc>
          <w:tcPr>
            <w:tcW w:w="961" w:type="dxa"/>
            <w:vAlign w:val="top"/>
          </w:tcPr>
          <w:p w14:paraId="51892D57" w14:textId="515E0E7A"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86546">
              <w:rPr>
                <w:rFonts w:ascii="Arial" w:eastAsia="Tahoma" w:hAnsi="Arial" w:cs="Arial"/>
                <w:b/>
                <w:i/>
                <w:sz w:val="20"/>
                <w:lang w:val="en-US"/>
              </w:rPr>
              <w:t>7/335 (2.1)</w:t>
            </w:r>
          </w:p>
        </w:tc>
        <w:tc>
          <w:tcPr>
            <w:tcW w:w="961" w:type="dxa"/>
            <w:vAlign w:val="top"/>
          </w:tcPr>
          <w:p w14:paraId="169D52B3" w14:textId="205E47E6" w:rsidR="00686546" w:rsidRPr="00686546" w:rsidRDefault="00686546"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686546">
              <w:rPr>
                <w:rFonts w:ascii="Arial" w:eastAsia="Tahoma" w:hAnsi="Arial" w:cs="Arial"/>
                <w:sz w:val="20"/>
                <w:lang w:val="en-US"/>
              </w:rPr>
              <w:t>1/335 (0.3)</w:t>
            </w:r>
          </w:p>
        </w:tc>
      </w:tr>
      <w:tr w:rsidR="00686546" w:rsidRPr="00686546" w14:paraId="1CFB1488" w14:textId="77777777" w:rsidTr="001042CC">
        <w:trPr>
          <w:trHeight w:val="284"/>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11A2B919" w14:textId="77777777" w:rsidR="00686546" w:rsidRPr="00686546" w:rsidRDefault="00686546" w:rsidP="002F5734">
            <w:pPr>
              <w:rPr>
                <w:rFonts w:cs="Arial"/>
                <w:sz w:val="20"/>
                <w:lang w:val="en-US"/>
              </w:rPr>
            </w:pPr>
          </w:p>
        </w:tc>
        <w:tc>
          <w:tcPr>
            <w:tcW w:w="1560" w:type="dxa"/>
          </w:tcPr>
          <w:p w14:paraId="2AA3BBA4" w14:textId="7310B8CF" w:rsidR="00686546" w:rsidRPr="00686546" w:rsidRDefault="00686546"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hAnsi="Arial" w:cs="Arial"/>
                <w:sz w:val="20"/>
                <w:lang w:val="en-US"/>
              </w:rPr>
              <w:t>Indeterminate</w:t>
            </w:r>
          </w:p>
        </w:tc>
        <w:tc>
          <w:tcPr>
            <w:tcW w:w="939" w:type="dxa"/>
            <w:vAlign w:val="top"/>
          </w:tcPr>
          <w:p w14:paraId="666247F6" w14:textId="638ED588"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4/332 (4.2)</w:t>
            </w:r>
          </w:p>
        </w:tc>
        <w:tc>
          <w:tcPr>
            <w:tcW w:w="961" w:type="dxa"/>
            <w:vAlign w:val="top"/>
          </w:tcPr>
          <w:p w14:paraId="636F89D9" w14:textId="79A2B7D1"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1/332 (0.3)</w:t>
            </w:r>
          </w:p>
        </w:tc>
        <w:tc>
          <w:tcPr>
            <w:tcW w:w="961" w:type="dxa"/>
            <w:vAlign w:val="top"/>
          </w:tcPr>
          <w:p w14:paraId="49082FBC" w14:textId="7272BEF7"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b/>
                <w:i/>
                <w:sz w:val="20"/>
                <w:lang w:val="en-US"/>
              </w:rPr>
            </w:pPr>
            <w:r w:rsidRPr="00686546">
              <w:rPr>
                <w:rFonts w:ascii="Arial" w:eastAsia="Tahoma" w:hAnsi="Arial" w:cs="Arial"/>
                <w:b/>
                <w:i/>
                <w:sz w:val="20"/>
                <w:lang w:val="en-US"/>
              </w:rPr>
              <w:t>18/332 (5.4)</w:t>
            </w:r>
          </w:p>
        </w:tc>
        <w:tc>
          <w:tcPr>
            <w:tcW w:w="961" w:type="dxa"/>
            <w:vAlign w:val="top"/>
          </w:tcPr>
          <w:p w14:paraId="5A1C1A55" w14:textId="3714F541"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13/335 (3.9)</w:t>
            </w:r>
          </w:p>
        </w:tc>
        <w:tc>
          <w:tcPr>
            <w:tcW w:w="961" w:type="dxa"/>
            <w:vAlign w:val="top"/>
          </w:tcPr>
          <w:p w14:paraId="032B2352" w14:textId="3A118B44"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86546">
              <w:rPr>
                <w:rFonts w:ascii="Arial" w:eastAsia="Tahoma" w:hAnsi="Arial" w:cs="Arial"/>
                <w:sz w:val="20"/>
                <w:lang w:val="en-US"/>
              </w:rPr>
              <w:t>4/335 (1.2)</w:t>
            </w:r>
          </w:p>
        </w:tc>
        <w:tc>
          <w:tcPr>
            <w:tcW w:w="961" w:type="dxa"/>
            <w:vAlign w:val="top"/>
          </w:tcPr>
          <w:p w14:paraId="28F6BE9B" w14:textId="4E188293" w:rsidR="00686546" w:rsidRPr="00686546" w:rsidRDefault="00686546"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b/>
                <w:i/>
                <w:sz w:val="20"/>
                <w:lang w:val="en-US"/>
              </w:rPr>
            </w:pPr>
            <w:r w:rsidRPr="00686546">
              <w:rPr>
                <w:rFonts w:ascii="Arial" w:eastAsia="Tahoma" w:hAnsi="Arial" w:cs="Arial"/>
                <w:b/>
                <w:i/>
                <w:sz w:val="20"/>
                <w:lang w:val="en-US"/>
              </w:rPr>
              <w:t>16/335 (4.8)</w:t>
            </w:r>
          </w:p>
        </w:tc>
      </w:tr>
    </w:tbl>
    <w:p w14:paraId="1B5C6EFA" w14:textId="6AC4487F" w:rsidR="000F1029" w:rsidRPr="00423979" w:rsidRDefault="000F1029" w:rsidP="000F1029">
      <w:pPr>
        <w:pStyle w:val="TableNote-H58"/>
        <w:rPr>
          <w:rFonts w:ascii="Arial" w:hAnsi="Arial" w:cs="Arial"/>
          <w:sz w:val="16"/>
          <w:szCs w:val="16"/>
          <w:lang w:val="en-US"/>
        </w:rPr>
      </w:pPr>
      <w:r w:rsidRPr="00423979">
        <w:rPr>
          <w:rFonts w:ascii="Arial" w:eastAsia="MS PGothic" w:hAnsi="Arial" w:cs="Arial"/>
          <w:sz w:val="16"/>
          <w:szCs w:val="16"/>
          <w:lang w:val="en-US"/>
        </w:rPr>
        <w:t xml:space="preserve">SOURCE: </w:t>
      </w:r>
      <w:r w:rsidRPr="00423979">
        <w:rPr>
          <w:rFonts w:ascii="Arial" w:hAnsi="Arial" w:cs="Arial"/>
          <w:sz w:val="16"/>
          <w:szCs w:val="16"/>
          <w:lang w:val="en-US"/>
        </w:rPr>
        <w:t>ESTABLISH-1 CSR</w:t>
      </w:r>
      <w:r w:rsidR="00CE78C2">
        <w:rPr>
          <w:rFonts w:ascii="Arial" w:hAnsi="Arial" w:cs="Arial"/>
          <w:sz w:val="16"/>
          <w:szCs w:val="16"/>
          <w:lang w:val="en-US"/>
        </w:rPr>
        <w:t xml:space="preserve"> </w:t>
      </w:r>
      <w:r w:rsidR="00CE78C2">
        <w:rPr>
          <w:rFonts w:ascii="Arial" w:hAnsi="Arial" w:cs="Arial"/>
          <w:sz w:val="16"/>
          <w:szCs w:val="16"/>
          <w:lang w:val="en-US"/>
        </w:rPr>
        <w:fldChar w:fldCharType="begin"/>
      </w:r>
      <w:r w:rsidR="00CE78C2">
        <w:rPr>
          <w:rFonts w:ascii="Arial" w:hAnsi="Arial" w:cs="Arial"/>
          <w:sz w:val="16"/>
          <w:szCs w:val="16"/>
          <w:lang w:val="en-US"/>
        </w:rPr>
        <w:instrText xml:space="preserve"> REF _Ref284171334 \r \h </w:instrText>
      </w:r>
      <w:r w:rsidR="00CE78C2">
        <w:rPr>
          <w:rFonts w:ascii="Arial" w:hAnsi="Arial" w:cs="Arial"/>
          <w:sz w:val="16"/>
          <w:szCs w:val="16"/>
          <w:lang w:val="en-US"/>
        </w:rPr>
      </w:r>
      <w:r w:rsidR="00CE78C2">
        <w:rPr>
          <w:rFonts w:ascii="Arial" w:hAnsi="Arial" w:cs="Arial"/>
          <w:sz w:val="16"/>
          <w:szCs w:val="16"/>
          <w:lang w:val="en-US"/>
        </w:rPr>
        <w:fldChar w:fldCharType="separate"/>
      </w:r>
      <w:r w:rsidR="00151A1C">
        <w:rPr>
          <w:rFonts w:ascii="Arial" w:hAnsi="Arial" w:cs="Arial"/>
          <w:sz w:val="16"/>
          <w:szCs w:val="16"/>
          <w:lang w:val="en-US"/>
        </w:rPr>
        <w:t>41</w:t>
      </w:r>
      <w:r w:rsidR="00CE78C2">
        <w:rPr>
          <w:rFonts w:ascii="Arial" w:hAnsi="Arial" w:cs="Arial"/>
          <w:sz w:val="16"/>
          <w:szCs w:val="16"/>
          <w:lang w:val="en-US"/>
        </w:rPr>
        <w:fldChar w:fldCharType="end"/>
      </w:r>
      <w:r w:rsidRPr="00423979">
        <w:rPr>
          <w:rFonts w:ascii="Arial" w:hAnsi="Arial" w:cs="Arial"/>
          <w:sz w:val="16"/>
          <w:szCs w:val="16"/>
          <w:lang w:val="en-US"/>
        </w:rPr>
        <w:t>: section</w:t>
      </w:r>
      <w:r w:rsidRPr="00423979">
        <w:rPr>
          <w:rFonts w:ascii="Arial" w:eastAsia="Tahoma" w:hAnsi="Arial" w:cs="Arial"/>
          <w:sz w:val="16"/>
          <w:szCs w:val="16"/>
          <w:lang w:val="en-US"/>
        </w:rPr>
        <w:t xml:space="preserve"> 11.4.1.3</w:t>
      </w:r>
      <w:r w:rsidRPr="00423979">
        <w:rPr>
          <w:rFonts w:ascii="Arial" w:hAnsi="Arial" w:cs="Arial"/>
          <w:sz w:val="16"/>
          <w:szCs w:val="16"/>
          <w:lang w:val="en-US"/>
        </w:rPr>
        <w:t xml:space="preserve">, Table 11-42; </w:t>
      </w:r>
      <w:r w:rsidR="00686546" w:rsidRPr="00423979">
        <w:rPr>
          <w:rFonts w:ascii="Arial" w:hAnsi="Arial" w:cs="Arial"/>
          <w:sz w:val="16"/>
          <w:szCs w:val="16"/>
          <w:lang w:val="en-US"/>
        </w:rPr>
        <w:t xml:space="preserve">Table 14.2.37.2 </w:t>
      </w:r>
      <w:r w:rsidRPr="00423979">
        <w:rPr>
          <w:rFonts w:ascii="Arial" w:hAnsi="Arial" w:cs="Arial"/>
          <w:b/>
          <w:sz w:val="16"/>
          <w:szCs w:val="16"/>
          <w:lang w:val="en-US"/>
        </w:rPr>
        <w:t xml:space="preserve">Data in </w:t>
      </w:r>
      <w:r w:rsidR="00B77F1F">
        <w:rPr>
          <w:rFonts w:ascii="Arial" w:hAnsi="Arial" w:cs="Arial"/>
          <w:b/>
          <w:i/>
          <w:sz w:val="16"/>
          <w:szCs w:val="16"/>
          <w:lang w:val="en-US"/>
        </w:rPr>
        <w:t>bold and italicis</w:t>
      </w:r>
      <w:r w:rsidRPr="00423979">
        <w:rPr>
          <w:rFonts w:ascii="Arial" w:hAnsi="Arial" w:cs="Arial"/>
          <w:b/>
          <w:i/>
          <w:sz w:val="16"/>
          <w:szCs w:val="16"/>
          <w:lang w:val="en-US"/>
        </w:rPr>
        <w:t>ed</w:t>
      </w:r>
      <w:r w:rsidRPr="00423979">
        <w:rPr>
          <w:rFonts w:ascii="Arial" w:hAnsi="Arial" w:cs="Arial"/>
          <w:b/>
          <w:sz w:val="16"/>
          <w:szCs w:val="16"/>
          <w:lang w:val="en-US"/>
        </w:rPr>
        <w:t xml:space="preserve"> indicate concordance data</w:t>
      </w:r>
      <w:r w:rsidR="00C636D7" w:rsidRPr="00423979">
        <w:rPr>
          <w:rFonts w:ascii="Arial" w:hAnsi="Arial" w:cs="Arial"/>
          <w:sz w:val="16"/>
          <w:szCs w:val="16"/>
          <w:lang w:val="en-US"/>
        </w:rPr>
        <w:t xml:space="preserve"> </w:t>
      </w:r>
      <w:r w:rsidRPr="00423979">
        <w:rPr>
          <w:rFonts w:ascii="Arial" w:hAnsi="Arial" w:cs="Arial"/>
          <w:sz w:val="16"/>
          <w:szCs w:val="16"/>
          <w:lang w:val="en-US"/>
        </w:rPr>
        <w:t>ITT: Intent-to-treat; EOT: End of Therapy; n: Number of patients in specific category</w:t>
      </w:r>
    </w:p>
    <w:p w14:paraId="43BE4CA9" w14:textId="01E66D13" w:rsidR="000F1029" w:rsidRPr="005C6E7A" w:rsidRDefault="00EB204C" w:rsidP="00EB204C">
      <w:pPr>
        <w:pStyle w:val="Heading3"/>
        <w:keepLines w:val="0"/>
        <w:spacing w:before="240" w:after="120"/>
        <w:rPr>
          <w:rFonts w:ascii="Arial" w:hAnsi="Arial" w:cs="Arial"/>
          <w:color w:val="auto"/>
          <w:sz w:val="22"/>
          <w:szCs w:val="22"/>
          <w:lang w:val="en-US"/>
        </w:rPr>
      </w:pPr>
      <w:bookmarkStart w:id="84" w:name="_Ref384384575"/>
      <w:bookmarkStart w:id="85" w:name="_Toc396058832"/>
      <w:r w:rsidRPr="005C6E7A">
        <w:rPr>
          <w:rFonts w:ascii="Arial" w:hAnsi="Arial" w:cs="Arial"/>
          <w:color w:val="auto"/>
          <w:sz w:val="22"/>
          <w:szCs w:val="22"/>
          <w:lang w:val="en-US"/>
        </w:rPr>
        <w:t>3.3.17.5</w:t>
      </w:r>
      <w:r w:rsidR="00760A66" w:rsidRPr="005C6E7A">
        <w:rPr>
          <w:rFonts w:ascii="Arial" w:hAnsi="Arial" w:cs="Arial"/>
          <w:color w:val="auto"/>
          <w:sz w:val="22"/>
          <w:szCs w:val="22"/>
          <w:lang w:val="en-US"/>
        </w:rPr>
        <w:t xml:space="preserve"> S</w:t>
      </w:r>
      <w:r w:rsidR="000F1029" w:rsidRPr="005C6E7A">
        <w:rPr>
          <w:rFonts w:ascii="Arial" w:hAnsi="Arial" w:cs="Arial"/>
          <w:color w:val="auto"/>
          <w:sz w:val="22"/>
          <w:szCs w:val="22"/>
          <w:lang w:val="en-US"/>
        </w:rPr>
        <w:t xml:space="preserve">ustained clinical success at the LFU Visit (18 days - 25 days after the EOT Visit) </w:t>
      </w:r>
      <w:bookmarkEnd w:id="84"/>
      <w:bookmarkEnd w:id="85"/>
    </w:p>
    <w:p w14:paraId="06332872" w14:textId="700E8837" w:rsidR="000F1029" w:rsidRPr="005C6E7A" w:rsidRDefault="00760A66" w:rsidP="00760A66">
      <w:pPr>
        <w:pStyle w:val="BodyText"/>
        <w:rPr>
          <w:rFonts w:cs="Arial"/>
          <w:sz w:val="22"/>
          <w:szCs w:val="22"/>
        </w:rPr>
      </w:pPr>
      <w:r w:rsidRPr="005C6E7A">
        <w:rPr>
          <w:rFonts w:cs="Arial"/>
          <w:sz w:val="22"/>
          <w:szCs w:val="22"/>
          <w:lang w:val="en-US"/>
        </w:rPr>
        <w:t>The proportion of patients achieving sustained clinical success at the LFU Visit after having previously achieved Investigator-assessed clinical success at the PTE Visit in the CE-PTE population was comparable between t</w:t>
      </w:r>
      <w:r w:rsidR="000F1029" w:rsidRPr="005C6E7A">
        <w:rPr>
          <w:rFonts w:cs="Arial"/>
          <w:sz w:val="22"/>
          <w:szCs w:val="22"/>
          <w:lang w:val="en-US"/>
        </w:rPr>
        <w:t xml:space="preserve">edizolid phosphate </w:t>
      </w:r>
      <w:r w:rsidRPr="005C6E7A">
        <w:rPr>
          <w:rFonts w:cs="Arial"/>
          <w:sz w:val="22"/>
          <w:szCs w:val="22"/>
          <w:lang w:val="en-US"/>
        </w:rPr>
        <w:t xml:space="preserve">and </w:t>
      </w:r>
      <w:r w:rsidR="005C6E7A" w:rsidRPr="005C6E7A">
        <w:rPr>
          <w:rFonts w:cs="Arial"/>
          <w:sz w:val="22"/>
          <w:szCs w:val="22"/>
          <w:lang w:val="en-US"/>
        </w:rPr>
        <w:t xml:space="preserve">linezolid </w:t>
      </w:r>
      <w:r w:rsidR="000F1029" w:rsidRPr="005C6E7A">
        <w:rPr>
          <w:rFonts w:cs="Arial"/>
          <w:sz w:val="22"/>
          <w:szCs w:val="22"/>
          <w:lang w:val="en-US"/>
        </w:rPr>
        <w:t>(</w:t>
      </w:r>
      <w:r w:rsidRPr="005C6E7A">
        <w:rPr>
          <w:rFonts w:cs="Arial"/>
          <w:sz w:val="22"/>
          <w:szCs w:val="22"/>
          <w:lang w:val="en-US"/>
        </w:rPr>
        <w:fldChar w:fldCharType="begin"/>
      </w:r>
      <w:r w:rsidRPr="005C6E7A">
        <w:rPr>
          <w:rFonts w:cs="Arial"/>
          <w:sz w:val="22"/>
          <w:szCs w:val="22"/>
          <w:lang w:val="en-US"/>
        </w:rPr>
        <w:instrText xml:space="preserve"> REF _Ref281818563 \h </w:instrText>
      </w:r>
      <w:r w:rsidRPr="005C6E7A">
        <w:rPr>
          <w:rFonts w:cs="Arial"/>
          <w:sz w:val="22"/>
          <w:szCs w:val="22"/>
          <w:lang w:val="en-US"/>
        </w:rPr>
      </w:r>
      <w:r w:rsidRPr="005C6E7A">
        <w:rPr>
          <w:rFonts w:cs="Arial"/>
          <w:sz w:val="22"/>
          <w:szCs w:val="22"/>
          <w:lang w:val="en-US"/>
        </w:rPr>
        <w:fldChar w:fldCharType="separate"/>
      </w:r>
      <w:r w:rsidR="00151A1C" w:rsidRPr="005C6E7A">
        <w:rPr>
          <w:rFonts w:cs="Arial"/>
          <w:sz w:val="22"/>
          <w:szCs w:val="22"/>
        </w:rPr>
        <w:t xml:space="preserve">Table </w:t>
      </w:r>
      <w:r w:rsidR="00151A1C">
        <w:rPr>
          <w:rFonts w:cs="Arial"/>
          <w:noProof/>
          <w:sz w:val="22"/>
          <w:szCs w:val="22"/>
        </w:rPr>
        <w:t>14</w:t>
      </w:r>
      <w:r w:rsidRPr="005C6E7A">
        <w:rPr>
          <w:rFonts w:cs="Arial"/>
          <w:sz w:val="22"/>
          <w:szCs w:val="22"/>
          <w:lang w:val="en-US"/>
        </w:rPr>
        <w:fldChar w:fldCharType="end"/>
      </w:r>
      <w:r w:rsidR="005C6E7A" w:rsidRPr="005C6E7A">
        <w:rPr>
          <w:rFonts w:cs="Arial"/>
          <w:sz w:val="22"/>
          <w:szCs w:val="22"/>
          <w:lang w:val="en-US"/>
        </w:rPr>
        <w:t>).</w:t>
      </w:r>
    </w:p>
    <w:p w14:paraId="73A350E3" w14:textId="6D4D9020" w:rsidR="000F1029" w:rsidRPr="005C6E7A" w:rsidRDefault="00760A66" w:rsidP="00760A66">
      <w:pPr>
        <w:pStyle w:val="Caption"/>
        <w:rPr>
          <w:rFonts w:ascii="Arial" w:hAnsi="Arial" w:cs="Arial"/>
          <w:sz w:val="22"/>
          <w:szCs w:val="22"/>
          <w:lang w:val="en-US"/>
        </w:rPr>
      </w:pPr>
      <w:bookmarkStart w:id="86" w:name="_Ref281818563"/>
      <w:bookmarkStart w:id="87" w:name="_Toc396058460"/>
      <w:r w:rsidRPr="005C6E7A">
        <w:rPr>
          <w:rFonts w:ascii="Arial" w:hAnsi="Arial" w:cs="Arial"/>
          <w:sz w:val="22"/>
          <w:szCs w:val="22"/>
        </w:rPr>
        <w:lastRenderedPageBreak/>
        <w:t xml:space="preserve">Table </w:t>
      </w:r>
      <w:r w:rsidRPr="005C6E7A">
        <w:rPr>
          <w:rFonts w:ascii="Arial" w:hAnsi="Arial" w:cs="Arial"/>
          <w:sz w:val="22"/>
          <w:szCs w:val="22"/>
        </w:rPr>
        <w:fldChar w:fldCharType="begin"/>
      </w:r>
      <w:r w:rsidRPr="005C6E7A">
        <w:rPr>
          <w:rFonts w:ascii="Arial" w:hAnsi="Arial" w:cs="Arial"/>
          <w:sz w:val="22"/>
          <w:szCs w:val="22"/>
        </w:rPr>
        <w:instrText xml:space="preserve"> SEQ Table \* ARABIC </w:instrText>
      </w:r>
      <w:r w:rsidRPr="005C6E7A">
        <w:rPr>
          <w:rFonts w:ascii="Arial" w:hAnsi="Arial" w:cs="Arial"/>
          <w:sz w:val="22"/>
          <w:szCs w:val="22"/>
        </w:rPr>
        <w:fldChar w:fldCharType="separate"/>
      </w:r>
      <w:r w:rsidR="00151A1C">
        <w:rPr>
          <w:rFonts w:ascii="Arial" w:hAnsi="Arial" w:cs="Arial"/>
          <w:noProof/>
          <w:sz w:val="22"/>
          <w:szCs w:val="22"/>
        </w:rPr>
        <w:t>14</w:t>
      </w:r>
      <w:r w:rsidRPr="005C6E7A">
        <w:rPr>
          <w:rFonts w:ascii="Arial" w:hAnsi="Arial" w:cs="Arial"/>
          <w:sz w:val="22"/>
          <w:szCs w:val="22"/>
        </w:rPr>
        <w:fldChar w:fldCharType="end"/>
      </w:r>
      <w:bookmarkEnd w:id="86"/>
      <w:r w:rsidR="000F1029" w:rsidRPr="005C6E7A">
        <w:rPr>
          <w:rFonts w:ascii="Arial" w:hAnsi="Arial" w:cs="Arial"/>
          <w:sz w:val="22"/>
          <w:szCs w:val="22"/>
          <w:lang w:val="en-US"/>
        </w:rPr>
        <w:t xml:space="preserve">: </w:t>
      </w:r>
      <w:r w:rsidRPr="005C6E7A">
        <w:rPr>
          <w:rFonts w:ascii="Arial" w:hAnsi="Arial" w:cs="Arial"/>
          <w:sz w:val="22"/>
          <w:szCs w:val="22"/>
          <w:lang w:val="en-US"/>
        </w:rPr>
        <w:t xml:space="preserve">ESTABLISH-1 </w:t>
      </w:r>
      <w:r w:rsidR="000F1029" w:rsidRPr="005C6E7A">
        <w:rPr>
          <w:rFonts w:ascii="Arial" w:hAnsi="Arial" w:cs="Arial"/>
          <w:sz w:val="22"/>
          <w:szCs w:val="22"/>
          <w:lang w:val="en-US"/>
        </w:rPr>
        <w:t>Proportion of patients with sustained cl</w:t>
      </w:r>
      <w:r w:rsidRPr="005C6E7A">
        <w:rPr>
          <w:rFonts w:ascii="Arial" w:hAnsi="Arial" w:cs="Arial"/>
          <w:sz w:val="22"/>
          <w:szCs w:val="22"/>
          <w:lang w:val="en-US"/>
        </w:rPr>
        <w:t xml:space="preserve">inical success at the LFU Visit </w:t>
      </w:r>
      <w:r w:rsidR="000F1029" w:rsidRPr="005C6E7A">
        <w:rPr>
          <w:rFonts w:ascii="Arial" w:hAnsi="Arial" w:cs="Arial"/>
          <w:sz w:val="22"/>
          <w:szCs w:val="22"/>
          <w:lang w:val="en-US"/>
        </w:rPr>
        <w:t>(CE-PTE population)</w:t>
      </w:r>
      <w:bookmarkEnd w:id="87"/>
    </w:p>
    <w:tbl>
      <w:tblPr>
        <w:tblStyle w:val="Table-HERONplain"/>
        <w:tblW w:w="0" w:type="auto"/>
        <w:tblLayout w:type="fixed"/>
        <w:tblLook w:val="04A0" w:firstRow="1" w:lastRow="0" w:firstColumn="1" w:lastColumn="0" w:noHBand="0" w:noVBand="1"/>
      </w:tblPr>
      <w:tblGrid>
        <w:gridCol w:w="1638"/>
        <w:gridCol w:w="2497"/>
        <w:gridCol w:w="1260"/>
        <w:gridCol w:w="1283"/>
        <w:gridCol w:w="1080"/>
        <w:gridCol w:w="1080"/>
      </w:tblGrid>
      <w:tr w:rsidR="000F1029" w:rsidRPr="005C6E7A" w14:paraId="7E838DC1" w14:textId="77777777" w:rsidTr="001042C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5B630C80" w14:textId="77777777" w:rsidR="000F1029" w:rsidRPr="005C6E7A" w:rsidRDefault="000F1029" w:rsidP="002F5734">
            <w:pPr>
              <w:pStyle w:val="TableBodyText-H54"/>
              <w:rPr>
                <w:rFonts w:ascii="Arial" w:hAnsi="Arial" w:cs="Arial"/>
                <w:sz w:val="20"/>
                <w:lang w:val="en-US"/>
              </w:rPr>
            </w:pPr>
            <w:r w:rsidRPr="005C6E7A">
              <w:rPr>
                <w:rFonts w:ascii="Arial" w:hAnsi="Arial" w:cs="Arial"/>
                <w:sz w:val="20"/>
                <w:lang w:val="en-US"/>
              </w:rPr>
              <w:t xml:space="preserve">Outcome measure </w:t>
            </w:r>
          </w:p>
        </w:tc>
        <w:tc>
          <w:tcPr>
            <w:tcW w:w="2497" w:type="dxa"/>
            <w:shd w:val="clear" w:color="auto" w:fill="auto"/>
            <w:hideMark/>
          </w:tcPr>
          <w:p w14:paraId="01E3640B" w14:textId="77777777" w:rsidR="000F1029" w:rsidRPr="005C6E7A" w:rsidRDefault="000F1029" w:rsidP="002F5734">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Response</w:t>
            </w:r>
          </w:p>
        </w:tc>
        <w:tc>
          <w:tcPr>
            <w:tcW w:w="1260" w:type="dxa"/>
            <w:shd w:val="clear" w:color="auto" w:fill="auto"/>
            <w:hideMark/>
          </w:tcPr>
          <w:p w14:paraId="0B81AFCC"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Tedizolid phosphate</w:t>
            </w:r>
          </w:p>
          <w:p w14:paraId="0941E8A0"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n (%)</w:t>
            </w:r>
          </w:p>
        </w:tc>
        <w:tc>
          <w:tcPr>
            <w:tcW w:w="1283" w:type="dxa"/>
            <w:shd w:val="clear" w:color="auto" w:fill="auto"/>
            <w:hideMark/>
          </w:tcPr>
          <w:p w14:paraId="4085FF7B"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Linezolid</w:t>
            </w:r>
          </w:p>
          <w:p w14:paraId="6FA6F98F"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n (%)</w:t>
            </w:r>
          </w:p>
        </w:tc>
        <w:tc>
          <w:tcPr>
            <w:tcW w:w="1080" w:type="dxa"/>
            <w:shd w:val="clear" w:color="auto" w:fill="auto"/>
            <w:hideMark/>
          </w:tcPr>
          <w:p w14:paraId="73C0E120"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Difference</w:t>
            </w:r>
          </w:p>
          <w:p w14:paraId="49898455"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w:t>
            </w:r>
          </w:p>
        </w:tc>
        <w:tc>
          <w:tcPr>
            <w:tcW w:w="1080" w:type="dxa"/>
            <w:shd w:val="clear" w:color="auto" w:fill="auto"/>
            <w:hideMark/>
          </w:tcPr>
          <w:p w14:paraId="3BA68686" w14:textId="77777777" w:rsidR="000F1029" w:rsidRPr="005C6E7A"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95% CI for difference</w:t>
            </w:r>
          </w:p>
        </w:tc>
      </w:tr>
      <w:tr w:rsidR="000F1029" w:rsidRPr="005C6E7A" w14:paraId="0D4BAD5E" w14:textId="77777777" w:rsidTr="001042CC">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54EF5A1F" w14:textId="77777777" w:rsidR="000F1029" w:rsidRPr="005C6E7A" w:rsidRDefault="000F1029" w:rsidP="002F5734">
            <w:pPr>
              <w:pStyle w:val="TableBodyText-H54"/>
              <w:rPr>
                <w:rFonts w:ascii="Arial" w:hAnsi="Arial" w:cs="Arial"/>
                <w:sz w:val="20"/>
                <w:lang w:val="en-US"/>
              </w:rPr>
            </w:pPr>
            <w:r w:rsidRPr="005C6E7A">
              <w:rPr>
                <w:rFonts w:ascii="Arial" w:hAnsi="Arial" w:cs="Arial"/>
                <w:sz w:val="20"/>
                <w:lang w:val="en-US"/>
              </w:rPr>
              <w:t>Sustained clinical success at the LFU Visit</w:t>
            </w:r>
          </w:p>
        </w:tc>
        <w:tc>
          <w:tcPr>
            <w:tcW w:w="2497" w:type="dxa"/>
            <w:hideMark/>
          </w:tcPr>
          <w:p w14:paraId="7D61487A" w14:textId="77777777" w:rsidR="000F1029" w:rsidRPr="005C6E7A"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N</w:t>
            </w:r>
          </w:p>
        </w:tc>
        <w:tc>
          <w:tcPr>
            <w:tcW w:w="1260" w:type="dxa"/>
            <w:hideMark/>
          </w:tcPr>
          <w:p w14:paraId="18265BC5"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264</w:t>
            </w:r>
          </w:p>
        </w:tc>
        <w:tc>
          <w:tcPr>
            <w:tcW w:w="1283" w:type="dxa"/>
            <w:hideMark/>
          </w:tcPr>
          <w:p w14:paraId="129B5A54"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267</w:t>
            </w:r>
          </w:p>
        </w:tc>
        <w:tc>
          <w:tcPr>
            <w:tcW w:w="1080" w:type="dxa"/>
            <w:hideMark/>
          </w:tcPr>
          <w:p w14:paraId="6CE5001C"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w:t>
            </w:r>
          </w:p>
        </w:tc>
        <w:tc>
          <w:tcPr>
            <w:tcW w:w="1080" w:type="dxa"/>
            <w:hideMark/>
          </w:tcPr>
          <w:p w14:paraId="284229D6"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w:t>
            </w:r>
          </w:p>
        </w:tc>
      </w:tr>
      <w:tr w:rsidR="000F1029" w:rsidRPr="005C6E7A" w14:paraId="2F3ECAC5"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2B46B296" w14:textId="77777777" w:rsidR="000F1029" w:rsidRPr="005C6E7A" w:rsidRDefault="000F1029" w:rsidP="002F5734">
            <w:pPr>
              <w:rPr>
                <w:rFonts w:cs="Arial"/>
                <w:sz w:val="20"/>
                <w:lang w:val="en-US"/>
              </w:rPr>
            </w:pPr>
          </w:p>
        </w:tc>
        <w:tc>
          <w:tcPr>
            <w:tcW w:w="2497" w:type="dxa"/>
            <w:hideMark/>
          </w:tcPr>
          <w:p w14:paraId="523DEA40" w14:textId="77777777" w:rsidR="000F1029" w:rsidRPr="005C6E7A"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Sustained clinical success</w:t>
            </w:r>
          </w:p>
        </w:tc>
        <w:tc>
          <w:tcPr>
            <w:tcW w:w="1260" w:type="dxa"/>
            <w:vAlign w:val="top"/>
            <w:hideMark/>
          </w:tcPr>
          <w:p w14:paraId="2C507736"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eastAsia="Tahoma" w:hAnsi="Arial" w:cs="Arial"/>
                <w:sz w:val="20"/>
                <w:lang w:val="en-US"/>
              </w:rPr>
              <w:t xml:space="preserve">259 (98.1) </w:t>
            </w:r>
          </w:p>
        </w:tc>
        <w:tc>
          <w:tcPr>
            <w:tcW w:w="1283" w:type="dxa"/>
            <w:vAlign w:val="top"/>
            <w:hideMark/>
          </w:tcPr>
          <w:p w14:paraId="25FA23EB"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eastAsia="Tahoma" w:hAnsi="Arial" w:cs="Arial"/>
                <w:sz w:val="20"/>
                <w:lang w:val="en-US"/>
              </w:rPr>
              <w:t>267 (100.0)</w:t>
            </w:r>
          </w:p>
        </w:tc>
        <w:tc>
          <w:tcPr>
            <w:tcW w:w="1080" w:type="dxa"/>
            <w:vMerge w:val="restart"/>
            <w:hideMark/>
          </w:tcPr>
          <w:p w14:paraId="0840A4EC"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1.1</w:t>
            </w:r>
          </w:p>
        </w:tc>
        <w:tc>
          <w:tcPr>
            <w:tcW w:w="1080" w:type="dxa"/>
            <w:vMerge w:val="restart"/>
            <w:hideMark/>
          </w:tcPr>
          <w:p w14:paraId="3303AE34"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NE</w:t>
            </w:r>
          </w:p>
        </w:tc>
      </w:tr>
      <w:tr w:rsidR="000F1029" w:rsidRPr="005C6E7A" w14:paraId="7F594353" w14:textId="77777777" w:rsidTr="001042CC">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6F5C528" w14:textId="77777777" w:rsidR="000F1029" w:rsidRPr="005C6E7A" w:rsidRDefault="000F1029" w:rsidP="002F5734">
            <w:pPr>
              <w:rPr>
                <w:rFonts w:cs="Arial"/>
                <w:sz w:val="20"/>
                <w:lang w:val="en-US"/>
              </w:rPr>
            </w:pPr>
          </w:p>
        </w:tc>
        <w:tc>
          <w:tcPr>
            <w:tcW w:w="2497" w:type="dxa"/>
            <w:hideMark/>
          </w:tcPr>
          <w:p w14:paraId="6D993DFC" w14:textId="77777777" w:rsidR="000F1029" w:rsidRPr="005C6E7A"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Clinical failure/relapse</w:t>
            </w:r>
          </w:p>
        </w:tc>
        <w:tc>
          <w:tcPr>
            <w:tcW w:w="1260" w:type="dxa"/>
            <w:hideMark/>
          </w:tcPr>
          <w:p w14:paraId="2AEBDE11"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eastAsia="Tahoma" w:hAnsi="Arial" w:cs="Arial"/>
                <w:sz w:val="20"/>
                <w:lang w:val="en-US"/>
              </w:rPr>
              <w:t>3 (1.1)</w:t>
            </w:r>
          </w:p>
        </w:tc>
        <w:tc>
          <w:tcPr>
            <w:tcW w:w="1283" w:type="dxa"/>
            <w:hideMark/>
          </w:tcPr>
          <w:p w14:paraId="35B2ECD8" w14:textId="77777777" w:rsidR="000F1029" w:rsidRPr="005C6E7A"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5C6E7A">
              <w:rPr>
                <w:rFonts w:ascii="Arial" w:hAnsi="Arial" w:cs="Arial"/>
                <w:sz w:val="20"/>
                <w:lang w:val="en-US"/>
              </w:rPr>
              <w:t>0</w:t>
            </w:r>
          </w:p>
        </w:tc>
        <w:tc>
          <w:tcPr>
            <w:tcW w:w="1080" w:type="dxa"/>
            <w:vMerge/>
            <w:hideMark/>
          </w:tcPr>
          <w:p w14:paraId="2C34FCED" w14:textId="77777777" w:rsidR="000F1029" w:rsidRPr="005C6E7A" w:rsidRDefault="000F1029" w:rsidP="002F5734">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80" w:type="dxa"/>
            <w:vMerge/>
            <w:hideMark/>
          </w:tcPr>
          <w:p w14:paraId="07D7DD81" w14:textId="77777777" w:rsidR="000F1029" w:rsidRPr="005C6E7A" w:rsidRDefault="000F1029" w:rsidP="002F5734">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0F1029" w:rsidRPr="005C6E7A" w14:paraId="6AD0A4D4"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E78C077" w14:textId="77777777" w:rsidR="000F1029" w:rsidRPr="005C6E7A" w:rsidRDefault="000F1029" w:rsidP="002F5734">
            <w:pPr>
              <w:rPr>
                <w:rFonts w:cs="Arial"/>
                <w:sz w:val="20"/>
                <w:lang w:val="en-US"/>
              </w:rPr>
            </w:pPr>
          </w:p>
        </w:tc>
        <w:tc>
          <w:tcPr>
            <w:tcW w:w="2497" w:type="dxa"/>
            <w:hideMark/>
          </w:tcPr>
          <w:p w14:paraId="197C4BB5" w14:textId="77777777" w:rsidR="000F1029" w:rsidRPr="005C6E7A"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Indeterminate</w:t>
            </w:r>
          </w:p>
        </w:tc>
        <w:tc>
          <w:tcPr>
            <w:tcW w:w="1260" w:type="dxa"/>
            <w:hideMark/>
          </w:tcPr>
          <w:p w14:paraId="50711441"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2 (0.8)</w:t>
            </w:r>
          </w:p>
        </w:tc>
        <w:tc>
          <w:tcPr>
            <w:tcW w:w="1283" w:type="dxa"/>
            <w:hideMark/>
          </w:tcPr>
          <w:p w14:paraId="1D22CF9E" w14:textId="77777777" w:rsidR="000F1029" w:rsidRPr="005C6E7A"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5C6E7A">
              <w:rPr>
                <w:rFonts w:ascii="Arial" w:hAnsi="Arial" w:cs="Arial"/>
                <w:sz w:val="20"/>
                <w:lang w:val="en-US"/>
              </w:rPr>
              <w:t>0</w:t>
            </w:r>
          </w:p>
        </w:tc>
        <w:tc>
          <w:tcPr>
            <w:tcW w:w="1080" w:type="dxa"/>
            <w:vMerge/>
            <w:hideMark/>
          </w:tcPr>
          <w:p w14:paraId="5B83973F" w14:textId="77777777" w:rsidR="000F1029" w:rsidRPr="005C6E7A" w:rsidRDefault="000F1029" w:rsidP="002F5734">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80" w:type="dxa"/>
            <w:vMerge/>
            <w:hideMark/>
          </w:tcPr>
          <w:p w14:paraId="624E243A" w14:textId="77777777" w:rsidR="000F1029" w:rsidRPr="005C6E7A" w:rsidRDefault="000F1029" w:rsidP="002F5734">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bl>
    <w:p w14:paraId="72D1555B" w14:textId="22DEE1D8" w:rsidR="000F1029" w:rsidRPr="005C6E7A" w:rsidRDefault="000F1029" w:rsidP="000F1029">
      <w:pPr>
        <w:pStyle w:val="TableNote-H58"/>
        <w:rPr>
          <w:rFonts w:ascii="Arial" w:hAnsi="Arial" w:cs="Arial"/>
          <w:sz w:val="16"/>
          <w:szCs w:val="16"/>
          <w:lang w:val="en-US"/>
        </w:rPr>
      </w:pPr>
      <w:r w:rsidRPr="005C6E7A">
        <w:rPr>
          <w:rFonts w:ascii="Arial" w:hAnsi="Arial" w:cs="Arial"/>
          <w:sz w:val="16"/>
          <w:szCs w:val="16"/>
          <w:lang w:val="en-US"/>
        </w:rPr>
        <w:t>SOURCE: ESTABLISH-1 CSR</w:t>
      </w:r>
      <w:r w:rsidR="00CE78C2">
        <w:rPr>
          <w:rFonts w:ascii="Arial" w:hAnsi="Arial" w:cs="Arial"/>
          <w:sz w:val="16"/>
          <w:szCs w:val="16"/>
          <w:lang w:val="en-US"/>
        </w:rPr>
        <w:t xml:space="preserve"> </w:t>
      </w:r>
      <w:r w:rsidR="00CE78C2">
        <w:rPr>
          <w:rFonts w:ascii="Arial" w:hAnsi="Arial" w:cs="Arial"/>
          <w:sz w:val="16"/>
          <w:szCs w:val="16"/>
          <w:lang w:val="en-US"/>
        </w:rPr>
        <w:fldChar w:fldCharType="begin"/>
      </w:r>
      <w:r w:rsidR="00CE78C2">
        <w:rPr>
          <w:rFonts w:ascii="Arial" w:hAnsi="Arial" w:cs="Arial"/>
          <w:sz w:val="16"/>
          <w:szCs w:val="16"/>
          <w:lang w:val="en-US"/>
        </w:rPr>
        <w:instrText xml:space="preserve"> REF _Ref284171334 \r \h </w:instrText>
      </w:r>
      <w:r w:rsidR="00CE78C2">
        <w:rPr>
          <w:rFonts w:ascii="Arial" w:hAnsi="Arial" w:cs="Arial"/>
          <w:sz w:val="16"/>
          <w:szCs w:val="16"/>
          <w:lang w:val="en-US"/>
        </w:rPr>
      </w:r>
      <w:r w:rsidR="00CE78C2">
        <w:rPr>
          <w:rFonts w:ascii="Arial" w:hAnsi="Arial" w:cs="Arial"/>
          <w:sz w:val="16"/>
          <w:szCs w:val="16"/>
          <w:lang w:val="en-US"/>
        </w:rPr>
        <w:fldChar w:fldCharType="separate"/>
      </w:r>
      <w:r w:rsidR="00151A1C">
        <w:rPr>
          <w:rFonts w:ascii="Arial" w:hAnsi="Arial" w:cs="Arial"/>
          <w:sz w:val="16"/>
          <w:szCs w:val="16"/>
          <w:lang w:val="en-US"/>
        </w:rPr>
        <w:t>41</w:t>
      </w:r>
      <w:r w:rsidR="00CE78C2">
        <w:rPr>
          <w:rFonts w:ascii="Arial" w:hAnsi="Arial" w:cs="Arial"/>
          <w:sz w:val="16"/>
          <w:szCs w:val="16"/>
          <w:lang w:val="en-US"/>
        </w:rPr>
        <w:fldChar w:fldCharType="end"/>
      </w:r>
      <w:r w:rsidRPr="005C6E7A">
        <w:rPr>
          <w:rFonts w:ascii="Arial" w:hAnsi="Arial" w:cs="Arial"/>
          <w:sz w:val="16"/>
          <w:szCs w:val="16"/>
          <w:lang w:val="en-US"/>
        </w:rPr>
        <w:t xml:space="preserve">: section </w:t>
      </w:r>
      <w:r w:rsidRPr="005C6E7A">
        <w:rPr>
          <w:rFonts w:ascii="Arial" w:eastAsia="Tahoma" w:hAnsi="Arial" w:cs="Arial"/>
          <w:sz w:val="16"/>
          <w:szCs w:val="16"/>
          <w:lang w:val="en-US"/>
        </w:rPr>
        <w:t>14.2</w:t>
      </w:r>
      <w:r w:rsidRPr="005C6E7A">
        <w:rPr>
          <w:rFonts w:ascii="Arial" w:hAnsi="Arial" w:cs="Arial"/>
          <w:sz w:val="16"/>
          <w:szCs w:val="16"/>
          <w:lang w:val="en-US"/>
        </w:rPr>
        <w:t xml:space="preserve">, Table </w:t>
      </w:r>
      <w:r w:rsidRPr="005C6E7A">
        <w:rPr>
          <w:rFonts w:ascii="Arial" w:eastAsia="Tahoma" w:hAnsi="Arial" w:cs="Arial"/>
          <w:sz w:val="16"/>
          <w:szCs w:val="16"/>
          <w:lang w:val="en-US"/>
        </w:rPr>
        <w:t>14.2.23</w:t>
      </w:r>
      <w:r w:rsidR="00760A66" w:rsidRPr="005C6E7A">
        <w:rPr>
          <w:rFonts w:ascii="Arial" w:hAnsi="Arial" w:cs="Arial"/>
          <w:sz w:val="16"/>
          <w:szCs w:val="16"/>
          <w:lang w:val="en-US"/>
        </w:rPr>
        <w:t xml:space="preserve"> </w:t>
      </w:r>
      <w:r w:rsidRPr="005C6E7A">
        <w:rPr>
          <w:rFonts w:ascii="Arial" w:hAnsi="Arial" w:cs="Arial"/>
          <w:sz w:val="16"/>
          <w:szCs w:val="16"/>
          <w:lang w:val="en-US"/>
        </w:rPr>
        <w:t>CE-PTE: Clinically evaluable at post therapy evaluation; CI: Confidence interval; LFU: Late follow-up; N: Number of patients with clinical success at PTE Visit; NE: Not estimable; NR: Not reported; n: Number of patients in specific category</w:t>
      </w:r>
    </w:p>
    <w:p w14:paraId="63C4711D" w14:textId="76835ABE" w:rsidR="000F1029" w:rsidRPr="005C6E7A" w:rsidRDefault="005C6E7A" w:rsidP="000F1029">
      <w:pPr>
        <w:pStyle w:val="Heading3"/>
        <w:keepLines w:val="0"/>
        <w:numPr>
          <w:ilvl w:val="2"/>
          <w:numId w:val="0"/>
        </w:numPr>
        <w:spacing w:before="240" w:after="120"/>
        <w:ind w:left="993" w:hanging="993"/>
        <w:rPr>
          <w:rStyle w:val="BodyText-italic-H12"/>
          <w:rFonts w:ascii="Arial" w:hAnsi="Arial" w:cs="Arial"/>
          <w:i w:val="0"/>
          <w:color w:val="auto"/>
          <w:sz w:val="22"/>
          <w:szCs w:val="22"/>
          <w:lang w:val="en-US"/>
        </w:rPr>
      </w:pPr>
      <w:bookmarkStart w:id="88" w:name="_Ref389947239"/>
      <w:bookmarkStart w:id="89" w:name="_Ref382384572"/>
      <w:bookmarkStart w:id="90" w:name="_Ref393899502"/>
      <w:bookmarkStart w:id="91" w:name="_Ref393899729"/>
      <w:bookmarkStart w:id="92" w:name="_Toc396058833"/>
      <w:r w:rsidRPr="005C6E7A">
        <w:rPr>
          <w:rFonts w:ascii="Arial" w:hAnsi="Arial" w:cs="Arial"/>
          <w:color w:val="auto"/>
          <w:sz w:val="22"/>
          <w:szCs w:val="22"/>
          <w:lang w:val="en-US"/>
        </w:rPr>
        <w:t xml:space="preserve">3.3.17.6 </w:t>
      </w:r>
      <w:r w:rsidR="000F1029" w:rsidRPr="005C6E7A">
        <w:rPr>
          <w:rFonts w:ascii="Arial" w:hAnsi="Arial" w:cs="Arial"/>
          <w:color w:val="auto"/>
          <w:sz w:val="22"/>
          <w:szCs w:val="22"/>
          <w:lang w:val="en-US"/>
        </w:rPr>
        <w:t>Microbiological response of Gram-positive pathogens including MRSA</w:t>
      </w:r>
      <w:bookmarkEnd w:id="88"/>
      <w:bookmarkEnd w:id="89"/>
      <w:r w:rsidR="000F1029" w:rsidRPr="005C6E7A">
        <w:rPr>
          <w:rFonts w:ascii="Arial" w:hAnsi="Arial" w:cs="Arial"/>
          <w:color w:val="auto"/>
          <w:sz w:val="22"/>
          <w:szCs w:val="22"/>
          <w:lang w:val="en-US"/>
        </w:rPr>
        <w:t xml:space="preserve"> </w:t>
      </w:r>
      <w:bookmarkEnd w:id="90"/>
      <w:bookmarkEnd w:id="91"/>
      <w:bookmarkEnd w:id="92"/>
    </w:p>
    <w:p w14:paraId="02346119" w14:textId="45EA438E" w:rsidR="000F1029" w:rsidRPr="00F25EDD" w:rsidRDefault="005C6E7A" w:rsidP="000F1029">
      <w:pPr>
        <w:pStyle w:val="BodyText"/>
        <w:rPr>
          <w:rFonts w:cs="Arial"/>
          <w:sz w:val="22"/>
          <w:szCs w:val="22"/>
          <w:lang w:val="en-US"/>
        </w:rPr>
      </w:pPr>
      <w:r w:rsidRPr="00F25EDD">
        <w:rPr>
          <w:rFonts w:cs="Arial"/>
          <w:sz w:val="22"/>
          <w:szCs w:val="22"/>
          <w:lang w:val="en-US"/>
        </w:rPr>
        <w:t xml:space="preserve">The proportion of patients achieving favourable microbiological response to Gram-positive infections, including </w:t>
      </w:r>
      <w:r w:rsidRPr="00F25EDD">
        <w:rPr>
          <w:rStyle w:val="BodyText-italic-H12"/>
          <w:rFonts w:cs="Arial"/>
          <w:sz w:val="22"/>
          <w:szCs w:val="22"/>
          <w:lang w:val="en-US"/>
        </w:rPr>
        <w:t>S. aureus</w:t>
      </w:r>
      <w:r w:rsidRPr="00F25EDD">
        <w:rPr>
          <w:rFonts w:cs="Arial"/>
          <w:sz w:val="22"/>
          <w:szCs w:val="22"/>
          <w:lang w:val="en-US"/>
        </w:rPr>
        <w:t xml:space="preserve"> and MRSA infections, at the PTE Visit in the MITT population was also comparable between the</w:t>
      </w:r>
      <w:r w:rsidR="000F1029" w:rsidRPr="00F25EDD">
        <w:rPr>
          <w:rFonts w:cs="Arial"/>
          <w:sz w:val="22"/>
          <w:szCs w:val="22"/>
          <w:lang w:val="en-US"/>
        </w:rPr>
        <w:t xml:space="preserve"> tedizolid phosphate </w:t>
      </w:r>
      <w:r w:rsidRPr="00F25EDD">
        <w:rPr>
          <w:rFonts w:cs="Arial"/>
          <w:sz w:val="22"/>
          <w:szCs w:val="22"/>
          <w:lang w:val="en-US"/>
        </w:rPr>
        <w:t>and</w:t>
      </w:r>
      <w:r w:rsidR="000F1029" w:rsidRPr="00F25EDD">
        <w:rPr>
          <w:rFonts w:cs="Arial"/>
          <w:sz w:val="22"/>
          <w:szCs w:val="22"/>
          <w:lang w:val="en-US"/>
        </w:rPr>
        <w:t xml:space="preserve"> linezolid </w:t>
      </w:r>
      <w:r w:rsidRPr="00F25EDD">
        <w:rPr>
          <w:rFonts w:cs="Arial"/>
          <w:sz w:val="22"/>
          <w:szCs w:val="22"/>
          <w:lang w:val="en-US"/>
        </w:rPr>
        <w:t xml:space="preserve">groups </w:t>
      </w:r>
      <w:r w:rsidR="000F1029" w:rsidRPr="00F25EDD">
        <w:rPr>
          <w:rFonts w:cs="Arial"/>
          <w:sz w:val="22"/>
          <w:szCs w:val="22"/>
          <w:lang w:val="en-US"/>
        </w:rPr>
        <w:t>(</w:t>
      </w:r>
      <w:r w:rsidR="00313989" w:rsidRPr="00F25EDD">
        <w:rPr>
          <w:rFonts w:cs="Arial"/>
          <w:sz w:val="22"/>
          <w:szCs w:val="22"/>
          <w:lang w:val="en-US"/>
        </w:rPr>
        <w:fldChar w:fldCharType="begin"/>
      </w:r>
      <w:r w:rsidR="00313989" w:rsidRPr="00F25EDD">
        <w:rPr>
          <w:rFonts w:cs="Arial"/>
          <w:sz w:val="22"/>
          <w:szCs w:val="22"/>
          <w:lang w:val="en-US"/>
        </w:rPr>
        <w:instrText xml:space="preserve"> REF _Ref281818907 \h </w:instrText>
      </w:r>
      <w:r w:rsidR="00313989" w:rsidRPr="00F25EDD">
        <w:rPr>
          <w:rFonts w:cs="Arial"/>
          <w:sz w:val="22"/>
          <w:szCs w:val="22"/>
          <w:lang w:val="en-US"/>
        </w:rPr>
      </w:r>
      <w:r w:rsidR="00313989" w:rsidRPr="00F25EDD">
        <w:rPr>
          <w:rFonts w:cs="Arial"/>
          <w:sz w:val="22"/>
          <w:szCs w:val="22"/>
          <w:lang w:val="en-US"/>
        </w:rPr>
        <w:fldChar w:fldCharType="separate"/>
      </w:r>
      <w:r w:rsidR="00151A1C" w:rsidRPr="00EF0728">
        <w:rPr>
          <w:rFonts w:cs="Arial"/>
          <w:sz w:val="22"/>
          <w:szCs w:val="22"/>
        </w:rPr>
        <w:t xml:space="preserve">Table </w:t>
      </w:r>
      <w:r w:rsidR="00151A1C">
        <w:rPr>
          <w:rFonts w:cs="Arial"/>
          <w:noProof/>
          <w:sz w:val="22"/>
          <w:szCs w:val="22"/>
        </w:rPr>
        <w:t>15</w:t>
      </w:r>
      <w:r w:rsidR="00313989" w:rsidRPr="00F25EDD">
        <w:rPr>
          <w:rFonts w:cs="Arial"/>
          <w:sz w:val="22"/>
          <w:szCs w:val="22"/>
          <w:lang w:val="en-US"/>
        </w:rPr>
        <w:fldChar w:fldCharType="end"/>
      </w:r>
      <w:r w:rsidRPr="00F25EDD">
        <w:rPr>
          <w:rFonts w:eastAsia="MS PGothic" w:cs="Arial"/>
          <w:sz w:val="22"/>
          <w:szCs w:val="22"/>
          <w:lang w:val="en-US"/>
        </w:rPr>
        <w:t>).</w:t>
      </w:r>
    </w:p>
    <w:p w14:paraId="2E7D9D5A" w14:textId="6C0ADE45" w:rsidR="000F1029" w:rsidRPr="005C6E7A" w:rsidRDefault="00313989" w:rsidP="00313989">
      <w:pPr>
        <w:pStyle w:val="Caption"/>
        <w:rPr>
          <w:rFonts w:ascii="Arial" w:hAnsi="Arial" w:cs="Arial"/>
          <w:sz w:val="22"/>
          <w:szCs w:val="22"/>
          <w:lang w:val="en-US"/>
        </w:rPr>
      </w:pPr>
      <w:bookmarkStart w:id="93" w:name="_Ref281818907"/>
      <w:bookmarkStart w:id="94" w:name="_Toc396058461"/>
      <w:r w:rsidRPr="00EF0728">
        <w:rPr>
          <w:rFonts w:ascii="Arial" w:hAnsi="Arial" w:cs="Arial"/>
          <w:sz w:val="22"/>
          <w:szCs w:val="22"/>
        </w:rPr>
        <w:t xml:space="preserve">Table </w:t>
      </w:r>
      <w:r w:rsidRPr="00EF0728">
        <w:rPr>
          <w:rFonts w:ascii="Arial" w:hAnsi="Arial" w:cs="Arial"/>
          <w:sz w:val="22"/>
          <w:szCs w:val="22"/>
        </w:rPr>
        <w:fldChar w:fldCharType="begin"/>
      </w:r>
      <w:r w:rsidRPr="00EF0728">
        <w:rPr>
          <w:rFonts w:ascii="Arial" w:hAnsi="Arial" w:cs="Arial"/>
          <w:sz w:val="22"/>
          <w:szCs w:val="22"/>
        </w:rPr>
        <w:instrText xml:space="preserve"> SEQ Table \* ARABIC </w:instrText>
      </w:r>
      <w:r w:rsidRPr="00EF0728">
        <w:rPr>
          <w:rFonts w:ascii="Arial" w:hAnsi="Arial" w:cs="Arial"/>
          <w:sz w:val="22"/>
          <w:szCs w:val="22"/>
        </w:rPr>
        <w:fldChar w:fldCharType="separate"/>
      </w:r>
      <w:r w:rsidR="00151A1C">
        <w:rPr>
          <w:rFonts w:ascii="Arial" w:hAnsi="Arial" w:cs="Arial"/>
          <w:noProof/>
          <w:sz w:val="22"/>
          <w:szCs w:val="22"/>
        </w:rPr>
        <w:t>15</w:t>
      </w:r>
      <w:r w:rsidRPr="00EF0728">
        <w:rPr>
          <w:rFonts w:ascii="Arial" w:hAnsi="Arial" w:cs="Arial"/>
          <w:sz w:val="22"/>
          <w:szCs w:val="22"/>
        </w:rPr>
        <w:fldChar w:fldCharType="end"/>
      </w:r>
      <w:bookmarkEnd w:id="93"/>
      <w:r w:rsidR="000F1029" w:rsidRPr="00EF0728">
        <w:rPr>
          <w:rFonts w:ascii="Arial" w:hAnsi="Arial" w:cs="Arial"/>
          <w:sz w:val="22"/>
          <w:szCs w:val="22"/>
          <w:lang w:val="en-US"/>
        </w:rPr>
        <w:t xml:space="preserve">: </w:t>
      </w:r>
      <w:r w:rsidR="005C6E7A" w:rsidRPr="00EF0728">
        <w:rPr>
          <w:rFonts w:ascii="Arial" w:hAnsi="Arial" w:cs="Arial"/>
          <w:sz w:val="22"/>
          <w:szCs w:val="22"/>
          <w:lang w:val="en-US"/>
        </w:rPr>
        <w:t xml:space="preserve">ESTABLISH-1 </w:t>
      </w:r>
      <w:r w:rsidR="000F1029" w:rsidRPr="00EF0728">
        <w:rPr>
          <w:rFonts w:ascii="Arial" w:hAnsi="Arial" w:cs="Arial"/>
          <w:sz w:val="22"/>
          <w:szCs w:val="22"/>
          <w:lang w:val="en-US"/>
        </w:rPr>
        <w:t xml:space="preserve">Proportion of patients with </w:t>
      </w:r>
      <w:r w:rsidR="00214A49" w:rsidRPr="00EF0728">
        <w:rPr>
          <w:rFonts w:ascii="Arial" w:hAnsi="Arial" w:cs="Arial"/>
          <w:sz w:val="22"/>
          <w:szCs w:val="22"/>
          <w:lang w:val="en-US"/>
        </w:rPr>
        <w:t>favourable</w:t>
      </w:r>
      <w:r w:rsidR="000F1029" w:rsidRPr="00EF0728">
        <w:rPr>
          <w:rFonts w:ascii="Arial" w:hAnsi="Arial" w:cs="Arial"/>
          <w:sz w:val="22"/>
          <w:szCs w:val="22"/>
          <w:lang w:val="en-US"/>
        </w:rPr>
        <w:t xml:space="preserve"> microbiological response at the PTE Visit by selected baseline</w:t>
      </w:r>
      <w:r w:rsidR="000F1029" w:rsidRPr="00313989">
        <w:rPr>
          <w:rFonts w:ascii="Arial" w:hAnsi="Arial" w:cs="Arial"/>
          <w:sz w:val="22"/>
          <w:szCs w:val="22"/>
          <w:lang w:val="en-US"/>
        </w:rPr>
        <w:t xml:space="preserve"> pathogen (MITT population</w:t>
      </w:r>
      <w:r w:rsidR="000F1029" w:rsidRPr="005C6E7A">
        <w:rPr>
          <w:rFonts w:ascii="Arial" w:hAnsi="Arial" w:cs="Arial"/>
          <w:sz w:val="22"/>
          <w:szCs w:val="22"/>
          <w:lang w:val="en-US"/>
        </w:rPr>
        <w:t>)</w:t>
      </w:r>
      <w:bookmarkEnd w:id="94"/>
    </w:p>
    <w:tbl>
      <w:tblPr>
        <w:tblStyle w:val="Table-HERONplain"/>
        <w:tblW w:w="0" w:type="auto"/>
        <w:tblLayout w:type="fixed"/>
        <w:tblLook w:val="04A0" w:firstRow="1" w:lastRow="0" w:firstColumn="1" w:lastColumn="0" w:noHBand="0" w:noVBand="1"/>
      </w:tblPr>
      <w:tblGrid>
        <w:gridCol w:w="2065"/>
        <w:gridCol w:w="2520"/>
        <w:gridCol w:w="1890"/>
        <w:gridCol w:w="2250"/>
      </w:tblGrid>
      <w:tr w:rsidR="000F1029" w:rsidRPr="00313989" w14:paraId="34ADCD1A" w14:textId="77777777" w:rsidTr="001042C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hideMark/>
          </w:tcPr>
          <w:p w14:paraId="240A520D" w14:textId="77777777" w:rsidR="000F1029" w:rsidRPr="00313989" w:rsidRDefault="000F1029" w:rsidP="002F5734">
            <w:pPr>
              <w:pStyle w:val="TableBodyText-H54"/>
              <w:rPr>
                <w:rFonts w:ascii="Arial" w:hAnsi="Arial" w:cs="Arial"/>
                <w:sz w:val="20"/>
                <w:lang w:val="en-US"/>
              </w:rPr>
            </w:pPr>
            <w:r w:rsidRPr="00313989">
              <w:rPr>
                <w:rFonts w:ascii="Arial" w:hAnsi="Arial" w:cs="Arial"/>
                <w:sz w:val="20"/>
                <w:lang w:val="en-US"/>
              </w:rPr>
              <w:t>Per-pathogen microbiological response at the PTE Visit</w:t>
            </w:r>
          </w:p>
        </w:tc>
        <w:tc>
          <w:tcPr>
            <w:tcW w:w="2520" w:type="dxa"/>
            <w:shd w:val="clear" w:color="auto" w:fill="auto"/>
            <w:hideMark/>
          </w:tcPr>
          <w:p w14:paraId="3AFA8AB9" w14:textId="77777777" w:rsidR="000F1029" w:rsidRPr="00313989" w:rsidRDefault="000F1029" w:rsidP="002F5734">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Response</w:t>
            </w:r>
          </w:p>
        </w:tc>
        <w:tc>
          <w:tcPr>
            <w:tcW w:w="1890" w:type="dxa"/>
            <w:shd w:val="clear" w:color="auto" w:fill="auto"/>
            <w:hideMark/>
          </w:tcPr>
          <w:p w14:paraId="38A8B86B" w14:textId="77777777" w:rsidR="000F1029" w:rsidRPr="00313989"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Tedizolid phosphate</w:t>
            </w:r>
          </w:p>
          <w:p w14:paraId="3BB7B936" w14:textId="77777777" w:rsidR="000F1029" w:rsidRPr="00313989"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 (%)</w:t>
            </w:r>
          </w:p>
        </w:tc>
        <w:tc>
          <w:tcPr>
            <w:tcW w:w="2250" w:type="dxa"/>
            <w:shd w:val="clear" w:color="auto" w:fill="auto"/>
            <w:hideMark/>
          </w:tcPr>
          <w:p w14:paraId="12492C61" w14:textId="77777777" w:rsidR="000F1029" w:rsidRPr="00313989"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Linezolid</w:t>
            </w:r>
          </w:p>
          <w:p w14:paraId="1C383DF6" w14:textId="77777777" w:rsidR="000F1029" w:rsidRPr="00313989" w:rsidRDefault="000F1029" w:rsidP="002F5734">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 (%)</w:t>
            </w:r>
          </w:p>
        </w:tc>
      </w:tr>
      <w:tr w:rsidR="000F1029" w:rsidRPr="00313989" w14:paraId="2746AD5D" w14:textId="77777777" w:rsidTr="001042CC">
        <w:trPr>
          <w:trHeight w:val="183"/>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336720EE" w14:textId="77777777" w:rsidR="000F1029" w:rsidRPr="00313989" w:rsidRDefault="000F1029" w:rsidP="002F5734">
            <w:pPr>
              <w:pStyle w:val="TableBodyText-H54"/>
              <w:rPr>
                <w:rFonts w:ascii="Arial" w:hAnsi="Arial" w:cs="Arial"/>
                <w:sz w:val="20"/>
                <w:lang w:val="en-US"/>
              </w:rPr>
            </w:pPr>
            <w:r w:rsidRPr="00313989">
              <w:rPr>
                <w:rFonts w:ascii="Arial" w:hAnsi="Arial" w:cs="Arial"/>
                <w:sz w:val="20"/>
                <w:lang w:val="en-US"/>
              </w:rPr>
              <w:t>Gram-positive organisms (aerobes)</w:t>
            </w:r>
          </w:p>
        </w:tc>
        <w:tc>
          <w:tcPr>
            <w:tcW w:w="2520" w:type="dxa"/>
            <w:hideMark/>
          </w:tcPr>
          <w:p w14:paraId="166725E0" w14:textId="77777777"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hideMark/>
          </w:tcPr>
          <w:p w14:paraId="0E24CCEF"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207</w:t>
            </w:r>
          </w:p>
        </w:tc>
        <w:tc>
          <w:tcPr>
            <w:tcW w:w="2250" w:type="dxa"/>
            <w:hideMark/>
          </w:tcPr>
          <w:p w14:paraId="34D69609"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205</w:t>
            </w:r>
          </w:p>
        </w:tc>
      </w:tr>
      <w:tr w:rsidR="000F1029" w:rsidRPr="00313989" w14:paraId="709314B2"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3E92048E" w14:textId="77777777" w:rsidR="000F1029" w:rsidRPr="00313989" w:rsidRDefault="000F1029" w:rsidP="002F5734">
            <w:pPr>
              <w:rPr>
                <w:rFonts w:cs="Arial"/>
                <w:sz w:val="20"/>
                <w:lang w:val="en-US"/>
              </w:rPr>
            </w:pPr>
          </w:p>
        </w:tc>
        <w:tc>
          <w:tcPr>
            <w:tcW w:w="2520" w:type="dxa"/>
            <w:hideMark/>
          </w:tcPr>
          <w:p w14:paraId="02C58F23" w14:textId="615CD792"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7010D321"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29 (14.0)</w:t>
            </w:r>
          </w:p>
        </w:tc>
        <w:tc>
          <w:tcPr>
            <w:tcW w:w="2250" w:type="dxa"/>
            <w:hideMark/>
          </w:tcPr>
          <w:p w14:paraId="508099A4"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26 (12.7)</w:t>
            </w:r>
          </w:p>
        </w:tc>
      </w:tr>
      <w:tr w:rsidR="000F1029" w:rsidRPr="00313989" w14:paraId="63062BA3"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558DF4FD" w14:textId="77777777" w:rsidR="000F1029" w:rsidRPr="00313989" w:rsidRDefault="000F1029" w:rsidP="002F5734">
            <w:pPr>
              <w:pStyle w:val="TableBodyText-H54"/>
              <w:ind w:left="313"/>
              <w:rPr>
                <w:rStyle w:val="BodyText-italic-H12"/>
                <w:rFonts w:ascii="Arial" w:hAnsi="Arial" w:cs="Arial"/>
                <w:sz w:val="20"/>
                <w:lang w:val="en-US"/>
              </w:rPr>
            </w:pPr>
            <w:r w:rsidRPr="00313989">
              <w:rPr>
                <w:rStyle w:val="BodyText-italic-H12"/>
                <w:rFonts w:ascii="Arial" w:hAnsi="Arial" w:cs="Arial"/>
                <w:sz w:val="20"/>
                <w:lang w:val="en-US"/>
              </w:rPr>
              <w:t>S. aureus</w:t>
            </w:r>
          </w:p>
        </w:tc>
        <w:tc>
          <w:tcPr>
            <w:tcW w:w="2520" w:type="dxa"/>
            <w:hideMark/>
          </w:tcPr>
          <w:p w14:paraId="41FC5F5B" w14:textId="77777777"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hideMark/>
          </w:tcPr>
          <w:p w14:paraId="09E310E9"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171</w:t>
            </w:r>
          </w:p>
        </w:tc>
        <w:tc>
          <w:tcPr>
            <w:tcW w:w="2250" w:type="dxa"/>
            <w:hideMark/>
          </w:tcPr>
          <w:p w14:paraId="670C6EDE"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175</w:t>
            </w:r>
          </w:p>
        </w:tc>
      </w:tr>
      <w:tr w:rsidR="000F1029" w:rsidRPr="00313989" w14:paraId="6AFA4E99"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7EC5091E" w14:textId="77777777" w:rsidR="000F1029" w:rsidRPr="00313989" w:rsidRDefault="000F1029" w:rsidP="002F5734">
            <w:pPr>
              <w:rPr>
                <w:rStyle w:val="BodyText-italic-H12"/>
                <w:rFonts w:cs="Arial"/>
                <w:sz w:val="20"/>
                <w:lang w:val="en-US"/>
              </w:rPr>
            </w:pPr>
          </w:p>
        </w:tc>
        <w:tc>
          <w:tcPr>
            <w:tcW w:w="2520" w:type="dxa"/>
            <w:hideMark/>
          </w:tcPr>
          <w:p w14:paraId="67FBBC3B" w14:textId="0621723B" w:rsidR="000F1029" w:rsidRPr="00313989" w:rsidRDefault="00214A4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3F7118D9"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149 (87.1)</w:t>
            </w:r>
          </w:p>
        </w:tc>
        <w:tc>
          <w:tcPr>
            <w:tcW w:w="2250" w:type="dxa"/>
            <w:hideMark/>
          </w:tcPr>
          <w:p w14:paraId="70D30882"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157 (89.7)</w:t>
            </w:r>
          </w:p>
        </w:tc>
      </w:tr>
      <w:tr w:rsidR="000F1029" w:rsidRPr="00313989" w14:paraId="35D3497F"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FA628AA" w14:textId="77777777" w:rsidR="000F1029" w:rsidRPr="00313989" w:rsidRDefault="000F1029" w:rsidP="002F5734">
            <w:pPr>
              <w:rPr>
                <w:rStyle w:val="BodyText-italic-H12"/>
                <w:rFonts w:cs="Arial"/>
                <w:sz w:val="20"/>
                <w:lang w:val="en-US"/>
              </w:rPr>
            </w:pPr>
          </w:p>
        </w:tc>
        <w:tc>
          <w:tcPr>
            <w:tcW w:w="2520" w:type="dxa"/>
            <w:hideMark/>
          </w:tcPr>
          <w:p w14:paraId="4472B695" w14:textId="3358C6EA"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7FD34E23"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22 (12.9)</w:t>
            </w:r>
          </w:p>
        </w:tc>
        <w:tc>
          <w:tcPr>
            <w:tcW w:w="2250" w:type="dxa"/>
            <w:hideMark/>
          </w:tcPr>
          <w:p w14:paraId="68699703"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18 (10.3)</w:t>
            </w:r>
          </w:p>
        </w:tc>
      </w:tr>
      <w:tr w:rsidR="000F1029" w:rsidRPr="00313989" w14:paraId="07E3CA6E"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05B76D33" w14:textId="77777777" w:rsidR="000F1029" w:rsidRPr="00313989" w:rsidRDefault="000F1029" w:rsidP="002F5734">
            <w:pPr>
              <w:pStyle w:val="TableBodyText-H54"/>
              <w:ind w:left="313"/>
              <w:rPr>
                <w:rFonts w:ascii="Arial" w:hAnsi="Arial" w:cs="Arial"/>
                <w:sz w:val="20"/>
                <w:lang w:val="en-US"/>
              </w:rPr>
            </w:pPr>
            <w:r w:rsidRPr="00313989">
              <w:rPr>
                <w:rFonts w:ascii="Arial" w:hAnsi="Arial" w:cs="Arial"/>
                <w:sz w:val="20"/>
                <w:lang w:val="en-US"/>
              </w:rPr>
              <w:t>MRSA</w:t>
            </w:r>
          </w:p>
        </w:tc>
        <w:tc>
          <w:tcPr>
            <w:tcW w:w="2520" w:type="dxa"/>
            <w:hideMark/>
          </w:tcPr>
          <w:p w14:paraId="68E4EBC2" w14:textId="77777777"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hideMark/>
          </w:tcPr>
          <w:p w14:paraId="31354E17"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88</w:t>
            </w:r>
          </w:p>
        </w:tc>
        <w:tc>
          <w:tcPr>
            <w:tcW w:w="2250" w:type="dxa"/>
            <w:hideMark/>
          </w:tcPr>
          <w:p w14:paraId="65018F50"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90</w:t>
            </w:r>
          </w:p>
        </w:tc>
      </w:tr>
      <w:tr w:rsidR="000F1029" w:rsidRPr="00313989" w14:paraId="50515834"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48D993AF" w14:textId="77777777" w:rsidR="000F1029" w:rsidRPr="00313989" w:rsidRDefault="000F1029" w:rsidP="002F5734">
            <w:pPr>
              <w:rPr>
                <w:rFonts w:cs="Arial"/>
                <w:sz w:val="20"/>
                <w:lang w:val="en-US"/>
              </w:rPr>
            </w:pPr>
          </w:p>
        </w:tc>
        <w:tc>
          <w:tcPr>
            <w:tcW w:w="2520" w:type="dxa"/>
            <w:hideMark/>
          </w:tcPr>
          <w:p w14:paraId="5E03837A" w14:textId="2A2211D0" w:rsidR="000F1029" w:rsidRPr="00313989" w:rsidRDefault="00214A4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47D7D688"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76 (86.4)</w:t>
            </w:r>
          </w:p>
        </w:tc>
        <w:tc>
          <w:tcPr>
            <w:tcW w:w="2250" w:type="dxa"/>
            <w:hideMark/>
          </w:tcPr>
          <w:p w14:paraId="3E4DF8DF"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77 (85.6)</w:t>
            </w:r>
          </w:p>
        </w:tc>
      </w:tr>
      <w:tr w:rsidR="000F1029" w:rsidRPr="00313989" w14:paraId="6646CEB3"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BB1B0E2" w14:textId="77777777" w:rsidR="000F1029" w:rsidRPr="00313989" w:rsidRDefault="000F1029" w:rsidP="002F5734">
            <w:pPr>
              <w:rPr>
                <w:rFonts w:cs="Arial"/>
                <w:sz w:val="20"/>
                <w:lang w:val="en-US"/>
              </w:rPr>
            </w:pPr>
          </w:p>
        </w:tc>
        <w:tc>
          <w:tcPr>
            <w:tcW w:w="2520" w:type="dxa"/>
            <w:hideMark/>
          </w:tcPr>
          <w:p w14:paraId="4ADBC0D1" w14:textId="6936585A"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6B80EF49"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12 (13.6)</w:t>
            </w:r>
          </w:p>
        </w:tc>
        <w:tc>
          <w:tcPr>
            <w:tcW w:w="2250" w:type="dxa"/>
            <w:hideMark/>
          </w:tcPr>
          <w:p w14:paraId="4C68A9CC"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13 (14.4)</w:t>
            </w:r>
          </w:p>
        </w:tc>
      </w:tr>
      <w:tr w:rsidR="000F1029" w:rsidRPr="00313989" w14:paraId="4A8C02C7"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45748FD4" w14:textId="77777777" w:rsidR="000F1029" w:rsidRPr="00313989" w:rsidRDefault="000F1029" w:rsidP="002F5734">
            <w:pPr>
              <w:pStyle w:val="TableBodyText-H54"/>
              <w:ind w:left="313"/>
              <w:rPr>
                <w:rFonts w:ascii="Arial" w:hAnsi="Arial" w:cs="Arial"/>
                <w:sz w:val="20"/>
                <w:lang w:val="en-US"/>
              </w:rPr>
            </w:pPr>
            <w:r w:rsidRPr="00313989">
              <w:rPr>
                <w:rFonts w:ascii="Arial" w:hAnsi="Arial" w:cs="Arial"/>
                <w:sz w:val="20"/>
                <w:lang w:val="en-US"/>
              </w:rPr>
              <w:t>MSSA</w:t>
            </w:r>
          </w:p>
        </w:tc>
        <w:tc>
          <w:tcPr>
            <w:tcW w:w="2520" w:type="dxa"/>
            <w:hideMark/>
          </w:tcPr>
          <w:p w14:paraId="23BE99F3" w14:textId="77777777"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hideMark/>
          </w:tcPr>
          <w:p w14:paraId="6224C243"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83</w:t>
            </w:r>
          </w:p>
        </w:tc>
        <w:tc>
          <w:tcPr>
            <w:tcW w:w="2250" w:type="dxa"/>
            <w:hideMark/>
          </w:tcPr>
          <w:p w14:paraId="373D6D04"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87</w:t>
            </w:r>
          </w:p>
        </w:tc>
      </w:tr>
      <w:tr w:rsidR="000F1029" w:rsidRPr="00313989" w14:paraId="11D60D1B"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78535B57" w14:textId="77777777" w:rsidR="000F1029" w:rsidRPr="00313989" w:rsidRDefault="000F1029" w:rsidP="002F5734">
            <w:pPr>
              <w:rPr>
                <w:rFonts w:cs="Arial"/>
                <w:sz w:val="20"/>
                <w:lang w:val="en-US"/>
              </w:rPr>
            </w:pPr>
          </w:p>
        </w:tc>
        <w:tc>
          <w:tcPr>
            <w:tcW w:w="2520" w:type="dxa"/>
            <w:hideMark/>
          </w:tcPr>
          <w:p w14:paraId="30E40AA6" w14:textId="427808A5" w:rsidR="000F1029" w:rsidRPr="00313989" w:rsidRDefault="00214A4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37794777"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73 (88.0)</w:t>
            </w:r>
          </w:p>
        </w:tc>
        <w:tc>
          <w:tcPr>
            <w:tcW w:w="2250" w:type="dxa"/>
            <w:hideMark/>
          </w:tcPr>
          <w:p w14:paraId="42B76CCF"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82 (94.3)</w:t>
            </w:r>
          </w:p>
        </w:tc>
      </w:tr>
      <w:tr w:rsidR="000F1029" w:rsidRPr="00313989" w14:paraId="6CEDB8A9"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BC1785C" w14:textId="77777777" w:rsidR="000F1029" w:rsidRPr="00313989" w:rsidRDefault="000F1029" w:rsidP="002F5734">
            <w:pPr>
              <w:rPr>
                <w:rFonts w:cs="Arial"/>
                <w:sz w:val="20"/>
                <w:lang w:val="en-US"/>
              </w:rPr>
            </w:pPr>
          </w:p>
        </w:tc>
        <w:tc>
          <w:tcPr>
            <w:tcW w:w="2520" w:type="dxa"/>
            <w:hideMark/>
          </w:tcPr>
          <w:p w14:paraId="28333A10" w14:textId="506AC91B"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50474D15"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10 (12.0)</w:t>
            </w:r>
          </w:p>
        </w:tc>
        <w:tc>
          <w:tcPr>
            <w:tcW w:w="2250" w:type="dxa"/>
            <w:hideMark/>
          </w:tcPr>
          <w:p w14:paraId="5A64ED3A"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5 (5.7)</w:t>
            </w:r>
          </w:p>
        </w:tc>
      </w:tr>
      <w:tr w:rsidR="000F1029" w:rsidRPr="00313989" w14:paraId="1355CEC3"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76D22F7D" w14:textId="77777777" w:rsidR="000F1029" w:rsidRPr="00313989" w:rsidRDefault="000F1029" w:rsidP="002F5734">
            <w:pPr>
              <w:pStyle w:val="TableBodyText-H54"/>
              <w:rPr>
                <w:rFonts w:ascii="Arial" w:hAnsi="Arial" w:cs="Arial"/>
                <w:sz w:val="20"/>
                <w:lang w:val="en-US"/>
              </w:rPr>
            </w:pPr>
            <w:r w:rsidRPr="00313989">
              <w:rPr>
                <w:rFonts w:ascii="Arial" w:hAnsi="Arial" w:cs="Arial"/>
                <w:sz w:val="20"/>
                <w:lang w:val="en-US"/>
              </w:rPr>
              <w:t>Gram-positive organisms (anaerobes)</w:t>
            </w:r>
          </w:p>
        </w:tc>
        <w:tc>
          <w:tcPr>
            <w:tcW w:w="2520" w:type="dxa"/>
            <w:hideMark/>
          </w:tcPr>
          <w:p w14:paraId="7874D79A" w14:textId="77777777"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vAlign w:val="top"/>
            <w:hideMark/>
          </w:tcPr>
          <w:p w14:paraId="35801F44"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313989">
              <w:rPr>
                <w:rFonts w:ascii="Arial" w:eastAsia="Tahoma" w:hAnsi="Arial" w:cs="Arial"/>
                <w:sz w:val="20"/>
                <w:lang w:val="en-US"/>
              </w:rPr>
              <w:t xml:space="preserve">3 </w:t>
            </w:r>
          </w:p>
        </w:tc>
        <w:tc>
          <w:tcPr>
            <w:tcW w:w="2250" w:type="dxa"/>
            <w:hideMark/>
          </w:tcPr>
          <w:p w14:paraId="0F3C31F9"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8</w:t>
            </w:r>
          </w:p>
        </w:tc>
      </w:tr>
      <w:tr w:rsidR="000F1029" w:rsidRPr="00313989" w14:paraId="471D31DA"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DE9D63F" w14:textId="77777777" w:rsidR="000F1029" w:rsidRPr="00313989" w:rsidRDefault="000F1029" w:rsidP="002F5734">
            <w:pPr>
              <w:rPr>
                <w:rFonts w:cs="Arial"/>
                <w:sz w:val="20"/>
                <w:lang w:val="en-US"/>
              </w:rPr>
            </w:pPr>
          </w:p>
        </w:tc>
        <w:tc>
          <w:tcPr>
            <w:tcW w:w="2520" w:type="dxa"/>
            <w:hideMark/>
          </w:tcPr>
          <w:p w14:paraId="6ECD0CB2" w14:textId="640DADC4" w:rsidR="000F1029" w:rsidRPr="00313989" w:rsidRDefault="00214A4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vAlign w:val="top"/>
            <w:hideMark/>
          </w:tcPr>
          <w:p w14:paraId="4B6CF263"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 xml:space="preserve">2 (66.7) </w:t>
            </w:r>
          </w:p>
        </w:tc>
        <w:tc>
          <w:tcPr>
            <w:tcW w:w="2250" w:type="dxa"/>
            <w:hideMark/>
          </w:tcPr>
          <w:p w14:paraId="2D9BA532"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4 (50.0)</w:t>
            </w:r>
          </w:p>
        </w:tc>
      </w:tr>
      <w:tr w:rsidR="000F1029" w:rsidRPr="00313989" w14:paraId="315484D7"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460E44FF" w14:textId="77777777" w:rsidR="000F1029" w:rsidRPr="00313989" w:rsidRDefault="000F1029" w:rsidP="002F5734">
            <w:pPr>
              <w:rPr>
                <w:rFonts w:cs="Arial"/>
                <w:sz w:val="20"/>
                <w:lang w:val="en-US"/>
              </w:rPr>
            </w:pPr>
          </w:p>
        </w:tc>
        <w:tc>
          <w:tcPr>
            <w:tcW w:w="2520" w:type="dxa"/>
            <w:hideMark/>
          </w:tcPr>
          <w:p w14:paraId="2C79CB72" w14:textId="7D198A92"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577EA1F7"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 xml:space="preserve">1 (33.3) </w:t>
            </w:r>
          </w:p>
        </w:tc>
        <w:tc>
          <w:tcPr>
            <w:tcW w:w="2250" w:type="dxa"/>
            <w:hideMark/>
          </w:tcPr>
          <w:p w14:paraId="30185A7F"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4 (50.0)</w:t>
            </w:r>
          </w:p>
        </w:tc>
      </w:tr>
      <w:tr w:rsidR="000F1029" w:rsidRPr="00313989" w14:paraId="128FC06D"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1279099E" w14:textId="77777777" w:rsidR="000F1029" w:rsidRPr="00313989" w:rsidRDefault="000F1029" w:rsidP="002F5734">
            <w:pPr>
              <w:pStyle w:val="TableBodyText-H54"/>
              <w:rPr>
                <w:rFonts w:ascii="Arial" w:hAnsi="Arial" w:cs="Arial"/>
                <w:sz w:val="20"/>
                <w:lang w:val="en-US"/>
              </w:rPr>
            </w:pPr>
            <w:r w:rsidRPr="00313989">
              <w:rPr>
                <w:rFonts w:ascii="Arial" w:hAnsi="Arial" w:cs="Arial"/>
                <w:sz w:val="20"/>
                <w:lang w:val="en-US"/>
              </w:rPr>
              <w:t>Gram-negative organisms (aerobes)</w:t>
            </w:r>
          </w:p>
        </w:tc>
        <w:tc>
          <w:tcPr>
            <w:tcW w:w="2520" w:type="dxa"/>
            <w:hideMark/>
          </w:tcPr>
          <w:p w14:paraId="4872C040" w14:textId="77777777"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vAlign w:val="top"/>
            <w:hideMark/>
          </w:tcPr>
          <w:p w14:paraId="75462685"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313989">
              <w:rPr>
                <w:rFonts w:ascii="Arial" w:eastAsia="Tahoma" w:hAnsi="Arial" w:cs="Arial"/>
                <w:sz w:val="20"/>
                <w:lang w:val="en-US"/>
              </w:rPr>
              <w:t xml:space="preserve">6 </w:t>
            </w:r>
          </w:p>
        </w:tc>
        <w:tc>
          <w:tcPr>
            <w:tcW w:w="2250" w:type="dxa"/>
            <w:hideMark/>
          </w:tcPr>
          <w:p w14:paraId="1F40C344"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6</w:t>
            </w:r>
          </w:p>
        </w:tc>
      </w:tr>
      <w:tr w:rsidR="000F1029" w:rsidRPr="00313989" w14:paraId="4D1C520A"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2FD5DC55" w14:textId="77777777" w:rsidR="000F1029" w:rsidRPr="00313989" w:rsidRDefault="000F1029" w:rsidP="002F5734">
            <w:pPr>
              <w:rPr>
                <w:rFonts w:cs="Arial"/>
                <w:sz w:val="20"/>
                <w:lang w:val="en-US"/>
              </w:rPr>
            </w:pPr>
          </w:p>
        </w:tc>
        <w:tc>
          <w:tcPr>
            <w:tcW w:w="2520" w:type="dxa"/>
            <w:hideMark/>
          </w:tcPr>
          <w:p w14:paraId="3A726E57" w14:textId="2F64A445" w:rsidR="000F1029" w:rsidRPr="00313989" w:rsidRDefault="00214A4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vAlign w:val="top"/>
            <w:hideMark/>
          </w:tcPr>
          <w:p w14:paraId="52FFC1B1"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 xml:space="preserve">3 (50.0) </w:t>
            </w:r>
          </w:p>
        </w:tc>
        <w:tc>
          <w:tcPr>
            <w:tcW w:w="2250" w:type="dxa"/>
            <w:hideMark/>
          </w:tcPr>
          <w:p w14:paraId="38B68515"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5 (83.3)</w:t>
            </w:r>
          </w:p>
        </w:tc>
      </w:tr>
      <w:tr w:rsidR="000F1029" w:rsidRPr="00313989" w14:paraId="259E1123"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2843A8D" w14:textId="77777777" w:rsidR="000F1029" w:rsidRPr="00313989" w:rsidRDefault="000F1029" w:rsidP="002F5734">
            <w:pPr>
              <w:rPr>
                <w:rFonts w:cs="Arial"/>
                <w:sz w:val="20"/>
                <w:lang w:val="en-US"/>
              </w:rPr>
            </w:pPr>
          </w:p>
        </w:tc>
        <w:tc>
          <w:tcPr>
            <w:tcW w:w="2520" w:type="dxa"/>
            <w:hideMark/>
          </w:tcPr>
          <w:p w14:paraId="35C702CC" w14:textId="41287D39" w:rsidR="000F1029" w:rsidRPr="00313989" w:rsidRDefault="000F102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vAlign w:val="top"/>
            <w:hideMark/>
          </w:tcPr>
          <w:p w14:paraId="2EC32234"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3 (50.0)</w:t>
            </w:r>
          </w:p>
        </w:tc>
        <w:tc>
          <w:tcPr>
            <w:tcW w:w="2250" w:type="dxa"/>
            <w:vAlign w:val="top"/>
            <w:hideMark/>
          </w:tcPr>
          <w:p w14:paraId="0F03F36B"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eastAsia="Tahoma" w:hAnsi="Arial" w:cs="Arial"/>
                <w:sz w:val="20"/>
                <w:lang w:val="en-US"/>
              </w:rPr>
              <w:t>1 (16.7)</w:t>
            </w:r>
          </w:p>
        </w:tc>
      </w:tr>
      <w:tr w:rsidR="000F1029" w:rsidRPr="00313989" w14:paraId="24188130"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3C042735" w14:textId="77777777" w:rsidR="000F1029" w:rsidRPr="00313989" w:rsidRDefault="000F1029" w:rsidP="002F5734">
            <w:pPr>
              <w:pStyle w:val="TableBodyText-H54"/>
              <w:rPr>
                <w:rFonts w:ascii="Arial" w:hAnsi="Arial" w:cs="Arial"/>
                <w:sz w:val="20"/>
                <w:lang w:val="en-US"/>
              </w:rPr>
            </w:pPr>
            <w:r w:rsidRPr="00313989">
              <w:rPr>
                <w:rFonts w:ascii="Arial" w:hAnsi="Arial" w:cs="Arial"/>
                <w:sz w:val="20"/>
                <w:lang w:val="en-US"/>
              </w:rPr>
              <w:t>Gram-negative organisms (aerobes)</w:t>
            </w:r>
          </w:p>
        </w:tc>
        <w:tc>
          <w:tcPr>
            <w:tcW w:w="2520" w:type="dxa"/>
            <w:hideMark/>
          </w:tcPr>
          <w:p w14:paraId="0660FEA3" w14:textId="77777777"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N</w:t>
            </w:r>
          </w:p>
        </w:tc>
        <w:tc>
          <w:tcPr>
            <w:tcW w:w="1890" w:type="dxa"/>
            <w:hideMark/>
          </w:tcPr>
          <w:p w14:paraId="521579A6"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0</w:t>
            </w:r>
          </w:p>
        </w:tc>
        <w:tc>
          <w:tcPr>
            <w:tcW w:w="2250" w:type="dxa"/>
            <w:hideMark/>
          </w:tcPr>
          <w:p w14:paraId="1CE8A541"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w:t>
            </w:r>
          </w:p>
        </w:tc>
      </w:tr>
      <w:tr w:rsidR="000F1029" w:rsidRPr="00313989" w14:paraId="10601E79" w14:textId="77777777" w:rsidTr="001042CC">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B20C85B" w14:textId="77777777" w:rsidR="000F1029" w:rsidRPr="00313989" w:rsidRDefault="000F1029" w:rsidP="002F5734">
            <w:pPr>
              <w:rPr>
                <w:rFonts w:cs="Arial"/>
                <w:sz w:val="20"/>
                <w:lang w:val="en-US"/>
              </w:rPr>
            </w:pPr>
          </w:p>
        </w:tc>
        <w:tc>
          <w:tcPr>
            <w:tcW w:w="2520" w:type="dxa"/>
            <w:hideMark/>
          </w:tcPr>
          <w:p w14:paraId="13B33490" w14:textId="6EC9A5EB" w:rsidR="000F1029" w:rsidRPr="00313989" w:rsidRDefault="00214A49" w:rsidP="002F5734">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5CF42232"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0</w:t>
            </w:r>
          </w:p>
        </w:tc>
        <w:tc>
          <w:tcPr>
            <w:tcW w:w="2250" w:type="dxa"/>
            <w:hideMark/>
          </w:tcPr>
          <w:p w14:paraId="1CD0C69C" w14:textId="77777777" w:rsidR="000F1029" w:rsidRPr="00313989" w:rsidRDefault="000F1029" w:rsidP="002F5734">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313989">
              <w:rPr>
                <w:rFonts w:ascii="Arial" w:hAnsi="Arial" w:cs="Arial"/>
                <w:sz w:val="20"/>
                <w:lang w:val="en-US"/>
              </w:rPr>
              <w:t>0</w:t>
            </w:r>
          </w:p>
        </w:tc>
      </w:tr>
      <w:tr w:rsidR="000F1029" w:rsidRPr="00313989" w14:paraId="0AA4A4D3" w14:textId="77777777" w:rsidTr="001042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27DCC97" w14:textId="77777777" w:rsidR="000F1029" w:rsidRPr="00313989" w:rsidRDefault="000F1029" w:rsidP="002F5734">
            <w:pPr>
              <w:rPr>
                <w:rFonts w:cs="Arial"/>
                <w:sz w:val="20"/>
                <w:lang w:val="en-US"/>
              </w:rPr>
            </w:pPr>
          </w:p>
        </w:tc>
        <w:tc>
          <w:tcPr>
            <w:tcW w:w="2520" w:type="dxa"/>
            <w:hideMark/>
          </w:tcPr>
          <w:p w14:paraId="3F1EA561" w14:textId="15FDAEE1" w:rsidR="000F1029" w:rsidRPr="00313989" w:rsidRDefault="000F1029" w:rsidP="002F5734">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Un</w:t>
            </w:r>
            <w:r w:rsidR="00214A49">
              <w:rPr>
                <w:rFonts w:ascii="Arial" w:hAnsi="Arial" w:cs="Arial"/>
                <w:sz w:val="20"/>
                <w:lang w:val="en-US"/>
              </w:rPr>
              <w:t>favourable</w:t>
            </w:r>
            <w:r w:rsidRPr="00313989">
              <w:rPr>
                <w:rFonts w:ascii="Arial" w:hAnsi="Arial" w:cs="Arial"/>
                <w:sz w:val="20"/>
                <w:lang w:val="en-US"/>
              </w:rPr>
              <w:t xml:space="preserve"> or indeterminate</w:t>
            </w:r>
          </w:p>
        </w:tc>
        <w:tc>
          <w:tcPr>
            <w:tcW w:w="1890" w:type="dxa"/>
            <w:hideMark/>
          </w:tcPr>
          <w:p w14:paraId="15BB62FE"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0</w:t>
            </w:r>
          </w:p>
        </w:tc>
        <w:tc>
          <w:tcPr>
            <w:tcW w:w="2250" w:type="dxa"/>
            <w:hideMark/>
          </w:tcPr>
          <w:p w14:paraId="50D15B33" w14:textId="77777777" w:rsidR="000F1029" w:rsidRPr="00313989" w:rsidRDefault="000F1029" w:rsidP="002F5734">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313989">
              <w:rPr>
                <w:rFonts w:ascii="Arial" w:hAnsi="Arial" w:cs="Arial"/>
                <w:sz w:val="20"/>
                <w:lang w:val="en-US"/>
              </w:rPr>
              <w:t>1 (100)</w:t>
            </w:r>
          </w:p>
        </w:tc>
      </w:tr>
    </w:tbl>
    <w:p w14:paraId="2C854AA7" w14:textId="204E9657" w:rsidR="000F1029" w:rsidRPr="00DF7545" w:rsidRDefault="000F1029" w:rsidP="000F1029">
      <w:pPr>
        <w:pStyle w:val="TableNote-H58"/>
        <w:rPr>
          <w:rFonts w:ascii="Arial" w:hAnsi="Arial" w:cs="Arial"/>
          <w:sz w:val="16"/>
          <w:szCs w:val="16"/>
          <w:lang w:val="en-US"/>
        </w:rPr>
      </w:pPr>
      <w:r w:rsidRPr="00DF7545">
        <w:rPr>
          <w:rFonts w:ascii="Arial" w:eastAsia="MS PGothic" w:hAnsi="Arial" w:cs="Arial"/>
          <w:sz w:val="16"/>
          <w:szCs w:val="16"/>
          <w:lang w:val="en-US"/>
        </w:rPr>
        <w:lastRenderedPageBreak/>
        <w:t xml:space="preserve">SOURCE: </w:t>
      </w:r>
      <w:r w:rsidRPr="00DF7545">
        <w:rPr>
          <w:rFonts w:ascii="Arial" w:hAnsi="Arial" w:cs="Arial"/>
          <w:sz w:val="16"/>
          <w:szCs w:val="16"/>
          <w:lang w:val="en-US"/>
        </w:rPr>
        <w:t>ESTABLISH-1 CSR</w:t>
      </w:r>
      <w:r w:rsidR="00CE78C2">
        <w:rPr>
          <w:rFonts w:ascii="Arial" w:hAnsi="Arial" w:cs="Arial"/>
          <w:sz w:val="16"/>
          <w:szCs w:val="16"/>
          <w:lang w:val="en-US"/>
        </w:rPr>
        <w:t xml:space="preserve"> </w:t>
      </w:r>
      <w:r w:rsidR="00CE78C2">
        <w:rPr>
          <w:rFonts w:ascii="Arial" w:hAnsi="Arial" w:cs="Arial"/>
          <w:sz w:val="16"/>
          <w:szCs w:val="16"/>
          <w:lang w:val="en-US"/>
        </w:rPr>
        <w:fldChar w:fldCharType="begin"/>
      </w:r>
      <w:r w:rsidR="00CE78C2">
        <w:rPr>
          <w:rFonts w:ascii="Arial" w:hAnsi="Arial" w:cs="Arial"/>
          <w:sz w:val="16"/>
          <w:szCs w:val="16"/>
          <w:lang w:val="en-US"/>
        </w:rPr>
        <w:instrText xml:space="preserve"> REF _Ref284171334 \r \h </w:instrText>
      </w:r>
      <w:r w:rsidR="00CE78C2">
        <w:rPr>
          <w:rFonts w:ascii="Arial" w:hAnsi="Arial" w:cs="Arial"/>
          <w:sz w:val="16"/>
          <w:szCs w:val="16"/>
          <w:lang w:val="en-US"/>
        </w:rPr>
      </w:r>
      <w:r w:rsidR="00CE78C2">
        <w:rPr>
          <w:rFonts w:ascii="Arial" w:hAnsi="Arial" w:cs="Arial"/>
          <w:sz w:val="16"/>
          <w:szCs w:val="16"/>
          <w:lang w:val="en-US"/>
        </w:rPr>
        <w:fldChar w:fldCharType="separate"/>
      </w:r>
      <w:r w:rsidR="00151A1C">
        <w:rPr>
          <w:rFonts w:ascii="Arial" w:hAnsi="Arial" w:cs="Arial"/>
          <w:sz w:val="16"/>
          <w:szCs w:val="16"/>
          <w:lang w:val="en-US"/>
        </w:rPr>
        <w:t>41</w:t>
      </w:r>
      <w:r w:rsidR="00CE78C2">
        <w:rPr>
          <w:rFonts w:ascii="Arial" w:hAnsi="Arial" w:cs="Arial"/>
          <w:sz w:val="16"/>
          <w:szCs w:val="16"/>
          <w:lang w:val="en-US"/>
        </w:rPr>
        <w:fldChar w:fldCharType="end"/>
      </w:r>
      <w:r w:rsidRPr="00DF7545">
        <w:rPr>
          <w:rFonts w:ascii="Arial" w:hAnsi="Arial" w:cs="Arial"/>
          <w:sz w:val="16"/>
          <w:szCs w:val="16"/>
          <w:lang w:val="en-US"/>
        </w:rPr>
        <w:t xml:space="preserve">: section </w:t>
      </w:r>
      <w:r w:rsidRPr="00DF7545">
        <w:rPr>
          <w:rFonts w:ascii="Arial" w:eastAsia="Tahoma" w:hAnsi="Arial" w:cs="Arial"/>
          <w:sz w:val="16"/>
          <w:szCs w:val="16"/>
          <w:lang w:val="en-US"/>
        </w:rPr>
        <w:t>14.2</w:t>
      </w:r>
      <w:r w:rsidRPr="00DF7545">
        <w:rPr>
          <w:rFonts w:ascii="Arial" w:hAnsi="Arial" w:cs="Arial"/>
          <w:sz w:val="16"/>
          <w:szCs w:val="16"/>
          <w:lang w:val="en-US"/>
        </w:rPr>
        <w:t xml:space="preserve">, Table </w:t>
      </w:r>
      <w:r w:rsidRPr="00DF7545">
        <w:rPr>
          <w:rFonts w:ascii="Arial" w:eastAsia="Tahoma" w:hAnsi="Arial" w:cs="Arial"/>
          <w:sz w:val="16"/>
          <w:szCs w:val="16"/>
          <w:lang w:val="en-US"/>
        </w:rPr>
        <w:t>14.2.33.1</w:t>
      </w:r>
      <w:r w:rsidR="00933455" w:rsidRPr="00DF7545">
        <w:rPr>
          <w:rFonts w:ascii="Arial" w:eastAsia="Tahoma" w:hAnsi="Arial" w:cs="Arial"/>
          <w:sz w:val="16"/>
          <w:szCs w:val="16"/>
          <w:lang w:val="en-US"/>
        </w:rPr>
        <w:t>.</w:t>
      </w:r>
      <w:r w:rsidR="00933455" w:rsidRPr="00DF7545">
        <w:rPr>
          <w:rFonts w:ascii="Arial" w:hAnsi="Arial" w:cs="Arial"/>
          <w:sz w:val="16"/>
          <w:szCs w:val="16"/>
          <w:lang w:val="en-US"/>
        </w:rPr>
        <w:t xml:space="preserve"> </w:t>
      </w:r>
      <w:r w:rsidRPr="00DF7545">
        <w:rPr>
          <w:rFonts w:ascii="Arial" w:hAnsi="Arial" w:cs="Arial"/>
          <w:sz w:val="16"/>
          <w:szCs w:val="16"/>
          <w:lang w:val="en-US"/>
        </w:rPr>
        <w:t xml:space="preserve">MITT: Microbiological intent-to-treat; MSSA: Methicillin-susceptible </w:t>
      </w:r>
      <w:r w:rsidRPr="00DF7545">
        <w:rPr>
          <w:rStyle w:val="BodyText-italic-H12"/>
          <w:rFonts w:ascii="Arial" w:hAnsi="Arial" w:cs="Arial"/>
          <w:sz w:val="16"/>
          <w:szCs w:val="16"/>
          <w:lang w:val="en-US"/>
        </w:rPr>
        <w:t>S. aureus</w:t>
      </w:r>
      <w:r w:rsidRPr="00DF7545">
        <w:rPr>
          <w:rFonts w:ascii="Arial" w:hAnsi="Arial" w:cs="Arial"/>
          <w:sz w:val="16"/>
          <w:szCs w:val="16"/>
          <w:lang w:val="en-US"/>
        </w:rPr>
        <w:t xml:space="preserve">; MRSA: Methicillin-resistant </w:t>
      </w:r>
      <w:r w:rsidRPr="00DF7545">
        <w:rPr>
          <w:rStyle w:val="BodyText-italic-H12"/>
          <w:rFonts w:ascii="Arial" w:hAnsi="Arial" w:cs="Arial"/>
          <w:sz w:val="16"/>
          <w:szCs w:val="16"/>
          <w:lang w:val="en-US"/>
        </w:rPr>
        <w:t>S. aureus</w:t>
      </w:r>
      <w:r w:rsidRPr="00DF7545">
        <w:rPr>
          <w:rFonts w:ascii="Arial" w:hAnsi="Arial" w:cs="Arial"/>
          <w:sz w:val="16"/>
          <w:szCs w:val="16"/>
          <w:lang w:val="en-US"/>
        </w:rPr>
        <w:t>; PTE: Post-therapy evaluation; N: Number of patients in population; n: Number of patients in specific category</w:t>
      </w:r>
    </w:p>
    <w:p w14:paraId="59F3B1FF" w14:textId="7914603F" w:rsidR="009416A8" w:rsidRPr="00675EB1" w:rsidRDefault="00112ABA" w:rsidP="00675EB1">
      <w:pPr>
        <w:widowControl w:val="0"/>
        <w:autoSpaceDE w:val="0"/>
        <w:autoSpaceDN w:val="0"/>
        <w:adjustRightInd w:val="0"/>
        <w:rPr>
          <w:rFonts w:cs="Arial"/>
          <w:b/>
          <w:sz w:val="22"/>
          <w:szCs w:val="22"/>
          <w:lang w:val="en-US" w:eastAsia="ja-JP"/>
        </w:rPr>
      </w:pPr>
      <w:r>
        <w:rPr>
          <w:rFonts w:cs="Arial"/>
          <w:b/>
          <w:sz w:val="22"/>
          <w:szCs w:val="22"/>
          <w:lang w:val="en-US" w:eastAsia="ja-JP"/>
        </w:rPr>
        <w:t>3.3</w:t>
      </w:r>
      <w:r w:rsidR="003826D5" w:rsidRPr="007F11EF">
        <w:rPr>
          <w:rFonts w:cs="Arial"/>
          <w:b/>
          <w:sz w:val="22"/>
          <w:szCs w:val="22"/>
          <w:lang w:val="en-US" w:eastAsia="ja-JP"/>
        </w:rPr>
        <w:t xml:space="preserve">.18 </w:t>
      </w:r>
      <w:r w:rsidR="001B7D67" w:rsidRPr="007F11EF">
        <w:rPr>
          <w:rFonts w:cs="Arial"/>
          <w:b/>
          <w:sz w:val="22"/>
          <w:szCs w:val="22"/>
          <w:lang w:val="en-US" w:eastAsia="ja-JP"/>
        </w:rPr>
        <w:t>Sensitivity analysis of secondary outcomes</w:t>
      </w:r>
      <w:r w:rsidR="007F11EF" w:rsidRPr="007F11EF">
        <w:rPr>
          <w:rFonts w:cs="Arial"/>
          <w:b/>
          <w:sz w:val="22"/>
          <w:szCs w:val="22"/>
          <w:lang w:val="en-US" w:eastAsia="ja-JP"/>
        </w:rPr>
        <w:t xml:space="preserve">: </w:t>
      </w:r>
      <w:r w:rsidR="00440E36" w:rsidRPr="007F11EF">
        <w:rPr>
          <w:rFonts w:cs="Arial"/>
          <w:sz w:val="22"/>
          <w:szCs w:val="22"/>
          <w:lang w:val="en-US" w:eastAsia="ja-JP"/>
        </w:rPr>
        <w:t>Because the primary reasons for failure</w:t>
      </w:r>
      <w:r w:rsidR="001B7D67" w:rsidRPr="007F11EF">
        <w:rPr>
          <w:rFonts w:cs="Arial"/>
          <w:sz w:val="22"/>
          <w:szCs w:val="22"/>
          <w:lang w:val="en-US" w:eastAsia="ja-JP"/>
        </w:rPr>
        <w:t xml:space="preserve"> </w:t>
      </w:r>
      <w:r w:rsidR="00440E36" w:rsidRPr="007F11EF">
        <w:rPr>
          <w:rFonts w:cs="Arial"/>
          <w:sz w:val="22"/>
          <w:szCs w:val="22"/>
          <w:lang w:val="en-US" w:eastAsia="ja-JP"/>
        </w:rPr>
        <w:t>of sustained clinical treatment response</w:t>
      </w:r>
      <w:r w:rsidR="001B7D67" w:rsidRPr="007F11EF">
        <w:rPr>
          <w:rFonts w:cs="Arial"/>
          <w:sz w:val="22"/>
          <w:szCs w:val="22"/>
          <w:lang w:val="en-US" w:eastAsia="ja-JP"/>
        </w:rPr>
        <w:t xml:space="preserve"> </w:t>
      </w:r>
      <w:r w:rsidR="00440E36" w:rsidRPr="007F11EF">
        <w:rPr>
          <w:rFonts w:cs="Arial"/>
          <w:sz w:val="22"/>
          <w:szCs w:val="22"/>
          <w:lang w:val="en-US" w:eastAsia="ja-JP"/>
        </w:rPr>
        <w:t>at the EOT were non</w:t>
      </w:r>
      <w:r w:rsidR="009416A8">
        <w:rPr>
          <w:rFonts w:cs="Arial"/>
          <w:sz w:val="22"/>
          <w:szCs w:val="22"/>
          <w:lang w:val="en-US" w:eastAsia="ja-JP"/>
        </w:rPr>
        <w:t>-</w:t>
      </w:r>
      <w:r w:rsidR="00440E36" w:rsidRPr="007F11EF">
        <w:rPr>
          <w:rFonts w:cs="Arial"/>
          <w:sz w:val="22"/>
          <w:szCs w:val="22"/>
          <w:lang w:val="en-US" w:eastAsia="ja-JP"/>
        </w:rPr>
        <w:t>response</w:t>
      </w:r>
      <w:r w:rsidR="001B7D67" w:rsidRPr="007F11EF">
        <w:rPr>
          <w:rFonts w:cs="Arial"/>
          <w:sz w:val="22"/>
          <w:szCs w:val="22"/>
          <w:lang w:val="en-US" w:eastAsia="ja-JP"/>
        </w:rPr>
        <w:t xml:space="preserve"> </w:t>
      </w:r>
      <w:r w:rsidR="00440E36" w:rsidRPr="007F11EF">
        <w:rPr>
          <w:rFonts w:cs="Arial"/>
          <w:sz w:val="22"/>
          <w:szCs w:val="22"/>
          <w:lang w:val="en-US" w:eastAsia="ja-JP"/>
        </w:rPr>
        <w:t>at the 48- to 72-hour assessment (i</w:t>
      </w:r>
      <w:r w:rsidR="00CF4756">
        <w:rPr>
          <w:rFonts w:cs="Arial"/>
          <w:sz w:val="22"/>
          <w:szCs w:val="22"/>
          <w:lang w:val="en-US" w:eastAsia="ja-JP"/>
        </w:rPr>
        <w:t>.</w:t>
      </w:r>
      <w:r w:rsidR="00440E36" w:rsidRPr="007F11EF">
        <w:rPr>
          <w:rFonts w:cs="Arial"/>
          <w:sz w:val="22"/>
          <w:szCs w:val="22"/>
          <w:lang w:val="en-US" w:eastAsia="ja-JP"/>
        </w:rPr>
        <w:t>e</w:t>
      </w:r>
      <w:r w:rsidR="00CF4756">
        <w:rPr>
          <w:rFonts w:cs="Arial"/>
          <w:sz w:val="22"/>
          <w:szCs w:val="22"/>
          <w:lang w:val="en-US" w:eastAsia="ja-JP"/>
        </w:rPr>
        <w:t>.</w:t>
      </w:r>
      <w:r w:rsidR="00440E36" w:rsidRPr="007F11EF">
        <w:rPr>
          <w:rFonts w:cs="Arial"/>
          <w:sz w:val="22"/>
          <w:szCs w:val="22"/>
          <w:lang w:val="en-US" w:eastAsia="ja-JP"/>
        </w:rPr>
        <w:t xml:space="preserve"> lesion</w:t>
      </w:r>
      <w:r w:rsidR="001B7D67" w:rsidRPr="007F11EF">
        <w:rPr>
          <w:rFonts w:cs="Arial"/>
          <w:sz w:val="22"/>
          <w:szCs w:val="22"/>
          <w:lang w:val="en-US" w:eastAsia="ja-JP"/>
        </w:rPr>
        <w:t xml:space="preserve"> </w:t>
      </w:r>
      <w:r w:rsidR="00440E36" w:rsidRPr="007F11EF">
        <w:rPr>
          <w:rFonts w:cs="Arial"/>
          <w:sz w:val="22"/>
          <w:szCs w:val="22"/>
          <w:lang w:val="en-US" w:eastAsia="ja-JP"/>
        </w:rPr>
        <w:t>area increased and/or temperature</w:t>
      </w:r>
      <w:r w:rsidR="001B7D67" w:rsidRPr="007F11EF">
        <w:rPr>
          <w:rFonts w:cs="Arial"/>
          <w:sz w:val="22"/>
          <w:szCs w:val="22"/>
          <w:lang w:val="en-US" w:eastAsia="ja-JP"/>
        </w:rPr>
        <w:t xml:space="preserve"> </w:t>
      </w:r>
      <w:r w:rsidR="00440E36" w:rsidRPr="007F11EF">
        <w:rPr>
          <w:rFonts w:cs="Arial"/>
          <w:sz w:val="22"/>
          <w:szCs w:val="22"/>
          <w:lang w:val="en-US" w:eastAsia="ja-JP"/>
        </w:rPr>
        <w:t>wa</w:t>
      </w:r>
      <w:r w:rsidR="00FA15F6" w:rsidRPr="007F11EF">
        <w:rPr>
          <w:rFonts w:cs="Arial"/>
          <w:sz w:val="22"/>
          <w:szCs w:val="22"/>
          <w:lang w:val="en-US" w:eastAsia="ja-JP"/>
        </w:rPr>
        <w:t>s &gt;37.6</w:t>
      </w:r>
      <w:r w:rsidR="00FA15F6" w:rsidRPr="007F11EF">
        <w:rPr>
          <w:rFonts w:cs="Arial"/>
          <w:sz w:val="22"/>
          <w:szCs w:val="22"/>
          <w:vertAlign w:val="superscript"/>
          <w:lang w:val="en-US" w:eastAsia="ja-JP"/>
        </w:rPr>
        <w:t>0</w:t>
      </w:r>
      <w:r w:rsidR="00440E36" w:rsidRPr="007F11EF">
        <w:rPr>
          <w:rFonts w:cs="Arial"/>
          <w:sz w:val="22"/>
          <w:szCs w:val="22"/>
          <w:lang w:val="en-US" w:eastAsia="ja-JP"/>
        </w:rPr>
        <w:t>C) and/or the patient</w:t>
      </w:r>
      <w:r w:rsidR="001B7D67" w:rsidRPr="007F11EF">
        <w:rPr>
          <w:rFonts w:cs="Arial"/>
          <w:sz w:val="22"/>
          <w:szCs w:val="22"/>
          <w:lang w:val="en-US" w:eastAsia="ja-JP"/>
        </w:rPr>
        <w:t xml:space="preserve"> </w:t>
      </w:r>
      <w:r w:rsidR="00440E36" w:rsidRPr="007F11EF">
        <w:rPr>
          <w:rFonts w:cs="Arial"/>
          <w:sz w:val="22"/>
          <w:szCs w:val="22"/>
          <w:lang w:val="en-US" w:eastAsia="ja-JP"/>
        </w:rPr>
        <w:t>reported pain, a sensitivity analysis of</w:t>
      </w:r>
      <w:r w:rsidR="001B7D67" w:rsidRPr="007F11EF">
        <w:rPr>
          <w:rFonts w:cs="Arial"/>
          <w:sz w:val="22"/>
          <w:szCs w:val="22"/>
          <w:lang w:val="en-US" w:eastAsia="ja-JP"/>
        </w:rPr>
        <w:t xml:space="preserve"> </w:t>
      </w:r>
      <w:r w:rsidR="00440E36" w:rsidRPr="007F11EF">
        <w:rPr>
          <w:rFonts w:cs="Arial"/>
          <w:sz w:val="22"/>
          <w:szCs w:val="22"/>
          <w:lang w:val="en-US" w:eastAsia="ja-JP"/>
        </w:rPr>
        <w:t>sustained clinical response was conducted</w:t>
      </w:r>
      <w:r w:rsidR="001B7D67" w:rsidRPr="007F11EF">
        <w:rPr>
          <w:rFonts w:cs="Arial"/>
          <w:sz w:val="22"/>
          <w:szCs w:val="22"/>
          <w:lang w:val="en-US" w:eastAsia="ja-JP"/>
        </w:rPr>
        <w:t xml:space="preserve"> </w:t>
      </w:r>
      <w:r w:rsidR="00440E36" w:rsidRPr="007F11EF">
        <w:rPr>
          <w:rFonts w:cs="Arial"/>
          <w:sz w:val="22"/>
          <w:szCs w:val="22"/>
          <w:lang w:val="en-US" w:eastAsia="ja-JP"/>
        </w:rPr>
        <w:t>that did not include the presence</w:t>
      </w:r>
      <w:r w:rsidR="001B7D67" w:rsidRPr="007F11EF">
        <w:rPr>
          <w:rFonts w:cs="Arial"/>
          <w:sz w:val="22"/>
          <w:szCs w:val="22"/>
          <w:lang w:val="en-US" w:eastAsia="ja-JP"/>
        </w:rPr>
        <w:t xml:space="preserve"> </w:t>
      </w:r>
      <w:r w:rsidR="00440E36" w:rsidRPr="007F11EF">
        <w:rPr>
          <w:rFonts w:cs="Arial"/>
          <w:sz w:val="22"/>
          <w:szCs w:val="22"/>
          <w:lang w:val="en-US" w:eastAsia="ja-JP"/>
        </w:rPr>
        <w:t>or absence of pain, and in which</w:t>
      </w:r>
      <w:r w:rsidR="001B7D67" w:rsidRPr="007F11EF">
        <w:rPr>
          <w:rFonts w:cs="Arial"/>
          <w:sz w:val="22"/>
          <w:szCs w:val="22"/>
          <w:lang w:val="en-US" w:eastAsia="ja-JP"/>
        </w:rPr>
        <w:t xml:space="preserve"> </w:t>
      </w:r>
      <w:r w:rsidR="00440E36" w:rsidRPr="007F11EF">
        <w:rPr>
          <w:rFonts w:cs="Arial"/>
          <w:sz w:val="22"/>
          <w:szCs w:val="22"/>
          <w:lang w:val="en-US" w:eastAsia="ja-JP"/>
        </w:rPr>
        <w:t>patients who were treatment non</w:t>
      </w:r>
      <w:r w:rsidR="001B7D67" w:rsidRPr="007F11EF">
        <w:rPr>
          <w:rFonts w:cs="Arial"/>
          <w:sz w:val="22"/>
          <w:szCs w:val="22"/>
          <w:lang w:val="en-US" w:eastAsia="ja-JP"/>
        </w:rPr>
        <w:t>-</w:t>
      </w:r>
      <w:r w:rsidR="00440E36" w:rsidRPr="007F11EF">
        <w:rPr>
          <w:rFonts w:cs="Arial"/>
          <w:sz w:val="22"/>
          <w:szCs w:val="22"/>
          <w:lang w:val="en-US" w:eastAsia="ja-JP"/>
        </w:rPr>
        <w:t>responders</w:t>
      </w:r>
      <w:r w:rsidR="001B7D67" w:rsidRPr="007F11EF">
        <w:rPr>
          <w:rFonts w:cs="Arial"/>
          <w:sz w:val="22"/>
          <w:szCs w:val="22"/>
          <w:lang w:val="en-US" w:eastAsia="ja-JP"/>
        </w:rPr>
        <w:t xml:space="preserve"> </w:t>
      </w:r>
      <w:r w:rsidR="00440E36" w:rsidRPr="007F11EF">
        <w:rPr>
          <w:rFonts w:cs="Arial"/>
          <w:sz w:val="22"/>
          <w:szCs w:val="22"/>
          <w:lang w:val="en-US" w:eastAsia="ja-JP"/>
        </w:rPr>
        <w:t>or indeterminates at the 48-to 72-hour assessment were not carried</w:t>
      </w:r>
      <w:r w:rsidR="001B7D67" w:rsidRPr="007F11EF">
        <w:rPr>
          <w:rFonts w:cs="Arial"/>
          <w:sz w:val="22"/>
          <w:szCs w:val="22"/>
          <w:lang w:val="en-US" w:eastAsia="ja-JP"/>
        </w:rPr>
        <w:t xml:space="preserve"> </w:t>
      </w:r>
      <w:r w:rsidR="00440E36" w:rsidRPr="007F11EF">
        <w:rPr>
          <w:rFonts w:cs="Arial"/>
          <w:sz w:val="22"/>
          <w:szCs w:val="22"/>
          <w:lang w:val="en-US" w:eastAsia="ja-JP"/>
        </w:rPr>
        <w:t>forward as treatment failures to the</w:t>
      </w:r>
      <w:r w:rsidR="001B7D67" w:rsidRPr="007F11EF">
        <w:rPr>
          <w:rFonts w:cs="Arial"/>
          <w:sz w:val="22"/>
          <w:szCs w:val="22"/>
          <w:lang w:val="en-US" w:eastAsia="ja-JP"/>
        </w:rPr>
        <w:t xml:space="preserve"> </w:t>
      </w:r>
      <w:r w:rsidR="00440E36" w:rsidRPr="007F11EF">
        <w:rPr>
          <w:rFonts w:cs="Arial"/>
          <w:sz w:val="22"/>
          <w:szCs w:val="22"/>
          <w:lang w:val="en-US" w:eastAsia="ja-JP"/>
        </w:rPr>
        <w:t>EOT visit. The sensitivity analysis was</w:t>
      </w:r>
      <w:r w:rsidR="001B7D67" w:rsidRPr="007F11EF">
        <w:rPr>
          <w:rFonts w:cs="Arial"/>
          <w:sz w:val="22"/>
          <w:szCs w:val="22"/>
          <w:lang w:val="en-US" w:eastAsia="ja-JP"/>
        </w:rPr>
        <w:t xml:space="preserve"> </w:t>
      </w:r>
      <w:r w:rsidR="00440E36" w:rsidRPr="007F11EF">
        <w:rPr>
          <w:rFonts w:cs="Arial"/>
          <w:sz w:val="22"/>
          <w:szCs w:val="22"/>
          <w:lang w:val="en-US" w:eastAsia="ja-JP"/>
        </w:rPr>
        <w:t>consistent with the FDA guidance,</w:t>
      </w:r>
      <w:r w:rsidR="001B7D67" w:rsidRPr="007F11EF">
        <w:rPr>
          <w:rFonts w:cs="Arial"/>
          <w:sz w:val="22"/>
          <w:szCs w:val="22"/>
          <w:lang w:val="en-US" w:eastAsia="ja-JP"/>
        </w:rPr>
        <w:t xml:space="preserve"> </w:t>
      </w:r>
      <w:r w:rsidR="00440E36" w:rsidRPr="007F11EF">
        <w:rPr>
          <w:rFonts w:cs="Arial"/>
          <w:sz w:val="22"/>
          <w:szCs w:val="22"/>
          <w:lang w:val="en-US" w:eastAsia="ja-JP"/>
        </w:rPr>
        <w:t>which was issued after the special protocol</w:t>
      </w:r>
      <w:r w:rsidR="001B7D67" w:rsidRPr="007F11EF">
        <w:rPr>
          <w:rFonts w:cs="Arial"/>
          <w:sz w:val="22"/>
          <w:szCs w:val="22"/>
          <w:lang w:val="en-US" w:eastAsia="ja-JP"/>
        </w:rPr>
        <w:t xml:space="preserve"> amendment</w:t>
      </w:r>
      <w:r w:rsidR="00440E36" w:rsidRPr="007F11EF">
        <w:rPr>
          <w:rFonts w:cs="Arial"/>
          <w:sz w:val="22"/>
          <w:szCs w:val="22"/>
          <w:lang w:val="en-US" w:eastAsia="ja-JP"/>
        </w:rPr>
        <w:t xml:space="preserve"> granted to the </w:t>
      </w:r>
      <w:r w:rsidR="001B7D67" w:rsidRPr="007F11EF">
        <w:rPr>
          <w:rFonts w:cs="Arial"/>
          <w:sz w:val="22"/>
          <w:szCs w:val="22"/>
          <w:lang w:val="en-US" w:eastAsia="ja-JP"/>
        </w:rPr>
        <w:t xml:space="preserve">study sponsor, </w:t>
      </w:r>
      <w:r w:rsidR="00440E36" w:rsidRPr="007F11EF">
        <w:rPr>
          <w:rFonts w:cs="Arial"/>
          <w:sz w:val="22"/>
          <w:szCs w:val="22"/>
          <w:lang w:val="en-US" w:eastAsia="ja-JP"/>
        </w:rPr>
        <w:t>and showed similar results for the</w:t>
      </w:r>
      <w:r w:rsidR="001B7D67" w:rsidRPr="007F11EF">
        <w:rPr>
          <w:rFonts w:cs="Arial"/>
          <w:sz w:val="22"/>
          <w:szCs w:val="22"/>
          <w:lang w:val="en-US" w:eastAsia="ja-JP"/>
        </w:rPr>
        <w:t xml:space="preserve"> </w:t>
      </w:r>
      <w:r w:rsidR="00440E36" w:rsidRPr="00112ABA">
        <w:rPr>
          <w:rFonts w:cs="Arial"/>
          <w:sz w:val="22"/>
          <w:szCs w:val="22"/>
          <w:lang w:val="en-US" w:eastAsia="ja-JP"/>
        </w:rPr>
        <w:t>outcome of sustained clinical response</w:t>
      </w:r>
      <w:r w:rsidR="00783040" w:rsidRPr="00112ABA">
        <w:rPr>
          <w:rFonts w:cs="Arial"/>
          <w:sz w:val="22"/>
          <w:szCs w:val="22"/>
          <w:lang w:val="en-US" w:eastAsia="ja-JP"/>
        </w:rPr>
        <w:t xml:space="preserve"> </w:t>
      </w:r>
      <w:r w:rsidR="00440E36" w:rsidRPr="00112ABA">
        <w:rPr>
          <w:rFonts w:cs="Arial"/>
          <w:sz w:val="22"/>
          <w:szCs w:val="22"/>
          <w:lang w:val="en-US" w:eastAsia="ja-JP"/>
        </w:rPr>
        <w:t>as those for the secondary outcome</w:t>
      </w:r>
      <w:r w:rsidR="001B7D67" w:rsidRPr="00112ABA">
        <w:rPr>
          <w:rFonts w:cs="Arial"/>
          <w:sz w:val="22"/>
          <w:szCs w:val="22"/>
          <w:lang w:val="en-US" w:eastAsia="ja-JP"/>
        </w:rPr>
        <w:t xml:space="preserve"> </w:t>
      </w:r>
      <w:r w:rsidR="00440E36" w:rsidRPr="00112ABA">
        <w:rPr>
          <w:rFonts w:cs="Arial"/>
          <w:sz w:val="22"/>
          <w:szCs w:val="22"/>
          <w:lang w:val="en-US" w:eastAsia="ja-JP"/>
        </w:rPr>
        <w:t>measure (</w:t>
      </w:r>
      <w:r w:rsidR="00C970E2">
        <w:rPr>
          <w:rFonts w:cs="Arial"/>
          <w:sz w:val="22"/>
          <w:szCs w:val="22"/>
          <w:lang w:val="en-US" w:eastAsia="ja-JP"/>
        </w:rPr>
        <w:fldChar w:fldCharType="begin"/>
      </w:r>
      <w:r w:rsidR="00C970E2">
        <w:rPr>
          <w:rFonts w:cs="Arial"/>
          <w:sz w:val="22"/>
          <w:szCs w:val="22"/>
          <w:lang w:val="en-US" w:eastAsia="ja-JP"/>
        </w:rPr>
        <w:instrText xml:space="preserve"> REF _Ref284485921 \r \h </w:instrText>
      </w:r>
      <w:r w:rsidR="00C970E2">
        <w:rPr>
          <w:rFonts w:cs="Arial"/>
          <w:sz w:val="22"/>
          <w:szCs w:val="22"/>
          <w:lang w:val="en-US" w:eastAsia="ja-JP"/>
        </w:rPr>
      </w:r>
      <w:r w:rsidR="00C970E2">
        <w:rPr>
          <w:rFonts w:cs="Arial"/>
          <w:sz w:val="22"/>
          <w:szCs w:val="22"/>
          <w:lang w:val="en-US" w:eastAsia="ja-JP"/>
        </w:rPr>
        <w:fldChar w:fldCharType="separate"/>
      </w:r>
      <w:r w:rsidR="00151A1C">
        <w:rPr>
          <w:rFonts w:cs="Arial"/>
          <w:sz w:val="22"/>
          <w:szCs w:val="22"/>
          <w:lang w:val="en-US" w:eastAsia="ja-JP"/>
        </w:rPr>
        <w:t>39</w:t>
      </w:r>
      <w:r w:rsidR="00C970E2">
        <w:rPr>
          <w:rFonts w:cs="Arial"/>
          <w:sz w:val="22"/>
          <w:szCs w:val="22"/>
          <w:lang w:val="en-US" w:eastAsia="ja-JP"/>
        </w:rPr>
        <w:fldChar w:fldCharType="end"/>
      </w:r>
      <w:r w:rsidR="003826D5" w:rsidRPr="00112ABA">
        <w:rPr>
          <w:rFonts w:cs="Arial"/>
          <w:sz w:val="22"/>
          <w:szCs w:val="22"/>
          <w:lang w:val="en-US" w:eastAsia="ja-JP"/>
        </w:rPr>
        <w:t xml:space="preserve">; </w:t>
      </w:r>
      <w:r w:rsidR="00440E36" w:rsidRPr="00112ABA">
        <w:rPr>
          <w:rFonts w:cs="Arial"/>
          <w:sz w:val="22"/>
          <w:szCs w:val="22"/>
          <w:lang w:val="en-US" w:eastAsia="ja-JP"/>
        </w:rPr>
        <w:t>Table 3)</w:t>
      </w:r>
      <w:r w:rsidRPr="00112ABA">
        <w:rPr>
          <w:rFonts w:cs="Arial"/>
          <w:sz w:val="22"/>
          <w:szCs w:val="22"/>
          <w:lang w:val="en-US" w:eastAsia="ja-JP"/>
        </w:rPr>
        <w:t>.</w:t>
      </w:r>
    </w:p>
    <w:p w14:paraId="75005F92" w14:textId="77777777" w:rsidR="009416A8" w:rsidRDefault="009416A8" w:rsidP="008E4E92">
      <w:pPr>
        <w:autoSpaceDE w:val="0"/>
        <w:autoSpaceDN w:val="0"/>
        <w:adjustRightInd w:val="0"/>
        <w:rPr>
          <w:rFonts w:cs="Arial"/>
          <w:b/>
          <w:bCs/>
          <w:sz w:val="22"/>
          <w:szCs w:val="22"/>
          <w:lang w:eastAsia="ja-JP"/>
        </w:rPr>
      </w:pPr>
    </w:p>
    <w:p w14:paraId="3ABD1E5B" w14:textId="5EF125CB" w:rsidR="00325FFE" w:rsidRPr="007F11EF" w:rsidRDefault="00653BEB" w:rsidP="008E4E92">
      <w:pPr>
        <w:autoSpaceDE w:val="0"/>
        <w:autoSpaceDN w:val="0"/>
        <w:adjustRightInd w:val="0"/>
        <w:rPr>
          <w:rFonts w:cs="Arial"/>
          <w:sz w:val="22"/>
          <w:szCs w:val="22"/>
          <w:lang w:eastAsia="ja-JP"/>
        </w:rPr>
      </w:pPr>
      <w:r>
        <w:rPr>
          <w:rFonts w:cs="Arial"/>
          <w:b/>
          <w:bCs/>
          <w:sz w:val="22"/>
          <w:szCs w:val="22"/>
          <w:lang w:eastAsia="ja-JP"/>
        </w:rPr>
        <w:t>3.3</w:t>
      </w:r>
      <w:r w:rsidR="007F11EF">
        <w:rPr>
          <w:rFonts w:cs="Arial"/>
          <w:b/>
          <w:bCs/>
          <w:sz w:val="22"/>
          <w:szCs w:val="22"/>
          <w:lang w:eastAsia="ja-JP"/>
        </w:rPr>
        <w:t>.19</w:t>
      </w:r>
      <w:r w:rsidR="001A3DC5" w:rsidRPr="007F11EF">
        <w:rPr>
          <w:rFonts w:cs="Arial"/>
          <w:b/>
          <w:bCs/>
          <w:sz w:val="22"/>
          <w:szCs w:val="22"/>
          <w:lang w:eastAsia="ja-JP"/>
        </w:rPr>
        <w:t xml:space="preserve"> </w:t>
      </w:r>
      <w:r w:rsidR="008E4E92" w:rsidRPr="007F11EF">
        <w:rPr>
          <w:rFonts w:cs="Arial"/>
          <w:b/>
          <w:bCs/>
          <w:sz w:val="22"/>
          <w:szCs w:val="22"/>
          <w:lang w:eastAsia="ja-JP"/>
        </w:rPr>
        <w:t>Conclusions and Relevance</w:t>
      </w:r>
      <w:r w:rsidR="007F11EF" w:rsidRPr="007F11EF">
        <w:rPr>
          <w:rFonts w:cs="Arial"/>
          <w:sz w:val="22"/>
          <w:szCs w:val="22"/>
          <w:lang w:eastAsia="ja-JP"/>
        </w:rPr>
        <w:t>: ESTABLISH-1 demonstrated that t</w:t>
      </w:r>
      <w:r w:rsidR="008E4E92" w:rsidRPr="007F11EF">
        <w:rPr>
          <w:rFonts w:cs="Arial"/>
          <w:sz w:val="22"/>
          <w:szCs w:val="22"/>
          <w:lang w:eastAsia="ja-JP"/>
        </w:rPr>
        <w:t xml:space="preserve">edizolid phosphate </w:t>
      </w:r>
      <w:r w:rsidR="007F11EF" w:rsidRPr="007F11EF">
        <w:rPr>
          <w:rFonts w:cs="Arial"/>
          <w:sz w:val="22"/>
          <w:szCs w:val="22"/>
          <w:lang w:eastAsia="ja-JP"/>
        </w:rPr>
        <w:t xml:space="preserve">(administered once daily for 6 days) </w:t>
      </w:r>
      <w:r w:rsidR="008E4E92" w:rsidRPr="007F11EF">
        <w:rPr>
          <w:rFonts w:cs="Arial"/>
          <w:sz w:val="22"/>
          <w:szCs w:val="22"/>
          <w:lang w:eastAsia="ja-JP"/>
        </w:rPr>
        <w:t>was a statistically non</w:t>
      </w:r>
      <w:r w:rsidR="007F11EF" w:rsidRPr="007F11EF">
        <w:rPr>
          <w:rFonts w:cs="Arial"/>
          <w:sz w:val="22"/>
          <w:szCs w:val="22"/>
          <w:lang w:eastAsia="ja-JP"/>
        </w:rPr>
        <w:t>-</w:t>
      </w:r>
      <w:r w:rsidR="008E4E92" w:rsidRPr="007F11EF">
        <w:rPr>
          <w:rFonts w:cs="Arial"/>
          <w:sz w:val="22"/>
          <w:szCs w:val="22"/>
          <w:lang w:eastAsia="ja-JP"/>
        </w:rPr>
        <w:t>inferior treatment</w:t>
      </w:r>
      <w:r w:rsidR="001A3DC5" w:rsidRPr="007F11EF">
        <w:rPr>
          <w:rFonts w:cs="Arial"/>
          <w:sz w:val="22"/>
          <w:szCs w:val="22"/>
          <w:lang w:eastAsia="ja-JP"/>
        </w:rPr>
        <w:t xml:space="preserve"> </w:t>
      </w:r>
      <w:r w:rsidR="008E4E92" w:rsidRPr="007F11EF">
        <w:rPr>
          <w:rFonts w:cs="Arial"/>
          <w:sz w:val="22"/>
          <w:szCs w:val="22"/>
          <w:lang w:eastAsia="ja-JP"/>
        </w:rPr>
        <w:t xml:space="preserve">to linezolid </w:t>
      </w:r>
      <w:r w:rsidR="007F11EF" w:rsidRPr="007F11EF">
        <w:rPr>
          <w:rFonts w:cs="Arial"/>
          <w:sz w:val="22"/>
          <w:szCs w:val="22"/>
          <w:lang w:eastAsia="ja-JP"/>
        </w:rPr>
        <w:t xml:space="preserve">(administered twice daily for 10 days) </w:t>
      </w:r>
      <w:r w:rsidR="008E4E92" w:rsidRPr="007F11EF">
        <w:rPr>
          <w:rFonts w:cs="Arial"/>
          <w:sz w:val="22"/>
          <w:szCs w:val="22"/>
          <w:lang w:eastAsia="ja-JP"/>
        </w:rPr>
        <w:t>in early clinical response at 48 to 72 hours after initiating therapy for an ABSSSI. Tedizolid phosphate may</w:t>
      </w:r>
      <w:r w:rsidR="007F11EF" w:rsidRPr="007F11EF">
        <w:rPr>
          <w:rFonts w:cs="Arial"/>
          <w:sz w:val="22"/>
          <w:szCs w:val="22"/>
          <w:lang w:eastAsia="ja-JP"/>
        </w:rPr>
        <w:t xml:space="preserve"> therefore</w:t>
      </w:r>
      <w:r w:rsidR="008E4E92" w:rsidRPr="007F11EF">
        <w:rPr>
          <w:rFonts w:cs="Arial"/>
          <w:sz w:val="22"/>
          <w:szCs w:val="22"/>
          <w:lang w:eastAsia="ja-JP"/>
        </w:rPr>
        <w:t xml:space="preserve"> be </w:t>
      </w:r>
      <w:r w:rsidR="007F11EF" w:rsidRPr="007F11EF">
        <w:rPr>
          <w:rFonts w:cs="Arial"/>
          <w:sz w:val="22"/>
          <w:szCs w:val="22"/>
          <w:lang w:eastAsia="ja-JP"/>
        </w:rPr>
        <w:t xml:space="preserve">considered </w:t>
      </w:r>
      <w:r w:rsidR="008E4E92" w:rsidRPr="007F11EF">
        <w:rPr>
          <w:rFonts w:cs="Arial"/>
          <w:sz w:val="22"/>
          <w:szCs w:val="22"/>
          <w:lang w:eastAsia="ja-JP"/>
        </w:rPr>
        <w:t>a reasonable alternative t</w:t>
      </w:r>
      <w:r w:rsidR="007F11EF">
        <w:rPr>
          <w:rFonts w:cs="Arial"/>
          <w:sz w:val="22"/>
          <w:szCs w:val="22"/>
          <w:lang w:eastAsia="ja-JP"/>
        </w:rPr>
        <w:t>o linezolid for treating ABSSSI (</w:t>
      </w:r>
      <w:r w:rsidR="00C970E2">
        <w:rPr>
          <w:rFonts w:cs="Arial"/>
          <w:sz w:val="22"/>
          <w:szCs w:val="22"/>
          <w:lang w:eastAsia="ja-JP"/>
        </w:rPr>
        <w:fldChar w:fldCharType="begin"/>
      </w:r>
      <w:r w:rsidR="00C970E2">
        <w:rPr>
          <w:rFonts w:cs="Arial"/>
          <w:sz w:val="22"/>
          <w:szCs w:val="22"/>
          <w:lang w:eastAsia="ja-JP"/>
        </w:rPr>
        <w:instrText xml:space="preserve"> REF _Ref284485921 \r \h </w:instrText>
      </w:r>
      <w:r w:rsidR="00C970E2">
        <w:rPr>
          <w:rFonts w:cs="Arial"/>
          <w:sz w:val="22"/>
          <w:szCs w:val="22"/>
          <w:lang w:eastAsia="ja-JP"/>
        </w:rPr>
      </w:r>
      <w:r w:rsidR="00C970E2">
        <w:rPr>
          <w:rFonts w:cs="Arial"/>
          <w:sz w:val="22"/>
          <w:szCs w:val="22"/>
          <w:lang w:eastAsia="ja-JP"/>
        </w:rPr>
        <w:fldChar w:fldCharType="separate"/>
      </w:r>
      <w:r w:rsidR="00151A1C">
        <w:rPr>
          <w:rFonts w:cs="Arial"/>
          <w:sz w:val="22"/>
          <w:szCs w:val="22"/>
          <w:lang w:eastAsia="ja-JP"/>
        </w:rPr>
        <w:t>39</w:t>
      </w:r>
      <w:r w:rsidR="00C970E2">
        <w:rPr>
          <w:rFonts w:cs="Arial"/>
          <w:sz w:val="22"/>
          <w:szCs w:val="22"/>
          <w:lang w:eastAsia="ja-JP"/>
        </w:rPr>
        <w:fldChar w:fldCharType="end"/>
      </w:r>
      <w:r w:rsidR="007F11EF">
        <w:rPr>
          <w:rFonts w:cs="Arial"/>
          <w:sz w:val="22"/>
          <w:szCs w:val="22"/>
          <w:lang w:eastAsia="ja-JP"/>
        </w:rPr>
        <w:t>).</w:t>
      </w:r>
    </w:p>
    <w:p w14:paraId="03B60DC3" w14:textId="77777777" w:rsidR="00325FFE" w:rsidRDefault="00325FFE" w:rsidP="008E4E92">
      <w:pPr>
        <w:autoSpaceDE w:val="0"/>
        <w:autoSpaceDN w:val="0"/>
        <w:adjustRightInd w:val="0"/>
        <w:rPr>
          <w:rFonts w:cs="Arial"/>
          <w:b/>
          <w:sz w:val="22"/>
          <w:szCs w:val="22"/>
          <w:lang w:eastAsia="ja-JP"/>
        </w:rPr>
      </w:pPr>
    </w:p>
    <w:p w14:paraId="131F9B96" w14:textId="26B31924" w:rsidR="008E4E92" w:rsidRPr="008E4E92" w:rsidRDefault="00653BEB" w:rsidP="008E4E92">
      <w:pPr>
        <w:autoSpaceDE w:val="0"/>
        <w:autoSpaceDN w:val="0"/>
        <w:adjustRightInd w:val="0"/>
        <w:rPr>
          <w:rFonts w:cs="Arial"/>
          <w:b/>
          <w:sz w:val="22"/>
          <w:szCs w:val="22"/>
          <w:lang w:eastAsia="ja-JP"/>
        </w:rPr>
      </w:pPr>
      <w:r>
        <w:rPr>
          <w:rFonts w:cs="Arial"/>
          <w:b/>
          <w:sz w:val="22"/>
          <w:szCs w:val="22"/>
          <w:lang w:eastAsia="ja-JP"/>
        </w:rPr>
        <w:t>3.4</w:t>
      </w:r>
      <w:r w:rsidR="00FA1290">
        <w:rPr>
          <w:rFonts w:cs="Arial"/>
          <w:b/>
          <w:sz w:val="22"/>
          <w:szCs w:val="22"/>
          <w:lang w:eastAsia="ja-JP"/>
        </w:rPr>
        <w:tab/>
      </w:r>
      <w:r w:rsidR="008E4E92" w:rsidRPr="008E4E92">
        <w:rPr>
          <w:rFonts w:cs="Arial"/>
          <w:b/>
          <w:sz w:val="22"/>
          <w:szCs w:val="22"/>
          <w:lang w:eastAsia="ja-JP"/>
        </w:rPr>
        <w:t>ESTABLISH-2</w:t>
      </w:r>
    </w:p>
    <w:p w14:paraId="36D0505A" w14:textId="77777777" w:rsidR="00FA1290" w:rsidRPr="00874DFC" w:rsidRDefault="00FA1290" w:rsidP="008E4E92">
      <w:pPr>
        <w:autoSpaceDE w:val="0"/>
        <w:autoSpaceDN w:val="0"/>
        <w:adjustRightInd w:val="0"/>
        <w:rPr>
          <w:rFonts w:eastAsia="ScalaLancetPro-Bold" w:cs="Arial"/>
          <w:b/>
          <w:bCs/>
          <w:sz w:val="22"/>
          <w:szCs w:val="22"/>
          <w:lang w:eastAsia="ja-JP"/>
        </w:rPr>
      </w:pPr>
    </w:p>
    <w:p w14:paraId="27C86F5B" w14:textId="23142ECE" w:rsidR="00001C6F" w:rsidRPr="00874DFC" w:rsidRDefault="00FA1290" w:rsidP="008E4E92">
      <w:pPr>
        <w:autoSpaceDE w:val="0"/>
        <w:autoSpaceDN w:val="0"/>
        <w:adjustRightInd w:val="0"/>
        <w:rPr>
          <w:rFonts w:eastAsia="ScalaLancetPro-Bold" w:cs="Arial"/>
          <w:b/>
          <w:bCs/>
          <w:sz w:val="22"/>
          <w:szCs w:val="22"/>
          <w:lang w:eastAsia="ja-JP"/>
        </w:rPr>
      </w:pPr>
      <w:r w:rsidRPr="00874DFC">
        <w:rPr>
          <w:rFonts w:eastAsia="ScalaLancetPro-Bold" w:cs="Arial"/>
          <w:b/>
          <w:bCs/>
          <w:sz w:val="22"/>
          <w:szCs w:val="22"/>
          <w:lang w:eastAsia="ja-JP"/>
        </w:rPr>
        <w:t>Study title and name:</w:t>
      </w:r>
      <w:r w:rsidR="000C4ABB" w:rsidRPr="00874DFC">
        <w:rPr>
          <w:rFonts w:eastAsia="ScalaLancetPro-Bold" w:cs="Arial"/>
          <w:b/>
          <w:bCs/>
          <w:sz w:val="22"/>
          <w:szCs w:val="22"/>
          <w:lang w:eastAsia="ja-JP"/>
        </w:rPr>
        <w:t xml:space="preserve"> </w:t>
      </w:r>
      <w:r w:rsidR="0048084A" w:rsidRPr="00874DFC">
        <w:rPr>
          <w:rFonts w:cs="Arial"/>
          <w:sz w:val="22"/>
          <w:szCs w:val="22"/>
          <w:lang w:val="en-US" w:eastAsia="ja-JP"/>
        </w:rPr>
        <w:t>A Phase 3 Randomized, Double-Blind, Multicenter Study Comparing the Efficacy and Safety of IV to Oral 6-Day TR-701 F</w:t>
      </w:r>
      <w:r w:rsidR="005E3F09" w:rsidRPr="00874DFC">
        <w:rPr>
          <w:rFonts w:cs="Arial"/>
          <w:sz w:val="22"/>
          <w:szCs w:val="22"/>
          <w:lang w:val="en-US" w:eastAsia="ja-JP"/>
        </w:rPr>
        <w:t xml:space="preserve">ree </w:t>
      </w:r>
      <w:r w:rsidR="0048084A" w:rsidRPr="00874DFC">
        <w:rPr>
          <w:rFonts w:cs="Arial"/>
          <w:sz w:val="22"/>
          <w:szCs w:val="22"/>
          <w:lang w:val="en-US" w:eastAsia="ja-JP"/>
        </w:rPr>
        <w:t>A</w:t>
      </w:r>
      <w:r w:rsidR="005E3F09" w:rsidRPr="00874DFC">
        <w:rPr>
          <w:rFonts w:cs="Arial"/>
          <w:sz w:val="22"/>
          <w:szCs w:val="22"/>
          <w:lang w:val="en-US" w:eastAsia="ja-JP"/>
        </w:rPr>
        <w:t>cid</w:t>
      </w:r>
      <w:r w:rsidR="0048084A" w:rsidRPr="00874DFC">
        <w:rPr>
          <w:rFonts w:cs="Arial"/>
          <w:sz w:val="22"/>
          <w:szCs w:val="22"/>
          <w:lang w:val="en-US" w:eastAsia="ja-JP"/>
        </w:rPr>
        <w:t xml:space="preserve"> and IV to Oral 10-Day Linezolid for the Treatment of ABSSSI</w:t>
      </w:r>
      <w:r w:rsidR="00780358" w:rsidRPr="00874DFC">
        <w:rPr>
          <w:rFonts w:cs="Arial"/>
          <w:sz w:val="22"/>
          <w:szCs w:val="22"/>
          <w:lang w:val="en-US" w:eastAsia="ja-JP"/>
        </w:rPr>
        <w:t xml:space="preserve"> (ESTABLISH-2).</w:t>
      </w:r>
    </w:p>
    <w:p w14:paraId="651F316F" w14:textId="77777777" w:rsidR="00001C6F" w:rsidRPr="00874DFC" w:rsidRDefault="00001C6F" w:rsidP="008E4E92">
      <w:pPr>
        <w:autoSpaceDE w:val="0"/>
        <w:autoSpaceDN w:val="0"/>
        <w:adjustRightInd w:val="0"/>
        <w:rPr>
          <w:rFonts w:eastAsia="ScalaLancetPro-Bold" w:cs="Arial"/>
          <w:bCs/>
          <w:sz w:val="22"/>
          <w:szCs w:val="22"/>
          <w:lang w:eastAsia="ja-JP"/>
        </w:rPr>
      </w:pPr>
    </w:p>
    <w:p w14:paraId="0CC7FC52" w14:textId="339EBFF9" w:rsidR="00001C6F" w:rsidRPr="00874DFC" w:rsidRDefault="00384D45" w:rsidP="00001C6F">
      <w:pPr>
        <w:autoSpaceDE w:val="0"/>
        <w:autoSpaceDN w:val="0"/>
        <w:adjustRightInd w:val="0"/>
        <w:rPr>
          <w:rFonts w:cs="Arial"/>
          <w:bCs/>
          <w:sz w:val="22"/>
          <w:szCs w:val="22"/>
          <w:lang w:eastAsia="ja-JP"/>
        </w:rPr>
      </w:pPr>
      <w:r w:rsidRPr="00874DFC">
        <w:rPr>
          <w:rFonts w:cs="Arial"/>
          <w:b/>
          <w:bCs/>
          <w:sz w:val="22"/>
          <w:szCs w:val="22"/>
          <w:lang w:eastAsia="ja-JP"/>
        </w:rPr>
        <w:t>3.4</w:t>
      </w:r>
      <w:r w:rsidR="00F305BD" w:rsidRPr="00874DFC">
        <w:rPr>
          <w:rFonts w:cs="Arial"/>
          <w:b/>
          <w:bCs/>
          <w:sz w:val="22"/>
          <w:szCs w:val="22"/>
          <w:lang w:eastAsia="ja-JP"/>
        </w:rPr>
        <w:t xml:space="preserve">.1 </w:t>
      </w:r>
      <w:r w:rsidR="00001C6F" w:rsidRPr="00874DFC">
        <w:rPr>
          <w:rFonts w:cs="Arial"/>
          <w:b/>
          <w:bCs/>
          <w:sz w:val="22"/>
          <w:szCs w:val="22"/>
          <w:lang w:eastAsia="ja-JP"/>
        </w:rPr>
        <w:t>Objective</w:t>
      </w:r>
      <w:r w:rsidR="00A321DC" w:rsidRPr="00874DFC">
        <w:rPr>
          <w:rFonts w:cs="Arial"/>
          <w:b/>
          <w:bCs/>
          <w:sz w:val="22"/>
          <w:szCs w:val="22"/>
          <w:lang w:eastAsia="ja-JP"/>
        </w:rPr>
        <w:t xml:space="preserve">: </w:t>
      </w:r>
      <w:r w:rsidR="000C4ABB" w:rsidRPr="00874DFC">
        <w:rPr>
          <w:rFonts w:cs="Arial"/>
          <w:bCs/>
          <w:sz w:val="22"/>
          <w:szCs w:val="22"/>
          <w:lang w:eastAsia="ja-JP"/>
        </w:rPr>
        <w:t>T</w:t>
      </w:r>
      <w:r w:rsidR="00780358" w:rsidRPr="00874DFC">
        <w:rPr>
          <w:rFonts w:cs="Arial"/>
          <w:bCs/>
          <w:sz w:val="22"/>
          <w:szCs w:val="22"/>
          <w:lang w:eastAsia="ja-JP"/>
        </w:rPr>
        <w:t>he primary objective was to determine the NI in the early clinical response rate of IV to oral 6-day TR-701 Free Acid (FA) treatment compared with that of IV to oral 10-day linezolid treatment at 48-72 hours after the first infusion of study drug in the ITT Analysis Set in patients with ABSSSI. Early clinical response is defined by lesion area only (</w:t>
      </w:r>
      <w:r w:rsidR="00CE78C2">
        <w:rPr>
          <w:rFonts w:cs="Arial"/>
          <w:bCs/>
          <w:sz w:val="22"/>
          <w:szCs w:val="22"/>
          <w:lang w:eastAsia="ja-JP"/>
        </w:rPr>
        <w:fldChar w:fldCharType="begin"/>
      </w:r>
      <w:r w:rsidR="00CE78C2">
        <w:rPr>
          <w:rFonts w:cs="Arial"/>
          <w:bCs/>
          <w:sz w:val="22"/>
          <w:szCs w:val="22"/>
          <w:lang w:eastAsia="ja-JP"/>
        </w:rPr>
        <w:instrText xml:space="preserve"> REF _Ref284171394 \r \h </w:instrText>
      </w:r>
      <w:r w:rsidR="00CE78C2">
        <w:rPr>
          <w:rFonts w:cs="Arial"/>
          <w:bCs/>
          <w:sz w:val="22"/>
          <w:szCs w:val="22"/>
          <w:lang w:eastAsia="ja-JP"/>
        </w:rPr>
      </w:r>
      <w:r w:rsidR="00CE78C2">
        <w:rPr>
          <w:rFonts w:cs="Arial"/>
          <w:bCs/>
          <w:sz w:val="22"/>
          <w:szCs w:val="22"/>
          <w:lang w:eastAsia="ja-JP"/>
        </w:rPr>
        <w:fldChar w:fldCharType="separate"/>
      </w:r>
      <w:r w:rsidR="00151A1C">
        <w:rPr>
          <w:rFonts w:cs="Arial"/>
          <w:bCs/>
          <w:sz w:val="22"/>
          <w:szCs w:val="22"/>
          <w:lang w:eastAsia="ja-JP"/>
        </w:rPr>
        <w:t>42</w:t>
      </w:r>
      <w:r w:rsidR="00CE78C2">
        <w:rPr>
          <w:rFonts w:cs="Arial"/>
          <w:bCs/>
          <w:sz w:val="22"/>
          <w:szCs w:val="22"/>
          <w:lang w:eastAsia="ja-JP"/>
        </w:rPr>
        <w:fldChar w:fldCharType="end"/>
      </w:r>
      <w:r w:rsidR="00780358" w:rsidRPr="00874DFC">
        <w:rPr>
          <w:rFonts w:cs="Arial"/>
          <w:bCs/>
          <w:sz w:val="22"/>
          <w:szCs w:val="22"/>
          <w:lang w:eastAsia="ja-JP"/>
        </w:rPr>
        <w:t>).</w:t>
      </w:r>
    </w:p>
    <w:p w14:paraId="6F2790AE" w14:textId="77777777" w:rsidR="00001C6F" w:rsidRDefault="00001C6F" w:rsidP="00001C6F">
      <w:pPr>
        <w:autoSpaceDE w:val="0"/>
        <w:autoSpaceDN w:val="0"/>
        <w:adjustRightInd w:val="0"/>
        <w:rPr>
          <w:rFonts w:cs="Arial"/>
          <w:b/>
          <w:bCs/>
          <w:color w:val="FF0000"/>
          <w:sz w:val="22"/>
          <w:szCs w:val="22"/>
          <w:lang w:eastAsia="ja-JP"/>
        </w:rPr>
      </w:pPr>
    </w:p>
    <w:p w14:paraId="34D632E1" w14:textId="456FAF41" w:rsidR="00653BEB" w:rsidRPr="00EC028B" w:rsidRDefault="00384D45" w:rsidP="00653BEB">
      <w:pPr>
        <w:autoSpaceDE w:val="0"/>
        <w:autoSpaceDN w:val="0"/>
        <w:adjustRightInd w:val="0"/>
        <w:rPr>
          <w:rFonts w:cs="Arial"/>
          <w:b/>
          <w:bCs/>
          <w:sz w:val="22"/>
          <w:szCs w:val="22"/>
          <w:lang w:eastAsia="ja-JP"/>
        </w:rPr>
      </w:pPr>
      <w:r>
        <w:rPr>
          <w:rFonts w:cs="Arial"/>
          <w:b/>
          <w:bCs/>
          <w:sz w:val="22"/>
          <w:szCs w:val="22"/>
          <w:lang w:eastAsia="ja-JP"/>
        </w:rPr>
        <w:t>3.4</w:t>
      </w:r>
      <w:r w:rsidR="00F305BD" w:rsidRPr="00EC028B">
        <w:rPr>
          <w:rFonts w:cs="Arial"/>
          <w:b/>
          <w:bCs/>
          <w:sz w:val="22"/>
          <w:szCs w:val="22"/>
          <w:lang w:eastAsia="ja-JP"/>
        </w:rPr>
        <w:t xml:space="preserve">.2 </w:t>
      </w:r>
      <w:r w:rsidR="00904EC9" w:rsidRPr="00EC028B">
        <w:rPr>
          <w:rFonts w:cs="Arial"/>
          <w:b/>
          <w:bCs/>
          <w:sz w:val="22"/>
          <w:szCs w:val="22"/>
          <w:lang w:eastAsia="ja-JP"/>
        </w:rPr>
        <w:t xml:space="preserve">Study design: </w:t>
      </w:r>
      <w:r w:rsidR="00653BEB" w:rsidRPr="00EC028B">
        <w:rPr>
          <w:sz w:val="22"/>
          <w:szCs w:val="22"/>
          <w:lang w:val="en-US"/>
        </w:rPr>
        <w:t>ESTABLISH-2 was a Phase 3, randomised, double-blind, double-dummy, non-inferiority trial that enr</w:t>
      </w:r>
      <w:r w:rsidR="0048084A">
        <w:rPr>
          <w:sz w:val="22"/>
          <w:szCs w:val="22"/>
          <w:lang w:val="en-US"/>
        </w:rPr>
        <w:t>olled patients at 58 study cent</w:t>
      </w:r>
      <w:r w:rsidR="00653BEB" w:rsidRPr="00EC028B">
        <w:rPr>
          <w:sz w:val="22"/>
          <w:szCs w:val="22"/>
          <w:lang w:val="en-US"/>
        </w:rPr>
        <w:t>r</w:t>
      </w:r>
      <w:r w:rsidR="0048084A">
        <w:rPr>
          <w:sz w:val="22"/>
          <w:szCs w:val="22"/>
          <w:lang w:val="en-US"/>
        </w:rPr>
        <w:t>e</w:t>
      </w:r>
      <w:r w:rsidR="00653BEB" w:rsidRPr="00EC028B">
        <w:rPr>
          <w:sz w:val="22"/>
          <w:szCs w:val="22"/>
          <w:lang w:val="en-US"/>
        </w:rPr>
        <w:t xml:space="preserve">s in nine countries </w:t>
      </w:r>
      <w:r w:rsidR="00904EC9" w:rsidRPr="00EC028B">
        <w:rPr>
          <w:sz w:val="22"/>
          <w:szCs w:val="22"/>
          <w:lang w:val="en-US"/>
        </w:rPr>
        <w:lastRenderedPageBreak/>
        <w:t xml:space="preserve">(Argentina, Australia, Germany, New Zealand, Poland, Russia, South Africa, Spain and the USA). </w:t>
      </w:r>
      <w:r w:rsidR="00653BEB" w:rsidRPr="00EC028B">
        <w:rPr>
          <w:sz w:val="22"/>
          <w:szCs w:val="22"/>
          <w:lang w:val="en-US"/>
        </w:rPr>
        <w:t xml:space="preserve"> </w:t>
      </w:r>
    </w:p>
    <w:p w14:paraId="186AA5ED" w14:textId="77777777" w:rsidR="00653BEB" w:rsidRPr="002F79C6" w:rsidRDefault="00653BEB" w:rsidP="00653BEB">
      <w:pPr>
        <w:autoSpaceDE w:val="0"/>
        <w:autoSpaceDN w:val="0"/>
        <w:adjustRightInd w:val="0"/>
        <w:rPr>
          <w:rFonts w:eastAsia="ScalaLancetPro-Bold" w:cs="Arial"/>
          <w:b/>
          <w:bCs/>
          <w:sz w:val="22"/>
          <w:szCs w:val="22"/>
          <w:lang w:eastAsia="ja-JP"/>
        </w:rPr>
      </w:pPr>
    </w:p>
    <w:p w14:paraId="0B223ACD" w14:textId="57CB3FC5" w:rsidR="004F63C8" w:rsidRPr="002F79C6" w:rsidRDefault="004F63C8" w:rsidP="004F63C8">
      <w:pPr>
        <w:pStyle w:val="BodyText"/>
        <w:rPr>
          <w:rFonts w:eastAsiaTheme="majorEastAsia"/>
          <w:sz w:val="22"/>
          <w:szCs w:val="22"/>
          <w:lang w:val="en-US"/>
        </w:rPr>
      </w:pPr>
      <w:r w:rsidRPr="002F79C6">
        <w:rPr>
          <w:sz w:val="22"/>
          <w:szCs w:val="22"/>
          <w:lang w:val="en-US"/>
        </w:rPr>
        <w:t xml:space="preserve">The schedule of study visits where patients were evaluated in the ESTABLISH-2 trial </w:t>
      </w:r>
      <w:r w:rsidR="00904EC9" w:rsidRPr="002F79C6">
        <w:rPr>
          <w:sz w:val="22"/>
          <w:szCs w:val="22"/>
          <w:lang w:val="en-US"/>
        </w:rPr>
        <w:t xml:space="preserve">was the same as in ESTABLISH-1 and </w:t>
      </w:r>
      <w:r w:rsidRPr="002F79C6">
        <w:rPr>
          <w:sz w:val="22"/>
          <w:szCs w:val="22"/>
          <w:lang w:val="en-US"/>
        </w:rPr>
        <w:t xml:space="preserve">is presented in </w:t>
      </w:r>
      <w:r w:rsidRPr="002F79C6">
        <w:rPr>
          <w:sz w:val="22"/>
          <w:szCs w:val="22"/>
          <w:lang w:val="en-US"/>
        </w:rPr>
        <w:fldChar w:fldCharType="begin"/>
      </w:r>
      <w:r w:rsidRPr="002F79C6">
        <w:rPr>
          <w:sz w:val="22"/>
          <w:szCs w:val="22"/>
          <w:lang w:val="en-US"/>
        </w:rPr>
        <w:instrText xml:space="preserve"> REF _Ref380771355 \h  \* MERGEFORMAT </w:instrText>
      </w:r>
      <w:r w:rsidRPr="002F79C6">
        <w:rPr>
          <w:sz w:val="22"/>
          <w:szCs w:val="22"/>
          <w:lang w:val="en-US"/>
        </w:rPr>
      </w:r>
      <w:r w:rsidRPr="002F79C6">
        <w:rPr>
          <w:sz w:val="22"/>
          <w:szCs w:val="22"/>
          <w:lang w:val="en-US"/>
        </w:rPr>
        <w:fldChar w:fldCharType="separate"/>
      </w:r>
      <w:r w:rsidR="00151A1C" w:rsidRPr="00151A1C">
        <w:rPr>
          <w:sz w:val="22"/>
          <w:szCs w:val="22"/>
          <w:lang w:val="en-US"/>
        </w:rPr>
        <w:t>Figure 3</w:t>
      </w:r>
      <w:r w:rsidRPr="002F79C6">
        <w:rPr>
          <w:sz w:val="22"/>
          <w:szCs w:val="22"/>
          <w:lang w:val="en-US"/>
        </w:rPr>
        <w:fldChar w:fldCharType="end"/>
      </w:r>
      <w:r w:rsidRPr="002F79C6">
        <w:rPr>
          <w:sz w:val="22"/>
          <w:szCs w:val="22"/>
          <w:lang w:val="en-US"/>
        </w:rPr>
        <w:t xml:space="preserve"> </w:t>
      </w:r>
      <w:r w:rsidR="004D2471">
        <w:rPr>
          <w:sz w:val="22"/>
          <w:szCs w:val="22"/>
          <w:lang w:val="en-US"/>
        </w:rPr>
        <w:t>below</w:t>
      </w:r>
      <w:r w:rsidR="00904EC9" w:rsidRPr="002F79C6">
        <w:rPr>
          <w:sz w:val="22"/>
          <w:szCs w:val="22"/>
          <w:lang w:val="en-US"/>
        </w:rPr>
        <w:t xml:space="preserve">. </w:t>
      </w:r>
    </w:p>
    <w:p w14:paraId="6D0AE2C2" w14:textId="77777777" w:rsidR="004D2471" w:rsidRPr="004D2471" w:rsidRDefault="004D2471" w:rsidP="004D2471">
      <w:pPr>
        <w:pStyle w:val="Caption"/>
        <w:rPr>
          <w:rFonts w:ascii="Arial" w:hAnsi="Arial" w:cs="Arial"/>
          <w:sz w:val="22"/>
          <w:szCs w:val="22"/>
          <w:lang w:val="en-US"/>
        </w:rPr>
      </w:pPr>
      <w:bookmarkStart w:id="95" w:name="_Ref380771355"/>
      <w:bookmarkStart w:id="96" w:name="_Toc396058365"/>
      <w:r w:rsidRPr="004D2471">
        <w:rPr>
          <w:rFonts w:ascii="Arial" w:hAnsi="Arial" w:cs="Arial"/>
          <w:sz w:val="22"/>
          <w:szCs w:val="22"/>
          <w:lang w:val="en-US"/>
        </w:rPr>
        <w:t xml:space="preserve">Figure </w:t>
      </w:r>
      <w:r w:rsidRPr="004D2471">
        <w:rPr>
          <w:rFonts w:ascii="Arial" w:hAnsi="Arial" w:cs="Arial"/>
          <w:sz w:val="22"/>
          <w:szCs w:val="22"/>
          <w:lang w:val="en-US"/>
        </w:rPr>
        <w:fldChar w:fldCharType="begin"/>
      </w:r>
      <w:r w:rsidRPr="004D2471">
        <w:rPr>
          <w:rFonts w:ascii="Arial" w:hAnsi="Arial" w:cs="Arial"/>
          <w:sz w:val="22"/>
          <w:szCs w:val="22"/>
          <w:lang w:val="en-US"/>
        </w:rPr>
        <w:instrText xml:space="preserve"> SEQ Figure \* ARABIC </w:instrText>
      </w:r>
      <w:r w:rsidRPr="004D2471">
        <w:rPr>
          <w:rFonts w:ascii="Arial" w:hAnsi="Arial" w:cs="Arial"/>
          <w:sz w:val="22"/>
          <w:szCs w:val="22"/>
          <w:lang w:val="en-US"/>
        </w:rPr>
        <w:fldChar w:fldCharType="separate"/>
      </w:r>
      <w:r w:rsidR="00151A1C">
        <w:rPr>
          <w:rFonts w:ascii="Arial" w:hAnsi="Arial" w:cs="Arial"/>
          <w:noProof/>
          <w:sz w:val="22"/>
          <w:szCs w:val="22"/>
          <w:lang w:val="en-US"/>
        </w:rPr>
        <w:t>3</w:t>
      </w:r>
      <w:r w:rsidRPr="004D2471">
        <w:rPr>
          <w:rFonts w:ascii="Arial" w:hAnsi="Arial" w:cs="Arial"/>
          <w:sz w:val="22"/>
          <w:szCs w:val="22"/>
          <w:lang w:val="en-US"/>
        </w:rPr>
        <w:fldChar w:fldCharType="end"/>
      </w:r>
      <w:bookmarkEnd w:id="95"/>
      <w:r w:rsidRPr="004D2471">
        <w:rPr>
          <w:rFonts w:ascii="Arial" w:hAnsi="Arial" w:cs="Arial"/>
          <w:sz w:val="22"/>
          <w:szCs w:val="22"/>
          <w:lang w:val="en-US"/>
        </w:rPr>
        <w:t>: Study visits in ESTABLISH-2</w:t>
      </w:r>
      <w:bookmarkEnd w:id="96"/>
      <w:r w:rsidRPr="004D2471">
        <w:rPr>
          <w:rFonts w:ascii="Arial" w:hAnsi="Arial" w:cs="Arial"/>
          <w:sz w:val="22"/>
          <w:szCs w:val="22"/>
          <w:lang w:val="en-US"/>
        </w:rPr>
        <w:t xml:space="preserve"> </w:t>
      </w:r>
    </w:p>
    <w:p w14:paraId="55AA1B12" w14:textId="30C040A1" w:rsidR="004D2471" w:rsidRPr="00D95C15" w:rsidRDefault="00672FDC" w:rsidP="004D2471">
      <w:pPr>
        <w:pStyle w:val="TableNote-H58"/>
        <w:rPr>
          <w:lang w:val="en-US"/>
        </w:rPr>
      </w:pPr>
      <w:r>
        <w:rPr>
          <w:noProof/>
          <w:lang w:eastAsia="en-GB"/>
        </w:rPr>
        <mc:AlternateContent>
          <mc:Choice Requires="wpg">
            <w:drawing>
              <wp:inline distT="0" distB="0" distL="0" distR="0" wp14:anchorId="31CD39A0" wp14:editId="58578619">
                <wp:extent cx="4305300" cy="3737610"/>
                <wp:effectExtent l="19050" t="19685" r="19050" b="14605"/>
                <wp:docPr id="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3737610"/>
                          <a:chOff x="1" y="0"/>
                          <a:chExt cx="6017896" cy="4432043"/>
                        </a:xfrm>
                      </wpg:grpSpPr>
                      <wps:wsp>
                        <wps:cNvPr id="4" name="Straight Arrow Connector 133"/>
                        <wps:cNvCnPr>
                          <a:cxnSpLocks noChangeShapeType="1"/>
                        </wps:cNvCnPr>
                        <wps:spPr bwMode="auto">
                          <a:xfrm>
                            <a:off x="3013862" y="1770279"/>
                            <a:ext cx="0" cy="162560"/>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5" name="Straight Arrow Connector 134"/>
                        <wps:cNvCnPr>
                          <a:cxnSpLocks noChangeShapeType="1"/>
                        </wps:cNvCnPr>
                        <wps:spPr bwMode="auto">
                          <a:xfrm>
                            <a:off x="3013862" y="1199693"/>
                            <a:ext cx="0" cy="25590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g:grpSp>
                        <wpg:cNvPr id="7" name="Group 135"/>
                        <wpg:cNvGrpSpPr>
                          <a:grpSpLocks/>
                        </wpg:cNvGrpSpPr>
                        <wpg:grpSpPr bwMode="auto">
                          <a:xfrm>
                            <a:off x="1" y="0"/>
                            <a:ext cx="6017896" cy="1202055"/>
                            <a:chOff x="0" y="0"/>
                            <a:chExt cx="6018423" cy="1202091"/>
                          </a:xfrm>
                        </wpg:grpSpPr>
                        <wpg:grpSp>
                          <wpg:cNvPr id="9" name="Group 146"/>
                          <wpg:cNvGrpSpPr>
                            <a:grpSpLocks/>
                          </wpg:cNvGrpSpPr>
                          <wpg:grpSpPr bwMode="auto">
                            <a:xfrm>
                              <a:off x="2370125" y="0"/>
                              <a:ext cx="2451459" cy="439337"/>
                              <a:chOff x="2370125" y="0"/>
                              <a:chExt cx="2451459" cy="439337"/>
                            </a:xfrm>
                          </wpg:grpSpPr>
                          <wps:wsp>
                            <wps:cNvPr id="10" name="Straight Connector 156"/>
                            <wps:cNvCnPr>
                              <a:cxnSpLocks noChangeShapeType="1"/>
                            </wps:cNvCnPr>
                            <wps:spPr bwMode="auto">
                              <a:xfrm>
                                <a:off x="2999232" y="270663"/>
                                <a:ext cx="0" cy="168674"/>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11" name="Straight Connector 157"/>
                            <wps:cNvCnPr>
                              <a:cxnSpLocks noChangeShapeType="1"/>
                            </wps:cNvCnPr>
                            <wps:spPr bwMode="auto">
                              <a:xfrm>
                                <a:off x="3006547" y="438912"/>
                                <a:ext cx="1815037"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12" name="Rectangle 158"/>
                            <wps:cNvSpPr>
                              <a:spLocks noChangeArrowheads="1"/>
                            </wps:cNvSpPr>
                            <wps:spPr bwMode="auto">
                              <a:xfrm>
                                <a:off x="2370125" y="0"/>
                                <a:ext cx="1248551" cy="317827"/>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29286CB8" w14:textId="77777777" w:rsidR="00151A1C" w:rsidRPr="00056544" w:rsidRDefault="00151A1C" w:rsidP="004D2471">
                                  <w:pPr>
                                    <w:pStyle w:val="TableHeadingCentre-H57"/>
                                    <w:rPr>
                                      <w:rStyle w:val="BodyText-Blue-H5"/>
                                    </w:rPr>
                                  </w:pPr>
                                  <w:r w:rsidRPr="00056544">
                                    <w:rPr>
                                      <w:rStyle w:val="BodyText-Blue-H5"/>
                                    </w:rPr>
                                    <w:t>Screening (Day 1)</w:t>
                                  </w:r>
                                </w:p>
                              </w:txbxContent>
                            </wps:txbx>
                            <wps:bodyPr rot="0" vert="horz" wrap="square" lIns="91440" tIns="45720" rIns="91440" bIns="45720" anchor="ctr" anchorCtr="0" upright="1">
                              <a:noAutofit/>
                            </wps:bodyPr>
                          </wps:wsp>
                        </wpg:grpSp>
                        <wpg:grpSp>
                          <wpg:cNvPr id="13" name="Group 147"/>
                          <wpg:cNvGrpSpPr>
                            <a:grpSpLocks/>
                          </wpg:cNvGrpSpPr>
                          <wpg:grpSpPr bwMode="auto">
                            <a:xfrm>
                              <a:off x="0" y="438912"/>
                              <a:ext cx="6018423" cy="763179"/>
                              <a:chOff x="0" y="438912"/>
                              <a:chExt cx="6018423" cy="763179"/>
                            </a:xfrm>
                          </wpg:grpSpPr>
                          <wps:wsp>
                            <wps:cNvPr id="14" name="Straight Connector 148"/>
                            <wps:cNvCnPr>
                              <a:cxnSpLocks noChangeShapeType="1"/>
                            </wps:cNvCnPr>
                            <wps:spPr bwMode="auto">
                              <a:xfrm>
                                <a:off x="1192378" y="1199693"/>
                                <a:ext cx="3630073"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16" name="Straight Connector 149"/>
                            <wps:cNvCnPr>
                              <a:cxnSpLocks noChangeShapeType="1"/>
                            </wps:cNvCnPr>
                            <wps:spPr bwMode="auto">
                              <a:xfrm flipH="1">
                                <a:off x="1185062" y="438912"/>
                                <a:ext cx="1810399" cy="0"/>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17" name="Straight Arrow Connector 150"/>
                            <wps:cNvCnPr>
                              <a:cxnSpLocks noChangeShapeType="1"/>
                              <a:endCxn id="21" idx="0"/>
                            </wps:cNvCnPr>
                            <wps:spPr bwMode="auto">
                              <a:xfrm>
                                <a:off x="1185062" y="438912"/>
                                <a:ext cx="9088" cy="165543"/>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18" name="Straight Arrow Connector 151"/>
                            <wps:cNvCnPr>
                              <a:cxnSpLocks noChangeShapeType="1"/>
                              <a:endCxn id="22" idx="0"/>
                            </wps:cNvCnPr>
                            <wps:spPr bwMode="auto">
                              <a:xfrm>
                                <a:off x="4820717" y="438912"/>
                                <a:ext cx="2664" cy="165543"/>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19" name="Straight Connector 152"/>
                            <wps:cNvCnPr>
                              <a:cxnSpLocks noChangeShapeType="1"/>
                              <a:stCxn id="21" idx="2"/>
                            </wps:cNvCnPr>
                            <wps:spPr bwMode="auto">
                              <a:xfrm>
                                <a:off x="1194150" y="1072525"/>
                                <a:ext cx="0" cy="129566"/>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20" name="Straight Connector 153"/>
                            <wps:cNvCnPr>
                              <a:cxnSpLocks noChangeShapeType="1"/>
                              <a:stCxn id="22" idx="2"/>
                            </wps:cNvCnPr>
                            <wps:spPr bwMode="auto">
                              <a:xfrm>
                                <a:off x="4823381" y="1072525"/>
                                <a:ext cx="4651" cy="129566"/>
                              </a:xfrm>
                              <a:prstGeom prst="line">
                                <a:avLst/>
                              </a:prstGeom>
                              <a:noFill/>
                              <a:ln w="9525">
                                <a:solidFill>
                                  <a:schemeClr val="dk1">
                                    <a:lumMod val="95000"/>
                                    <a:lumOff val="0"/>
                                  </a:schemeClr>
                                </a:solidFill>
                                <a:round/>
                                <a:headEnd/>
                                <a:tailEnd/>
                              </a:ln>
                              <a:effectLst>
                                <a:outerShdw dist="23000" dir="5400000" rotWithShape="0">
                                  <a:srgbClr val="808080">
                                    <a:alpha val="34999"/>
                                  </a:srgbClr>
                                </a:outerShdw>
                              </a:effectLst>
                            </wps:spPr>
                            <wps:bodyPr/>
                          </wps:wsp>
                          <wps:wsp>
                            <wps:cNvPr id="21" name="Rectangle 154"/>
                            <wps:cNvSpPr>
                              <a:spLocks noChangeArrowheads="1"/>
                            </wps:cNvSpPr>
                            <wps:spPr bwMode="auto">
                              <a:xfrm>
                                <a:off x="0" y="604455"/>
                                <a:ext cx="2388300" cy="468071"/>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0EDF8E29" w14:textId="77777777" w:rsidR="00151A1C" w:rsidRDefault="00151A1C" w:rsidP="004D2471">
                                  <w:pPr>
                                    <w:pStyle w:val="TableHeadingCentre-H57"/>
                                  </w:pPr>
                                  <w:r>
                                    <w:t>Tedizolid phosphate 200 mg once-daily IV/oral (6-day course)</w:t>
                                  </w:r>
                                </w:p>
                              </w:txbxContent>
                            </wps:txbx>
                            <wps:bodyPr rot="0" vert="horz" wrap="square" lIns="91440" tIns="45720" rIns="91440" bIns="45720" anchor="ctr" anchorCtr="0" upright="1">
                              <a:noAutofit/>
                            </wps:bodyPr>
                          </wps:wsp>
                          <wps:wsp>
                            <wps:cNvPr id="22" name="Rectangle 155"/>
                            <wps:cNvSpPr>
                              <a:spLocks noChangeArrowheads="1"/>
                            </wps:cNvSpPr>
                            <wps:spPr bwMode="auto">
                              <a:xfrm>
                                <a:off x="3628339" y="604455"/>
                                <a:ext cx="2390084" cy="468071"/>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15D8107" w14:textId="77777777" w:rsidR="00151A1C" w:rsidRDefault="00151A1C" w:rsidP="004D2471">
                                  <w:pPr>
                                    <w:pStyle w:val="TableHeadingCentre-H57"/>
                                  </w:pPr>
                                  <w:r>
                                    <w:t>Linezolid 600 mg twice-daily IV/oral (10-day course)</w:t>
                                  </w:r>
                                </w:p>
                              </w:txbxContent>
                            </wps:txbx>
                            <wps:bodyPr rot="0" vert="horz" wrap="square" lIns="91440" tIns="45720" rIns="91440" bIns="45720" anchor="ctr" anchorCtr="0" upright="1">
                              <a:noAutofit/>
                            </wps:bodyPr>
                          </wps:wsp>
                        </wpg:grpSp>
                      </wpg:grpSp>
                      <wps:wsp>
                        <wps:cNvPr id="23" name="Rectangle 136"/>
                        <wps:cNvSpPr>
                          <a:spLocks noChangeArrowheads="1"/>
                        </wps:cNvSpPr>
                        <wps:spPr bwMode="auto">
                          <a:xfrm>
                            <a:off x="1748089" y="2889377"/>
                            <a:ext cx="2536086"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6B2BC3FB" w14:textId="77777777" w:rsidR="00151A1C" w:rsidRDefault="00151A1C" w:rsidP="004D2471">
                              <w:pPr>
                                <w:pStyle w:val="TableHeadingCentre-H57"/>
                              </w:pPr>
                              <w:r>
                                <w:t>EOT Visit (Day 11; +2 days after last dose)</w:t>
                              </w:r>
                            </w:p>
                          </w:txbxContent>
                        </wps:txbx>
                        <wps:bodyPr rot="0" vert="horz" wrap="square" lIns="91440" tIns="45720" rIns="91440" bIns="45720" anchor="ctr" anchorCtr="0" upright="1">
                          <a:noAutofit/>
                        </wps:bodyPr>
                      </wps:wsp>
                      <wps:wsp>
                        <wps:cNvPr id="24" name="Rectangle 137"/>
                        <wps:cNvSpPr>
                          <a:spLocks noChangeArrowheads="1"/>
                        </wps:cNvSpPr>
                        <wps:spPr bwMode="auto">
                          <a:xfrm>
                            <a:off x="1748089" y="1455661"/>
                            <a:ext cx="2536086"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090A573E" w14:textId="77777777" w:rsidR="00151A1C" w:rsidRDefault="00151A1C" w:rsidP="004D2471">
                              <w:pPr>
                                <w:pStyle w:val="TableHeadingCentre-H57"/>
                              </w:pPr>
                              <w:r>
                                <w:t>Day 2 Visit</w:t>
                              </w:r>
                            </w:p>
                          </w:txbxContent>
                        </wps:txbx>
                        <wps:bodyPr rot="0" vert="horz" wrap="square" lIns="91440" tIns="45720" rIns="91440" bIns="45720" anchor="ctr" anchorCtr="0" upright="1">
                          <a:noAutofit/>
                        </wps:bodyPr>
                      </wps:wsp>
                      <wps:wsp>
                        <wps:cNvPr id="25" name="Rectangle 138"/>
                        <wps:cNvSpPr>
                          <a:spLocks noChangeArrowheads="1"/>
                        </wps:cNvSpPr>
                        <wps:spPr bwMode="auto">
                          <a:xfrm>
                            <a:off x="1748089" y="1938443"/>
                            <a:ext cx="2536086"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6CC19E18" w14:textId="77777777" w:rsidR="00151A1C" w:rsidRDefault="00151A1C" w:rsidP="004D2471">
                              <w:pPr>
                                <w:pStyle w:val="TableHeadingCentre-H57"/>
                              </w:pPr>
                              <w:r>
                                <w:t>48 Hour to 72 Hour Visit</w:t>
                              </w:r>
                            </w:p>
                          </w:txbxContent>
                        </wps:txbx>
                        <wps:bodyPr rot="0" vert="horz" wrap="square" lIns="91440" tIns="45720" rIns="91440" bIns="45720" anchor="ctr" anchorCtr="0" upright="1">
                          <a:noAutofit/>
                        </wps:bodyPr>
                      </wps:wsp>
                      <wps:wsp>
                        <wps:cNvPr id="26" name="Rectangle 139"/>
                        <wps:cNvSpPr>
                          <a:spLocks noChangeArrowheads="1"/>
                        </wps:cNvSpPr>
                        <wps:spPr bwMode="auto">
                          <a:xfrm>
                            <a:off x="1748089" y="2406595"/>
                            <a:ext cx="2536086" cy="3175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5ADADDE0" w14:textId="77777777" w:rsidR="00151A1C" w:rsidRDefault="00151A1C" w:rsidP="004D2471">
                              <w:pPr>
                                <w:pStyle w:val="TableHeadingCentre-H57"/>
                              </w:pPr>
                              <w:r>
                                <w:t>Day 7 Visit (+2 days)*</w:t>
                              </w:r>
                            </w:p>
                          </w:txbxContent>
                        </wps:txbx>
                        <wps:bodyPr rot="0" vert="horz" wrap="square" lIns="91440" tIns="45720" rIns="91440" bIns="45720" anchor="ctr" anchorCtr="0" upright="1">
                          <a:noAutofit/>
                        </wps:bodyPr>
                      </wps:wsp>
                      <wps:wsp>
                        <wps:cNvPr id="27" name="Rectangle 140"/>
                        <wps:cNvSpPr>
                          <a:spLocks noChangeArrowheads="1"/>
                        </wps:cNvSpPr>
                        <wps:spPr bwMode="auto">
                          <a:xfrm>
                            <a:off x="1748089" y="3370401"/>
                            <a:ext cx="2536086" cy="46805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197ECE97" w14:textId="77777777" w:rsidR="00151A1C" w:rsidRDefault="00151A1C" w:rsidP="004D2471">
                              <w:pPr>
                                <w:pStyle w:val="TableHeadingCentre-H57"/>
                              </w:pPr>
                              <w:r>
                                <w:t>PTE Visit (Day 18 to Day 25; 7-14 days after EOT Visit)</w:t>
                              </w:r>
                            </w:p>
                          </w:txbxContent>
                        </wps:txbx>
                        <wps:bodyPr rot="0" vert="horz" wrap="square" lIns="91440" tIns="45720" rIns="91440" bIns="45720" anchor="ctr" anchorCtr="0" upright="1">
                          <a:noAutofit/>
                        </wps:bodyPr>
                      </wps:wsp>
                      <wps:wsp>
                        <wps:cNvPr id="28" name="Rectangle 141"/>
                        <wps:cNvSpPr>
                          <a:spLocks noChangeArrowheads="1"/>
                        </wps:cNvSpPr>
                        <wps:spPr bwMode="auto">
                          <a:xfrm>
                            <a:off x="1748089" y="3963987"/>
                            <a:ext cx="2536086" cy="46805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30C84621" w14:textId="77777777" w:rsidR="00151A1C" w:rsidRDefault="00151A1C" w:rsidP="004D2471">
                              <w:pPr>
                                <w:pStyle w:val="TableHeadingCentre-H57"/>
                              </w:pPr>
                              <w:r>
                                <w:t>Late follow-up Visit (Day 29 to Day 36; 18-25 days after EOT Visit)</w:t>
                              </w:r>
                            </w:p>
                            <w:p w14:paraId="0E374093" w14:textId="77777777" w:rsidR="00151A1C" w:rsidRDefault="00151A1C" w:rsidP="004D2471">
                              <w:pPr>
                                <w:tabs>
                                  <w:tab w:val="left" w:pos="3630"/>
                                </w:tabs>
                                <w:jc w:val="center"/>
                                <w:rPr>
                                  <w:rFonts w:cs="Arial"/>
                                  <w:color w:val="FFFFFF" w:themeColor="background1"/>
                                  <w:sz w:val="16"/>
                                  <w:szCs w:val="16"/>
                                </w:rPr>
                              </w:pPr>
                            </w:p>
                            <w:p w14:paraId="78B5000C" w14:textId="77777777" w:rsidR="00151A1C" w:rsidRDefault="00151A1C" w:rsidP="004D2471">
                              <w:pPr>
                                <w:tabs>
                                  <w:tab w:val="left" w:pos="3630"/>
                                </w:tabs>
                                <w:jc w:val="center"/>
                                <w:rPr>
                                  <w:rFonts w:cs="Arial"/>
                                  <w:color w:val="FFFFFF" w:themeColor="background1"/>
                                  <w:sz w:val="16"/>
                                  <w:szCs w:val="16"/>
                                </w:rPr>
                              </w:pPr>
                            </w:p>
                            <w:p w14:paraId="52CFB27C" w14:textId="77777777" w:rsidR="00151A1C" w:rsidRDefault="00151A1C" w:rsidP="004D2471">
                              <w:pPr>
                                <w:tabs>
                                  <w:tab w:val="left" w:pos="3630"/>
                                </w:tabs>
                                <w:jc w:val="center"/>
                                <w:rPr>
                                  <w:rFonts w:cs="Arial"/>
                                  <w:color w:val="FFFFFF" w:themeColor="background1"/>
                                  <w:sz w:val="16"/>
                                  <w:szCs w:val="16"/>
                                </w:rPr>
                              </w:pPr>
                            </w:p>
                            <w:p w14:paraId="04FF2F12" w14:textId="77777777" w:rsidR="00151A1C" w:rsidRDefault="00151A1C" w:rsidP="004D2471">
                              <w:pPr>
                                <w:tabs>
                                  <w:tab w:val="left" w:pos="3630"/>
                                </w:tabs>
                                <w:jc w:val="center"/>
                                <w:rPr>
                                  <w:rFonts w:cs="Arial"/>
                                  <w:color w:val="FFFFFF" w:themeColor="background1"/>
                                  <w:sz w:val="16"/>
                                  <w:szCs w:val="16"/>
                                </w:rPr>
                              </w:pPr>
                            </w:p>
                            <w:p w14:paraId="4CBD67DB" w14:textId="77777777" w:rsidR="00151A1C" w:rsidRDefault="00151A1C" w:rsidP="004D2471">
                              <w:pPr>
                                <w:tabs>
                                  <w:tab w:val="left" w:pos="3630"/>
                                </w:tabs>
                                <w:jc w:val="center"/>
                                <w:rPr>
                                  <w:rFonts w:cs="Arial"/>
                                  <w:color w:val="FFFFFF" w:themeColor="background1"/>
                                  <w:sz w:val="16"/>
                                  <w:szCs w:val="16"/>
                                </w:rPr>
                              </w:pPr>
                            </w:p>
                            <w:p w14:paraId="19461DBE" w14:textId="77777777" w:rsidR="00151A1C" w:rsidRDefault="00151A1C" w:rsidP="004D2471">
                              <w:pPr>
                                <w:tabs>
                                  <w:tab w:val="left" w:pos="3630"/>
                                </w:tabs>
                                <w:jc w:val="center"/>
                                <w:rPr>
                                  <w:rFonts w:cs="Arial"/>
                                  <w:color w:val="FFFFFF" w:themeColor="background1"/>
                                  <w:sz w:val="16"/>
                                  <w:szCs w:val="16"/>
                                </w:rPr>
                              </w:pPr>
                            </w:p>
                            <w:p w14:paraId="31EFCC0E" w14:textId="77777777" w:rsidR="00151A1C" w:rsidRDefault="00151A1C" w:rsidP="004D2471">
                              <w:pPr>
                                <w:tabs>
                                  <w:tab w:val="left" w:pos="3630"/>
                                </w:tabs>
                                <w:jc w:val="center"/>
                                <w:rPr>
                                  <w:rFonts w:cs="Arial"/>
                                  <w:color w:val="FFFFFF" w:themeColor="background1"/>
                                  <w:sz w:val="16"/>
                                  <w:szCs w:val="16"/>
                                </w:rPr>
                              </w:pPr>
                            </w:p>
                            <w:p w14:paraId="5773FA3E" w14:textId="77777777" w:rsidR="00151A1C" w:rsidRDefault="00151A1C" w:rsidP="004D2471">
                              <w:pPr>
                                <w:tabs>
                                  <w:tab w:val="left" w:pos="3630"/>
                                </w:tabs>
                                <w:jc w:val="center"/>
                                <w:rPr>
                                  <w:rFonts w:cs="Arial"/>
                                  <w:color w:val="FFFFFF" w:themeColor="background1"/>
                                  <w:sz w:val="16"/>
                                  <w:szCs w:val="16"/>
                                </w:rPr>
                              </w:pPr>
                            </w:p>
                            <w:p w14:paraId="17540F77" w14:textId="77777777" w:rsidR="00151A1C" w:rsidRDefault="00151A1C" w:rsidP="004D2471">
                              <w:pPr>
                                <w:tabs>
                                  <w:tab w:val="left" w:pos="3630"/>
                                </w:tabs>
                                <w:jc w:val="center"/>
                                <w:rPr>
                                  <w:rFonts w:cs="Arial"/>
                                  <w:color w:val="FFFFFF" w:themeColor="background1"/>
                                  <w:sz w:val="16"/>
                                  <w:szCs w:val="16"/>
                                </w:rPr>
                              </w:pPr>
                            </w:p>
                            <w:p w14:paraId="0EE21423" w14:textId="77777777" w:rsidR="00151A1C" w:rsidRDefault="00151A1C" w:rsidP="004D2471">
                              <w:pPr>
                                <w:tabs>
                                  <w:tab w:val="left" w:pos="3630"/>
                                </w:tabs>
                                <w:jc w:val="center"/>
                                <w:rPr>
                                  <w:rFonts w:cs="Arial"/>
                                  <w:color w:val="FFFFFF" w:themeColor="background1"/>
                                  <w:sz w:val="16"/>
                                  <w:szCs w:val="16"/>
                                </w:rPr>
                              </w:pPr>
                            </w:p>
                            <w:p w14:paraId="122B3645" w14:textId="77777777" w:rsidR="00151A1C" w:rsidRDefault="00151A1C" w:rsidP="004D2471">
                              <w:pPr>
                                <w:tabs>
                                  <w:tab w:val="left" w:pos="3630"/>
                                </w:tabs>
                                <w:jc w:val="center"/>
                                <w:rPr>
                                  <w:rFonts w:cs="Arial"/>
                                  <w:color w:val="FFFFFF" w:themeColor="background1"/>
                                  <w:sz w:val="16"/>
                                  <w:szCs w:val="16"/>
                                </w:rPr>
                              </w:pPr>
                            </w:p>
                            <w:p w14:paraId="1ECDA758" w14:textId="77777777" w:rsidR="00151A1C" w:rsidRDefault="00151A1C" w:rsidP="004D2471">
                              <w:pPr>
                                <w:tabs>
                                  <w:tab w:val="left" w:pos="3630"/>
                                </w:tabs>
                                <w:jc w:val="center"/>
                                <w:rPr>
                                  <w:rFonts w:cs="Arial"/>
                                  <w:color w:val="FFFFFF" w:themeColor="background1"/>
                                  <w:sz w:val="16"/>
                                  <w:szCs w:val="16"/>
                                </w:rPr>
                              </w:pPr>
                            </w:p>
                            <w:p w14:paraId="5299B03D" w14:textId="77777777" w:rsidR="00151A1C" w:rsidRDefault="00151A1C" w:rsidP="004D2471">
                              <w:pPr>
                                <w:pStyle w:val="NormalWeb"/>
                                <w:spacing w:before="0" w:after="0"/>
                                <w:jc w:val="center"/>
                                <w:rPr>
                                  <w:rFonts w:ascii="Arial" w:hAnsi="Arial" w:cs="Arial"/>
                                  <w:color w:val="FFFFFF" w:themeColor="background1"/>
                                  <w:sz w:val="16"/>
                                  <w:szCs w:val="16"/>
                                </w:rPr>
                              </w:pPr>
                              <w:r>
                                <w:rPr>
                                  <w:rFonts w:ascii="Arial" w:hAnsi="Arial" w:cs="Arial"/>
                                  <w:color w:val="FFFFFF" w:themeColor="background1"/>
                                  <w:sz w:val="16"/>
                                  <w:szCs w:val="16"/>
                                </w:rPr>
                                <w:t>18-25 days after EOT visit</w:t>
                              </w:r>
                            </w:p>
                          </w:txbxContent>
                        </wps:txbx>
                        <wps:bodyPr rot="0" vert="horz" wrap="square" lIns="91440" tIns="45720" rIns="91440" bIns="45720" anchor="ctr" anchorCtr="0" upright="1">
                          <a:noAutofit/>
                        </wps:bodyPr>
                      </wps:wsp>
                      <wps:wsp>
                        <wps:cNvPr id="30" name="Straight Arrow Connector 142"/>
                        <wps:cNvCnPr>
                          <a:cxnSpLocks noChangeShapeType="1"/>
                        </wps:cNvCnPr>
                        <wps:spPr bwMode="auto">
                          <a:xfrm flipH="1">
                            <a:off x="3013862" y="2253082"/>
                            <a:ext cx="0" cy="15176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31" name="Straight Arrow Connector 143"/>
                        <wps:cNvCnPr>
                          <a:cxnSpLocks noChangeShapeType="1"/>
                        </wps:cNvCnPr>
                        <wps:spPr bwMode="auto">
                          <a:xfrm>
                            <a:off x="3013862" y="2721255"/>
                            <a:ext cx="0" cy="162560"/>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32" name="Straight Arrow Connector 144"/>
                        <wps:cNvCnPr>
                          <a:cxnSpLocks noChangeShapeType="1"/>
                        </wps:cNvCnPr>
                        <wps:spPr bwMode="auto">
                          <a:xfrm flipH="1">
                            <a:off x="3013862" y="3204058"/>
                            <a:ext cx="0" cy="151765"/>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s:wsp>
                        <wps:cNvPr id="33" name="Straight Arrow Connector 145"/>
                        <wps:cNvCnPr>
                          <a:cxnSpLocks noChangeShapeType="1"/>
                        </wps:cNvCnPr>
                        <wps:spPr bwMode="auto">
                          <a:xfrm>
                            <a:off x="3016132" y="3838457"/>
                            <a:ext cx="0" cy="125529"/>
                          </a:xfrm>
                          <a:prstGeom prst="straightConnector1">
                            <a:avLst/>
                          </a:prstGeom>
                          <a:noFill/>
                          <a:ln w="9525">
                            <a:solidFill>
                              <a:schemeClr val="dk1">
                                <a:lumMod val="95000"/>
                                <a:lumOff val="0"/>
                              </a:schemeClr>
                            </a:solidFill>
                            <a:round/>
                            <a:headEnd/>
                            <a:tailEnd type="arrow" w="med" len="med"/>
                          </a:ln>
                          <a:effectLst>
                            <a:outerShdw dist="23000" dir="5400000" rotWithShape="0">
                              <a:srgbClr val="808080">
                                <a:alpha val="34999"/>
                              </a:srgbClr>
                            </a:outerShdw>
                          </a:effectLst>
                        </wps:spPr>
                        <wps:bodyPr/>
                      </wps:wsp>
                    </wpg:wgp>
                  </a:graphicData>
                </a:graphic>
              </wp:inline>
            </w:drawing>
          </mc:Choice>
          <mc:Fallback>
            <w:pict>
              <v:group w14:anchorId="31CD39A0" id="Group 100" o:spid="_x0000_s1053" style="width:339pt;height:294.3pt;mso-position-horizontal-relative:char;mso-position-vertical-relative:line" coordorigin="" coordsize="60178,4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">
                <v:shape id="Straight Arrow Connector 133" o:spid="_x0000_s1054" type="#_x0000_t32" style="position:absolute;left:30138;top:17702;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s9MMAAADaAAAADwAAAGRycy9kb3ducmV2LnhtbESPQWvCQBSE7wX/w/KEXopuFCkluooW&#10;ClboQaPg8ZF9JsHs2zT7auK/dwuFHoeZb4ZZrHpXqxu1ofJsYDJOQBHn3lZcGDhmH6M3UEGQLdae&#10;ycCdAqyWg6cFptZ3vKfbQQoVSzikaKAUaVKtQ16SwzD2DXH0Lr51KFG2hbYtdrHc1XqaJK/aYcVx&#10;ocSG3kvKr4cfZ2CWHDdZ87KX7Ov0Kd1pV5/X3xNjnof9eg5KqJf/8B+9tZGD3yvxBu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pbPTDAAAA2gAAAA8AAAAAAAAAAAAA&#10;AAAAoQIAAGRycy9kb3ducmV2LnhtbFBLBQYAAAAABAAEAPkAAACRAwAAAAA=&#10;" strokecolor="black [3040]">
                  <v:stroke endarrow="open"/>
                  <v:shadow on="t" opacity="22936f" origin=",.5" offset="0,.63889mm"/>
                </v:shape>
                <v:shape id="Straight Arrow Connector 134" o:spid="_x0000_s1055" type="#_x0000_t32" style="position:absolute;left:30138;top:11996;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Jb8QAAADaAAAADwAAAGRycy9kb3ducmV2LnhtbESPQWvCQBSE74L/YXlCL6IbS1tKdBUV&#10;Cm2hB42Cx0f2mQSzb2P21aT/vlsoeBxm5htmsepdrW7Uhsqzgdk0AUWce1txYeCQvU1eQQVBtlh7&#10;JgM/FGC1HA4WmFrf8Y5ueylUhHBI0UAp0qRah7wkh2HqG+LonX3rUKJsC21b7CLc1foxSV60w4rj&#10;QokNbUvKL/tvZ+ApOWyyZryT7Ov4Id3xsz6trzNjHkb9eg5KqJd7+L/9bg08w9+VeAP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clvxAAAANoAAAAPAAAAAAAAAAAA&#10;AAAAAKECAABkcnMvZG93bnJldi54bWxQSwUGAAAAAAQABAD5AAAAkgMAAAAA&#10;" strokecolor="black [3040]">
                  <v:stroke endarrow="open"/>
                  <v:shadow on="t" opacity="22936f" origin=",.5" offset="0,.63889mm"/>
                </v:shape>
                <v:group id="Group 135" o:spid="_x0000_s1056" style="position:absolute;width:60178;height:12020" coordsize="60184,1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46" o:spid="_x0000_s1057" style="position:absolute;left:23701;width:24514;height:4393" coordorigin="23701" coordsize="24514,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56" o:spid="_x0000_s1058" style="position:absolute;visibility:visible;mso-wrap-style:square" from="29992,2706" to="29992,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lDMIAAADbAAAADwAAAGRycy9kb3ducmV2LnhtbESPQYvCMBCF7wv+hzCCl0UTe1iWahQR&#10;RMGT7oIeh2Zsi82kNlHrv3cOC3ub4b1575v5sveNelAX68AWphMDirgIrubSwu/PZvwNKiZkh01g&#10;svCiCMvF4GOOuQtPPtDjmEolIRxztFCl1OZax6Iij3ESWmLRLqHzmGTtSu06fEq4b3RmzJf2WLM0&#10;VNjSuqLierx7Czrszv1q+2n22e2UXXFvbmVmrB0N+9UMVKI+/Zv/rndO8IVefpEB9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4lDMIAAADbAAAADwAAAAAAAAAAAAAA&#10;AAChAgAAZHJzL2Rvd25yZXYueG1sUEsFBgAAAAAEAAQA+QAAAJADAAAAAA==&#10;" strokecolor="black [3040]">
                      <v:shadow on="t" opacity="22936f" origin=",.5" offset="0,.63889mm"/>
                    </v:line>
                    <v:line id="Straight Connector 157" o:spid="_x0000_s1059" style="position:absolute;visibility:visible;mso-wrap-style:square" from="30065,4389" to="48215,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Al8AAAADbAAAADwAAAGRycy9kb3ducmV2LnhtbERPS4vCMBC+C/6HMMJeFk3sQZZqKiKI&#10;gicfsHscmrEtbSa1yWr990YQvM3H95zFsreNuFHnK8caphMFgjh3puJCw/m0Gf+A8AHZYOOYNDzI&#10;wzIbDhaYGnfnA92OoRAxhH2KGsoQ2lRKn5dk0U9cSxy5i+sshgi7QpoO7zHcNjJRaiYtVhwbSmxp&#10;XVJeH/+tBul2f/1q+632yfU3qXGvrkWitP4a9as5iEB9+Ijf7p2J86fw+iUe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gJfAAAAA2wAAAA8AAAAAAAAAAAAAAAAA&#10;oQIAAGRycy9kb3ducmV2LnhtbFBLBQYAAAAABAAEAPkAAACOAwAAAAA=&#10;" strokecolor="black [3040]">
                      <v:shadow on="t" opacity="22936f" origin=",.5" offset="0,.63889mm"/>
                    </v:line>
                    <v:rect id="Rectangle 158" o:spid="_x0000_s1060" style="position:absolute;left:23701;width:12485;height: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PacEA&#10;AADbAAAADwAAAGRycy9kb3ducmV2LnhtbERPTWvCQBC9F/wPywje6sYcpE1dRQRBKBWa2vuQHZOQ&#10;7GzIbsyaX+8Khd7m8T5nswumFTfqXW1ZwWqZgCAurK65VHD5Ob6+gXAeWWNrmRTcycFuO3vZYKbt&#10;yN90y30pYgi7DBVU3neZlK6oyKBb2o44clfbG/QR9qXUPY4x3LQyTZK1NFhzbKiwo0NFRZMPRsE+&#10;DcNUfN3Xl3c5rT5/z40xoVFqMQ/7DxCegv8X/7lPOs5P4flLP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MD2nBAAAA2wAAAA8AAAAAAAAAAAAAAAAAmAIAAGRycy9kb3du&#10;cmV2LnhtbFBLBQYAAAAABAAEAPUAAACGAwAAAAA=&#10;" fillcolor="white [3201]" strokecolor="#4f81bd [3204]" strokeweight="2pt">
                      <v:textbox>
                        <w:txbxContent>
                          <w:p w14:paraId="29286CB8" w14:textId="77777777" w:rsidR="00151A1C" w:rsidRPr="00056544" w:rsidRDefault="00151A1C" w:rsidP="004D2471">
                            <w:pPr>
                              <w:pStyle w:val="TableHeadingCentre-H57"/>
                              <w:rPr>
                                <w:rStyle w:val="BodyText-Blue-H5"/>
                              </w:rPr>
                            </w:pPr>
                            <w:r w:rsidRPr="00056544">
                              <w:rPr>
                                <w:rStyle w:val="BodyText-Blue-H5"/>
                              </w:rPr>
                              <w:t>Screening (Day 1)</w:t>
                            </w:r>
                          </w:p>
                        </w:txbxContent>
                      </v:textbox>
                    </v:rect>
                  </v:group>
                  <v:group id="Group 147" o:spid="_x0000_s1061" style="position:absolute;top:4389;width:60184;height:7631" coordorigin=",4389" coordsize="60184,7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8" o:spid="_x0000_s1062" style="position:absolute;visibility:visible;mso-wrap-style:square" from="11923,11996" to="48224,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jD78AAADbAAAADwAAAGRycy9kb3ducmV2LnhtbERPTYvCMBC9C/6HMIIX0WSLLFKNIsKi&#10;4ElX0OPQjG2xmdQmav33RhC8zeN9zmzR2krcqfGlYw0/IwWCOHOm5FzD4f9vOAHhA7LByjFpeJKH&#10;xbzbmWFq3IN3dN+HXMQQ9ilqKEKoUyl9VpBFP3I1ceTOrrEYImxyaRp8xHBbyUSpX2mx5NhQYE2r&#10;grLL/mY1SLc5tcv1QG2T6zG54FZd80Rp3e+1yymIQG34ij/ujYnzx/D+JR4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UjD78AAADbAAAADwAAAAAAAAAAAAAAAACh&#10;AgAAZHJzL2Rvd25yZXYueG1sUEsFBgAAAAAEAAQA+QAAAI0DAAAAAA==&#10;" strokecolor="black [3040]">
                      <v:shadow on="t" opacity="22936f" origin=",.5" offset="0,.63889mm"/>
                    </v:line>
                    <v:line id="Straight Connector 149" o:spid="_x0000_s1063" style="position:absolute;flip:x;visibility:visible;mso-wrap-style:square" from="11850,4389" to="29954,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gdsIAAADbAAAADwAAAGRycy9kb3ducmV2LnhtbESPQYvCMBCF78L+hzDC3jRVWNGuaZFF&#10;YQ9eqv0BQzK2XZtJaaKt/34jCN5meO9982abj7YVd+p941jBYp6AINbONFwpKM+H2RqED8gGW8ek&#10;4EEe8uxjssXUuIELup9CJSKEfYoK6hC6VEqva7Lo564jjtrF9RZDXPtKmh6HCLetXCbJSlpsOF6o&#10;saOfmvT1dLORsjmcH8c//VUmw+K4K5Z6X0it1Od03H2DCDSGt/mV/jWx/gqev8QB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SgdsIAAADbAAAADwAAAAAAAAAAAAAA&#10;AAChAgAAZHJzL2Rvd25yZXYueG1sUEsFBgAAAAAEAAQA+QAAAJADAAAAAA==&#10;" strokecolor="black [3040]">
                      <v:shadow on="t" opacity="22936f" origin=",.5" offset="0,.63889mm"/>
                    </v:line>
                    <v:shape id="Straight Arrow Connector 150" o:spid="_x0000_s1064" type="#_x0000_t32" style="position:absolute;left:11850;top:4389;width:91;height:1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yRMMAAADbAAAADwAAAGRycy9kb3ducmV2LnhtbERPTWvCQBC9C/6HZYReRDeW0pboKioU&#10;2kIPGgWPQ3ZMgtnZmJ2a9N93CwVv83ifs1j1rlY3akPl2cBsmoAizr2tuDBwyN4mr6CCIFusPZOB&#10;HwqwWg4HC0yt73hHt70UKoZwSNFAKdKkWoe8JIdh6hviyJ1961AibAttW+xiuKv1Y5I8a4cVx4YS&#10;G9qWlF/2387AU3LYZM14J9nX8UO642d9Wl9nxjyM+vUclFAvd/G/+93G+S/w90s8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1ckTDAAAA2wAAAA8AAAAAAAAAAAAA&#10;AAAAoQIAAGRycy9kb3ducmV2LnhtbFBLBQYAAAAABAAEAPkAAACRAwAAAAA=&#10;" strokecolor="black [3040]">
                      <v:stroke endarrow="open"/>
                      <v:shadow on="t" opacity="22936f" origin=",.5" offset="0,.63889mm"/>
                    </v:shape>
                    <v:shape id="Straight Arrow Connector 151" o:spid="_x0000_s1065" type="#_x0000_t32" style="position:absolute;left:48207;top:4389;width:26;height:1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mNsYAAADbAAAADwAAAGRycy9kb3ducmV2LnhtbESPQUvDQBCF74L/YRnBi7SbFpGSdluq&#10;IFTBQ5sWehyy0ySYnY3ZsYn/3jkI3mZ4b977ZrUZQ2uu1KcmsoPZNANDXEbfcOXgWLxOFmCSIHts&#10;I5ODH0qwWd/erDD3ceA9XQ9SGQ3hlKODWqTLrU1lTQHTNHbEql1iH1B07Svrexw0PLR2nmVPNmDD&#10;2lBjRy81lZ+H7+DgMTs+F93DXoqP05sMp/f2vP2aOXd/N26XYIRG+Tf/Xe+84ius/qID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q5jbGAAAA2wAAAA8AAAAAAAAA&#10;AAAAAAAAoQIAAGRycy9kb3ducmV2LnhtbFBLBQYAAAAABAAEAPkAAACUAwAAAAA=&#10;" strokecolor="black [3040]">
                      <v:stroke endarrow="open"/>
                      <v:shadow on="t" opacity="22936f" origin=",.5" offset="0,.63889mm"/>
                    </v:shape>
                    <v:line id="Straight Connector 152" o:spid="_x0000_s1066" style="position:absolute;visibility:visible;mso-wrap-style:square" from="11941,10725" to="1194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SMkb8AAADbAAAADwAAAGRycy9kb3ducmV2LnhtbERPTYvCMBC9C/6HMIIX0WR7kLUaRYRF&#10;wZOuoMehGdtiM6lN1PrvjSB4m8f7nNmitZW4U+NLxxp+RgoEceZMybmGw//f8BeED8gGK8ek4Uke&#10;FvNuZ4apcQ/e0X0fchFD2KeooQihTqX0WUEW/cjVxJE7u8ZiiLDJpWnwEcNtJROlxtJiybGhwJpW&#10;BWWX/c1qkG5zapfrgdom12Nywa265onSut9rl1MQgdrwFX/cGxPnT+D9Szx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5SMkb8AAADbAAAADwAAAAAAAAAAAAAAAACh&#10;AgAAZHJzL2Rvd25yZXYueG1sUEsFBgAAAAAEAAQA+QAAAI0DAAAAAA==&#10;" strokecolor="black [3040]">
                      <v:shadow on="t" opacity="22936f" origin=",.5" offset="0,.63889mm"/>
                    </v:line>
                    <v:line id="Straight Connector 153" o:spid="_x0000_s1067" style="position:absolute;visibility:visible;mso-wrap-style:square" from="48233,10725" to="4828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vscAAAADbAAAADwAAAGRycy9kb3ducmV2LnhtbERPPWvDMBDdA/0P4gpdSi1VQyiu5RAK&#10;pYZMSQvJeFhX29g62ZaauP8+GgIZH++72CxuEGeaQ+fZwGumQBDX3nbcGPj5/nx5AxEissXBMxn4&#10;pwCb8mFVYG79hfd0PsRGpBAOORpoYxxzKUPdksOQ+ZE4cb9+dhgTnBtpZ7ykcDdIrdRaOuw4NbQ4&#10;0kdLdX/4cwakr07L9utZ7fR01D3u1NRoZczT47J9BxFpiXfxzV1ZAzqtT1/SD5Dl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C77HAAAAA2wAAAA8AAAAAAAAAAAAAAAAA&#10;oQIAAGRycy9kb3ducmV2LnhtbFBLBQYAAAAABAAEAPkAAACOAwAAAAA=&#10;" strokecolor="black [3040]">
                      <v:shadow on="t" opacity="22936f" origin=",.5" offset="0,.63889mm"/>
                    </v:line>
                    <v:rect id="Rectangle 154" o:spid="_x0000_s1068" style="position:absolute;top:6044;width:23883;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bo8MA&#10;AADbAAAADwAAAGRycy9kb3ducmV2LnhtbESPwWrDMBBE74X+g9hCbrVsH0LrRgmhEAiEBOqm98Xa&#10;2sbWyliKo/jro0Chx2Fm3jCrTTC9mGh0rWUFWZKCIK6sbrlWcP7evb6BcB5ZY2+ZFNzIwWb9/LTC&#10;Qtsrf9FU+lpECLsCFTTeD4WUrmrIoEvsQBy9Xzsa9FGOtdQjXiPc9DJP06U02HJcaHCgz4aqrrwY&#10;Bds8XObqeFue3+WcHX5OnTGhU2rxErYfIDwF/x/+a++1gjyD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Jbo8MAAADbAAAADwAAAAAAAAAAAAAAAACYAgAAZHJzL2Rv&#10;d25yZXYueG1sUEsFBgAAAAAEAAQA9QAAAIgDAAAAAA==&#10;" fillcolor="white [3201]" strokecolor="#4f81bd [3204]" strokeweight="2pt">
                      <v:textbox>
                        <w:txbxContent>
                          <w:p w14:paraId="0EDF8E29" w14:textId="77777777" w:rsidR="00151A1C" w:rsidRDefault="00151A1C" w:rsidP="004D2471">
                            <w:pPr>
                              <w:pStyle w:val="TableHeadingCentre-H57"/>
                            </w:pPr>
                            <w:r>
                              <w:t>Tedizolid phosphate 200 mg once-daily IV/oral (6-day course)</w:t>
                            </w:r>
                          </w:p>
                        </w:txbxContent>
                      </v:textbox>
                    </v:rect>
                    <v:rect id="Rectangle 155" o:spid="_x0000_s1069" style="position:absolute;left:36283;top:6044;width:23901;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F1MMA&#10;AADbAAAADwAAAGRycy9kb3ducmV2LnhtbESPwWrDMBBE74X8g9hAb40cH0LqRjahUCiEFOKm98Xa&#10;2sbWylhyrPjrq0Khx2Fm3jCHIphe3Gh0rWUF200CgriyuuVawfXz7WkPwnlkjb1lUnAnB0W+ejhg&#10;pu3MF7qVvhYRwi5DBY33Qyalqxoy6DZ2II7etx0N+ijHWuoR5wg3vUyTZCcNthwXGhzotaGqKyej&#10;4JiGaanO9931WS7b09dHZ0zolHpch+MLCE/B/4f/2u9aQZr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F1MMAAADbAAAADwAAAAAAAAAAAAAAAACYAgAAZHJzL2Rv&#10;d25yZXYueG1sUEsFBgAAAAAEAAQA9QAAAIgDAAAAAA==&#10;" fillcolor="white [3201]" strokecolor="#4f81bd [3204]" strokeweight="2pt">
                      <v:textbox>
                        <w:txbxContent>
                          <w:p w14:paraId="315D8107" w14:textId="77777777" w:rsidR="00151A1C" w:rsidRDefault="00151A1C" w:rsidP="004D2471">
                            <w:pPr>
                              <w:pStyle w:val="TableHeadingCentre-H57"/>
                            </w:pPr>
                            <w:r>
                              <w:t>Linezolid 600 mg twice-daily IV/oral (10-day course)</w:t>
                            </w:r>
                          </w:p>
                        </w:txbxContent>
                      </v:textbox>
                    </v:rect>
                  </v:group>
                </v:group>
                <v:rect id="Rectangle 136" o:spid="_x0000_s1070" style="position:absolute;left:17480;top:28893;width:2536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gT8QA&#10;AADbAAAADwAAAGRycy9kb3ducmV2LnhtbESPzWrDMBCE74W+g9hCb40cF0z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YE/EAAAA2wAAAA8AAAAAAAAAAAAAAAAAmAIAAGRycy9k&#10;b3ducmV2LnhtbFBLBQYAAAAABAAEAPUAAACJAwAAAAA=&#10;" fillcolor="white [3201]" strokecolor="#4f81bd [3204]" strokeweight="2pt">
                  <v:textbox>
                    <w:txbxContent>
                      <w:p w14:paraId="6B2BC3FB" w14:textId="77777777" w:rsidR="00151A1C" w:rsidRDefault="00151A1C" w:rsidP="004D2471">
                        <w:pPr>
                          <w:pStyle w:val="TableHeadingCentre-H57"/>
                        </w:pPr>
                        <w:r>
                          <w:t>EOT Visit (Day 11; +2 days after last dose)</w:t>
                        </w:r>
                      </w:p>
                    </w:txbxContent>
                  </v:textbox>
                </v:rect>
                <v:rect id="Rectangle 137" o:spid="_x0000_s1071" style="position:absolute;left:17480;top:14556;width:2536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4O8QA&#10;AADbAAAADwAAAGRycy9kb3ducmV2LnhtbESPzWrDMBCE74W+g9hCb40cU0z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DvEAAAA2wAAAA8AAAAAAAAAAAAAAAAAmAIAAGRycy9k&#10;b3ducmV2LnhtbFBLBQYAAAAABAAEAPUAAACJAwAAAAA=&#10;" fillcolor="white [3201]" strokecolor="#4f81bd [3204]" strokeweight="2pt">
                  <v:textbox>
                    <w:txbxContent>
                      <w:p w14:paraId="090A573E" w14:textId="77777777" w:rsidR="00151A1C" w:rsidRDefault="00151A1C" w:rsidP="004D2471">
                        <w:pPr>
                          <w:pStyle w:val="TableHeadingCentre-H57"/>
                        </w:pPr>
                        <w:r>
                          <w:t>Day 2 Visit</w:t>
                        </w:r>
                      </w:p>
                    </w:txbxContent>
                  </v:textbox>
                </v:rect>
                <v:rect id="Rectangle 138" o:spid="_x0000_s1072" style="position:absolute;left:17480;top:19384;width:2536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doMQA&#10;AADbAAAADwAAAGRycy9kb3ducmV2LnhtbESPzWrDMBCE74W+g9hCb40cQ03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XaDEAAAA2wAAAA8AAAAAAAAAAAAAAAAAmAIAAGRycy9k&#10;b3ducmV2LnhtbFBLBQYAAAAABAAEAPUAAACJAwAAAAA=&#10;" fillcolor="white [3201]" strokecolor="#4f81bd [3204]" strokeweight="2pt">
                  <v:textbox>
                    <w:txbxContent>
                      <w:p w14:paraId="6CC19E18" w14:textId="77777777" w:rsidR="00151A1C" w:rsidRDefault="00151A1C" w:rsidP="004D2471">
                        <w:pPr>
                          <w:pStyle w:val="TableHeadingCentre-H57"/>
                        </w:pPr>
                        <w:r>
                          <w:t>48 Hour to 72 Hour Visit</w:t>
                        </w:r>
                      </w:p>
                    </w:txbxContent>
                  </v:textbox>
                </v:rect>
                <v:rect id="Rectangle 139" o:spid="_x0000_s1073" style="position:absolute;left:17480;top:24065;width:2536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D18MA&#10;AADbAAAADwAAAGRycy9kb3ducmV2LnhtbESPwWrDMBBE74H+g9hCb7EcH0zrWAmhUCiUFpo698Xa&#10;2sbWyliyo+Trq0Igx2Fm3jDlPphBLDS5zrKCTZKCIK6t7rhRUP28rZ9BOI+scbBMCi7kYL97WJVY&#10;aHvmb1qOvhERwq5ABa33YyGlq1sy6BI7Ekfv104GfZRTI/WE5wg3g8zSNJcGO44LLY702lLdH2ej&#10;4JCF+Vp/XvLqRV43H6ev3pjQK/X0GA5bEJ6Cv4dv7XetIMvh/0v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D18MAAADbAAAADwAAAAAAAAAAAAAAAACYAgAAZHJzL2Rv&#10;d25yZXYueG1sUEsFBgAAAAAEAAQA9QAAAIgDAAAAAA==&#10;" fillcolor="white [3201]" strokecolor="#4f81bd [3204]" strokeweight="2pt">
                  <v:textbox>
                    <w:txbxContent>
                      <w:p w14:paraId="5ADADDE0" w14:textId="77777777" w:rsidR="00151A1C" w:rsidRDefault="00151A1C" w:rsidP="004D2471">
                        <w:pPr>
                          <w:pStyle w:val="TableHeadingCentre-H57"/>
                        </w:pPr>
                        <w:r>
                          <w:t>Day 7 Visit (+2 days)*</w:t>
                        </w:r>
                      </w:p>
                    </w:txbxContent>
                  </v:textbox>
                </v:rect>
                <v:rect id="Rectangle 140" o:spid="_x0000_s1074" style="position:absolute;left:17480;top:33704;width:2536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mTMIA&#10;AADbAAAADwAAAGRycy9kb3ducmV2LnhtbESPQYvCMBSE74L/ITxhb5rag7pdo8jCgiArqN37o3nb&#10;ljYvpYka/fVGEDwOM/MNs1wH04oL9a62rGA6SUAQF1bXXCrITz/jBQjnkTW2lknBjRysV8PBEjNt&#10;r3ygy9GXIkLYZaig8r7LpHRFRQbdxHbE0fu3vUEfZV9K3eM1wk0r0ySZSYM1x4UKO/quqGiOZ6Ng&#10;k4bzvfi9zfJPeZ/u/vaNMaFR6mMUNl8gPAX/Dr/aW60gncP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2ZMwgAAANsAAAAPAAAAAAAAAAAAAAAAAJgCAABkcnMvZG93&#10;bnJldi54bWxQSwUGAAAAAAQABAD1AAAAhwMAAAAA&#10;" fillcolor="white [3201]" strokecolor="#4f81bd [3204]" strokeweight="2pt">
                  <v:textbox>
                    <w:txbxContent>
                      <w:p w14:paraId="197ECE97" w14:textId="77777777" w:rsidR="00151A1C" w:rsidRDefault="00151A1C" w:rsidP="004D2471">
                        <w:pPr>
                          <w:pStyle w:val="TableHeadingCentre-H57"/>
                        </w:pPr>
                        <w:r>
                          <w:t>PTE Visit (Day 18 to Day 25; 7-14 days after EOT Visit)</w:t>
                        </w:r>
                      </w:p>
                    </w:txbxContent>
                  </v:textbox>
                </v:rect>
                <v:rect id="Rectangle 141" o:spid="_x0000_s1075" style="position:absolute;left:17480;top:39639;width:25361;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yPr8A&#10;AADbAAAADwAAAGRycy9kb3ducmV2LnhtbERPTYvCMBC9C/sfwgh709QeRLvGUoQFQXZBrfehmW1L&#10;m0lpokZ//eYgeHy8700eTC9uNLrWsoLFPAFBXFndcq2gPH/PViCcR9bYWyYFD3KQbz8mG8y0vfOR&#10;bidfixjCLkMFjfdDJqWrGjLo5nYgjtyfHQ36CMda6hHvMdz0Mk2SpTTYcmxocKBdQ1V3uhoFRRqu&#10;z+rnsSzX8rk4XH47Y0Kn1Oc0FF8gPAX/Fr/ce60gjWP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PI+vwAAANsAAAAPAAAAAAAAAAAAAAAAAJgCAABkcnMvZG93bnJl&#10;di54bWxQSwUGAAAAAAQABAD1AAAAhAMAAAAA&#10;" fillcolor="white [3201]" strokecolor="#4f81bd [3204]" strokeweight="2pt">
                  <v:textbox>
                    <w:txbxContent>
                      <w:p w14:paraId="30C84621" w14:textId="77777777" w:rsidR="00151A1C" w:rsidRDefault="00151A1C" w:rsidP="004D2471">
                        <w:pPr>
                          <w:pStyle w:val="TableHeadingCentre-H57"/>
                        </w:pPr>
                        <w:r>
                          <w:t>Late follow-up Visit (Day 29 to Day 36; 18-25 days after EOT Visit)</w:t>
                        </w:r>
                      </w:p>
                      <w:p w14:paraId="0E374093" w14:textId="77777777" w:rsidR="00151A1C" w:rsidRDefault="00151A1C" w:rsidP="004D2471">
                        <w:pPr>
                          <w:tabs>
                            <w:tab w:val="left" w:pos="3630"/>
                          </w:tabs>
                          <w:jc w:val="center"/>
                          <w:rPr>
                            <w:rFonts w:cs="Arial"/>
                            <w:color w:val="FFFFFF" w:themeColor="background1"/>
                            <w:sz w:val="16"/>
                            <w:szCs w:val="16"/>
                          </w:rPr>
                        </w:pPr>
                      </w:p>
                      <w:p w14:paraId="78B5000C" w14:textId="77777777" w:rsidR="00151A1C" w:rsidRDefault="00151A1C" w:rsidP="004D2471">
                        <w:pPr>
                          <w:tabs>
                            <w:tab w:val="left" w:pos="3630"/>
                          </w:tabs>
                          <w:jc w:val="center"/>
                          <w:rPr>
                            <w:rFonts w:cs="Arial"/>
                            <w:color w:val="FFFFFF" w:themeColor="background1"/>
                            <w:sz w:val="16"/>
                            <w:szCs w:val="16"/>
                          </w:rPr>
                        </w:pPr>
                      </w:p>
                      <w:p w14:paraId="52CFB27C" w14:textId="77777777" w:rsidR="00151A1C" w:rsidRDefault="00151A1C" w:rsidP="004D2471">
                        <w:pPr>
                          <w:tabs>
                            <w:tab w:val="left" w:pos="3630"/>
                          </w:tabs>
                          <w:jc w:val="center"/>
                          <w:rPr>
                            <w:rFonts w:cs="Arial"/>
                            <w:color w:val="FFFFFF" w:themeColor="background1"/>
                            <w:sz w:val="16"/>
                            <w:szCs w:val="16"/>
                          </w:rPr>
                        </w:pPr>
                      </w:p>
                      <w:p w14:paraId="04FF2F12" w14:textId="77777777" w:rsidR="00151A1C" w:rsidRDefault="00151A1C" w:rsidP="004D2471">
                        <w:pPr>
                          <w:tabs>
                            <w:tab w:val="left" w:pos="3630"/>
                          </w:tabs>
                          <w:jc w:val="center"/>
                          <w:rPr>
                            <w:rFonts w:cs="Arial"/>
                            <w:color w:val="FFFFFF" w:themeColor="background1"/>
                            <w:sz w:val="16"/>
                            <w:szCs w:val="16"/>
                          </w:rPr>
                        </w:pPr>
                      </w:p>
                      <w:p w14:paraId="4CBD67DB" w14:textId="77777777" w:rsidR="00151A1C" w:rsidRDefault="00151A1C" w:rsidP="004D2471">
                        <w:pPr>
                          <w:tabs>
                            <w:tab w:val="left" w:pos="3630"/>
                          </w:tabs>
                          <w:jc w:val="center"/>
                          <w:rPr>
                            <w:rFonts w:cs="Arial"/>
                            <w:color w:val="FFFFFF" w:themeColor="background1"/>
                            <w:sz w:val="16"/>
                            <w:szCs w:val="16"/>
                          </w:rPr>
                        </w:pPr>
                      </w:p>
                      <w:p w14:paraId="19461DBE" w14:textId="77777777" w:rsidR="00151A1C" w:rsidRDefault="00151A1C" w:rsidP="004D2471">
                        <w:pPr>
                          <w:tabs>
                            <w:tab w:val="left" w:pos="3630"/>
                          </w:tabs>
                          <w:jc w:val="center"/>
                          <w:rPr>
                            <w:rFonts w:cs="Arial"/>
                            <w:color w:val="FFFFFF" w:themeColor="background1"/>
                            <w:sz w:val="16"/>
                            <w:szCs w:val="16"/>
                          </w:rPr>
                        </w:pPr>
                      </w:p>
                      <w:p w14:paraId="31EFCC0E" w14:textId="77777777" w:rsidR="00151A1C" w:rsidRDefault="00151A1C" w:rsidP="004D2471">
                        <w:pPr>
                          <w:tabs>
                            <w:tab w:val="left" w:pos="3630"/>
                          </w:tabs>
                          <w:jc w:val="center"/>
                          <w:rPr>
                            <w:rFonts w:cs="Arial"/>
                            <w:color w:val="FFFFFF" w:themeColor="background1"/>
                            <w:sz w:val="16"/>
                            <w:szCs w:val="16"/>
                          </w:rPr>
                        </w:pPr>
                      </w:p>
                      <w:p w14:paraId="5773FA3E" w14:textId="77777777" w:rsidR="00151A1C" w:rsidRDefault="00151A1C" w:rsidP="004D2471">
                        <w:pPr>
                          <w:tabs>
                            <w:tab w:val="left" w:pos="3630"/>
                          </w:tabs>
                          <w:jc w:val="center"/>
                          <w:rPr>
                            <w:rFonts w:cs="Arial"/>
                            <w:color w:val="FFFFFF" w:themeColor="background1"/>
                            <w:sz w:val="16"/>
                            <w:szCs w:val="16"/>
                          </w:rPr>
                        </w:pPr>
                      </w:p>
                      <w:p w14:paraId="17540F77" w14:textId="77777777" w:rsidR="00151A1C" w:rsidRDefault="00151A1C" w:rsidP="004D2471">
                        <w:pPr>
                          <w:tabs>
                            <w:tab w:val="left" w:pos="3630"/>
                          </w:tabs>
                          <w:jc w:val="center"/>
                          <w:rPr>
                            <w:rFonts w:cs="Arial"/>
                            <w:color w:val="FFFFFF" w:themeColor="background1"/>
                            <w:sz w:val="16"/>
                            <w:szCs w:val="16"/>
                          </w:rPr>
                        </w:pPr>
                      </w:p>
                      <w:p w14:paraId="0EE21423" w14:textId="77777777" w:rsidR="00151A1C" w:rsidRDefault="00151A1C" w:rsidP="004D2471">
                        <w:pPr>
                          <w:tabs>
                            <w:tab w:val="left" w:pos="3630"/>
                          </w:tabs>
                          <w:jc w:val="center"/>
                          <w:rPr>
                            <w:rFonts w:cs="Arial"/>
                            <w:color w:val="FFFFFF" w:themeColor="background1"/>
                            <w:sz w:val="16"/>
                            <w:szCs w:val="16"/>
                          </w:rPr>
                        </w:pPr>
                      </w:p>
                      <w:p w14:paraId="122B3645" w14:textId="77777777" w:rsidR="00151A1C" w:rsidRDefault="00151A1C" w:rsidP="004D2471">
                        <w:pPr>
                          <w:tabs>
                            <w:tab w:val="left" w:pos="3630"/>
                          </w:tabs>
                          <w:jc w:val="center"/>
                          <w:rPr>
                            <w:rFonts w:cs="Arial"/>
                            <w:color w:val="FFFFFF" w:themeColor="background1"/>
                            <w:sz w:val="16"/>
                            <w:szCs w:val="16"/>
                          </w:rPr>
                        </w:pPr>
                      </w:p>
                      <w:p w14:paraId="1ECDA758" w14:textId="77777777" w:rsidR="00151A1C" w:rsidRDefault="00151A1C" w:rsidP="004D2471">
                        <w:pPr>
                          <w:tabs>
                            <w:tab w:val="left" w:pos="3630"/>
                          </w:tabs>
                          <w:jc w:val="center"/>
                          <w:rPr>
                            <w:rFonts w:cs="Arial"/>
                            <w:color w:val="FFFFFF" w:themeColor="background1"/>
                            <w:sz w:val="16"/>
                            <w:szCs w:val="16"/>
                          </w:rPr>
                        </w:pPr>
                      </w:p>
                      <w:p w14:paraId="5299B03D" w14:textId="77777777" w:rsidR="00151A1C" w:rsidRDefault="00151A1C" w:rsidP="004D2471">
                        <w:pPr>
                          <w:pStyle w:val="NormalWeb"/>
                          <w:spacing w:before="0" w:after="0"/>
                          <w:jc w:val="center"/>
                          <w:rPr>
                            <w:rFonts w:ascii="Arial" w:hAnsi="Arial" w:cs="Arial"/>
                            <w:color w:val="FFFFFF" w:themeColor="background1"/>
                            <w:sz w:val="16"/>
                            <w:szCs w:val="16"/>
                          </w:rPr>
                        </w:pPr>
                        <w:r>
                          <w:rPr>
                            <w:rFonts w:ascii="Arial" w:hAnsi="Arial" w:cs="Arial"/>
                            <w:color w:val="FFFFFF" w:themeColor="background1"/>
                            <w:sz w:val="16"/>
                            <w:szCs w:val="16"/>
                          </w:rPr>
                          <w:t>18-25 days after EOT visit</w:t>
                        </w:r>
                      </w:p>
                    </w:txbxContent>
                  </v:textbox>
                </v:rect>
                <v:shape id="Straight Arrow Connector 142" o:spid="_x0000_s1076" type="#_x0000_t32" style="position:absolute;left:30138;top:22530;width:0;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RlMEAAADbAAAADwAAAGRycy9kb3ducmV2LnhtbERPTWvCQBC9F/oflil4qxsrlZK6iqQq&#10;hZ4aC/Y4ZMckmJkNu6uJ/949FHp8vO/leuROXcmH1omB2TQDRVI520pt4Oewe34DFSKKxc4JGbhR&#10;gPXq8WGJuXWDfNO1jLVKIRJyNNDE2Odah6ohxjB1PUniTs4zxgR9ra3HIYVzp1+ybKEZW0kNDfZU&#10;NFSdywsbyArefPDw+1os9rOvvuyOW/ZHYyZP4+YdVKQx/ov/3J/WwDytT1/SD9C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RGUwQAAANsAAAAPAAAAAAAAAAAAAAAA&#10;AKECAABkcnMvZG93bnJldi54bWxQSwUGAAAAAAQABAD5AAAAjwMAAAAA&#10;" strokecolor="black [3040]">
                  <v:stroke endarrow="open"/>
                  <v:shadow on="t" opacity="22936f" origin=",.5" offset="0,.63889mm"/>
                </v:shape>
                <v:shape id="Straight Arrow Connector 143" o:spid="_x0000_s1077" type="#_x0000_t32" style="position:absolute;left:30138;top:27212;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Ty8YAAADbAAAADwAAAGRycy9kb3ducmV2LnhtbESPQUvDQBSE7wX/w/IEL8VuokUk7bZU&#10;QVChhyYteHxkX5Ng9m3MPpv4791CocdhZr5hluvRtepEfWg8G0hnCSji0tuGKwP74u3+GVQQZIut&#10;ZzLwRwHWq5vJEjPrB97RKZdKRQiHDA3UIl2mdShrchhmviOO3tH3DiXKvtK2xyHCXasfkuRJO2w4&#10;LtTY0WtN5Xf+6wzMk/1L0U13UmwPHzIcPtuvzU9qzN3tuFmAEhrlGr60362BxxTOX+IP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lE8vGAAAA2wAAAA8AAAAAAAAA&#10;AAAAAAAAoQIAAGRycy9kb3ducmV2LnhtbFBLBQYAAAAABAAEAPkAAACUAwAAAAA=&#10;" strokecolor="black [3040]">
                  <v:stroke endarrow="open"/>
                  <v:shadow on="t" opacity="22936f" origin=",.5" offset="0,.63889mm"/>
                </v:shape>
                <v:shape id="Straight Arrow Connector 144" o:spid="_x0000_s1078" type="#_x0000_t32" style="position:absolute;left:30138;top:32040;width:0;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qeMQAAADbAAAADwAAAGRycy9kb3ducmV2LnhtbESPQWvCQBSE74X+h+UVeqsbLUqJriJp&#10;LYWeGgt6fGSfSTDvbdhdTfrvu0Khx2FmvmFWm5E7dSUfWicGppMMFEnlbCu1ge/97ukFVIgoFjsn&#10;ZOCHAmzW93crzK0b5IuuZaxVgkjI0UATY59rHaqGGMPE9STJOznPGJP0tbYehwTnTs+ybKEZW0kL&#10;DfZUNFSdywsbyArevvJwnBeL9+lnX3aHN/YHYx4fxu0SVKQx/of/2h/WwPMMbl/S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lyp4xAAAANsAAAAPAAAAAAAAAAAA&#10;AAAAAKECAABkcnMvZG93bnJldi54bWxQSwUGAAAAAAQABAD5AAAAkgMAAAAA&#10;" strokecolor="black [3040]">
                  <v:stroke endarrow="open"/>
                  <v:shadow on="t" opacity="22936f" origin=",.5" offset="0,.63889mm"/>
                </v:shape>
                <v:shape id="Straight Arrow Connector 145" o:spid="_x0000_s1079" type="#_x0000_t32" style="position:absolute;left:30161;top:38384;width:0;height:1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oJ8UAAADbAAAADwAAAGRycy9kb3ducmV2LnhtbESPQWvCQBSE74X+h+UVeil1Y5VSUldR&#10;QdCCB41Cj4/saxKafRuzTxP/fVcQehxm5htmMutdrS7UhsqzgeEgAUWce1txYeCQrV4/QAVBtlh7&#10;JgNXCjCbPj5MMLW+4x1d9lKoCOGQooFSpEm1DnlJDsPAN8TR+/GtQ4myLbRtsYtwV+u3JHnXDiuO&#10;CyU2tCwp/92fnYFxclhkzctOsu1xI93xq/6en4bGPD/1809QQr38h+/ttTUwGsHtS/wB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oJ8UAAADbAAAADwAAAAAAAAAA&#10;AAAAAAChAgAAZHJzL2Rvd25yZXYueG1sUEsFBgAAAAAEAAQA+QAAAJMDAAAAAA==&#10;" strokecolor="black [3040]">
                  <v:stroke endarrow="open"/>
                  <v:shadow on="t" opacity="22936f" origin=",.5" offset="0,.63889mm"/>
                </v:shape>
                <w10:anchorlock/>
              </v:group>
            </w:pict>
          </mc:Fallback>
        </mc:AlternateContent>
      </w:r>
    </w:p>
    <w:p w14:paraId="79DD5F45" w14:textId="3CA0291A" w:rsidR="004D2471" w:rsidRPr="004D2471" w:rsidRDefault="004D2471" w:rsidP="004D2471">
      <w:pPr>
        <w:pStyle w:val="FigureNote-H23"/>
        <w:spacing w:before="0" w:after="0"/>
        <w:rPr>
          <w:rFonts w:ascii="Arial" w:hAnsi="Arial" w:cs="Arial"/>
          <w:sz w:val="16"/>
          <w:lang w:val="en-US"/>
        </w:rPr>
      </w:pPr>
      <w:r w:rsidRPr="004D2471">
        <w:rPr>
          <w:rFonts w:ascii="Arial" w:hAnsi="Arial" w:cs="Arial"/>
          <w:sz w:val="16"/>
          <w:lang w:val="en-US"/>
        </w:rPr>
        <w:t xml:space="preserve">SOURCE: </w:t>
      </w:r>
      <w:r w:rsidR="00CE78C2">
        <w:rPr>
          <w:rFonts w:ascii="Arial" w:hAnsi="Arial" w:cs="Arial"/>
          <w:sz w:val="16"/>
          <w:lang w:val="en-US"/>
        </w:rPr>
        <w:t xml:space="preserve">Moran, 2014 </w:t>
      </w:r>
      <w:r w:rsidR="00CE78C2">
        <w:rPr>
          <w:rFonts w:ascii="Arial" w:hAnsi="Arial" w:cs="Arial"/>
          <w:sz w:val="16"/>
          <w:lang w:val="en-US"/>
        </w:rPr>
        <w:fldChar w:fldCharType="begin"/>
      </w:r>
      <w:r w:rsidR="00CE78C2">
        <w:rPr>
          <w:rFonts w:ascii="Arial" w:hAnsi="Arial" w:cs="Arial"/>
          <w:sz w:val="16"/>
          <w:lang w:val="en-US"/>
        </w:rPr>
        <w:instrText xml:space="preserve"> REF _Ref284170919 \r \h </w:instrText>
      </w:r>
      <w:r w:rsidR="00CE78C2">
        <w:rPr>
          <w:rFonts w:ascii="Arial" w:hAnsi="Arial" w:cs="Arial"/>
          <w:sz w:val="16"/>
          <w:lang w:val="en-US"/>
        </w:rPr>
      </w:r>
      <w:r w:rsidR="00CE78C2">
        <w:rPr>
          <w:rFonts w:ascii="Arial" w:hAnsi="Arial" w:cs="Arial"/>
          <w:sz w:val="16"/>
          <w:lang w:val="en-US"/>
        </w:rPr>
        <w:fldChar w:fldCharType="separate"/>
      </w:r>
      <w:r w:rsidR="00151A1C">
        <w:rPr>
          <w:rFonts w:ascii="Arial" w:hAnsi="Arial" w:cs="Arial"/>
          <w:sz w:val="16"/>
          <w:lang w:val="en-US"/>
        </w:rPr>
        <w:t>40</w:t>
      </w:r>
      <w:r w:rsidR="00CE78C2">
        <w:rPr>
          <w:rFonts w:ascii="Arial" w:hAnsi="Arial" w:cs="Arial"/>
          <w:sz w:val="16"/>
          <w:lang w:val="en-US"/>
        </w:rPr>
        <w:fldChar w:fldCharType="end"/>
      </w:r>
    </w:p>
    <w:p w14:paraId="3C9CE330" w14:textId="0B256D9C" w:rsidR="004D2471" w:rsidRPr="004D2471" w:rsidRDefault="004D2471" w:rsidP="004D2471">
      <w:pPr>
        <w:pStyle w:val="FigureNote-H23"/>
        <w:spacing w:before="0" w:after="0"/>
        <w:rPr>
          <w:rFonts w:ascii="Arial" w:hAnsi="Arial" w:cs="Arial"/>
          <w:sz w:val="16"/>
          <w:lang w:val="en-US"/>
        </w:rPr>
      </w:pPr>
      <w:r>
        <w:rPr>
          <w:rFonts w:ascii="Arial" w:hAnsi="Arial" w:cs="Arial"/>
          <w:sz w:val="16"/>
          <w:lang w:val="en-US"/>
        </w:rPr>
        <w:t>*Certain assessm</w:t>
      </w:r>
      <w:r w:rsidRPr="004D2471">
        <w:rPr>
          <w:rFonts w:ascii="Arial" w:hAnsi="Arial" w:cs="Arial"/>
          <w:sz w:val="16"/>
          <w:lang w:val="en-US"/>
        </w:rPr>
        <w:t>e</w:t>
      </w:r>
      <w:r>
        <w:rPr>
          <w:rFonts w:ascii="Arial" w:hAnsi="Arial" w:cs="Arial"/>
          <w:sz w:val="16"/>
          <w:lang w:val="en-US"/>
        </w:rPr>
        <w:t>n</w:t>
      </w:r>
      <w:r w:rsidRPr="004D2471">
        <w:rPr>
          <w:rFonts w:ascii="Arial" w:hAnsi="Arial" w:cs="Arial"/>
          <w:sz w:val="16"/>
          <w:lang w:val="en-US"/>
        </w:rPr>
        <w:t>ts were performed on day 7, while others were performed between days 7-9, as indicated in the CSR.</w:t>
      </w:r>
    </w:p>
    <w:p w14:paraId="3FA42D9C" w14:textId="69C46B7F" w:rsidR="004D2471" w:rsidRPr="004D2471" w:rsidRDefault="004D2471" w:rsidP="004D2471">
      <w:pPr>
        <w:widowControl w:val="0"/>
        <w:autoSpaceDE w:val="0"/>
        <w:autoSpaceDN w:val="0"/>
        <w:adjustRightInd w:val="0"/>
        <w:rPr>
          <w:rFonts w:cs="Arial"/>
          <w:b/>
          <w:bCs/>
          <w:sz w:val="16"/>
          <w:szCs w:val="16"/>
          <w:lang w:eastAsia="ja-JP"/>
        </w:rPr>
      </w:pPr>
      <w:r w:rsidRPr="004D2471">
        <w:rPr>
          <w:rFonts w:cs="Arial"/>
          <w:sz w:val="16"/>
          <w:szCs w:val="16"/>
          <w:lang w:val="en-US"/>
        </w:rPr>
        <w:t>EOT: End of therapy; IV: Intravenous; PTE: Post-therapy evaluation</w:t>
      </w:r>
    </w:p>
    <w:p w14:paraId="187696CF" w14:textId="77777777" w:rsidR="004D2471" w:rsidRDefault="004D2471" w:rsidP="00EC028B">
      <w:pPr>
        <w:widowControl w:val="0"/>
        <w:autoSpaceDE w:val="0"/>
        <w:autoSpaceDN w:val="0"/>
        <w:adjustRightInd w:val="0"/>
        <w:rPr>
          <w:rFonts w:cs="Arial"/>
          <w:b/>
          <w:bCs/>
          <w:sz w:val="22"/>
          <w:szCs w:val="22"/>
          <w:lang w:eastAsia="ja-JP"/>
        </w:rPr>
      </w:pPr>
    </w:p>
    <w:p w14:paraId="0F0C3469" w14:textId="60C8EFC1" w:rsidR="00B6127D" w:rsidRDefault="00384D45" w:rsidP="00EC028B">
      <w:pPr>
        <w:widowControl w:val="0"/>
        <w:autoSpaceDE w:val="0"/>
        <w:autoSpaceDN w:val="0"/>
        <w:adjustRightInd w:val="0"/>
        <w:rPr>
          <w:rFonts w:cs="Arial"/>
          <w:sz w:val="22"/>
          <w:szCs w:val="22"/>
          <w:lang w:val="en-US" w:eastAsia="ja-JP"/>
        </w:rPr>
      </w:pPr>
      <w:r>
        <w:rPr>
          <w:rFonts w:cs="Arial"/>
          <w:b/>
          <w:bCs/>
          <w:sz w:val="22"/>
          <w:szCs w:val="22"/>
          <w:lang w:eastAsia="ja-JP"/>
        </w:rPr>
        <w:t>3.4</w:t>
      </w:r>
      <w:r w:rsidR="00F305BD" w:rsidRPr="002F79C6">
        <w:rPr>
          <w:rFonts w:cs="Arial"/>
          <w:b/>
          <w:bCs/>
          <w:sz w:val="22"/>
          <w:szCs w:val="22"/>
          <w:lang w:eastAsia="ja-JP"/>
        </w:rPr>
        <w:t xml:space="preserve">.3 </w:t>
      </w:r>
      <w:r w:rsidR="00001C6F" w:rsidRPr="002F79C6">
        <w:rPr>
          <w:rFonts w:cs="Arial"/>
          <w:b/>
          <w:bCs/>
          <w:sz w:val="22"/>
          <w:szCs w:val="22"/>
          <w:lang w:eastAsia="ja-JP"/>
        </w:rPr>
        <w:t>Inclusion and exclusion criteria</w:t>
      </w:r>
      <w:r w:rsidR="00EC028B" w:rsidRPr="002F79C6">
        <w:rPr>
          <w:rFonts w:cs="Arial"/>
          <w:b/>
          <w:bCs/>
          <w:sz w:val="22"/>
          <w:szCs w:val="22"/>
          <w:lang w:eastAsia="ja-JP"/>
        </w:rPr>
        <w:t xml:space="preserve">: </w:t>
      </w:r>
      <w:r w:rsidR="00EC028B" w:rsidRPr="002F79C6">
        <w:rPr>
          <w:rFonts w:cs="Arial"/>
          <w:sz w:val="22"/>
          <w:szCs w:val="22"/>
          <w:lang w:val="en-US" w:eastAsia="ja-JP"/>
        </w:rPr>
        <w:t>Patients were eligible for enrolment into the study if they were aged 12 years or older with an ABSSSI (cellulitis or</w:t>
      </w:r>
      <w:r w:rsidR="0096247A">
        <w:rPr>
          <w:rFonts w:cs="Arial"/>
          <w:sz w:val="22"/>
          <w:szCs w:val="22"/>
          <w:lang w:val="en-US" w:eastAsia="ja-JP"/>
        </w:rPr>
        <w:t xml:space="preserve"> </w:t>
      </w:r>
      <w:r w:rsidR="00EC028B" w:rsidRPr="002F79C6">
        <w:rPr>
          <w:rFonts w:cs="Arial"/>
          <w:sz w:val="22"/>
          <w:szCs w:val="22"/>
          <w:lang w:val="en-US" w:eastAsia="ja-JP"/>
        </w:rPr>
        <w:t>erysipelas, major cutaneous abscess, or wound infection) that had a minimum lesion area of 75 cm and which was suspected or documented to be associated with a Gram</w:t>
      </w:r>
      <w:r w:rsidR="00FC4280" w:rsidRPr="002F79C6">
        <w:rPr>
          <w:rFonts w:cs="Arial"/>
          <w:sz w:val="22"/>
          <w:szCs w:val="22"/>
          <w:lang w:val="en-US" w:eastAsia="ja-JP"/>
        </w:rPr>
        <w:t>-</w:t>
      </w:r>
      <w:r w:rsidR="00EC028B" w:rsidRPr="002F79C6">
        <w:rPr>
          <w:rFonts w:cs="Arial"/>
          <w:sz w:val="22"/>
          <w:szCs w:val="22"/>
          <w:lang w:val="en-US" w:eastAsia="ja-JP"/>
        </w:rPr>
        <w:t>positive</w:t>
      </w:r>
      <w:r w:rsidR="00FC4280" w:rsidRPr="002F79C6">
        <w:rPr>
          <w:rFonts w:cs="Arial"/>
          <w:sz w:val="22"/>
          <w:szCs w:val="22"/>
          <w:lang w:val="en-US" w:eastAsia="ja-JP"/>
        </w:rPr>
        <w:t xml:space="preserve"> </w:t>
      </w:r>
      <w:r w:rsidR="00EC028B" w:rsidRPr="002F79C6">
        <w:rPr>
          <w:rFonts w:cs="Arial"/>
          <w:sz w:val="22"/>
          <w:szCs w:val="22"/>
          <w:lang w:val="en-US" w:eastAsia="ja-JP"/>
        </w:rPr>
        <w:t>pathogen. Patients also had to have at least one</w:t>
      </w:r>
      <w:r w:rsidR="000C3B64" w:rsidRPr="002F79C6">
        <w:rPr>
          <w:rFonts w:cs="Arial"/>
          <w:sz w:val="22"/>
          <w:szCs w:val="22"/>
          <w:lang w:val="en-US" w:eastAsia="ja-JP"/>
        </w:rPr>
        <w:t xml:space="preserve"> </w:t>
      </w:r>
      <w:r w:rsidR="00EC028B" w:rsidRPr="002F79C6">
        <w:rPr>
          <w:rFonts w:cs="Arial"/>
          <w:sz w:val="22"/>
          <w:szCs w:val="22"/>
          <w:lang w:val="en-US" w:eastAsia="ja-JP"/>
        </w:rPr>
        <w:t>systemic or regional</w:t>
      </w:r>
      <w:r w:rsidR="00EC028B" w:rsidRPr="00EC028B">
        <w:rPr>
          <w:rFonts w:cs="Arial"/>
          <w:sz w:val="22"/>
          <w:szCs w:val="22"/>
          <w:lang w:val="en-US" w:eastAsia="ja-JP"/>
        </w:rPr>
        <w:t xml:space="preserve"> sign of infection (lymphadenopathy,</w:t>
      </w:r>
      <w:r w:rsidR="000C3B64">
        <w:rPr>
          <w:rFonts w:cs="Arial"/>
          <w:sz w:val="22"/>
          <w:szCs w:val="22"/>
          <w:lang w:val="en-US" w:eastAsia="ja-JP"/>
        </w:rPr>
        <w:t xml:space="preserve"> </w:t>
      </w:r>
      <w:r w:rsidR="00EC028B" w:rsidRPr="00EC028B">
        <w:rPr>
          <w:rFonts w:cs="Arial"/>
          <w:sz w:val="22"/>
          <w:szCs w:val="22"/>
          <w:lang w:val="en-US" w:eastAsia="ja-JP"/>
        </w:rPr>
        <w:t>raised body temperature, white blood-cell count</w:t>
      </w:r>
      <w:r w:rsidR="000C3B64">
        <w:rPr>
          <w:rFonts w:cs="Arial"/>
          <w:sz w:val="22"/>
          <w:szCs w:val="22"/>
          <w:lang w:val="en-US" w:eastAsia="ja-JP"/>
        </w:rPr>
        <w:t xml:space="preserve"> </w:t>
      </w:r>
      <w:r w:rsidR="00EC028B" w:rsidRPr="00EC028B">
        <w:rPr>
          <w:rFonts w:cs="Arial"/>
          <w:sz w:val="22"/>
          <w:szCs w:val="22"/>
          <w:lang w:val="en-US" w:eastAsia="ja-JP"/>
        </w:rPr>
        <w:t>≥10 000/μL or &lt;4000/μL, or &gt;10% immature neutrophils).</w:t>
      </w:r>
      <w:r w:rsidR="00B6127D">
        <w:rPr>
          <w:rFonts w:cs="Arial"/>
          <w:sz w:val="22"/>
          <w:szCs w:val="22"/>
          <w:lang w:val="en-US" w:eastAsia="ja-JP"/>
        </w:rPr>
        <w:t xml:space="preserve"> </w:t>
      </w:r>
      <w:r w:rsidR="00EC028B" w:rsidRPr="00EC028B">
        <w:rPr>
          <w:rFonts w:cs="Arial"/>
          <w:sz w:val="22"/>
          <w:szCs w:val="22"/>
          <w:lang w:val="en-US" w:eastAsia="ja-JP"/>
        </w:rPr>
        <w:t>In patients with abscesses and wounds, erythema,</w:t>
      </w:r>
      <w:r w:rsidR="00B6127D">
        <w:rPr>
          <w:rFonts w:cs="Arial"/>
          <w:sz w:val="22"/>
          <w:szCs w:val="22"/>
          <w:lang w:val="en-US" w:eastAsia="ja-JP"/>
        </w:rPr>
        <w:t xml:space="preserve"> </w:t>
      </w:r>
      <w:r w:rsidR="00EC028B" w:rsidRPr="00EC028B">
        <w:rPr>
          <w:rFonts w:cs="Arial"/>
          <w:sz w:val="22"/>
          <w:szCs w:val="22"/>
          <w:lang w:val="en-US" w:eastAsia="ja-JP"/>
        </w:rPr>
        <w:t>o</w:t>
      </w:r>
      <w:r w:rsidR="00F96837">
        <w:rPr>
          <w:rFonts w:cs="Arial"/>
          <w:sz w:val="22"/>
          <w:szCs w:val="22"/>
          <w:lang w:val="en-US" w:eastAsia="ja-JP"/>
        </w:rPr>
        <w:t>oedema</w:t>
      </w:r>
      <w:r w:rsidR="00B6127D">
        <w:rPr>
          <w:rFonts w:cs="Arial"/>
          <w:sz w:val="22"/>
          <w:szCs w:val="22"/>
          <w:lang w:val="en-US" w:eastAsia="ja-JP"/>
        </w:rPr>
        <w:t>, or induration had to extend 5</w:t>
      </w:r>
      <w:r w:rsidR="00EC028B" w:rsidRPr="00EC028B">
        <w:rPr>
          <w:rFonts w:cs="Arial"/>
          <w:sz w:val="22"/>
          <w:szCs w:val="22"/>
          <w:lang w:val="en-US" w:eastAsia="ja-JP"/>
        </w:rPr>
        <w:t>cm or further from</w:t>
      </w:r>
      <w:r w:rsidR="00B6127D">
        <w:rPr>
          <w:rFonts w:cs="Arial"/>
          <w:sz w:val="22"/>
          <w:szCs w:val="22"/>
          <w:lang w:val="en-US" w:eastAsia="ja-JP"/>
        </w:rPr>
        <w:t xml:space="preserve"> </w:t>
      </w:r>
      <w:r w:rsidR="00EC028B" w:rsidRPr="00EC028B">
        <w:rPr>
          <w:rFonts w:cs="Arial"/>
          <w:sz w:val="22"/>
          <w:szCs w:val="22"/>
          <w:lang w:val="en-US" w:eastAsia="ja-JP"/>
        </w:rPr>
        <w:t>the margin of the abscess or wound to the edge of the</w:t>
      </w:r>
      <w:r w:rsidR="00B6127D">
        <w:rPr>
          <w:rFonts w:cs="Arial"/>
          <w:sz w:val="22"/>
          <w:szCs w:val="22"/>
          <w:lang w:val="en-US" w:eastAsia="ja-JP"/>
        </w:rPr>
        <w:t xml:space="preserve"> </w:t>
      </w:r>
      <w:r w:rsidR="00EC028B" w:rsidRPr="00EC028B">
        <w:rPr>
          <w:rFonts w:cs="Arial"/>
          <w:sz w:val="22"/>
          <w:szCs w:val="22"/>
          <w:lang w:val="en-US" w:eastAsia="ja-JP"/>
        </w:rPr>
        <w:t xml:space="preserve">lesion to satisfy eligibility criteria. </w:t>
      </w:r>
    </w:p>
    <w:p w14:paraId="4D55FC23" w14:textId="77777777" w:rsidR="00B6127D" w:rsidRDefault="00B6127D" w:rsidP="00EC028B">
      <w:pPr>
        <w:widowControl w:val="0"/>
        <w:autoSpaceDE w:val="0"/>
        <w:autoSpaceDN w:val="0"/>
        <w:adjustRightInd w:val="0"/>
        <w:rPr>
          <w:rFonts w:cs="Arial"/>
          <w:sz w:val="22"/>
          <w:szCs w:val="22"/>
          <w:lang w:val="en-US" w:eastAsia="ja-JP"/>
        </w:rPr>
      </w:pPr>
    </w:p>
    <w:p w14:paraId="7EC1EDDF" w14:textId="5155D2D9" w:rsidR="00001C6F" w:rsidRPr="00B6127D" w:rsidRDefault="00EC028B" w:rsidP="00B6127D">
      <w:pPr>
        <w:widowControl w:val="0"/>
        <w:autoSpaceDE w:val="0"/>
        <w:autoSpaceDN w:val="0"/>
        <w:adjustRightInd w:val="0"/>
        <w:rPr>
          <w:rFonts w:cs="Arial"/>
          <w:sz w:val="22"/>
          <w:szCs w:val="22"/>
          <w:lang w:val="en-US" w:eastAsia="ja-JP"/>
        </w:rPr>
      </w:pPr>
      <w:r w:rsidRPr="00EC028B">
        <w:rPr>
          <w:rFonts w:cs="Arial"/>
          <w:sz w:val="22"/>
          <w:szCs w:val="22"/>
          <w:lang w:val="en-US" w:eastAsia="ja-JP"/>
        </w:rPr>
        <w:t>Ineligible patients had</w:t>
      </w:r>
      <w:r w:rsidR="00B6127D">
        <w:rPr>
          <w:rFonts w:cs="Arial"/>
          <w:sz w:val="22"/>
          <w:szCs w:val="22"/>
          <w:lang w:val="en-US" w:eastAsia="ja-JP"/>
        </w:rPr>
        <w:t xml:space="preserve"> </w:t>
      </w:r>
      <w:r w:rsidRPr="00EC028B">
        <w:rPr>
          <w:rFonts w:cs="Arial"/>
          <w:sz w:val="22"/>
          <w:szCs w:val="22"/>
          <w:lang w:val="en-US" w:eastAsia="ja-JP"/>
        </w:rPr>
        <w:t>received systemic antibiotics with Gram-positive cocci</w:t>
      </w:r>
      <w:r w:rsidR="00B6127D">
        <w:rPr>
          <w:rFonts w:cs="Arial"/>
          <w:sz w:val="22"/>
          <w:szCs w:val="22"/>
          <w:lang w:val="en-US" w:eastAsia="ja-JP"/>
        </w:rPr>
        <w:t xml:space="preserve"> </w:t>
      </w:r>
      <w:r w:rsidRPr="00EC028B">
        <w:rPr>
          <w:rFonts w:cs="Arial"/>
          <w:sz w:val="22"/>
          <w:szCs w:val="22"/>
          <w:lang w:val="en-US" w:eastAsia="ja-JP"/>
        </w:rPr>
        <w:t>activity in the previous 96 h</w:t>
      </w:r>
      <w:r w:rsidR="00B6127D">
        <w:rPr>
          <w:rFonts w:cs="Arial"/>
          <w:sz w:val="22"/>
          <w:szCs w:val="22"/>
          <w:lang w:val="en-US" w:eastAsia="ja-JP"/>
        </w:rPr>
        <w:t>ours</w:t>
      </w:r>
      <w:r w:rsidRPr="00EC028B">
        <w:rPr>
          <w:rFonts w:cs="Arial"/>
          <w:sz w:val="22"/>
          <w:szCs w:val="22"/>
          <w:lang w:val="en-US" w:eastAsia="ja-JP"/>
        </w:rPr>
        <w:t xml:space="preserve"> or had failed antibiotic</w:t>
      </w:r>
      <w:r w:rsidR="00B6127D">
        <w:rPr>
          <w:rFonts w:cs="Arial"/>
          <w:sz w:val="22"/>
          <w:szCs w:val="22"/>
          <w:lang w:val="en-US" w:eastAsia="ja-JP"/>
        </w:rPr>
        <w:t xml:space="preserve"> </w:t>
      </w:r>
      <w:r w:rsidRPr="00EC028B">
        <w:rPr>
          <w:rFonts w:cs="Arial"/>
          <w:sz w:val="22"/>
          <w:szCs w:val="22"/>
          <w:lang w:val="en-US" w:eastAsia="ja-JP"/>
        </w:rPr>
        <w:t xml:space="preserve">treatment for the primary site of </w:t>
      </w:r>
      <w:r w:rsidR="00B6127D">
        <w:rPr>
          <w:rFonts w:cs="Arial"/>
          <w:sz w:val="22"/>
          <w:szCs w:val="22"/>
          <w:lang w:val="en-US" w:eastAsia="ja-JP"/>
        </w:rPr>
        <w:t>the ABSSSI. P</w:t>
      </w:r>
      <w:r w:rsidRPr="00EC028B">
        <w:rPr>
          <w:rFonts w:cs="Arial"/>
          <w:sz w:val="22"/>
          <w:szCs w:val="22"/>
          <w:lang w:val="en-US" w:eastAsia="ja-JP"/>
        </w:rPr>
        <w:t xml:space="preserve">atients </w:t>
      </w:r>
      <w:r w:rsidR="00B6127D">
        <w:rPr>
          <w:rFonts w:cs="Arial"/>
          <w:sz w:val="22"/>
          <w:szCs w:val="22"/>
          <w:lang w:val="en-US" w:eastAsia="ja-JP"/>
        </w:rPr>
        <w:t xml:space="preserve">were also excluded if they presented with </w:t>
      </w:r>
      <w:r w:rsidRPr="00EC028B">
        <w:rPr>
          <w:rFonts w:cs="Arial"/>
          <w:sz w:val="22"/>
          <w:szCs w:val="22"/>
          <w:lang w:val="en-US" w:eastAsia="ja-JP"/>
        </w:rPr>
        <w:t xml:space="preserve">uncomplicated </w:t>
      </w:r>
      <w:r w:rsidR="00B6127D">
        <w:rPr>
          <w:rFonts w:cs="Arial"/>
          <w:sz w:val="22"/>
          <w:szCs w:val="22"/>
          <w:lang w:val="en-US" w:eastAsia="ja-JP"/>
        </w:rPr>
        <w:t>SSTIs</w:t>
      </w:r>
      <w:r w:rsidRPr="00EC028B">
        <w:rPr>
          <w:rFonts w:cs="Arial"/>
          <w:sz w:val="22"/>
          <w:szCs w:val="22"/>
          <w:lang w:val="en-US" w:eastAsia="ja-JP"/>
        </w:rPr>
        <w:t>,</w:t>
      </w:r>
      <w:r w:rsidR="00B6127D">
        <w:rPr>
          <w:rFonts w:cs="Arial"/>
          <w:sz w:val="22"/>
          <w:szCs w:val="22"/>
          <w:lang w:val="en-US" w:eastAsia="ja-JP"/>
        </w:rPr>
        <w:t xml:space="preserve"> </w:t>
      </w:r>
      <w:r w:rsidRPr="00EC028B">
        <w:rPr>
          <w:rFonts w:cs="Arial"/>
          <w:sz w:val="22"/>
          <w:szCs w:val="22"/>
          <w:lang w:val="en-US" w:eastAsia="ja-JP"/>
        </w:rPr>
        <w:t>infections associated with prosthetic devices or</w:t>
      </w:r>
      <w:r w:rsidR="00B6127D">
        <w:rPr>
          <w:rFonts w:cs="Arial"/>
          <w:sz w:val="22"/>
          <w:szCs w:val="22"/>
          <w:lang w:val="en-US" w:eastAsia="ja-JP"/>
        </w:rPr>
        <w:t xml:space="preserve"> </w:t>
      </w:r>
      <w:r w:rsidRPr="00EC028B">
        <w:rPr>
          <w:rFonts w:cs="Arial"/>
          <w:sz w:val="22"/>
          <w:szCs w:val="22"/>
          <w:lang w:val="en-US" w:eastAsia="ja-JP"/>
        </w:rPr>
        <w:t>vascular catheter sites, thrombophlebitis, diabetic foot</w:t>
      </w:r>
      <w:r w:rsidR="00B6127D">
        <w:rPr>
          <w:rFonts w:cs="Arial"/>
          <w:sz w:val="22"/>
          <w:szCs w:val="22"/>
          <w:lang w:val="en-US" w:eastAsia="ja-JP"/>
        </w:rPr>
        <w:t xml:space="preserve"> </w:t>
      </w:r>
      <w:r w:rsidRPr="00EC028B">
        <w:rPr>
          <w:rFonts w:cs="Arial"/>
          <w:sz w:val="22"/>
          <w:szCs w:val="22"/>
          <w:lang w:val="en-US" w:eastAsia="ja-JP"/>
        </w:rPr>
        <w:t>infections, infected burns, chronic skin ulcers, non-clean</w:t>
      </w:r>
      <w:r w:rsidR="00B6127D">
        <w:rPr>
          <w:rFonts w:cs="Arial"/>
          <w:sz w:val="22"/>
          <w:szCs w:val="22"/>
          <w:lang w:val="en-US" w:eastAsia="ja-JP"/>
        </w:rPr>
        <w:t xml:space="preserve"> </w:t>
      </w:r>
      <w:r w:rsidRPr="00EC028B">
        <w:rPr>
          <w:rFonts w:cs="Arial"/>
          <w:sz w:val="22"/>
          <w:szCs w:val="22"/>
          <w:lang w:val="en-US" w:eastAsia="ja-JP"/>
        </w:rPr>
        <w:t>surgery, known bacteraemia at screening, septic shock or</w:t>
      </w:r>
      <w:r w:rsidR="00B6127D">
        <w:rPr>
          <w:rFonts w:cs="Arial"/>
          <w:sz w:val="22"/>
          <w:szCs w:val="22"/>
          <w:lang w:val="en-US" w:eastAsia="ja-JP"/>
        </w:rPr>
        <w:t xml:space="preserve"> </w:t>
      </w:r>
      <w:r w:rsidRPr="00EC028B">
        <w:rPr>
          <w:rFonts w:cs="Arial"/>
          <w:sz w:val="22"/>
          <w:szCs w:val="22"/>
          <w:lang w:val="en-US" w:eastAsia="ja-JP"/>
        </w:rPr>
        <w:t>severe sepsis, a history of opportunistic infections with</w:t>
      </w:r>
      <w:r w:rsidR="00B6127D">
        <w:rPr>
          <w:rFonts w:cs="Arial"/>
          <w:sz w:val="22"/>
          <w:szCs w:val="22"/>
          <w:lang w:val="en-US" w:eastAsia="ja-JP"/>
        </w:rPr>
        <w:t xml:space="preserve"> the </w:t>
      </w:r>
      <w:r w:rsidRPr="00EC028B">
        <w:rPr>
          <w:rFonts w:cs="Arial"/>
          <w:sz w:val="22"/>
          <w:szCs w:val="22"/>
          <w:lang w:val="en-US" w:eastAsia="ja-JP"/>
        </w:rPr>
        <w:t>underlying cause still active, receiving chronic</w:t>
      </w:r>
      <w:r w:rsidR="00B6127D">
        <w:rPr>
          <w:rFonts w:cs="Arial"/>
          <w:sz w:val="22"/>
          <w:szCs w:val="22"/>
          <w:lang w:val="en-US" w:eastAsia="ja-JP"/>
        </w:rPr>
        <w:t xml:space="preserve"> </w:t>
      </w:r>
      <w:r w:rsidRPr="00EC028B">
        <w:rPr>
          <w:rFonts w:cs="Arial"/>
          <w:sz w:val="22"/>
          <w:szCs w:val="22"/>
          <w:lang w:val="en-US" w:eastAsia="ja-JP"/>
        </w:rPr>
        <w:t>systemic immunosuppressive treatment or antipyretic</w:t>
      </w:r>
      <w:r w:rsidR="00B6127D">
        <w:rPr>
          <w:rFonts w:cs="Arial"/>
          <w:sz w:val="22"/>
          <w:szCs w:val="22"/>
          <w:lang w:val="en-US" w:eastAsia="ja-JP"/>
        </w:rPr>
        <w:t xml:space="preserve"> </w:t>
      </w:r>
      <w:r w:rsidR="001B0687">
        <w:rPr>
          <w:rFonts w:cs="Arial"/>
          <w:sz w:val="22"/>
          <w:szCs w:val="22"/>
          <w:lang w:val="en-US" w:eastAsia="ja-JP"/>
        </w:rPr>
        <w:t>medicine</w:t>
      </w:r>
      <w:r w:rsidRPr="00EC028B">
        <w:rPr>
          <w:rFonts w:cs="Arial"/>
          <w:sz w:val="22"/>
          <w:szCs w:val="22"/>
          <w:lang w:val="en-US" w:eastAsia="ja-JP"/>
        </w:rPr>
        <w:t>s (other than aspirin ≤200 mg a day), severe renal</w:t>
      </w:r>
      <w:r w:rsidR="00B6127D">
        <w:rPr>
          <w:rFonts w:cs="Arial"/>
          <w:sz w:val="22"/>
          <w:szCs w:val="22"/>
          <w:lang w:val="en-US" w:eastAsia="ja-JP"/>
        </w:rPr>
        <w:t xml:space="preserve"> </w:t>
      </w:r>
      <w:r w:rsidRPr="00EC028B">
        <w:rPr>
          <w:rFonts w:cs="Arial"/>
          <w:sz w:val="22"/>
          <w:szCs w:val="22"/>
          <w:lang w:val="en-US" w:eastAsia="ja-JP"/>
        </w:rPr>
        <w:t>disease, or severe hepatic disease</w:t>
      </w:r>
      <w:r w:rsidR="00B6127D">
        <w:rPr>
          <w:rFonts w:cs="Arial"/>
          <w:sz w:val="22"/>
          <w:szCs w:val="22"/>
          <w:lang w:val="en-US" w:eastAsia="ja-JP"/>
        </w:rPr>
        <w:t xml:space="preserve"> (</w:t>
      </w:r>
      <w:r w:rsidR="00CE78C2">
        <w:rPr>
          <w:rFonts w:cs="Arial"/>
          <w:sz w:val="22"/>
          <w:szCs w:val="22"/>
          <w:lang w:val="en-US" w:eastAsia="ja-JP"/>
        </w:rPr>
        <w:fldChar w:fldCharType="begin"/>
      </w:r>
      <w:r w:rsidR="00CE78C2">
        <w:rPr>
          <w:rFonts w:cs="Arial"/>
          <w:sz w:val="22"/>
          <w:szCs w:val="22"/>
          <w:lang w:val="en-US" w:eastAsia="ja-JP"/>
        </w:rPr>
        <w:instrText xml:space="preserve"> REF _Ref284170919 \r \h </w:instrText>
      </w:r>
      <w:r w:rsidR="00CE78C2">
        <w:rPr>
          <w:rFonts w:cs="Arial"/>
          <w:sz w:val="22"/>
          <w:szCs w:val="22"/>
          <w:lang w:val="en-US" w:eastAsia="ja-JP"/>
        </w:rPr>
      </w:r>
      <w:r w:rsidR="00CE78C2">
        <w:rPr>
          <w:rFonts w:cs="Arial"/>
          <w:sz w:val="22"/>
          <w:szCs w:val="22"/>
          <w:lang w:val="en-US" w:eastAsia="ja-JP"/>
        </w:rPr>
        <w:fldChar w:fldCharType="separate"/>
      </w:r>
      <w:r w:rsidR="00151A1C">
        <w:rPr>
          <w:rFonts w:cs="Arial"/>
          <w:sz w:val="22"/>
          <w:szCs w:val="22"/>
          <w:lang w:val="en-US" w:eastAsia="ja-JP"/>
        </w:rPr>
        <w:t>40</w:t>
      </w:r>
      <w:r w:rsidR="00CE78C2">
        <w:rPr>
          <w:rFonts w:cs="Arial"/>
          <w:sz w:val="22"/>
          <w:szCs w:val="22"/>
          <w:lang w:val="en-US" w:eastAsia="ja-JP"/>
        </w:rPr>
        <w:fldChar w:fldCharType="end"/>
      </w:r>
      <w:r w:rsidR="004D2471">
        <w:rPr>
          <w:rFonts w:cs="Arial"/>
          <w:sz w:val="22"/>
          <w:szCs w:val="22"/>
          <w:lang w:val="en-US" w:eastAsia="ja-JP"/>
        </w:rPr>
        <w:t>;</w:t>
      </w:r>
      <w:r w:rsidR="00CE78C2">
        <w:rPr>
          <w:rFonts w:cs="Arial"/>
          <w:sz w:val="22"/>
          <w:szCs w:val="22"/>
          <w:lang w:val="en-US" w:eastAsia="ja-JP"/>
        </w:rPr>
        <w:fldChar w:fldCharType="begin"/>
      </w:r>
      <w:r w:rsidR="00CE78C2">
        <w:rPr>
          <w:rFonts w:cs="Arial"/>
          <w:sz w:val="22"/>
          <w:szCs w:val="22"/>
          <w:lang w:val="en-US" w:eastAsia="ja-JP"/>
        </w:rPr>
        <w:instrText xml:space="preserve"> REF _Ref284171394 \r \h </w:instrText>
      </w:r>
      <w:r w:rsidR="00CE78C2">
        <w:rPr>
          <w:rFonts w:cs="Arial"/>
          <w:sz w:val="22"/>
          <w:szCs w:val="22"/>
          <w:lang w:val="en-US" w:eastAsia="ja-JP"/>
        </w:rPr>
      </w:r>
      <w:r w:rsidR="00CE78C2">
        <w:rPr>
          <w:rFonts w:cs="Arial"/>
          <w:sz w:val="22"/>
          <w:szCs w:val="22"/>
          <w:lang w:val="en-US" w:eastAsia="ja-JP"/>
        </w:rPr>
        <w:fldChar w:fldCharType="separate"/>
      </w:r>
      <w:r w:rsidR="00151A1C">
        <w:rPr>
          <w:rFonts w:cs="Arial"/>
          <w:sz w:val="22"/>
          <w:szCs w:val="22"/>
          <w:lang w:val="en-US" w:eastAsia="ja-JP"/>
        </w:rPr>
        <w:t>42</w:t>
      </w:r>
      <w:r w:rsidR="00CE78C2">
        <w:rPr>
          <w:rFonts w:cs="Arial"/>
          <w:sz w:val="22"/>
          <w:szCs w:val="22"/>
          <w:lang w:val="en-US" w:eastAsia="ja-JP"/>
        </w:rPr>
        <w:fldChar w:fldCharType="end"/>
      </w:r>
      <w:r w:rsidR="004D2471">
        <w:rPr>
          <w:rFonts w:cs="Arial"/>
          <w:sz w:val="22"/>
          <w:szCs w:val="22"/>
          <w:lang w:val="en-US" w:eastAsia="ja-JP"/>
        </w:rPr>
        <w:t>)</w:t>
      </w:r>
      <w:r w:rsidRPr="00EC028B">
        <w:rPr>
          <w:rFonts w:cs="Arial"/>
          <w:sz w:val="22"/>
          <w:szCs w:val="22"/>
          <w:lang w:val="en-US" w:eastAsia="ja-JP"/>
        </w:rPr>
        <w:t>.</w:t>
      </w:r>
    </w:p>
    <w:p w14:paraId="78B851DA" w14:textId="77777777" w:rsidR="00001C6F" w:rsidRDefault="00001C6F" w:rsidP="008E4E92">
      <w:pPr>
        <w:autoSpaceDE w:val="0"/>
        <w:autoSpaceDN w:val="0"/>
        <w:adjustRightInd w:val="0"/>
        <w:rPr>
          <w:rFonts w:eastAsia="ScalaLancetPro-Bold" w:cs="Arial"/>
          <w:bCs/>
          <w:sz w:val="22"/>
          <w:szCs w:val="22"/>
          <w:lang w:eastAsia="ja-JP"/>
        </w:rPr>
      </w:pPr>
    </w:p>
    <w:p w14:paraId="4CD9AD15" w14:textId="7B624E04" w:rsidR="00BD5439" w:rsidRPr="004D2471" w:rsidRDefault="00384D45" w:rsidP="004D2471">
      <w:pPr>
        <w:autoSpaceDE w:val="0"/>
        <w:autoSpaceDN w:val="0"/>
        <w:adjustRightInd w:val="0"/>
        <w:rPr>
          <w:rFonts w:eastAsia="Shaker2Lancet-Bold" w:cs="Arial"/>
          <w:b/>
          <w:bCs/>
          <w:sz w:val="22"/>
          <w:szCs w:val="22"/>
          <w:lang w:eastAsia="ja-JP"/>
        </w:rPr>
      </w:pPr>
      <w:r w:rsidRPr="004D2471">
        <w:rPr>
          <w:rFonts w:eastAsia="Shaker2Lancet-Bold" w:cs="Arial"/>
          <w:b/>
          <w:bCs/>
          <w:sz w:val="22"/>
          <w:szCs w:val="22"/>
          <w:lang w:eastAsia="ja-JP"/>
        </w:rPr>
        <w:t>3.4</w:t>
      </w:r>
      <w:r w:rsidR="00F305BD" w:rsidRPr="004D2471">
        <w:rPr>
          <w:rFonts w:eastAsia="Shaker2Lancet-Bold" w:cs="Arial"/>
          <w:b/>
          <w:bCs/>
          <w:sz w:val="22"/>
          <w:szCs w:val="22"/>
          <w:lang w:eastAsia="ja-JP"/>
        </w:rPr>
        <w:t>.4 Interventions</w:t>
      </w:r>
      <w:r w:rsidR="004D2471" w:rsidRPr="004D2471">
        <w:rPr>
          <w:rFonts w:eastAsia="Shaker2Lancet-Bold" w:cs="Arial"/>
          <w:b/>
          <w:bCs/>
          <w:sz w:val="22"/>
          <w:szCs w:val="22"/>
          <w:lang w:eastAsia="ja-JP"/>
        </w:rPr>
        <w:t xml:space="preserve">: </w:t>
      </w:r>
      <w:r w:rsidR="00BD5439" w:rsidRPr="004D2471">
        <w:rPr>
          <w:sz w:val="22"/>
          <w:szCs w:val="22"/>
          <w:lang w:val="en-US" w:eastAsia="ja-JP"/>
        </w:rPr>
        <w:t>666 patients were randomly assigned (1:1), via an interactive voice-response system with blo</w:t>
      </w:r>
      <w:r w:rsidR="0096247A">
        <w:rPr>
          <w:sz w:val="22"/>
          <w:szCs w:val="22"/>
          <w:lang w:val="en-US" w:eastAsia="ja-JP"/>
        </w:rPr>
        <w:t>ck randomisation, to receive IV</w:t>
      </w:r>
      <w:r w:rsidR="00BD5439" w:rsidRPr="004D2471">
        <w:rPr>
          <w:sz w:val="22"/>
          <w:szCs w:val="22"/>
          <w:lang w:val="en-US" w:eastAsia="ja-JP"/>
        </w:rPr>
        <w:t xml:space="preserve"> tedizolid phosphate 200 mg once daily for 6 days (n=332) or </w:t>
      </w:r>
      <w:r w:rsidRPr="004D2471">
        <w:rPr>
          <w:sz w:val="22"/>
          <w:szCs w:val="22"/>
          <w:lang w:val="en-US" w:eastAsia="ja-JP"/>
        </w:rPr>
        <w:t>IV</w:t>
      </w:r>
      <w:r w:rsidR="00BD5439" w:rsidRPr="004D2471">
        <w:rPr>
          <w:sz w:val="22"/>
          <w:szCs w:val="22"/>
          <w:lang w:val="en-US" w:eastAsia="ja-JP"/>
        </w:rPr>
        <w:t xml:space="preserve"> linezolid 600 mg twice daily for 10 days (n=334)</w:t>
      </w:r>
      <w:r w:rsidR="00A42BC0" w:rsidRPr="004D2471">
        <w:rPr>
          <w:sz w:val="22"/>
          <w:szCs w:val="22"/>
          <w:lang w:val="en-US" w:eastAsia="ja-JP"/>
        </w:rPr>
        <w:t>, with optional oral step-down.</w:t>
      </w:r>
    </w:p>
    <w:p w14:paraId="6D92AEF6" w14:textId="77777777" w:rsidR="00BD5439" w:rsidRPr="004D2471" w:rsidRDefault="00BD5439" w:rsidP="00BD5439">
      <w:pPr>
        <w:widowControl w:val="0"/>
        <w:autoSpaceDE w:val="0"/>
        <w:autoSpaceDN w:val="0"/>
        <w:adjustRightInd w:val="0"/>
        <w:rPr>
          <w:sz w:val="22"/>
          <w:szCs w:val="22"/>
          <w:lang w:val="en-US" w:eastAsia="ja-JP"/>
        </w:rPr>
      </w:pPr>
    </w:p>
    <w:p w14:paraId="5A60CEAC" w14:textId="3B7596B7" w:rsidR="00BD5439" w:rsidRPr="004D2471" w:rsidRDefault="00BD5439" w:rsidP="00BD5439">
      <w:pPr>
        <w:widowControl w:val="0"/>
        <w:autoSpaceDE w:val="0"/>
        <w:autoSpaceDN w:val="0"/>
        <w:adjustRightInd w:val="0"/>
        <w:rPr>
          <w:sz w:val="22"/>
          <w:szCs w:val="22"/>
          <w:lang w:val="en-US" w:eastAsia="ja-JP"/>
        </w:rPr>
      </w:pPr>
      <w:r w:rsidRPr="004D2471">
        <w:rPr>
          <w:sz w:val="22"/>
          <w:szCs w:val="22"/>
          <w:lang w:val="en-US"/>
        </w:rPr>
        <w:t xml:space="preserve">Randomisation was stratified by the geographic region and clinical syndrome (cellulitis/erysipelas, major cutaneous abscess, and wound infection). </w:t>
      </w:r>
      <w:r w:rsidRPr="004D2471">
        <w:rPr>
          <w:sz w:val="22"/>
          <w:szCs w:val="22"/>
          <w:lang w:val="en-US" w:eastAsia="ja-JP"/>
        </w:rPr>
        <w:t>Patients, study investigators, study staff participating in direct patient care or clinical evaluations, and the study sponsor were masked to treatment assignment. The investigators used a double-dummy design with placebo unique to each active treatment to maintain the blinding.</w:t>
      </w:r>
    </w:p>
    <w:p w14:paraId="66C92C4A" w14:textId="60989C44" w:rsidR="00BD5439" w:rsidRPr="004D2471" w:rsidRDefault="00BD5439" w:rsidP="00BD5439">
      <w:pPr>
        <w:widowControl w:val="0"/>
        <w:autoSpaceDE w:val="0"/>
        <w:autoSpaceDN w:val="0"/>
        <w:adjustRightInd w:val="0"/>
        <w:rPr>
          <w:sz w:val="22"/>
          <w:szCs w:val="22"/>
          <w:lang w:val="en-US" w:eastAsia="ja-JP"/>
        </w:rPr>
      </w:pPr>
    </w:p>
    <w:p w14:paraId="10ED01F9" w14:textId="2923AF57" w:rsidR="00BD5439" w:rsidRPr="004D2471" w:rsidRDefault="00BD5439" w:rsidP="00BD5439">
      <w:pPr>
        <w:autoSpaceDE w:val="0"/>
        <w:autoSpaceDN w:val="0"/>
        <w:adjustRightInd w:val="0"/>
        <w:rPr>
          <w:rFonts w:eastAsia="Shaker2Lancet-Bold" w:cs="Arial"/>
          <w:b/>
          <w:bCs/>
          <w:sz w:val="22"/>
          <w:szCs w:val="22"/>
          <w:lang w:eastAsia="ja-JP"/>
        </w:rPr>
      </w:pPr>
      <w:r w:rsidRPr="004D2471">
        <w:rPr>
          <w:sz w:val="22"/>
          <w:szCs w:val="22"/>
          <w:lang w:val="en-US"/>
        </w:rPr>
        <w:t xml:space="preserve">All patients were administered Dose 1 and Dose 2 of study drug intravenously on day 1 and could then be switched to oral administration if any two of the four following protocol </w:t>
      </w:r>
      <w:r w:rsidRPr="004D2471">
        <w:rPr>
          <w:sz w:val="22"/>
          <w:szCs w:val="22"/>
          <w:lang w:val="en-US"/>
        </w:rPr>
        <w:lastRenderedPageBreak/>
        <w:t>defined criteria were met: no increase in lesion area size, temperature &lt;37.7°C, no local signs or symptoms of the primary ABSSSI site, and improvement of at least one local sign or symptom of primary ABSSSI since previous visit. IV treatment was delivered in a healthcare setting although patients were allowed to take oral tedizolid phosphate at home.</w:t>
      </w:r>
      <w:r w:rsidRPr="004D2471">
        <w:rPr>
          <w:sz w:val="22"/>
          <w:szCs w:val="22"/>
          <w:lang w:val="en-US" w:eastAsia="ja-JP"/>
        </w:rPr>
        <w:t xml:space="preserve"> Patients could receive intravenous therapy for the entire study duration at the discretion of the investigator, even if switching criteria were met.</w:t>
      </w:r>
    </w:p>
    <w:p w14:paraId="6D07FEDC" w14:textId="77777777" w:rsidR="00BD5439" w:rsidRPr="004D2471" w:rsidRDefault="00BD5439" w:rsidP="00BD5439">
      <w:pPr>
        <w:pStyle w:val="BodyText"/>
        <w:rPr>
          <w:sz w:val="22"/>
          <w:szCs w:val="22"/>
          <w:lang w:val="en-US"/>
        </w:rPr>
      </w:pPr>
    </w:p>
    <w:p w14:paraId="1F0C25E4" w14:textId="04C3E26D" w:rsidR="00BD5439" w:rsidRPr="00EC028B" w:rsidRDefault="00BD5439" w:rsidP="00BD5439">
      <w:pPr>
        <w:pStyle w:val="BodyText"/>
        <w:rPr>
          <w:rFonts w:cs="Arial"/>
          <w:sz w:val="22"/>
          <w:szCs w:val="22"/>
          <w:lang w:val="en-US"/>
        </w:rPr>
      </w:pPr>
      <w:r w:rsidRPr="00EC028B">
        <w:rPr>
          <w:rFonts w:cs="Arial"/>
          <w:sz w:val="22"/>
          <w:szCs w:val="22"/>
          <w:lang w:val="en-US"/>
        </w:rPr>
        <w:t xml:space="preserve">The daily dose schedule according to treatment groups is described in </w:t>
      </w:r>
      <w:r w:rsidR="00EF4135">
        <w:rPr>
          <w:rFonts w:cs="Arial"/>
          <w:sz w:val="22"/>
          <w:szCs w:val="22"/>
          <w:lang w:val="en-US"/>
        </w:rPr>
        <w:fldChar w:fldCharType="begin"/>
      </w:r>
      <w:r w:rsidR="00EF4135">
        <w:rPr>
          <w:rFonts w:cs="Arial"/>
          <w:sz w:val="22"/>
          <w:szCs w:val="22"/>
          <w:lang w:val="en-US"/>
        </w:rPr>
        <w:instrText xml:space="preserve"> REF _Ref381692748 \h </w:instrText>
      </w:r>
      <w:r w:rsidR="00EF4135">
        <w:rPr>
          <w:rFonts w:cs="Arial"/>
          <w:sz w:val="22"/>
          <w:szCs w:val="22"/>
          <w:lang w:val="en-US"/>
        </w:rPr>
      </w:r>
      <w:r w:rsidR="00EF4135">
        <w:rPr>
          <w:rFonts w:cs="Arial"/>
          <w:sz w:val="22"/>
          <w:szCs w:val="22"/>
          <w:lang w:val="en-US"/>
        </w:rPr>
        <w:fldChar w:fldCharType="separate"/>
      </w:r>
      <w:r w:rsidR="00151A1C" w:rsidRPr="00EC028B">
        <w:rPr>
          <w:rFonts w:cs="Arial"/>
          <w:sz w:val="22"/>
          <w:szCs w:val="22"/>
          <w:lang w:val="en-US"/>
        </w:rPr>
        <w:t xml:space="preserve">Table </w:t>
      </w:r>
      <w:r w:rsidR="00151A1C">
        <w:rPr>
          <w:rFonts w:cs="Arial"/>
          <w:noProof/>
          <w:sz w:val="22"/>
          <w:szCs w:val="22"/>
          <w:lang w:val="en-US"/>
        </w:rPr>
        <w:t>16</w:t>
      </w:r>
      <w:r w:rsidR="00EF4135">
        <w:rPr>
          <w:rFonts w:cs="Arial"/>
          <w:sz w:val="22"/>
          <w:szCs w:val="22"/>
          <w:lang w:val="en-US"/>
        </w:rPr>
        <w:fldChar w:fldCharType="end"/>
      </w:r>
      <w:r w:rsidRPr="00EC028B">
        <w:rPr>
          <w:rFonts w:cs="Arial"/>
          <w:sz w:val="22"/>
          <w:szCs w:val="22"/>
          <w:lang w:val="en-US"/>
        </w:rPr>
        <w:t>.</w:t>
      </w:r>
    </w:p>
    <w:p w14:paraId="30167093" w14:textId="77777777" w:rsidR="00BD5439" w:rsidRPr="00EC028B" w:rsidRDefault="00BD5439" w:rsidP="00BD5439">
      <w:pPr>
        <w:pStyle w:val="Caption"/>
        <w:rPr>
          <w:rFonts w:ascii="Arial" w:hAnsi="Arial" w:cs="Arial"/>
          <w:sz w:val="22"/>
          <w:szCs w:val="22"/>
          <w:lang w:val="en-US"/>
        </w:rPr>
      </w:pPr>
      <w:bookmarkStart w:id="97" w:name="_Ref381692748"/>
      <w:bookmarkStart w:id="98" w:name="_Toc396058437"/>
      <w:r w:rsidRPr="00EC028B">
        <w:rPr>
          <w:rFonts w:ascii="Arial" w:hAnsi="Arial" w:cs="Arial"/>
          <w:sz w:val="22"/>
          <w:szCs w:val="22"/>
          <w:lang w:val="en-US"/>
        </w:rPr>
        <w:t xml:space="preserve">Table </w:t>
      </w:r>
      <w:r w:rsidRPr="00EC028B">
        <w:rPr>
          <w:rFonts w:ascii="Arial" w:hAnsi="Arial" w:cs="Arial"/>
          <w:sz w:val="22"/>
          <w:szCs w:val="22"/>
          <w:lang w:val="en-US"/>
        </w:rPr>
        <w:fldChar w:fldCharType="begin"/>
      </w:r>
      <w:r w:rsidRPr="00EC028B">
        <w:rPr>
          <w:rFonts w:ascii="Arial" w:hAnsi="Arial" w:cs="Arial"/>
          <w:sz w:val="22"/>
          <w:szCs w:val="22"/>
          <w:lang w:val="en-US"/>
        </w:rPr>
        <w:instrText xml:space="preserve"> SEQ Table \* ARABIC </w:instrText>
      </w:r>
      <w:r w:rsidRPr="00EC028B">
        <w:rPr>
          <w:rFonts w:ascii="Arial" w:hAnsi="Arial" w:cs="Arial"/>
          <w:sz w:val="22"/>
          <w:szCs w:val="22"/>
          <w:lang w:val="en-US"/>
        </w:rPr>
        <w:fldChar w:fldCharType="separate"/>
      </w:r>
      <w:r w:rsidR="00151A1C">
        <w:rPr>
          <w:rFonts w:ascii="Arial" w:hAnsi="Arial" w:cs="Arial"/>
          <w:noProof/>
          <w:sz w:val="22"/>
          <w:szCs w:val="22"/>
          <w:lang w:val="en-US"/>
        </w:rPr>
        <w:t>16</w:t>
      </w:r>
      <w:r w:rsidRPr="00EC028B">
        <w:rPr>
          <w:rFonts w:ascii="Arial" w:hAnsi="Arial" w:cs="Arial"/>
          <w:sz w:val="22"/>
          <w:szCs w:val="22"/>
          <w:lang w:val="en-US"/>
        </w:rPr>
        <w:fldChar w:fldCharType="end"/>
      </w:r>
      <w:bookmarkEnd w:id="97"/>
      <w:r w:rsidRPr="00EC028B">
        <w:rPr>
          <w:rFonts w:ascii="Arial" w:hAnsi="Arial" w:cs="Arial"/>
          <w:sz w:val="22"/>
          <w:szCs w:val="22"/>
          <w:lang w:val="en-US"/>
        </w:rPr>
        <w:t>: Daily dosing schedule by treatment group in ESTABLISH-2</w:t>
      </w:r>
      <w:bookmarkEnd w:id="98"/>
    </w:p>
    <w:tbl>
      <w:tblPr>
        <w:tblStyle w:val="Table-HERONplain"/>
        <w:tblW w:w="0" w:type="auto"/>
        <w:tblLook w:val="04A0" w:firstRow="1" w:lastRow="0" w:firstColumn="1" w:lastColumn="0" w:noHBand="0" w:noVBand="1"/>
      </w:tblPr>
      <w:tblGrid>
        <w:gridCol w:w="969"/>
        <w:gridCol w:w="1594"/>
        <w:gridCol w:w="1211"/>
        <w:gridCol w:w="2471"/>
        <w:gridCol w:w="2658"/>
      </w:tblGrid>
      <w:tr w:rsidR="00A42BC0" w:rsidRPr="004D2471" w14:paraId="5565E3BD" w14:textId="77777777" w:rsidTr="0010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shd w:val="clear" w:color="auto" w:fill="auto"/>
            <w:hideMark/>
          </w:tcPr>
          <w:p w14:paraId="67E97B96" w14:textId="77777777" w:rsidR="00BD5439" w:rsidRPr="004D2471" w:rsidRDefault="00BD5439" w:rsidP="0015653B">
            <w:pPr>
              <w:pStyle w:val="TableBodyText-H54"/>
              <w:rPr>
                <w:rFonts w:ascii="Arial" w:hAnsi="Arial" w:cs="Arial"/>
                <w:sz w:val="20"/>
                <w:lang w:val="en-US" w:eastAsia="en-GB"/>
              </w:rPr>
            </w:pPr>
            <w:r w:rsidRPr="004D2471">
              <w:rPr>
                <w:rFonts w:ascii="Arial" w:hAnsi="Arial" w:cs="Arial"/>
                <w:sz w:val="20"/>
                <w:lang w:val="en-US" w:eastAsia="en-GB"/>
              </w:rPr>
              <w:t>Days</w:t>
            </w:r>
          </w:p>
        </w:tc>
        <w:tc>
          <w:tcPr>
            <w:tcW w:w="1594" w:type="dxa"/>
            <w:shd w:val="clear" w:color="auto" w:fill="auto"/>
            <w:hideMark/>
          </w:tcPr>
          <w:p w14:paraId="03370E93" w14:textId="77777777" w:rsidR="00BD5439" w:rsidRPr="004D2471" w:rsidRDefault="00BD5439"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Route of administration</w:t>
            </w:r>
          </w:p>
        </w:tc>
        <w:tc>
          <w:tcPr>
            <w:tcW w:w="1243" w:type="dxa"/>
            <w:shd w:val="clear" w:color="auto" w:fill="auto"/>
            <w:hideMark/>
          </w:tcPr>
          <w:p w14:paraId="7236D226" w14:textId="77777777" w:rsidR="00BD5439" w:rsidRPr="004D2471" w:rsidRDefault="00BD5439"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w:t>
            </w:r>
          </w:p>
        </w:tc>
        <w:tc>
          <w:tcPr>
            <w:tcW w:w="2551" w:type="dxa"/>
            <w:shd w:val="clear" w:color="auto" w:fill="auto"/>
            <w:hideMark/>
          </w:tcPr>
          <w:p w14:paraId="3C28F737" w14:textId="77777777" w:rsidR="00BD5439" w:rsidRPr="004D2471" w:rsidRDefault="00BD5439"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Tedizolid phosphate group</w:t>
            </w:r>
          </w:p>
        </w:tc>
        <w:tc>
          <w:tcPr>
            <w:tcW w:w="2755" w:type="dxa"/>
            <w:shd w:val="clear" w:color="auto" w:fill="auto"/>
            <w:hideMark/>
          </w:tcPr>
          <w:p w14:paraId="0AA0C9AF" w14:textId="77777777" w:rsidR="00BD5439" w:rsidRPr="004D2471" w:rsidRDefault="00BD5439"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Linezolid group</w:t>
            </w:r>
          </w:p>
        </w:tc>
      </w:tr>
      <w:tr w:rsidR="00A42BC0" w:rsidRPr="004D2471" w14:paraId="1FB7DE17" w14:textId="77777777" w:rsidTr="001042CC">
        <w:trPr>
          <w:trHeight w:val="196"/>
        </w:trPr>
        <w:tc>
          <w:tcPr>
            <w:cnfStyle w:val="001000000000" w:firstRow="0" w:lastRow="0" w:firstColumn="1" w:lastColumn="0" w:oddVBand="0" w:evenVBand="0" w:oddHBand="0" w:evenHBand="0" w:firstRowFirstColumn="0" w:firstRowLastColumn="0" w:lastRowFirstColumn="0" w:lastRowLastColumn="0"/>
            <w:tcW w:w="986" w:type="dxa"/>
            <w:vMerge w:val="restart"/>
            <w:shd w:val="clear" w:color="auto" w:fill="auto"/>
            <w:hideMark/>
          </w:tcPr>
          <w:p w14:paraId="40DEA719" w14:textId="77777777" w:rsidR="00BD5439" w:rsidRPr="004D2471" w:rsidRDefault="00BD5439" w:rsidP="0015653B">
            <w:pPr>
              <w:pStyle w:val="TableBodyText-H54"/>
              <w:rPr>
                <w:rFonts w:ascii="Arial" w:hAnsi="Arial" w:cs="Arial"/>
                <w:sz w:val="20"/>
                <w:lang w:val="en-US" w:eastAsia="en-GB"/>
              </w:rPr>
            </w:pPr>
            <w:r w:rsidRPr="004D2471">
              <w:rPr>
                <w:rFonts w:ascii="Arial" w:hAnsi="Arial" w:cs="Arial"/>
                <w:sz w:val="20"/>
                <w:lang w:val="en-US" w:eastAsia="en-GB"/>
              </w:rPr>
              <w:t>1</w:t>
            </w:r>
          </w:p>
        </w:tc>
        <w:tc>
          <w:tcPr>
            <w:tcW w:w="1594" w:type="dxa"/>
            <w:hideMark/>
          </w:tcPr>
          <w:p w14:paraId="38BD30F7"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w:t>
            </w:r>
          </w:p>
        </w:tc>
        <w:tc>
          <w:tcPr>
            <w:tcW w:w="1243" w:type="dxa"/>
            <w:hideMark/>
          </w:tcPr>
          <w:p w14:paraId="4D0C4720"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1</w:t>
            </w:r>
          </w:p>
        </w:tc>
        <w:tc>
          <w:tcPr>
            <w:tcW w:w="2551" w:type="dxa"/>
            <w:vAlign w:val="top"/>
            <w:hideMark/>
          </w:tcPr>
          <w:p w14:paraId="6B1176D5"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Active tedizolid phosphate + placebo linezolid</w:t>
            </w:r>
          </w:p>
        </w:tc>
        <w:tc>
          <w:tcPr>
            <w:tcW w:w="2755" w:type="dxa"/>
            <w:hideMark/>
          </w:tcPr>
          <w:p w14:paraId="1808ABEA"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tedizolid phosphate + active linezolid</w:t>
            </w:r>
          </w:p>
        </w:tc>
      </w:tr>
      <w:tr w:rsidR="00A42BC0" w:rsidRPr="004D2471" w14:paraId="127F52E7" w14:textId="77777777" w:rsidTr="001042CC">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86" w:type="dxa"/>
            <w:vMerge/>
            <w:shd w:val="clear" w:color="auto" w:fill="auto"/>
            <w:hideMark/>
          </w:tcPr>
          <w:p w14:paraId="6BCFE707" w14:textId="77777777" w:rsidR="00BD5439" w:rsidRPr="004D2471" w:rsidRDefault="00BD5439" w:rsidP="0015653B">
            <w:pPr>
              <w:rPr>
                <w:rFonts w:cs="Arial"/>
                <w:sz w:val="20"/>
                <w:lang w:val="en-US" w:eastAsia="en-GB"/>
              </w:rPr>
            </w:pPr>
          </w:p>
        </w:tc>
        <w:tc>
          <w:tcPr>
            <w:tcW w:w="1594" w:type="dxa"/>
            <w:hideMark/>
          </w:tcPr>
          <w:p w14:paraId="21DEED1C"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w:t>
            </w:r>
          </w:p>
        </w:tc>
        <w:tc>
          <w:tcPr>
            <w:tcW w:w="1243" w:type="dxa"/>
            <w:hideMark/>
          </w:tcPr>
          <w:p w14:paraId="003AFE81"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2</w:t>
            </w:r>
          </w:p>
        </w:tc>
        <w:tc>
          <w:tcPr>
            <w:tcW w:w="2551" w:type="dxa"/>
            <w:vAlign w:val="top"/>
            <w:hideMark/>
          </w:tcPr>
          <w:p w14:paraId="7242383C"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linezolid</w:t>
            </w:r>
          </w:p>
        </w:tc>
        <w:tc>
          <w:tcPr>
            <w:tcW w:w="2755" w:type="dxa"/>
            <w:hideMark/>
          </w:tcPr>
          <w:p w14:paraId="7174376D"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Active linezolid</w:t>
            </w:r>
          </w:p>
        </w:tc>
      </w:tr>
      <w:tr w:rsidR="00A42BC0" w:rsidRPr="004D2471" w14:paraId="0114C380" w14:textId="77777777" w:rsidTr="001042CC">
        <w:trPr>
          <w:trHeight w:val="196"/>
        </w:trPr>
        <w:tc>
          <w:tcPr>
            <w:cnfStyle w:val="001000000000" w:firstRow="0" w:lastRow="0" w:firstColumn="1" w:lastColumn="0" w:oddVBand="0" w:evenVBand="0" w:oddHBand="0" w:evenHBand="0" w:firstRowFirstColumn="0" w:firstRowLastColumn="0" w:lastRowFirstColumn="0" w:lastRowLastColumn="0"/>
            <w:tcW w:w="986" w:type="dxa"/>
            <w:vMerge w:val="restart"/>
            <w:shd w:val="clear" w:color="auto" w:fill="auto"/>
            <w:hideMark/>
          </w:tcPr>
          <w:p w14:paraId="399C1699" w14:textId="77777777" w:rsidR="00BD5439" w:rsidRPr="004D2471" w:rsidRDefault="00BD5439" w:rsidP="0015653B">
            <w:pPr>
              <w:pStyle w:val="TableBodyText-H54"/>
              <w:rPr>
                <w:rFonts w:ascii="Arial" w:hAnsi="Arial" w:cs="Arial"/>
                <w:sz w:val="20"/>
                <w:lang w:val="en-US" w:eastAsia="en-GB"/>
              </w:rPr>
            </w:pPr>
            <w:r w:rsidRPr="004D2471">
              <w:rPr>
                <w:rFonts w:ascii="Arial" w:hAnsi="Arial" w:cs="Arial"/>
                <w:sz w:val="20"/>
                <w:lang w:val="en-US" w:eastAsia="en-GB"/>
              </w:rPr>
              <w:t>2-6</w:t>
            </w:r>
          </w:p>
        </w:tc>
        <w:tc>
          <w:tcPr>
            <w:tcW w:w="1594" w:type="dxa"/>
            <w:hideMark/>
          </w:tcPr>
          <w:p w14:paraId="341BCBA4"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IV/oral</w:t>
            </w:r>
          </w:p>
        </w:tc>
        <w:tc>
          <w:tcPr>
            <w:tcW w:w="1243" w:type="dxa"/>
            <w:hideMark/>
          </w:tcPr>
          <w:p w14:paraId="2960272D"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1</w:t>
            </w:r>
          </w:p>
        </w:tc>
        <w:tc>
          <w:tcPr>
            <w:tcW w:w="2551" w:type="dxa"/>
            <w:hideMark/>
          </w:tcPr>
          <w:p w14:paraId="68CB9F98"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Active tedizolid phosphate + placebo linezolid</w:t>
            </w:r>
          </w:p>
        </w:tc>
        <w:tc>
          <w:tcPr>
            <w:tcW w:w="2755" w:type="dxa"/>
            <w:hideMark/>
          </w:tcPr>
          <w:p w14:paraId="66B67789"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tedizolid phosphate + active linezolid</w:t>
            </w:r>
          </w:p>
        </w:tc>
      </w:tr>
      <w:tr w:rsidR="00A42BC0" w:rsidRPr="004D2471" w14:paraId="2B97EFB7" w14:textId="77777777" w:rsidTr="001042CC">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86" w:type="dxa"/>
            <w:vMerge/>
            <w:shd w:val="clear" w:color="auto" w:fill="auto"/>
            <w:hideMark/>
          </w:tcPr>
          <w:p w14:paraId="149CBB3A" w14:textId="77777777" w:rsidR="00BD5439" w:rsidRPr="004D2471" w:rsidRDefault="00BD5439" w:rsidP="0015653B">
            <w:pPr>
              <w:rPr>
                <w:rFonts w:cs="Arial"/>
                <w:sz w:val="20"/>
                <w:lang w:val="en-US" w:eastAsia="en-GB"/>
              </w:rPr>
            </w:pPr>
          </w:p>
        </w:tc>
        <w:tc>
          <w:tcPr>
            <w:tcW w:w="1594" w:type="dxa"/>
            <w:hideMark/>
          </w:tcPr>
          <w:p w14:paraId="5BC75C9D"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IV/oral</w:t>
            </w:r>
          </w:p>
        </w:tc>
        <w:tc>
          <w:tcPr>
            <w:tcW w:w="1243" w:type="dxa"/>
            <w:hideMark/>
          </w:tcPr>
          <w:p w14:paraId="0A38CF63"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2</w:t>
            </w:r>
          </w:p>
        </w:tc>
        <w:tc>
          <w:tcPr>
            <w:tcW w:w="2551" w:type="dxa"/>
            <w:hideMark/>
          </w:tcPr>
          <w:p w14:paraId="4078CAC1"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linezolid</w:t>
            </w:r>
          </w:p>
        </w:tc>
        <w:tc>
          <w:tcPr>
            <w:tcW w:w="2755" w:type="dxa"/>
            <w:hideMark/>
          </w:tcPr>
          <w:p w14:paraId="75071405"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Active linezolid</w:t>
            </w:r>
          </w:p>
        </w:tc>
      </w:tr>
      <w:tr w:rsidR="00A42BC0" w:rsidRPr="004D2471" w14:paraId="3F29BEBF" w14:textId="77777777" w:rsidTr="001042CC">
        <w:trPr>
          <w:trHeight w:val="196"/>
        </w:trPr>
        <w:tc>
          <w:tcPr>
            <w:cnfStyle w:val="001000000000" w:firstRow="0" w:lastRow="0" w:firstColumn="1" w:lastColumn="0" w:oddVBand="0" w:evenVBand="0" w:oddHBand="0" w:evenHBand="0" w:firstRowFirstColumn="0" w:firstRowLastColumn="0" w:lastRowFirstColumn="0" w:lastRowLastColumn="0"/>
            <w:tcW w:w="986" w:type="dxa"/>
            <w:vMerge w:val="restart"/>
            <w:shd w:val="clear" w:color="auto" w:fill="auto"/>
            <w:hideMark/>
          </w:tcPr>
          <w:p w14:paraId="7ED40888" w14:textId="77777777" w:rsidR="00BD5439" w:rsidRPr="004D2471" w:rsidRDefault="00BD5439" w:rsidP="0015653B">
            <w:pPr>
              <w:pStyle w:val="TableBodyText-H54"/>
              <w:rPr>
                <w:rFonts w:ascii="Arial" w:hAnsi="Arial" w:cs="Arial"/>
                <w:sz w:val="20"/>
                <w:lang w:val="en-US" w:eastAsia="en-GB"/>
              </w:rPr>
            </w:pPr>
            <w:r w:rsidRPr="004D2471">
              <w:rPr>
                <w:rFonts w:ascii="Arial" w:hAnsi="Arial" w:cs="Arial"/>
                <w:sz w:val="20"/>
                <w:lang w:val="en-US" w:eastAsia="en-GB"/>
              </w:rPr>
              <w:t>7-10</w:t>
            </w:r>
          </w:p>
        </w:tc>
        <w:tc>
          <w:tcPr>
            <w:tcW w:w="1594" w:type="dxa"/>
            <w:hideMark/>
          </w:tcPr>
          <w:p w14:paraId="27584D6F"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IV/oral</w:t>
            </w:r>
          </w:p>
        </w:tc>
        <w:tc>
          <w:tcPr>
            <w:tcW w:w="1243" w:type="dxa"/>
            <w:hideMark/>
          </w:tcPr>
          <w:p w14:paraId="019F50E7"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1</w:t>
            </w:r>
          </w:p>
        </w:tc>
        <w:tc>
          <w:tcPr>
            <w:tcW w:w="2551" w:type="dxa"/>
            <w:hideMark/>
          </w:tcPr>
          <w:p w14:paraId="57EF5C86"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tedizolid phosphate + placebo linezolid</w:t>
            </w:r>
          </w:p>
        </w:tc>
        <w:tc>
          <w:tcPr>
            <w:tcW w:w="2755" w:type="dxa"/>
            <w:hideMark/>
          </w:tcPr>
          <w:p w14:paraId="14BD59C6" w14:textId="77777777" w:rsidR="00BD5439" w:rsidRPr="004D2471" w:rsidRDefault="00BD5439"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tedizolid phosphate + active linezolid</w:t>
            </w:r>
          </w:p>
        </w:tc>
      </w:tr>
      <w:tr w:rsidR="00A42BC0" w:rsidRPr="004D2471" w14:paraId="2CB49B97" w14:textId="77777777" w:rsidTr="001042CC">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86" w:type="dxa"/>
            <w:vMerge/>
            <w:shd w:val="clear" w:color="auto" w:fill="auto"/>
            <w:hideMark/>
          </w:tcPr>
          <w:p w14:paraId="3F87799B" w14:textId="77777777" w:rsidR="00BD5439" w:rsidRPr="004D2471" w:rsidRDefault="00BD5439" w:rsidP="0015653B">
            <w:pPr>
              <w:rPr>
                <w:rFonts w:cs="Arial"/>
                <w:sz w:val="20"/>
                <w:lang w:val="en-US" w:eastAsia="en-GB"/>
              </w:rPr>
            </w:pPr>
          </w:p>
        </w:tc>
        <w:tc>
          <w:tcPr>
            <w:tcW w:w="1594" w:type="dxa"/>
            <w:hideMark/>
          </w:tcPr>
          <w:p w14:paraId="4B510F71"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IV/oral</w:t>
            </w:r>
          </w:p>
        </w:tc>
        <w:tc>
          <w:tcPr>
            <w:tcW w:w="1243" w:type="dxa"/>
            <w:hideMark/>
          </w:tcPr>
          <w:p w14:paraId="7FCA3D9C"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Dose 2</w:t>
            </w:r>
          </w:p>
        </w:tc>
        <w:tc>
          <w:tcPr>
            <w:tcW w:w="2551" w:type="dxa"/>
            <w:hideMark/>
          </w:tcPr>
          <w:p w14:paraId="0CAA8887"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Placebo linezolid</w:t>
            </w:r>
          </w:p>
        </w:tc>
        <w:tc>
          <w:tcPr>
            <w:tcW w:w="2755" w:type="dxa"/>
            <w:hideMark/>
          </w:tcPr>
          <w:p w14:paraId="05446A74" w14:textId="77777777" w:rsidR="00BD5439" w:rsidRPr="004D2471" w:rsidRDefault="00BD5439"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D2471">
              <w:rPr>
                <w:rFonts w:ascii="Arial" w:hAnsi="Arial" w:cs="Arial"/>
                <w:sz w:val="20"/>
                <w:lang w:val="en-US" w:eastAsia="en-GB"/>
              </w:rPr>
              <w:t>Active linezolid</w:t>
            </w:r>
          </w:p>
        </w:tc>
      </w:tr>
    </w:tbl>
    <w:p w14:paraId="4D052A22" w14:textId="4C416B9D" w:rsidR="00BD5439" w:rsidRPr="004D2471" w:rsidRDefault="00BD5439" w:rsidP="00BD5439">
      <w:pPr>
        <w:pStyle w:val="TableNote-H58"/>
        <w:rPr>
          <w:rStyle w:val="CommentReference"/>
          <w:rFonts w:ascii="Arial" w:hAnsi="Arial" w:cs="Arial"/>
          <w:sz w:val="16"/>
          <w:szCs w:val="16"/>
          <w:lang w:val="en-US"/>
        </w:rPr>
      </w:pPr>
      <w:r w:rsidRPr="004D2471">
        <w:rPr>
          <w:rStyle w:val="CommentReference"/>
          <w:rFonts w:ascii="Arial" w:eastAsiaTheme="majorEastAsia" w:hAnsi="Arial" w:cs="Arial"/>
          <w:sz w:val="16"/>
          <w:szCs w:val="16"/>
          <w:lang w:val="en-US"/>
        </w:rPr>
        <w:t xml:space="preserve">SOURCE: </w:t>
      </w:r>
      <w:r w:rsidRPr="004D2471">
        <w:rPr>
          <w:rFonts w:ascii="Arial" w:hAnsi="Arial" w:cs="Arial"/>
          <w:sz w:val="16"/>
          <w:szCs w:val="16"/>
          <w:lang w:val="en-US"/>
        </w:rPr>
        <w:t>ESTABLISH-2 CSR</w:t>
      </w:r>
      <w:r w:rsidR="00CE78C2">
        <w:rPr>
          <w:rFonts w:ascii="Arial" w:hAnsi="Arial" w:cs="Arial"/>
          <w:sz w:val="16"/>
          <w:szCs w:val="16"/>
          <w:lang w:val="en-US"/>
        </w:rPr>
        <w:t xml:space="preserve"> </w:t>
      </w:r>
      <w:r w:rsidR="00CE78C2">
        <w:rPr>
          <w:rFonts w:ascii="Arial" w:hAnsi="Arial" w:cs="Arial"/>
          <w:sz w:val="16"/>
          <w:szCs w:val="16"/>
          <w:lang w:val="en-US"/>
        </w:rPr>
        <w:fldChar w:fldCharType="begin"/>
      </w:r>
      <w:r w:rsidR="00CE78C2">
        <w:rPr>
          <w:rFonts w:ascii="Arial" w:hAnsi="Arial" w:cs="Arial"/>
          <w:sz w:val="16"/>
          <w:szCs w:val="16"/>
          <w:lang w:val="en-US"/>
        </w:rPr>
        <w:instrText xml:space="preserve"> REF _Ref284171394 \r \h </w:instrText>
      </w:r>
      <w:r w:rsidR="00CE78C2">
        <w:rPr>
          <w:rFonts w:ascii="Arial" w:hAnsi="Arial" w:cs="Arial"/>
          <w:sz w:val="16"/>
          <w:szCs w:val="16"/>
          <w:lang w:val="en-US"/>
        </w:rPr>
      </w:r>
      <w:r w:rsidR="00CE78C2">
        <w:rPr>
          <w:rFonts w:ascii="Arial" w:hAnsi="Arial" w:cs="Arial"/>
          <w:sz w:val="16"/>
          <w:szCs w:val="16"/>
          <w:lang w:val="en-US"/>
        </w:rPr>
        <w:fldChar w:fldCharType="separate"/>
      </w:r>
      <w:r w:rsidR="00151A1C">
        <w:rPr>
          <w:rFonts w:ascii="Arial" w:hAnsi="Arial" w:cs="Arial"/>
          <w:sz w:val="16"/>
          <w:szCs w:val="16"/>
          <w:lang w:val="en-US"/>
        </w:rPr>
        <w:t>42</w:t>
      </w:r>
      <w:r w:rsidR="00CE78C2">
        <w:rPr>
          <w:rFonts w:ascii="Arial" w:hAnsi="Arial" w:cs="Arial"/>
          <w:sz w:val="16"/>
          <w:szCs w:val="16"/>
          <w:lang w:val="en-US"/>
        </w:rPr>
        <w:fldChar w:fldCharType="end"/>
      </w:r>
      <w:r w:rsidRPr="004D2471">
        <w:rPr>
          <w:rFonts w:ascii="Arial" w:hAnsi="Arial" w:cs="Arial"/>
          <w:sz w:val="16"/>
          <w:szCs w:val="16"/>
          <w:lang w:val="en-US"/>
        </w:rPr>
        <w:t>: section 9.4.1.1 Table 9-1</w:t>
      </w:r>
      <w:r w:rsidRPr="004D2471">
        <w:rPr>
          <w:rStyle w:val="CommentReference"/>
          <w:rFonts w:ascii="Arial" w:eastAsiaTheme="majorEastAsia" w:hAnsi="Arial" w:cs="Arial"/>
          <w:sz w:val="16"/>
          <w:szCs w:val="16"/>
          <w:lang w:val="en-US"/>
        </w:rPr>
        <w:t xml:space="preserve"> IV: Intravenous</w:t>
      </w:r>
    </w:p>
    <w:p w14:paraId="20EBEE4C" w14:textId="07155591" w:rsidR="00084020" w:rsidRPr="004D2471" w:rsidRDefault="004D2471" w:rsidP="004D2471">
      <w:pPr>
        <w:autoSpaceDE w:val="0"/>
        <w:autoSpaceDN w:val="0"/>
        <w:adjustRightInd w:val="0"/>
        <w:rPr>
          <w:rFonts w:eastAsia="Shaker2Lancet-Bold" w:cs="Arial"/>
          <w:b/>
          <w:bCs/>
          <w:sz w:val="22"/>
          <w:szCs w:val="22"/>
          <w:lang w:eastAsia="ja-JP"/>
        </w:rPr>
      </w:pPr>
      <w:r w:rsidRPr="004D2471">
        <w:rPr>
          <w:rFonts w:eastAsia="Shaker2Lancet-Bold" w:cs="Arial"/>
          <w:b/>
          <w:bCs/>
          <w:sz w:val="22"/>
          <w:szCs w:val="22"/>
          <w:lang w:eastAsia="ja-JP"/>
        </w:rPr>
        <w:t>3.4</w:t>
      </w:r>
      <w:r w:rsidR="00F305BD" w:rsidRPr="004D2471">
        <w:rPr>
          <w:rFonts w:eastAsia="Shaker2Lancet-Bold" w:cs="Arial"/>
          <w:b/>
          <w:bCs/>
          <w:sz w:val="22"/>
          <w:szCs w:val="22"/>
          <w:lang w:eastAsia="ja-JP"/>
        </w:rPr>
        <w:t>.5 Permitted and dis</w:t>
      </w:r>
      <w:r w:rsidRPr="004D2471">
        <w:rPr>
          <w:rFonts w:eastAsia="Shaker2Lancet-Bold" w:cs="Arial"/>
          <w:b/>
          <w:bCs/>
          <w:sz w:val="22"/>
          <w:szCs w:val="22"/>
          <w:lang w:eastAsia="ja-JP"/>
        </w:rPr>
        <w:t xml:space="preserve">allowed concomitant medications: </w:t>
      </w:r>
      <w:r w:rsidR="00084020" w:rsidRPr="004D2471">
        <w:rPr>
          <w:sz w:val="22"/>
          <w:szCs w:val="22"/>
          <w:lang w:val="en-US" w:eastAsia="ja-JP"/>
        </w:rPr>
        <w:t>For</w:t>
      </w:r>
      <w:r w:rsidR="005B1AC6" w:rsidRPr="004D2471">
        <w:rPr>
          <w:sz w:val="22"/>
          <w:szCs w:val="22"/>
          <w:lang w:val="en-US" w:eastAsia="ja-JP"/>
        </w:rPr>
        <w:t xml:space="preserve"> </w:t>
      </w:r>
      <w:r w:rsidR="00084020" w:rsidRPr="004D2471">
        <w:rPr>
          <w:sz w:val="22"/>
          <w:szCs w:val="22"/>
          <w:lang w:val="en-US" w:eastAsia="ja-JP"/>
        </w:rPr>
        <w:t>wound infections, either aztreonam or metronidazole, or</w:t>
      </w:r>
      <w:r w:rsidR="005B1AC6" w:rsidRPr="004D2471">
        <w:rPr>
          <w:sz w:val="22"/>
          <w:szCs w:val="22"/>
          <w:lang w:val="en-US" w:eastAsia="ja-JP"/>
        </w:rPr>
        <w:t xml:space="preserve"> </w:t>
      </w:r>
      <w:r w:rsidR="00084020" w:rsidRPr="004D2471">
        <w:rPr>
          <w:sz w:val="22"/>
          <w:szCs w:val="22"/>
          <w:lang w:val="en-US" w:eastAsia="ja-JP"/>
        </w:rPr>
        <w:t>both, could be added for Gram-negative or anaerobic</w:t>
      </w:r>
      <w:r w:rsidR="005B1AC6" w:rsidRPr="004D2471">
        <w:rPr>
          <w:sz w:val="22"/>
          <w:szCs w:val="22"/>
          <w:lang w:val="en-US" w:eastAsia="ja-JP"/>
        </w:rPr>
        <w:t xml:space="preserve"> </w:t>
      </w:r>
      <w:r w:rsidR="00084020" w:rsidRPr="004D2471">
        <w:rPr>
          <w:sz w:val="22"/>
          <w:szCs w:val="22"/>
          <w:lang w:val="en-US" w:eastAsia="ja-JP"/>
        </w:rPr>
        <w:t xml:space="preserve">coverage, as deemed appropriate by the </w:t>
      </w:r>
      <w:r w:rsidR="005B1AC6" w:rsidRPr="004D2471">
        <w:rPr>
          <w:sz w:val="22"/>
          <w:szCs w:val="22"/>
          <w:lang w:val="en-US" w:eastAsia="ja-JP"/>
        </w:rPr>
        <w:t xml:space="preserve">study </w:t>
      </w:r>
      <w:r w:rsidR="00084020" w:rsidRPr="004D2471">
        <w:rPr>
          <w:sz w:val="22"/>
          <w:szCs w:val="22"/>
          <w:lang w:val="en-US" w:eastAsia="ja-JP"/>
        </w:rPr>
        <w:t>investigator.</w:t>
      </w:r>
    </w:p>
    <w:p w14:paraId="62CC318A" w14:textId="77777777" w:rsidR="005B1AC6" w:rsidRPr="004F63C8" w:rsidRDefault="005B1AC6" w:rsidP="005B1AC6">
      <w:pPr>
        <w:widowControl w:val="0"/>
        <w:autoSpaceDE w:val="0"/>
        <w:autoSpaceDN w:val="0"/>
        <w:adjustRightInd w:val="0"/>
        <w:rPr>
          <w:sz w:val="22"/>
          <w:szCs w:val="22"/>
          <w:lang w:val="en-US" w:eastAsia="ja-JP"/>
        </w:rPr>
      </w:pPr>
    </w:p>
    <w:p w14:paraId="3AC2F380" w14:textId="5048F0F3" w:rsidR="00A01F03" w:rsidRPr="004D2471" w:rsidRDefault="00084020" w:rsidP="004D2471">
      <w:pPr>
        <w:widowControl w:val="0"/>
        <w:autoSpaceDE w:val="0"/>
        <w:autoSpaceDN w:val="0"/>
        <w:adjustRightInd w:val="0"/>
        <w:rPr>
          <w:sz w:val="22"/>
          <w:szCs w:val="22"/>
          <w:lang w:val="en-US" w:eastAsia="ja-JP"/>
        </w:rPr>
      </w:pPr>
      <w:r w:rsidRPr="004F63C8">
        <w:rPr>
          <w:sz w:val="22"/>
          <w:szCs w:val="22"/>
          <w:lang w:val="en-US" w:eastAsia="ja-JP"/>
        </w:rPr>
        <w:t>Other concomitant systemic antibiotics and topical</w:t>
      </w:r>
      <w:r w:rsidR="005B1AC6" w:rsidRPr="004F63C8">
        <w:rPr>
          <w:sz w:val="22"/>
          <w:szCs w:val="22"/>
          <w:lang w:val="en-US" w:eastAsia="ja-JP"/>
        </w:rPr>
        <w:t xml:space="preserve"> </w:t>
      </w:r>
      <w:r w:rsidRPr="004F63C8">
        <w:rPr>
          <w:sz w:val="22"/>
          <w:szCs w:val="22"/>
          <w:lang w:val="en-US" w:eastAsia="ja-JP"/>
        </w:rPr>
        <w:t>antibiotics (except those associated with a surgical</w:t>
      </w:r>
      <w:r w:rsidR="005B1AC6" w:rsidRPr="004F63C8">
        <w:rPr>
          <w:sz w:val="22"/>
          <w:szCs w:val="22"/>
          <w:lang w:val="en-US" w:eastAsia="ja-JP"/>
        </w:rPr>
        <w:t xml:space="preserve"> </w:t>
      </w:r>
      <w:r w:rsidRPr="004F63C8">
        <w:rPr>
          <w:sz w:val="22"/>
          <w:szCs w:val="22"/>
          <w:lang w:val="en-US" w:eastAsia="ja-JP"/>
        </w:rPr>
        <w:t>dressing) applied to the primary lesion were prohibited</w:t>
      </w:r>
      <w:r w:rsidR="005B1AC6" w:rsidRPr="004F63C8">
        <w:rPr>
          <w:sz w:val="22"/>
          <w:szCs w:val="22"/>
          <w:lang w:val="en-US" w:eastAsia="ja-JP"/>
        </w:rPr>
        <w:t xml:space="preserve"> from 96 hours before the fi</w:t>
      </w:r>
      <w:r w:rsidRPr="004F63C8">
        <w:rPr>
          <w:sz w:val="22"/>
          <w:szCs w:val="22"/>
          <w:lang w:val="en-US" w:eastAsia="ja-JP"/>
        </w:rPr>
        <w:t>rst dose of study drug to the late</w:t>
      </w:r>
      <w:r w:rsidR="005B1AC6" w:rsidRPr="004F63C8">
        <w:rPr>
          <w:sz w:val="22"/>
          <w:szCs w:val="22"/>
          <w:lang w:val="en-US" w:eastAsia="ja-JP"/>
        </w:rPr>
        <w:t xml:space="preserve"> </w:t>
      </w:r>
      <w:r w:rsidRPr="004F63C8">
        <w:rPr>
          <w:sz w:val="22"/>
          <w:szCs w:val="22"/>
          <w:lang w:val="en-US" w:eastAsia="ja-JP"/>
        </w:rPr>
        <w:t xml:space="preserve">follow-up </w:t>
      </w:r>
      <w:r w:rsidR="005B1AC6" w:rsidRPr="004F63C8">
        <w:rPr>
          <w:sz w:val="22"/>
          <w:szCs w:val="22"/>
          <w:lang w:val="en-US" w:eastAsia="ja-JP"/>
        </w:rPr>
        <w:t xml:space="preserve">(LFU) </w:t>
      </w:r>
      <w:r w:rsidRPr="004F63C8">
        <w:rPr>
          <w:sz w:val="22"/>
          <w:szCs w:val="22"/>
          <w:lang w:val="en-US" w:eastAsia="ja-JP"/>
        </w:rPr>
        <w:t xml:space="preserve">visit (18–25 days after end of </w:t>
      </w:r>
      <w:r w:rsidRPr="004F63C8">
        <w:rPr>
          <w:sz w:val="22"/>
          <w:szCs w:val="22"/>
          <w:lang w:val="en-US" w:eastAsia="ja-JP"/>
        </w:rPr>
        <w:lastRenderedPageBreak/>
        <w:t>treatment). Incision</w:t>
      </w:r>
      <w:r w:rsidR="005B1AC6" w:rsidRPr="004F63C8">
        <w:rPr>
          <w:sz w:val="22"/>
          <w:szCs w:val="22"/>
          <w:lang w:val="en-US" w:eastAsia="ja-JP"/>
        </w:rPr>
        <w:t xml:space="preserve"> </w:t>
      </w:r>
      <w:r w:rsidRPr="004F63C8">
        <w:rPr>
          <w:sz w:val="22"/>
          <w:szCs w:val="22"/>
          <w:lang w:val="en-US" w:eastAsia="ja-JP"/>
        </w:rPr>
        <w:t>and drainage of the primary infection site not planned</w:t>
      </w:r>
      <w:r w:rsidR="005B1AC6" w:rsidRPr="004F63C8">
        <w:rPr>
          <w:sz w:val="22"/>
          <w:szCs w:val="22"/>
          <w:lang w:val="en-US" w:eastAsia="ja-JP"/>
        </w:rPr>
        <w:t xml:space="preserve"> </w:t>
      </w:r>
      <w:r w:rsidRPr="004F63C8">
        <w:rPr>
          <w:sz w:val="22"/>
          <w:szCs w:val="22"/>
          <w:lang w:val="en-US" w:eastAsia="ja-JP"/>
        </w:rPr>
        <w:t>before randomisation was discouraged after day 1 for</w:t>
      </w:r>
      <w:r w:rsidR="005B1AC6" w:rsidRPr="004F63C8">
        <w:rPr>
          <w:sz w:val="22"/>
          <w:szCs w:val="22"/>
          <w:lang w:val="en-US" w:eastAsia="ja-JP"/>
        </w:rPr>
        <w:t xml:space="preserve"> </w:t>
      </w:r>
      <w:r w:rsidRPr="004F63C8">
        <w:rPr>
          <w:sz w:val="22"/>
          <w:szCs w:val="22"/>
          <w:lang w:val="en-US" w:eastAsia="ja-JP"/>
        </w:rPr>
        <w:t>wounds and</w:t>
      </w:r>
      <w:r w:rsidR="005B1AC6" w:rsidRPr="004F63C8">
        <w:rPr>
          <w:sz w:val="22"/>
          <w:szCs w:val="22"/>
          <w:lang w:val="en-US" w:eastAsia="ja-JP"/>
        </w:rPr>
        <w:t xml:space="preserve"> abscesses, and after the 48–72 hour</w:t>
      </w:r>
      <w:r w:rsidRPr="004F63C8">
        <w:rPr>
          <w:sz w:val="22"/>
          <w:szCs w:val="22"/>
          <w:lang w:val="en-US" w:eastAsia="ja-JP"/>
        </w:rPr>
        <w:t xml:space="preserve"> visit for</w:t>
      </w:r>
      <w:r w:rsidR="005B1AC6" w:rsidRPr="004F63C8">
        <w:rPr>
          <w:sz w:val="22"/>
          <w:szCs w:val="22"/>
          <w:lang w:val="en-US" w:eastAsia="ja-JP"/>
        </w:rPr>
        <w:t xml:space="preserve"> </w:t>
      </w:r>
      <w:r w:rsidRPr="004F63C8">
        <w:rPr>
          <w:sz w:val="22"/>
          <w:szCs w:val="22"/>
          <w:lang w:val="en-US" w:eastAsia="ja-JP"/>
        </w:rPr>
        <w:t>cell</w:t>
      </w:r>
      <w:r w:rsidR="005B1AC6" w:rsidRPr="004F63C8">
        <w:rPr>
          <w:sz w:val="22"/>
          <w:szCs w:val="22"/>
          <w:lang w:val="en-US" w:eastAsia="ja-JP"/>
        </w:rPr>
        <w:t>ulitis. Non-steroidal anti-infl</w:t>
      </w:r>
      <w:r w:rsidRPr="004F63C8">
        <w:rPr>
          <w:sz w:val="22"/>
          <w:szCs w:val="22"/>
          <w:lang w:val="en-US" w:eastAsia="ja-JP"/>
        </w:rPr>
        <w:t>ammatory drugs (NSAIDs;</w:t>
      </w:r>
      <w:r w:rsidR="005B1AC6" w:rsidRPr="004F63C8">
        <w:rPr>
          <w:sz w:val="22"/>
          <w:szCs w:val="22"/>
          <w:lang w:val="en-US" w:eastAsia="ja-JP"/>
        </w:rPr>
        <w:t xml:space="preserve"> </w:t>
      </w:r>
      <w:r w:rsidRPr="004F63C8">
        <w:rPr>
          <w:sz w:val="22"/>
          <w:szCs w:val="22"/>
          <w:lang w:val="en-US" w:eastAsia="ja-JP"/>
        </w:rPr>
        <w:t>excluding aspirin ≤200 mg a day) and oral steroids were</w:t>
      </w:r>
      <w:r w:rsidR="005B1AC6" w:rsidRPr="004F63C8">
        <w:rPr>
          <w:sz w:val="22"/>
          <w:szCs w:val="22"/>
          <w:lang w:val="en-US" w:eastAsia="ja-JP"/>
        </w:rPr>
        <w:t xml:space="preserve"> </w:t>
      </w:r>
      <w:r w:rsidRPr="004F63C8">
        <w:rPr>
          <w:sz w:val="22"/>
          <w:szCs w:val="22"/>
          <w:lang w:val="en-US" w:eastAsia="ja-JP"/>
        </w:rPr>
        <w:t>prohibited between enrolment and 72 h</w:t>
      </w:r>
      <w:r w:rsidR="005B1AC6" w:rsidRPr="004F63C8">
        <w:rPr>
          <w:sz w:val="22"/>
          <w:szCs w:val="22"/>
          <w:lang w:val="en-US" w:eastAsia="ja-JP"/>
        </w:rPr>
        <w:t>ours after fi</w:t>
      </w:r>
      <w:r w:rsidRPr="004F63C8">
        <w:rPr>
          <w:sz w:val="22"/>
          <w:szCs w:val="22"/>
          <w:lang w:val="en-US" w:eastAsia="ja-JP"/>
        </w:rPr>
        <w:t>rst dose,</w:t>
      </w:r>
      <w:r w:rsidR="005B1AC6" w:rsidRPr="004F63C8">
        <w:rPr>
          <w:sz w:val="22"/>
          <w:szCs w:val="22"/>
          <w:lang w:val="en-US" w:eastAsia="ja-JP"/>
        </w:rPr>
        <w:t xml:space="preserve"> </w:t>
      </w:r>
      <w:r w:rsidRPr="004F63C8">
        <w:rPr>
          <w:sz w:val="22"/>
          <w:szCs w:val="22"/>
          <w:lang w:val="en-US" w:eastAsia="ja-JP"/>
        </w:rPr>
        <w:t xml:space="preserve">and antipyretic </w:t>
      </w:r>
      <w:r w:rsidR="001B0687">
        <w:rPr>
          <w:sz w:val="22"/>
          <w:szCs w:val="22"/>
          <w:lang w:val="en-US" w:eastAsia="ja-JP"/>
        </w:rPr>
        <w:t>medicines</w:t>
      </w:r>
      <w:r w:rsidRPr="004F63C8">
        <w:rPr>
          <w:sz w:val="22"/>
          <w:szCs w:val="22"/>
          <w:lang w:val="en-US" w:eastAsia="ja-JP"/>
        </w:rPr>
        <w:t xml:space="preserve"> were discouraged during that time</w:t>
      </w:r>
      <w:r w:rsidR="005B1AC6" w:rsidRPr="004F63C8">
        <w:rPr>
          <w:sz w:val="22"/>
          <w:szCs w:val="22"/>
          <w:lang w:val="en-US" w:eastAsia="ja-JP"/>
        </w:rPr>
        <w:t xml:space="preserve"> </w:t>
      </w:r>
      <w:r w:rsidRPr="004F63C8">
        <w:rPr>
          <w:sz w:val="22"/>
          <w:szCs w:val="22"/>
          <w:lang w:val="en-US" w:eastAsia="ja-JP"/>
        </w:rPr>
        <w:t>unless the patient’s temperature exceeded 38</w:t>
      </w:r>
      <w:r w:rsidR="005B1AC6" w:rsidRPr="004F63C8">
        <w:rPr>
          <w:sz w:val="22"/>
          <w:szCs w:val="22"/>
          <w:vertAlign w:val="superscript"/>
          <w:lang w:val="en-US" w:eastAsia="ja-JP"/>
        </w:rPr>
        <w:t xml:space="preserve"> O</w:t>
      </w:r>
      <w:r w:rsidR="005B1AC6" w:rsidRPr="004F63C8">
        <w:rPr>
          <w:sz w:val="22"/>
          <w:szCs w:val="22"/>
          <w:lang w:val="en-US" w:eastAsia="ja-JP"/>
        </w:rPr>
        <w:t>C</w:t>
      </w:r>
      <w:r w:rsidRPr="004F63C8">
        <w:rPr>
          <w:sz w:val="22"/>
          <w:szCs w:val="22"/>
          <w:lang w:val="en-US" w:eastAsia="ja-JP"/>
        </w:rPr>
        <w:t>.</w:t>
      </w:r>
    </w:p>
    <w:p w14:paraId="41EB4197" w14:textId="5CF5FA37" w:rsidR="00A01F03" w:rsidRPr="00D95C15" w:rsidRDefault="00A01F03" w:rsidP="00A01F03">
      <w:pPr>
        <w:pStyle w:val="TableNote-H58"/>
        <w:rPr>
          <w:lang w:val="en-US"/>
        </w:rPr>
      </w:pPr>
    </w:p>
    <w:p w14:paraId="298A4179" w14:textId="0DEE1357" w:rsidR="00001C6F" w:rsidRPr="00132EA9" w:rsidRDefault="00132EA9" w:rsidP="004F63C8">
      <w:pPr>
        <w:rPr>
          <w:lang w:val="en-US"/>
        </w:rPr>
      </w:pPr>
      <w:r w:rsidRPr="00132EA9">
        <w:rPr>
          <w:rFonts w:eastAsia="Shaker2Lancet-Bold" w:cs="Arial"/>
          <w:b/>
          <w:bCs/>
          <w:sz w:val="22"/>
          <w:szCs w:val="22"/>
          <w:lang w:eastAsia="ja-JP"/>
        </w:rPr>
        <w:t>3.4.6</w:t>
      </w:r>
      <w:r w:rsidR="00F305BD" w:rsidRPr="00132EA9">
        <w:rPr>
          <w:rFonts w:eastAsia="Shaker2Lancet-Bold" w:cs="Arial"/>
          <w:b/>
          <w:bCs/>
          <w:sz w:val="22"/>
          <w:szCs w:val="22"/>
          <w:lang w:eastAsia="ja-JP"/>
        </w:rPr>
        <w:t xml:space="preserve"> </w:t>
      </w:r>
      <w:r w:rsidR="00001C6F" w:rsidRPr="00132EA9">
        <w:rPr>
          <w:rFonts w:eastAsia="Shaker2Lancet-Bold" w:cs="Arial"/>
          <w:b/>
          <w:bCs/>
          <w:sz w:val="22"/>
          <w:szCs w:val="22"/>
          <w:lang w:eastAsia="ja-JP"/>
        </w:rPr>
        <w:t>Main outcomes measures</w:t>
      </w:r>
    </w:p>
    <w:p w14:paraId="1DBC21A5" w14:textId="77777777" w:rsidR="00000B3C" w:rsidRDefault="00000B3C" w:rsidP="008E4E92">
      <w:pPr>
        <w:autoSpaceDE w:val="0"/>
        <w:autoSpaceDN w:val="0"/>
        <w:adjustRightInd w:val="0"/>
        <w:rPr>
          <w:rFonts w:eastAsia="Shaker2Lancet-Bold" w:cs="Arial"/>
          <w:b/>
          <w:bCs/>
          <w:color w:val="FF0000"/>
          <w:sz w:val="22"/>
          <w:szCs w:val="22"/>
          <w:lang w:eastAsia="ja-JP"/>
        </w:rPr>
      </w:pPr>
    </w:p>
    <w:p w14:paraId="6FC2A0FD" w14:textId="7D1EFC0C" w:rsidR="00000B3C" w:rsidRPr="004F63C8" w:rsidRDefault="00132EA9" w:rsidP="00C35C1F">
      <w:pPr>
        <w:pStyle w:val="BodyText"/>
        <w:numPr>
          <w:ilvl w:val="0"/>
          <w:numId w:val="37"/>
        </w:numPr>
        <w:rPr>
          <w:sz w:val="22"/>
          <w:szCs w:val="22"/>
          <w:lang w:val="en-US"/>
        </w:rPr>
      </w:pPr>
      <w:r w:rsidRPr="00132EA9">
        <w:rPr>
          <w:b/>
          <w:sz w:val="22"/>
          <w:szCs w:val="22"/>
          <w:lang w:val="en-US"/>
        </w:rPr>
        <w:t>Primary endpoint:</w:t>
      </w:r>
      <w:r>
        <w:rPr>
          <w:sz w:val="22"/>
          <w:szCs w:val="22"/>
          <w:lang w:val="en-US"/>
        </w:rPr>
        <w:t xml:space="preserve"> </w:t>
      </w:r>
      <w:r w:rsidR="00000B3C" w:rsidRPr="004F63C8">
        <w:rPr>
          <w:sz w:val="22"/>
          <w:szCs w:val="22"/>
          <w:lang w:val="en-US"/>
        </w:rPr>
        <w:t xml:space="preserve">The primary outcome of ESTABLISH-2 was the early clinical response at the 48-Hour to 72-Hour Visit in the ITT population. Early clinical response was defined as ≥20% reduction in area of erythema, </w:t>
      </w:r>
      <w:r w:rsidR="00F96837">
        <w:rPr>
          <w:sz w:val="22"/>
          <w:szCs w:val="22"/>
          <w:lang w:val="en-US"/>
        </w:rPr>
        <w:t>oedema</w:t>
      </w:r>
      <w:r w:rsidR="00000B3C" w:rsidRPr="004F63C8">
        <w:rPr>
          <w:sz w:val="22"/>
          <w:szCs w:val="22"/>
          <w:lang w:val="en-US"/>
        </w:rPr>
        <w:t>, and/or induration (length*width) of the primary ABSSSI lesion compared with baseline, and did not involve a fever component (</w:t>
      </w:r>
      <w:r w:rsidR="00EF4135">
        <w:rPr>
          <w:sz w:val="22"/>
          <w:szCs w:val="22"/>
          <w:lang w:val="en-US"/>
        </w:rPr>
        <w:fldChar w:fldCharType="begin"/>
      </w:r>
      <w:r w:rsidR="00EF4135">
        <w:rPr>
          <w:sz w:val="22"/>
          <w:szCs w:val="22"/>
          <w:lang w:val="en-US"/>
        </w:rPr>
        <w:instrText xml:space="preserve"> REF _Ref281750106 \h </w:instrText>
      </w:r>
      <w:r w:rsidR="00EF4135">
        <w:rPr>
          <w:sz w:val="22"/>
          <w:szCs w:val="22"/>
          <w:lang w:val="en-US"/>
        </w:rPr>
      </w:r>
      <w:r w:rsidR="00EF4135">
        <w:rPr>
          <w:sz w:val="22"/>
          <w:szCs w:val="22"/>
          <w:lang w:val="en-US"/>
        </w:rPr>
        <w:fldChar w:fldCharType="separate"/>
      </w:r>
      <w:r w:rsidR="00151A1C" w:rsidRPr="004F63C8">
        <w:rPr>
          <w:sz w:val="22"/>
          <w:szCs w:val="22"/>
          <w:lang w:val="en-US"/>
        </w:rPr>
        <w:t xml:space="preserve">Table </w:t>
      </w:r>
      <w:r w:rsidR="00151A1C">
        <w:rPr>
          <w:noProof/>
          <w:sz w:val="22"/>
          <w:szCs w:val="22"/>
          <w:lang w:val="en-US"/>
        </w:rPr>
        <w:t>17</w:t>
      </w:r>
      <w:r w:rsidR="00EF4135">
        <w:rPr>
          <w:sz w:val="22"/>
          <w:szCs w:val="22"/>
          <w:lang w:val="en-US"/>
        </w:rPr>
        <w:fldChar w:fldCharType="end"/>
      </w:r>
      <w:r w:rsidR="00000B3C" w:rsidRPr="004F63C8">
        <w:rPr>
          <w:sz w:val="22"/>
          <w:szCs w:val="22"/>
          <w:lang w:val="en-US"/>
        </w:rPr>
        <w:t>). This definition was in line with the 2010 FDA ABSSSI guidelines</w:t>
      </w:r>
      <w:r w:rsidR="00CE78C2">
        <w:rPr>
          <w:sz w:val="22"/>
          <w:szCs w:val="22"/>
          <w:lang w:val="en-US"/>
        </w:rPr>
        <w:t xml:space="preserve"> </w:t>
      </w:r>
      <w:r w:rsidR="00E81C22">
        <w:rPr>
          <w:sz w:val="22"/>
          <w:szCs w:val="22"/>
          <w:lang w:val="en-US"/>
        </w:rPr>
        <w:t>(</w:t>
      </w:r>
      <w:r w:rsidR="00CE78C2">
        <w:rPr>
          <w:sz w:val="22"/>
          <w:szCs w:val="22"/>
          <w:lang w:val="en-US"/>
        </w:rPr>
        <w:fldChar w:fldCharType="begin"/>
      </w:r>
      <w:r w:rsidR="00CE78C2">
        <w:rPr>
          <w:sz w:val="22"/>
          <w:szCs w:val="22"/>
          <w:lang w:val="en-US"/>
        </w:rPr>
        <w:instrText xml:space="preserve"> REF _Ref284168910 \r \h </w:instrText>
      </w:r>
      <w:r w:rsidR="00CE78C2">
        <w:rPr>
          <w:sz w:val="22"/>
          <w:szCs w:val="22"/>
          <w:lang w:val="en-US"/>
        </w:rPr>
      </w:r>
      <w:r w:rsidR="00CE78C2">
        <w:rPr>
          <w:sz w:val="22"/>
          <w:szCs w:val="22"/>
          <w:lang w:val="en-US"/>
        </w:rPr>
        <w:fldChar w:fldCharType="separate"/>
      </w:r>
      <w:r w:rsidR="00151A1C">
        <w:rPr>
          <w:sz w:val="22"/>
          <w:szCs w:val="22"/>
          <w:lang w:val="en-US"/>
        </w:rPr>
        <w:t>8</w:t>
      </w:r>
      <w:r w:rsidR="00CE78C2">
        <w:rPr>
          <w:sz w:val="22"/>
          <w:szCs w:val="22"/>
          <w:lang w:val="en-US"/>
        </w:rPr>
        <w:fldChar w:fldCharType="end"/>
      </w:r>
      <w:r w:rsidR="00CE78C2">
        <w:rPr>
          <w:sz w:val="22"/>
          <w:szCs w:val="22"/>
          <w:lang w:val="en-US"/>
        </w:rPr>
        <w:t>)</w:t>
      </w:r>
      <w:r w:rsidR="00000B3C" w:rsidRPr="004F63C8">
        <w:rPr>
          <w:sz w:val="22"/>
          <w:szCs w:val="22"/>
          <w:lang w:val="en-US"/>
        </w:rPr>
        <w:t>.</w:t>
      </w:r>
      <w:r w:rsidR="00DB6FFB" w:rsidRPr="004F63C8">
        <w:rPr>
          <w:sz w:val="22"/>
          <w:szCs w:val="22"/>
          <w:lang w:val="en-US"/>
        </w:rPr>
        <w:t xml:space="preserve"> </w:t>
      </w:r>
    </w:p>
    <w:p w14:paraId="6CC1EC0F" w14:textId="77777777" w:rsidR="004F63C8" w:rsidRPr="004F63C8" w:rsidRDefault="004F63C8" w:rsidP="004F63C8">
      <w:pPr>
        <w:pStyle w:val="BodyText"/>
        <w:rPr>
          <w:sz w:val="22"/>
          <w:szCs w:val="22"/>
          <w:lang w:val="en-US"/>
        </w:rPr>
      </w:pPr>
    </w:p>
    <w:p w14:paraId="18A70612" w14:textId="2D139F5C" w:rsidR="00000B3C" w:rsidRDefault="00000B3C" w:rsidP="004F63C8">
      <w:pPr>
        <w:pStyle w:val="BodyText"/>
        <w:rPr>
          <w:sz w:val="22"/>
          <w:szCs w:val="22"/>
          <w:lang w:val="en-US"/>
        </w:rPr>
      </w:pPr>
      <w:r w:rsidRPr="004F63C8">
        <w:rPr>
          <w:sz w:val="22"/>
          <w:szCs w:val="22"/>
          <w:lang w:val="en-US"/>
        </w:rPr>
        <w:t xml:space="preserve">The secondary outcomes of ESTABLISH-2 were </w:t>
      </w:r>
      <w:r w:rsidR="00DB7949">
        <w:rPr>
          <w:sz w:val="22"/>
          <w:szCs w:val="22"/>
          <w:lang w:val="en-US"/>
        </w:rPr>
        <w:t xml:space="preserve">broadly </w:t>
      </w:r>
      <w:r w:rsidR="00132EA9">
        <w:rPr>
          <w:sz w:val="22"/>
          <w:szCs w:val="22"/>
          <w:lang w:val="en-US"/>
        </w:rPr>
        <w:t xml:space="preserve">the same as for ESTABLISH-1 and are summarised in </w:t>
      </w:r>
      <w:r w:rsidR="00EF4135">
        <w:rPr>
          <w:sz w:val="22"/>
          <w:szCs w:val="22"/>
          <w:lang w:val="en-US"/>
        </w:rPr>
        <w:fldChar w:fldCharType="begin"/>
      </w:r>
      <w:r w:rsidR="00EF4135">
        <w:rPr>
          <w:sz w:val="22"/>
          <w:szCs w:val="22"/>
          <w:lang w:val="en-US"/>
        </w:rPr>
        <w:instrText xml:space="preserve"> REF _Ref281750106 \h </w:instrText>
      </w:r>
      <w:r w:rsidR="00EF4135">
        <w:rPr>
          <w:sz w:val="22"/>
          <w:szCs w:val="22"/>
          <w:lang w:val="en-US"/>
        </w:rPr>
      </w:r>
      <w:r w:rsidR="00EF4135">
        <w:rPr>
          <w:sz w:val="22"/>
          <w:szCs w:val="22"/>
          <w:lang w:val="en-US"/>
        </w:rPr>
        <w:fldChar w:fldCharType="separate"/>
      </w:r>
      <w:r w:rsidR="00151A1C" w:rsidRPr="004F63C8">
        <w:rPr>
          <w:sz w:val="22"/>
          <w:szCs w:val="22"/>
          <w:lang w:val="en-US"/>
        </w:rPr>
        <w:t xml:space="preserve">Table </w:t>
      </w:r>
      <w:r w:rsidR="00151A1C">
        <w:rPr>
          <w:noProof/>
          <w:sz w:val="22"/>
          <w:szCs w:val="22"/>
          <w:lang w:val="en-US"/>
        </w:rPr>
        <w:t>17</w:t>
      </w:r>
      <w:r w:rsidR="00EF4135">
        <w:rPr>
          <w:sz w:val="22"/>
          <w:szCs w:val="22"/>
          <w:lang w:val="en-US"/>
        </w:rPr>
        <w:fldChar w:fldCharType="end"/>
      </w:r>
      <w:r w:rsidRPr="004F63C8">
        <w:rPr>
          <w:sz w:val="22"/>
          <w:szCs w:val="22"/>
          <w:lang w:val="en-US"/>
        </w:rPr>
        <w:t>:</w:t>
      </w:r>
    </w:p>
    <w:p w14:paraId="7CF8B904" w14:textId="77777777" w:rsidR="004F63C8" w:rsidRDefault="004F63C8" w:rsidP="004F63C8">
      <w:pPr>
        <w:pStyle w:val="Caption"/>
        <w:spacing w:before="0" w:after="0"/>
        <w:jc w:val="left"/>
        <w:rPr>
          <w:rFonts w:ascii="Arial" w:hAnsi="Arial"/>
          <w:sz w:val="22"/>
          <w:szCs w:val="22"/>
          <w:lang w:val="en-US"/>
        </w:rPr>
      </w:pPr>
      <w:bookmarkStart w:id="99" w:name="_Ref381692802"/>
      <w:bookmarkStart w:id="100" w:name="_Ref394423889"/>
      <w:bookmarkStart w:id="101" w:name="_Toc396058438"/>
    </w:p>
    <w:p w14:paraId="7B714FA4" w14:textId="77777777" w:rsidR="00000B3C" w:rsidRPr="004F63C8" w:rsidRDefault="00000B3C" w:rsidP="004F63C8">
      <w:pPr>
        <w:pStyle w:val="Caption"/>
        <w:spacing w:before="0" w:after="0"/>
        <w:jc w:val="left"/>
        <w:rPr>
          <w:rFonts w:ascii="Arial" w:hAnsi="Arial"/>
          <w:sz w:val="22"/>
          <w:szCs w:val="22"/>
          <w:lang w:val="en-US"/>
        </w:rPr>
      </w:pPr>
      <w:bookmarkStart w:id="102" w:name="_Ref281750106"/>
      <w:r w:rsidRPr="004F63C8">
        <w:rPr>
          <w:rFonts w:ascii="Arial" w:hAnsi="Arial"/>
          <w:sz w:val="22"/>
          <w:szCs w:val="22"/>
          <w:lang w:val="en-US"/>
        </w:rPr>
        <w:t xml:space="preserve">Table </w:t>
      </w:r>
      <w:r w:rsidRPr="004F63C8">
        <w:rPr>
          <w:rFonts w:ascii="Arial" w:hAnsi="Arial"/>
          <w:sz w:val="22"/>
          <w:szCs w:val="22"/>
          <w:lang w:val="en-US"/>
        </w:rPr>
        <w:fldChar w:fldCharType="begin"/>
      </w:r>
      <w:r w:rsidRPr="004F63C8">
        <w:rPr>
          <w:rFonts w:ascii="Arial" w:hAnsi="Arial"/>
          <w:sz w:val="22"/>
          <w:szCs w:val="22"/>
          <w:lang w:val="en-US"/>
        </w:rPr>
        <w:instrText xml:space="preserve"> SEQ Table \* ARABIC </w:instrText>
      </w:r>
      <w:r w:rsidRPr="004F63C8">
        <w:rPr>
          <w:rFonts w:ascii="Arial" w:hAnsi="Arial"/>
          <w:sz w:val="22"/>
          <w:szCs w:val="22"/>
          <w:lang w:val="en-US"/>
        </w:rPr>
        <w:fldChar w:fldCharType="separate"/>
      </w:r>
      <w:r w:rsidR="00151A1C">
        <w:rPr>
          <w:rFonts w:ascii="Arial" w:hAnsi="Arial"/>
          <w:noProof/>
          <w:sz w:val="22"/>
          <w:szCs w:val="22"/>
          <w:lang w:val="en-US"/>
        </w:rPr>
        <w:t>17</w:t>
      </w:r>
      <w:r w:rsidRPr="004F63C8">
        <w:rPr>
          <w:rFonts w:ascii="Arial" w:hAnsi="Arial"/>
          <w:sz w:val="22"/>
          <w:szCs w:val="22"/>
          <w:lang w:val="en-US"/>
        </w:rPr>
        <w:fldChar w:fldCharType="end"/>
      </w:r>
      <w:bookmarkEnd w:id="99"/>
      <w:bookmarkEnd w:id="100"/>
      <w:bookmarkEnd w:id="102"/>
      <w:r w:rsidRPr="004F63C8">
        <w:rPr>
          <w:rFonts w:ascii="Arial" w:hAnsi="Arial"/>
          <w:sz w:val="22"/>
          <w:szCs w:val="22"/>
          <w:lang w:val="en-US"/>
        </w:rPr>
        <w:t>: Description of primary and secondary outcome measures in ESTABLISH-2</w:t>
      </w:r>
      <w:bookmarkEnd w:id="101"/>
    </w:p>
    <w:tbl>
      <w:tblPr>
        <w:tblStyle w:val="Table-HERONplain"/>
        <w:tblW w:w="9067" w:type="dxa"/>
        <w:tblLook w:val="04A0" w:firstRow="1" w:lastRow="0" w:firstColumn="1" w:lastColumn="0" w:noHBand="0" w:noVBand="1"/>
      </w:tblPr>
      <w:tblGrid>
        <w:gridCol w:w="2875"/>
        <w:gridCol w:w="6192"/>
      </w:tblGrid>
      <w:tr w:rsidR="00000B3C" w:rsidRPr="004F2E5B" w14:paraId="67B120D5" w14:textId="77777777" w:rsidTr="00133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45093B17"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Outcome</w:t>
            </w:r>
          </w:p>
        </w:tc>
        <w:tc>
          <w:tcPr>
            <w:tcW w:w="6192" w:type="dxa"/>
            <w:shd w:val="clear" w:color="auto" w:fill="auto"/>
            <w:hideMark/>
          </w:tcPr>
          <w:p w14:paraId="0E2CCC95" w14:textId="77777777" w:rsidR="00000B3C" w:rsidRPr="004F2E5B" w:rsidRDefault="00000B3C"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4F2E5B">
              <w:rPr>
                <w:rFonts w:ascii="Arial" w:hAnsi="Arial"/>
                <w:sz w:val="20"/>
                <w:lang w:val="en-US" w:eastAsia="en-GB"/>
              </w:rPr>
              <w:t>Definition</w:t>
            </w:r>
          </w:p>
        </w:tc>
      </w:tr>
      <w:tr w:rsidR="00000B3C" w:rsidRPr="004F2E5B" w14:paraId="2EAAA29F" w14:textId="77777777" w:rsidTr="00133D10">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uto"/>
            <w:hideMark/>
          </w:tcPr>
          <w:p w14:paraId="114567C5"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Primary outcome measure: Early clinical response at 48 Hour to 72 Hour Visit</w:t>
            </w:r>
          </w:p>
        </w:tc>
      </w:tr>
      <w:tr w:rsidR="00000B3C" w:rsidRPr="004F2E5B" w14:paraId="0A1213F7" w14:textId="77777777" w:rsidTr="00133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632D6E20"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 xml:space="preserve">Lesion component </w:t>
            </w:r>
          </w:p>
        </w:tc>
        <w:tc>
          <w:tcPr>
            <w:tcW w:w="6192" w:type="dxa"/>
            <w:hideMark/>
          </w:tcPr>
          <w:p w14:paraId="60E69C96" w14:textId="34E3B4D4"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 xml:space="preserve">≥20% reduction in the area of erythema, </w:t>
            </w:r>
            <w:r w:rsidR="00F96837">
              <w:rPr>
                <w:rFonts w:ascii="Arial" w:hAnsi="Arial"/>
                <w:sz w:val="20"/>
                <w:szCs w:val="20"/>
              </w:rPr>
              <w:t>oedema</w:t>
            </w:r>
            <w:r w:rsidRPr="004F2E5B">
              <w:rPr>
                <w:rFonts w:ascii="Arial" w:hAnsi="Arial"/>
                <w:sz w:val="20"/>
                <w:szCs w:val="20"/>
              </w:rPr>
              <w:t>, and/or induration (length * width) of the primary ABSSSI lesion compared with baseline</w:t>
            </w:r>
          </w:p>
        </w:tc>
      </w:tr>
      <w:tr w:rsidR="00000B3C" w:rsidRPr="004F2E5B" w14:paraId="4CB0EFF7" w14:textId="77777777" w:rsidTr="00133D10">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auto"/>
            <w:hideMark/>
          </w:tcPr>
          <w:p w14:paraId="7294ACAA"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Secondary outcome measures</w:t>
            </w:r>
          </w:p>
        </w:tc>
      </w:tr>
      <w:tr w:rsidR="00000B3C" w:rsidRPr="004F2E5B" w14:paraId="5B929C17" w14:textId="77777777" w:rsidTr="00133D10">
        <w:trPr>
          <w:cnfStyle w:val="000000010000" w:firstRow="0" w:lastRow="0" w:firstColumn="0" w:lastColumn="0" w:oddVBand="0" w:evenVBand="0" w:oddHBand="0" w:evenHBand="1" w:firstRowFirstColumn="0" w:firstRowLastColumn="0" w:lastRowFirstColumn="0" w:lastRowLastColumn="0"/>
          <w:trHeight w:val="1913"/>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3AF2BA76"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Clinical response at the EOT Visit in the ITT population</w:t>
            </w:r>
          </w:p>
        </w:tc>
        <w:tc>
          <w:tcPr>
            <w:tcW w:w="6192" w:type="dxa"/>
            <w:vMerge w:val="restart"/>
            <w:hideMark/>
          </w:tcPr>
          <w:p w14:paraId="0CE811A5" w14:textId="03023712" w:rsidR="00000B3C" w:rsidRPr="004F2E5B" w:rsidRDefault="00000B3C"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4F2E5B">
              <w:rPr>
                <w:rFonts w:ascii="Arial" w:hAnsi="Arial"/>
                <w:sz w:val="20"/>
                <w:lang w:val="en-US" w:eastAsia="en-GB"/>
              </w:rPr>
              <w:t>Patients were defined as a clinical success at the EOT Visit if they me</w:t>
            </w:r>
            <w:r w:rsidR="00DB7949" w:rsidRPr="004F2E5B">
              <w:rPr>
                <w:rFonts w:ascii="Arial" w:hAnsi="Arial"/>
                <w:sz w:val="20"/>
                <w:lang w:val="en-US" w:eastAsia="en-GB"/>
              </w:rPr>
              <w:t>t any of the following criteria</w:t>
            </w:r>
            <w:r w:rsidRPr="004F2E5B">
              <w:rPr>
                <w:rFonts w:ascii="Arial" w:hAnsi="Arial"/>
                <w:sz w:val="20"/>
                <w:lang w:val="en-US" w:eastAsia="en-GB"/>
              </w:rPr>
              <w:t>:</w:t>
            </w:r>
          </w:p>
          <w:p w14:paraId="3DF99313" w14:textId="177213F8"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Patie</w:t>
            </w:r>
            <w:r w:rsidRPr="001B0BD7">
              <w:rPr>
                <w:rFonts w:ascii="Arial" w:hAnsi="Arial"/>
                <w:sz w:val="20"/>
                <w:szCs w:val="20"/>
                <w:lang w:val="en-US"/>
              </w:rPr>
              <w:t>nt is afebrile (&lt;37.7</w:t>
            </w:r>
            <w:r w:rsidR="001B0BD7" w:rsidRPr="001B0BD7">
              <w:rPr>
                <w:rFonts w:ascii="Arial" w:hAnsi="Arial"/>
                <w:sz w:val="20"/>
                <w:szCs w:val="20"/>
                <w:vertAlign w:val="superscript"/>
                <w:lang w:val="en-US"/>
              </w:rPr>
              <w:t>o</w:t>
            </w:r>
            <w:r w:rsidRPr="001B0BD7">
              <w:rPr>
                <w:rFonts w:ascii="Arial" w:hAnsi="Arial"/>
                <w:sz w:val="20"/>
                <w:szCs w:val="20"/>
                <w:lang w:val="en-US"/>
              </w:rPr>
              <w:t>C oral; Investigator</w:t>
            </w:r>
            <w:r w:rsidRPr="004F2E5B">
              <w:rPr>
                <w:rFonts w:ascii="Arial" w:hAnsi="Arial"/>
                <w:sz w:val="20"/>
                <w:szCs w:val="20"/>
                <w:lang w:val="en-US"/>
              </w:rPr>
              <w:t xml:space="preserve"> reported) or the fever is attributable to a cause other than the primary skin infection</w:t>
            </w:r>
          </w:p>
          <w:p w14:paraId="2A8C1938"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Decrease from baseline in the size (area, length, and width) of the primary ABSSSI lesion</w:t>
            </w:r>
          </w:p>
          <w:p w14:paraId="5BB04099"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lastRenderedPageBreak/>
              <w:t>Clinician assessment of tenderness of mild or absent</w:t>
            </w:r>
          </w:p>
          <w:p w14:paraId="13AB23D2"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No purulent drainage from a wound infection or the purulent drainage is of lesser intensity than at screening</w:t>
            </w:r>
          </w:p>
          <w:p w14:paraId="2789FAE5" w14:textId="77777777" w:rsidR="00000B3C" w:rsidRPr="004F2E5B" w:rsidRDefault="00000B3C"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4F2E5B">
              <w:rPr>
                <w:rFonts w:ascii="Arial" w:hAnsi="Arial"/>
                <w:sz w:val="20"/>
                <w:lang w:val="en-US"/>
              </w:rPr>
              <w:t>Patient meets any of the following from the first infusion of study drug through the EOT Visit:</w:t>
            </w:r>
          </w:p>
          <w:p w14:paraId="736AE13B"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Did not receive any systemic concomitant antibiotic that is potentially effective against the baseline pathogen with the exception of adjunctive aztreonam and/or metronidazole in patients with wound infections</w:t>
            </w:r>
          </w:p>
          <w:p w14:paraId="664F7D8E"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Did not have a TEAE leading to discontinuation</w:t>
            </w:r>
          </w:p>
          <w:p w14:paraId="1290AACC"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No additional treatment of the primary lesion is required</w:t>
            </w:r>
          </w:p>
          <w:p w14:paraId="52F51166"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No unplanned major surgical intervention to the primary lesion</w:t>
            </w:r>
          </w:p>
          <w:p w14:paraId="1EA9663A" w14:textId="77777777" w:rsidR="00000B3C" w:rsidRPr="004F2E5B" w:rsidRDefault="00000B3C" w:rsidP="00C24317">
            <w:pPr>
              <w:pStyle w:val="TableBullet"/>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rPr>
            </w:pPr>
            <w:r w:rsidRPr="004F2E5B">
              <w:rPr>
                <w:rFonts w:ascii="Arial" w:hAnsi="Arial"/>
                <w:sz w:val="20"/>
                <w:szCs w:val="20"/>
                <w:lang w:val="en-US"/>
              </w:rPr>
              <w:t>Did not develop osteomyelitis after baseline</w:t>
            </w:r>
          </w:p>
          <w:p w14:paraId="63C36F53" w14:textId="1E5ACDA4"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For wounds and abscess: no incision and drainage of the ABSSSI site was performed after Day 1 unles</w:t>
            </w:r>
            <w:r w:rsidR="00803BD8">
              <w:rPr>
                <w:rFonts w:ascii="Arial" w:hAnsi="Arial"/>
                <w:sz w:val="20"/>
                <w:szCs w:val="20"/>
              </w:rPr>
              <w:t>s it was planned before randomis</w:t>
            </w:r>
            <w:r w:rsidRPr="004F2E5B">
              <w:rPr>
                <w:rFonts w:ascii="Arial" w:hAnsi="Arial"/>
                <w:sz w:val="20"/>
                <w:szCs w:val="20"/>
              </w:rPr>
              <w:t xml:space="preserve">ation </w:t>
            </w:r>
          </w:p>
        </w:tc>
      </w:tr>
      <w:tr w:rsidR="00000B3C" w:rsidRPr="004F2E5B" w14:paraId="5076FA21" w14:textId="77777777" w:rsidTr="00133D10">
        <w:trPr>
          <w:trHeight w:val="1914"/>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227B0F80"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lastRenderedPageBreak/>
              <w:t>Clinical response at the EOT Visit in the CE-EOT population</w:t>
            </w:r>
          </w:p>
        </w:tc>
        <w:tc>
          <w:tcPr>
            <w:tcW w:w="6192" w:type="dxa"/>
            <w:vMerge/>
            <w:hideMark/>
          </w:tcPr>
          <w:p w14:paraId="660E5F9D" w14:textId="77777777" w:rsidR="00000B3C" w:rsidRPr="004F2E5B" w:rsidRDefault="00000B3C" w:rsidP="00100BE6">
            <w:pPr>
              <w:cnfStyle w:val="000000000000" w:firstRow="0" w:lastRow="0" w:firstColumn="0" w:lastColumn="0" w:oddVBand="0" w:evenVBand="0" w:oddHBand="0" w:evenHBand="0" w:firstRowFirstColumn="0" w:firstRowLastColumn="0" w:lastRowFirstColumn="0" w:lastRowLastColumn="0"/>
              <w:rPr>
                <w:color w:val="000000"/>
                <w:sz w:val="20"/>
                <w:lang w:val="en-US" w:eastAsia="en-GB"/>
              </w:rPr>
            </w:pPr>
          </w:p>
        </w:tc>
      </w:tr>
      <w:tr w:rsidR="00000B3C" w:rsidRPr="004F2E5B" w14:paraId="55A69724" w14:textId="77777777" w:rsidTr="00133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7F6693A2"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lastRenderedPageBreak/>
              <w:t>Investigator’s assessment of clinical success at the PTE Visit in the ITT population</w:t>
            </w:r>
          </w:p>
        </w:tc>
        <w:tc>
          <w:tcPr>
            <w:tcW w:w="6192" w:type="dxa"/>
            <w:vMerge w:val="restart"/>
            <w:hideMark/>
          </w:tcPr>
          <w:p w14:paraId="1D3AB147" w14:textId="77777777" w:rsidR="00000B3C" w:rsidRPr="004F2E5B" w:rsidRDefault="00000B3C" w:rsidP="00100BE6">
            <w:pPr>
              <w:pStyle w:val="TableBodyText"/>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eastAsia="en-GB"/>
              </w:rPr>
            </w:pPr>
            <w:r w:rsidRPr="004F2E5B">
              <w:rPr>
                <w:rFonts w:ascii="Arial" w:hAnsi="Arial"/>
                <w:sz w:val="20"/>
                <w:szCs w:val="20"/>
                <w:lang w:val="en-US" w:eastAsia="en-GB"/>
              </w:rPr>
              <w:t>Patients were defined as a clinical success if they met the following three criteria:</w:t>
            </w:r>
          </w:p>
          <w:p w14:paraId="6FAFBB58"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Resolution or near resolution of most-disease specific signs and symptoms</w:t>
            </w:r>
          </w:p>
          <w:p w14:paraId="43B314E8"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Absence or near resolution of systemic signs of infection (lymphadenopathy, fever, &gt;10% immature neutrophils, and abnormal WBC count), if present at baseline</w:t>
            </w:r>
          </w:p>
          <w:p w14:paraId="4835DE86"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No new signs, symptoms, or complications attributable to the ABSSSI so no further antibiotic therapy is required for the treatment of the primary lesion</w:t>
            </w:r>
          </w:p>
        </w:tc>
      </w:tr>
      <w:tr w:rsidR="00000B3C" w:rsidRPr="004F2E5B" w14:paraId="3F84014C" w14:textId="77777777" w:rsidTr="00133D10">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top"/>
            <w:hideMark/>
          </w:tcPr>
          <w:p w14:paraId="73011F76" w14:textId="77777777" w:rsidR="00000B3C" w:rsidRPr="004F2E5B" w:rsidRDefault="00000B3C" w:rsidP="00100BE6">
            <w:pPr>
              <w:pStyle w:val="TableBodyText-H54"/>
              <w:rPr>
                <w:rFonts w:ascii="Arial" w:hAnsi="Arial"/>
                <w:sz w:val="20"/>
                <w:lang w:val="en-US" w:eastAsia="en-GB"/>
              </w:rPr>
            </w:pPr>
            <w:r w:rsidRPr="004F2E5B">
              <w:rPr>
                <w:rFonts w:ascii="Arial" w:hAnsi="Arial"/>
                <w:sz w:val="20"/>
                <w:lang w:val="en-US" w:eastAsia="en-GB"/>
              </w:rPr>
              <w:t>Investigator’s assessment of clinical success at the PTE Visit in the CE-PTE population</w:t>
            </w:r>
          </w:p>
        </w:tc>
        <w:tc>
          <w:tcPr>
            <w:tcW w:w="6192" w:type="dxa"/>
            <w:vMerge/>
            <w:hideMark/>
          </w:tcPr>
          <w:p w14:paraId="0D20D47A" w14:textId="77777777" w:rsidR="00000B3C" w:rsidRPr="004F2E5B" w:rsidRDefault="00000B3C" w:rsidP="00100BE6">
            <w:pPr>
              <w:cnfStyle w:val="000000000000" w:firstRow="0" w:lastRow="0" w:firstColumn="0" w:lastColumn="0" w:oddVBand="0" w:evenVBand="0" w:oddHBand="0" w:evenHBand="0" w:firstRowFirstColumn="0" w:firstRowLastColumn="0" w:lastRowFirstColumn="0" w:lastRowLastColumn="0"/>
              <w:rPr>
                <w:color w:val="000000"/>
                <w:sz w:val="20"/>
                <w:lang w:val="en-US" w:eastAsia="en-GB"/>
              </w:rPr>
            </w:pPr>
          </w:p>
        </w:tc>
      </w:tr>
      <w:tr w:rsidR="00000B3C" w:rsidRPr="004F2E5B" w14:paraId="3AED9FAE" w14:textId="77777777" w:rsidTr="00133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hideMark/>
          </w:tcPr>
          <w:p w14:paraId="46328432" w14:textId="77777777" w:rsidR="00000B3C" w:rsidRPr="004F2E5B" w:rsidRDefault="00000B3C" w:rsidP="00100BE6">
            <w:pPr>
              <w:pStyle w:val="TableBodyText-H54"/>
              <w:rPr>
                <w:rFonts w:ascii="Arial" w:hAnsi="Arial"/>
                <w:sz w:val="20"/>
                <w:lang w:val="en-US" w:eastAsia="en-GB"/>
              </w:rPr>
            </w:pPr>
            <w:r w:rsidRPr="004F2E5B">
              <w:rPr>
                <w:rFonts w:ascii="Arial" w:eastAsia="TimesNewRoman" w:hAnsi="Arial"/>
                <w:sz w:val="20"/>
                <w:lang w:val="en-US" w:eastAsia="en-GB"/>
              </w:rPr>
              <w:t>Investigator’s assessment of clinical response at the 48-Hour to 72-Hour Visit and Day 7 Visits</w:t>
            </w:r>
          </w:p>
        </w:tc>
        <w:tc>
          <w:tcPr>
            <w:tcW w:w="6192" w:type="dxa"/>
            <w:vAlign w:val="top"/>
            <w:hideMark/>
          </w:tcPr>
          <w:p w14:paraId="1B0645DD" w14:textId="77777777" w:rsidR="00000B3C" w:rsidRPr="004F2E5B" w:rsidRDefault="00000B3C" w:rsidP="00100BE6">
            <w:pPr>
              <w:pStyle w:val="TableHeading-H56"/>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eastAsia="en-GB"/>
              </w:rPr>
            </w:pPr>
            <w:r w:rsidRPr="004F2E5B">
              <w:rPr>
                <w:rFonts w:ascii="Arial" w:hAnsi="Arial"/>
                <w:sz w:val="20"/>
                <w:szCs w:val="20"/>
                <w:lang w:val="en-US" w:eastAsia="en-GB"/>
              </w:rPr>
              <w:t>48-Hour Visit to 72-Hour Visit:</w:t>
            </w:r>
          </w:p>
          <w:p w14:paraId="5AB2DEA3"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eastAsia="TimesNewRoman" w:hAnsi="Arial"/>
                <w:sz w:val="20"/>
                <w:szCs w:val="20"/>
              </w:rPr>
            </w:pPr>
            <w:r w:rsidRPr="004F2E5B">
              <w:rPr>
                <w:rFonts w:ascii="Arial" w:hAnsi="Arial"/>
                <w:sz w:val="20"/>
                <w:szCs w:val="20"/>
              </w:rPr>
              <w:t xml:space="preserve">Improving - improvement in </w:t>
            </w:r>
            <w:r w:rsidRPr="004F2E5B">
              <w:rPr>
                <w:rFonts w:ascii="Arial" w:eastAsia="TimesNewRoman" w:hAnsi="Arial"/>
                <w:sz w:val="20"/>
                <w:szCs w:val="20"/>
              </w:rPr>
              <w:t>overall clinical status of ABSSSI compatible with continuation of study drug therapy</w:t>
            </w:r>
          </w:p>
          <w:p w14:paraId="1B140BA1"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eastAsia="TimesNewRoman" w:hAnsi="Arial"/>
                <w:sz w:val="20"/>
                <w:szCs w:val="20"/>
              </w:rPr>
            </w:pPr>
            <w:r w:rsidRPr="004F2E5B">
              <w:rPr>
                <w:rFonts w:ascii="Arial" w:eastAsia="TimesNewRoman" w:hAnsi="Arial"/>
                <w:sz w:val="20"/>
                <w:szCs w:val="20"/>
              </w:rPr>
              <w:t>Stable - signs and symptoms stable, no apparent change in overall clinical status but compatible with continuation of study drug therapy</w:t>
            </w:r>
          </w:p>
          <w:p w14:paraId="6B0ECEFE" w14:textId="77777777" w:rsidR="00000B3C" w:rsidRPr="004F2E5B" w:rsidRDefault="00000B3C" w:rsidP="00100BE6">
            <w:pPr>
              <w:pStyle w:val="TableHeading-H56"/>
              <w:cnfStyle w:val="000000010000" w:firstRow="0" w:lastRow="0" w:firstColumn="0" w:lastColumn="0" w:oddVBand="0" w:evenVBand="0" w:oddHBand="0" w:evenHBand="1" w:firstRowFirstColumn="0" w:firstRowLastColumn="0" w:lastRowFirstColumn="0" w:lastRowLastColumn="0"/>
              <w:rPr>
                <w:rFonts w:ascii="Arial" w:hAnsi="Arial"/>
                <w:sz w:val="20"/>
                <w:szCs w:val="20"/>
                <w:lang w:val="en-US" w:eastAsia="en-GB"/>
              </w:rPr>
            </w:pPr>
            <w:r w:rsidRPr="004F2E5B">
              <w:rPr>
                <w:rFonts w:ascii="Arial" w:hAnsi="Arial"/>
                <w:sz w:val="20"/>
                <w:szCs w:val="20"/>
                <w:lang w:val="en-US" w:eastAsia="en-GB"/>
              </w:rPr>
              <w:t>Day 7 Visit:</w:t>
            </w:r>
          </w:p>
          <w:p w14:paraId="3227C642" w14:textId="77777777" w:rsidR="00000B3C" w:rsidRPr="004F2E5B" w:rsidRDefault="00000B3C" w:rsidP="00000B3C">
            <w:pPr>
              <w:pStyle w:val="TableBullet-H55"/>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4F2E5B">
              <w:rPr>
                <w:rFonts w:ascii="Arial" w:hAnsi="Arial"/>
                <w:sz w:val="20"/>
                <w:szCs w:val="20"/>
              </w:rPr>
              <w:t>Improving - improvement in overall clinical status of ABSSSI compatible with continuation of study drug therapy</w:t>
            </w:r>
          </w:p>
        </w:tc>
      </w:tr>
      <w:tr w:rsidR="00000B3C" w:rsidRPr="004F2E5B" w14:paraId="2556618D" w14:textId="77777777" w:rsidTr="00133D10">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top"/>
            <w:hideMark/>
          </w:tcPr>
          <w:p w14:paraId="4913978C" w14:textId="77777777" w:rsidR="00000B3C" w:rsidRPr="004F2E5B" w:rsidRDefault="00000B3C" w:rsidP="00100BE6">
            <w:pPr>
              <w:pStyle w:val="TableBodyText-H54"/>
              <w:rPr>
                <w:rFonts w:ascii="Arial" w:eastAsia="TimesNewRoman" w:hAnsi="Arial"/>
                <w:sz w:val="20"/>
                <w:lang w:val="en-US" w:eastAsia="en-GB"/>
              </w:rPr>
            </w:pPr>
            <w:r w:rsidRPr="004F2E5B">
              <w:rPr>
                <w:rFonts w:ascii="Arial" w:eastAsia="TimesNewRoman" w:hAnsi="Arial"/>
                <w:sz w:val="20"/>
                <w:lang w:val="en-US" w:eastAsia="en-GB"/>
              </w:rPr>
              <w:lastRenderedPageBreak/>
              <w:t>Change from baseline in the pain scores at each time point</w:t>
            </w:r>
          </w:p>
        </w:tc>
        <w:tc>
          <w:tcPr>
            <w:tcW w:w="6192" w:type="dxa"/>
            <w:vAlign w:val="top"/>
            <w:hideMark/>
          </w:tcPr>
          <w:p w14:paraId="0FA9BEB0" w14:textId="77777777" w:rsidR="00000B3C" w:rsidRPr="004F2E5B" w:rsidRDefault="00000B3C" w:rsidP="00000B3C">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F2E5B">
              <w:rPr>
                <w:rFonts w:ascii="Arial" w:hAnsi="Arial"/>
                <w:sz w:val="20"/>
                <w:szCs w:val="20"/>
              </w:rPr>
              <w:t>Assessed using VAS and FRS</w:t>
            </w:r>
          </w:p>
          <w:p w14:paraId="7E051DD5" w14:textId="781DD1A3" w:rsidR="00000B3C" w:rsidRPr="004F2E5B" w:rsidRDefault="00000B3C" w:rsidP="00000B3C">
            <w:pPr>
              <w:pStyle w:val="TableBullet-H55"/>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4F2E5B">
              <w:rPr>
                <w:rFonts w:ascii="Arial" w:hAnsi="Arial"/>
                <w:sz w:val="20"/>
                <w:szCs w:val="20"/>
              </w:rPr>
              <w:t xml:space="preserve">Patients </w:t>
            </w:r>
            <w:r w:rsidR="001A1998">
              <w:rPr>
                <w:rFonts w:ascii="Arial" w:hAnsi="Arial"/>
                <w:sz w:val="20"/>
                <w:szCs w:val="20"/>
              </w:rPr>
              <w:t>categorise</w:t>
            </w:r>
            <w:r w:rsidRPr="004F2E5B">
              <w:rPr>
                <w:rFonts w:ascii="Arial" w:hAnsi="Arial"/>
                <w:sz w:val="20"/>
                <w:szCs w:val="20"/>
              </w:rPr>
              <w:t>d as absent (</w:t>
            </w:r>
            <w:r w:rsidRPr="004F2E5B">
              <w:rPr>
                <w:rFonts w:ascii="Arial" w:eastAsia="TimesNewRoman" w:hAnsi="Arial"/>
                <w:sz w:val="20"/>
                <w:szCs w:val="20"/>
              </w:rPr>
              <w:t>no pain with functional limitation or requiring pain management</w:t>
            </w:r>
            <w:r w:rsidRPr="004F2E5B">
              <w:rPr>
                <w:rFonts w:ascii="Arial" w:hAnsi="Arial"/>
                <w:sz w:val="20"/>
                <w:szCs w:val="20"/>
              </w:rPr>
              <w:t>) or present (</w:t>
            </w:r>
            <w:r w:rsidRPr="004F2E5B">
              <w:rPr>
                <w:rFonts w:ascii="Arial" w:eastAsia="TimesNewRoman" w:hAnsi="Arial"/>
                <w:sz w:val="20"/>
                <w:szCs w:val="20"/>
              </w:rPr>
              <w:t>pain with functional limitation or requiring pain management</w:t>
            </w:r>
            <w:r w:rsidRPr="004F2E5B">
              <w:rPr>
                <w:rFonts w:ascii="Arial" w:hAnsi="Arial"/>
                <w:sz w:val="20"/>
                <w:szCs w:val="20"/>
              </w:rPr>
              <w:t>)</w:t>
            </w:r>
          </w:p>
        </w:tc>
      </w:tr>
    </w:tbl>
    <w:p w14:paraId="7DE92AB9" w14:textId="2CBFF318" w:rsidR="00000B3C" w:rsidRPr="004F63C8" w:rsidRDefault="00000B3C" w:rsidP="00DB7949">
      <w:pPr>
        <w:pStyle w:val="TableNote-H58"/>
        <w:spacing w:before="0" w:after="0"/>
        <w:rPr>
          <w:rFonts w:ascii="Arial" w:hAnsi="Arial"/>
          <w:lang w:val="en-US"/>
        </w:rPr>
      </w:pPr>
      <w:r w:rsidRPr="004F63C8">
        <w:rPr>
          <w:rFonts w:ascii="Arial" w:hAnsi="Arial"/>
          <w:lang w:val="en-US"/>
        </w:rPr>
        <w:t>SOURCE: ESTABLISH-2 CSR</w:t>
      </w:r>
      <w:r w:rsidR="00E81C22">
        <w:rPr>
          <w:rFonts w:ascii="Arial" w:hAnsi="Arial"/>
          <w:lang w:val="en-US"/>
        </w:rPr>
        <w:t xml:space="preserve"> </w:t>
      </w:r>
      <w:r w:rsidR="00E81C22">
        <w:rPr>
          <w:rFonts w:ascii="Arial" w:hAnsi="Arial"/>
          <w:lang w:val="en-US"/>
        </w:rPr>
        <w:fldChar w:fldCharType="begin"/>
      </w:r>
      <w:r w:rsidR="00E81C22">
        <w:rPr>
          <w:rFonts w:ascii="Arial" w:hAnsi="Arial"/>
          <w:lang w:val="en-US"/>
        </w:rPr>
        <w:instrText xml:space="preserve"> REF _Ref284171394 \r \h </w:instrText>
      </w:r>
      <w:r w:rsidR="00E81C22">
        <w:rPr>
          <w:rFonts w:ascii="Arial" w:hAnsi="Arial"/>
          <w:lang w:val="en-US"/>
        </w:rPr>
      </w:r>
      <w:r w:rsidR="00E81C22">
        <w:rPr>
          <w:rFonts w:ascii="Arial" w:hAnsi="Arial"/>
          <w:lang w:val="en-US"/>
        </w:rPr>
        <w:fldChar w:fldCharType="separate"/>
      </w:r>
      <w:r w:rsidR="00151A1C">
        <w:rPr>
          <w:rFonts w:ascii="Arial" w:hAnsi="Arial"/>
          <w:lang w:val="en-US"/>
        </w:rPr>
        <w:t>42</w:t>
      </w:r>
      <w:r w:rsidR="00E81C22">
        <w:rPr>
          <w:rFonts w:ascii="Arial" w:hAnsi="Arial"/>
          <w:lang w:val="en-US"/>
        </w:rPr>
        <w:fldChar w:fldCharType="end"/>
      </w:r>
      <w:r w:rsidRPr="004F63C8">
        <w:rPr>
          <w:rFonts w:ascii="Arial" w:hAnsi="Arial"/>
          <w:lang w:val="en-US"/>
        </w:rPr>
        <w:t xml:space="preserve">: section 9.5.4.2 Table 9-10, Table 9-4, Table 9-5, and Table 9-6 </w:t>
      </w:r>
    </w:p>
    <w:p w14:paraId="7518E680" w14:textId="77777777" w:rsidR="00000B3C" w:rsidRPr="004F63C8" w:rsidRDefault="00000B3C" w:rsidP="00DB7949">
      <w:pPr>
        <w:pStyle w:val="TableNote-H58"/>
        <w:spacing w:before="0" w:after="0"/>
        <w:rPr>
          <w:rFonts w:ascii="Arial" w:hAnsi="Arial"/>
          <w:lang w:val="en-US"/>
        </w:rPr>
      </w:pPr>
      <w:r w:rsidRPr="004F63C8">
        <w:rPr>
          <w:rFonts w:ascii="Arial" w:hAnsi="Arial"/>
          <w:lang w:val="en-US"/>
        </w:rPr>
        <w:t>ABSSSI: Acute bacterial skin and skin structure infection; CE-PTE: Clinically evaluable at post-therapy evaluation; EOT: End of therapy; FRS: Faces rating scale; ITT: Intent-to-treat; LFU: Late follow-up; PTE: Post-therapy evaluation; TEAE: Treatment-emergent adverse event; VAS: Visual analog scale; WBC: White blood cell</w:t>
      </w:r>
    </w:p>
    <w:p w14:paraId="60A3D1C7" w14:textId="77777777" w:rsidR="00DB7949" w:rsidRDefault="00DB7949" w:rsidP="00000B3C">
      <w:pPr>
        <w:pStyle w:val="BodyText"/>
        <w:rPr>
          <w:rFonts w:eastAsia="Arial Unicode MS"/>
          <w:lang w:val="en-US"/>
        </w:rPr>
      </w:pPr>
    </w:p>
    <w:p w14:paraId="574FC0E6" w14:textId="4CCCBB68" w:rsidR="00000B3C" w:rsidRPr="004F2E5B" w:rsidRDefault="00DB7949" w:rsidP="00DB6FFB">
      <w:pPr>
        <w:pStyle w:val="BodyText"/>
        <w:rPr>
          <w:rFonts w:eastAsia="Arial Unicode MS"/>
          <w:sz w:val="22"/>
          <w:szCs w:val="22"/>
          <w:lang w:val="en-US"/>
        </w:rPr>
      </w:pPr>
      <w:r w:rsidRPr="004F2E5B">
        <w:rPr>
          <w:rFonts w:eastAsia="Arial Unicode MS"/>
          <w:sz w:val="22"/>
          <w:szCs w:val="22"/>
          <w:lang w:val="en-US"/>
        </w:rPr>
        <w:t>As for ESTABLISH-1, a</w:t>
      </w:r>
      <w:r w:rsidR="00000B3C" w:rsidRPr="004F2E5B">
        <w:rPr>
          <w:rFonts w:eastAsia="Arial Unicode MS"/>
          <w:sz w:val="22"/>
          <w:szCs w:val="22"/>
          <w:lang w:val="en-US"/>
        </w:rPr>
        <w:t xml:space="preserve">dditional outcomes </w:t>
      </w:r>
      <w:r w:rsidRPr="004F2E5B">
        <w:rPr>
          <w:rFonts w:eastAsia="Arial Unicode MS"/>
          <w:sz w:val="22"/>
          <w:szCs w:val="22"/>
          <w:lang w:val="en-US"/>
        </w:rPr>
        <w:t xml:space="preserve">in ESTABLISH-2 </w:t>
      </w:r>
      <w:r w:rsidR="00000B3C" w:rsidRPr="004F2E5B">
        <w:rPr>
          <w:rFonts w:eastAsia="Arial Unicode MS"/>
          <w:sz w:val="22"/>
          <w:szCs w:val="22"/>
          <w:lang w:val="en-US"/>
        </w:rPr>
        <w:t>include</w:t>
      </w:r>
      <w:r w:rsidRPr="004F2E5B">
        <w:rPr>
          <w:rFonts w:eastAsia="Arial Unicode MS"/>
          <w:sz w:val="22"/>
          <w:szCs w:val="22"/>
          <w:lang w:val="en-US"/>
        </w:rPr>
        <w:t>d</w:t>
      </w:r>
      <w:r w:rsidR="00000B3C" w:rsidRPr="004F2E5B">
        <w:rPr>
          <w:rFonts w:eastAsia="Arial Unicode MS"/>
          <w:sz w:val="22"/>
          <w:szCs w:val="22"/>
          <w:lang w:val="en-US"/>
        </w:rPr>
        <w:t xml:space="preserve">: </w:t>
      </w:r>
    </w:p>
    <w:p w14:paraId="29A80FE6" w14:textId="0E34A7FB" w:rsidR="00000B3C" w:rsidRPr="004F2E5B" w:rsidRDefault="00000B3C" w:rsidP="00DB6FFB">
      <w:pPr>
        <w:pStyle w:val="ListBullet-H41"/>
        <w:spacing w:before="0" w:after="0"/>
        <w:ind w:left="426" w:hanging="426"/>
        <w:jc w:val="left"/>
        <w:rPr>
          <w:rFonts w:ascii="Arial" w:hAnsi="Arial"/>
          <w:sz w:val="22"/>
          <w:szCs w:val="22"/>
        </w:rPr>
      </w:pPr>
      <w:r w:rsidRPr="004F2E5B">
        <w:rPr>
          <w:rFonts w:ascii="Arial" w:eastAsia="Arial Unicode MS" w:hAnsi="Arial"/>
          <w:sz w:val="22"/>
          <w:szCs w:val="22"/>
        </w:rPr>
        <w:t xml:space="preserve">Proportion of patients with sustained clinical success at the LFU Visit (18 days - 25 days after the EOT Visit) after having previously </w:t>
      </w:r>
      <w:r w:rsidRPr="004F2E5B">
        <w:rPr>
          <w:rFonts w:ascii="Arial" w:hAnsi="Arial"/>
          <w:sz w:val="22"/>
          <w:szCs w:val="22"/>
        </w:rPr>
        <w:t>achieved clinical success at the PTE Visit in the CE-PTE population</w:t>
      </w:r>
      <w:r w:rsidR="004F2E5B">
        <w:rPr>
          <w:rFonts w:ascii="Arial" w:hAnsi="Arial"/>
          <w:sz w:val="22"/>
          <w:szCs w:val="22"/>
        </w:rPr>
        <w:t>;</w:t>
      </w:r>
    </w:p>
    <w:p w14:paraId="55636FA9" w14:textId="6C1BF93A" w:rsidR="00000B3C" w:rsidRPr="004F2E5B" w:rsidRDefault="00000B3C" w:rsidP="00DB6FFB">
      <w:pPr>
        <w:pStyle w:val="ListBullet-H41"/>
        <w:spacing w:before="0" w:after="0"/>
        <w:ind w:left="426" w:hanging="426"/>
        <w:jc w:val="left"/>
        <w:rPr>
          <w:rFonts w:eastAsia="Shaker2Lancet-Bold" w:cs="Arial"/>
          <w:b/>
          <w:bCs/>
          <w:color w:val="FF0000"/>
          <w:sz w:val="22"/>
          <w:szCs w:val="22"/>
          <w:lang w:eastAsia="ja-JP"/>
        </w:rPr>
      </w:pPr>
      <w:r w:rsidRPr="004F2E5B">
        <w:rPr>
          <w:rFonts w:ascii="Arial" w:hAnsi="Arial"/>
          <w:sz w:val="22"/>
          <w:szCs w:val="22"/>
        </w:rPr>
        <w:t>Investigator assessment of clinical success by baseline pathogen at the PTE Visit in the MITT population</w:t>
      </w:r>
      <w:r w:rsidR="006348E3" w:rsidRPr="004F2E5B">
        <w:rPr>
          <w:rFonts w:ascii="Arial" w:hAnsi="Arial"/>
          <w:sz w:val="22"/>
          <w:szCs w:val="22"/>
        </w:rPr>
        <w:t xml:space="preserve">. </w:t>
      </w:r>
    </w:p>
    <w:p w14:paraId="038F6B45" w14:textId="77777777" w:rsidR="00001C6F" w:rsidRPr="006348E3" w:rsidRDefault="00001C6F" w:rsidP="008E4E92">
      <w:pPr>
        <w:autoSpaceDE w:val="0"/>
        <w:autoSpaceDN w:val="0"/>
        <w:adjustRightInd w:val="0"/>
        <w:rPr>
          <w:rFonts w:eastAsia="Shaker2Lancet-Bold" w:cs="Arial"/>
          <w:b/>
          <w:bCs/>
          <w:sz w:val="22"/>
          <w:szCs w:val="22"/>
          <w:lang w:eastAsia="ja-JP"/>
        </w:rPr>
      </w:pPr>
    </w:p>
    <w:p w14:paraId="4C4C55AC" w14:textId="687EF87E" w:rsidR="00623338" w:rsidRPr="006348E3" w:rsidRDefault="006348E3" w:rsidP="006348E3">
      <w:pPr>
        <w:autoSpaceDE w:val="0"/>
        <w:autoSpaceDN w:val="0"/>
        <w:adjustRightInd w:val="0"/>
        <w:rPr>
          <w:rFonts w:cs="Arial"/>
          <w:b/>
          <w:bCs/>
          <w:sz w:val="22"/>
          <w:szCs w:val="22"/>
          <w:lang w:eastAsia="ja-JP"/>
        </w:rPr>
      </w:pPr>
      <w:r w:rsidRPr="006348E3">
        <w:rPr>
          <w:rFonts w:cs="Arial"/>
          <w:b/>
          <w:bCs/>
          <w:sz w:val="22"/>
          <w:szCs w:val="22"/>
          <w:lang w:eastAsia="ja-JP"/>
        </w:rPr>
        <w:t>3.4</w:t>
      </w:r>
      <w:r w:rsidR="00F305BD" w:rsidRPr="006348E3">
        <w:rPr>
          <w:rFonts w:cs="Arial"/>
          <w:b/>
          <w:bCs/>
          <w:sz w:val="22"/>
          <w:szCs w:val="22"/>
          <w:lang w:eastAsia="ja-JP"/>
        </w:rPr>
        <w:t>.8</w:t>
      </w:r>
      <w:r w:rsidR="00F305BD" w:rsidRPr="006348E3">
        <w:rPr>
          <w:rFonts w:cs="Arial"/>
          <w:b/>
          <w:bCs/>
          <w:sz w:val="22"/>
          <w:szCs w:val="22"/>
          <w:lang w:eastAsia="ja-JP"/>
        </w:rPr>
        <w:tab/>
        <w:t>Population</w:t>
      </w:r>
      <w:r w:rsidR="00A13945">
        <w:rPr>
          <w:rFonts w:cs="Arial"/>
          <w:b/>
          <w:bCs/>
          <w:sz w:val="22"/>
          <w:szCs w:val="22"/>
          <w:lang w:eastAsia="ja-JP"/>
        </w:rPr>
        <w:t>s</w:t>
      </w:r>
      <w:r w:rsidR="00F305BD" w:rsidRPr="006348E3">
        <w:rPr>
          <w:rFonts w:cs="Arial"/>
          <w:b/>
          <w:bCs/>
          <w:sz w:val="22"/>
          <w:szCs w:val="22"/>
          <w:lang w:eastAsia="ja-JP"/>
        </w:rPr>
        <w:t xml:space="preserve"> included in primary analysis of primary outcome</w:t>
      </w:r>
      <w:r w:rsidRPr="006348E3">
        <w:rPr>
          <w:rFonts w:cs="Arial"/>
          <w:b/>
          <w:bCs/>
          <w:sz w:val="22"/>
          <w:szCs w:val="22"/>
          <w:lang w:eastAsia="ja-JP"/>
        </w:rPr>
        <w:t>:</w:t>
      </w:r>
      <w:r w:rsidR="00F305BD" w:rsidRPr="006348E3">
        <w:rPr>
          <w:rFonts w:cs="Arial"/>
          <w:b/>
          <w:bCs/>
          <w:sz w:val="22"/>
          <w:szCs w:val="22"/>
          <w:lang w:eastAsia="ja-JP"/>
        </w:rPr>
        <w:t xml:space="preserve"> </w:t>
      </w:r>
      <w:r w:rsidR="00623338" w:rsidRPr="006348E3">
        <w:rPr>
          <w:rFonts w:eastAsia="Arial Unicode MS"/>
          <w:sz w:val="22"/>
          <w:szCs w:val="22"/>
          <w:lang w:val="en-US"/>
        </w:rPr>
        <w:t xml:space="preserve">For the primary outcome, at the 48 Hour to 72 Hour Visit, patients were defined as responders, non-responders, or indeterminates, according to the objective criteria. The criteria for responders and non-responders are outlined in </w:t>
      </w:r>
      <w:r w:rsidR="00F96837">
        <w:rPr>
          <w:sz w:val="22"/>
          <w:szCs w:val="22"/>
          <w:lang w:val="en-US"/>
        </w:rPr>
        <w:fldChar w:fldCharType="begin"/>
      </w:r>
      <w:r w:rsidR="00F96837">
        <w:rPr>
          <w:rFonts w:eastAsia="Arial Unicode MS"/>
          <w:sz w:val="22"/>
          <w:szCs w:val="22"/>
          <w:lang w:val="en-US"/>
        </w:rPr>
        <w:instrText xml:space="preserve"> REF _Ref381692861 \h </w:instrText>
      </w:r>
      <w:r w:rsidR="00F96837">
        <w:rPr>
          <w:sz w:val="22"/>
          <w:szCs w:val="22"/>
          <w:lang w:val="en-US"/>
        </w:rPr>
      </w:r>
      <w:r w:rsidR="00F96837">
        <w:rPr>
          <w:sz w:val="22"/>
          <w:szCs w:val="22"/>
          <w:lang w:val="en-US"/>
        </w:rPr>
        <w:fldChar w:fldCharType="separate"/>
      </w:r>
      <w:r w:rsidR="00151A1C" w:rsidRPr="006348E3">
        <w:rPr>
          <w:sz w:val="22"/>
          <w:szCs w:val="22"/>
          <w:lang w:val="en-US"/>
        </w:rPr>
        <w:t xml:space="preserve">Table </w:t>
      </w:r>
      <w:r w:rsidR="00151A1C">
        <w:rPr>
          <w:noProof/>
          <w:sz w:val="22"/>
          <w:szCs w:val="22"/>
          <w:lang w:val="en-US"/>
        </w:rPr>
        <w:t>18</w:t>
      </w:r>
      <w:r w:rsidR="00F96837">
        <w:rPr>
          <w:sz w:val="22"/>
          <w:szCs w:val="22"/>
          <w:lang w:val="en-US"/>
        </w:rPr>
        <w:fldChar w:fldCharType="end"/>
      </w:r>
      <w:r w:rsidR="00623338" w:rsidRPr="006348E3">
        <w:rPr>
          <w:sz w:val="22"/>
          <w:szCs w:val="22"/>
          <w:lang w:val="en-US"/>
        </w:rPr>
        <w:t>.</w:t>
      </w:r>
      <w:r w:rsidR="00623338" w:rsidRPr="006348E3">
        <w:rPr>
          <w:rFonts w:eastAsia="Arial Unicode MS"/>
          <w:sz w:val="22"/>
          <w:szCs w:val="22"/>
          <w:lang w:val="en-US"/>
        </w:rPr>
        <w:t xml:space="preserve"> Patients assigned an indeterminate response were considered as non-responders to determine clinical response at the 48-Hour to 72-Hour Visit.</w:t>
      </w:r>
    </w:p>
    <w:p w14:paraId="277F8CB7" w14:textId="77777777" w:rsidR="00623338" w:rsidRPr="006348E3" w:rsidRDefault="00623338" w:rsidP="00623338">
      <w:pPr>
        <w:pStyle w:val="Caption"/>
        <w:rPr>
          <w:rFonts w:ascii="Arial" w:hAnsi="Arial"/>
          <w:sz w:val="22"/>
          <w:szCs w:val="22"/>
          <w:lang w:val="en-US"/>
        </w:rPr>
      </w:pPr>
      <w:bookmarkStart w:id="103" w:name="_Ref381692861"/>
      <w:bookmarkStart w:id="104" w:name="_Toc396058439"/>
      <w:r w:rsidRPr="006348E3">
        <w:rPr>
          <w:rFonts w:ascii="Arial" w:hAnsi="Arial"/>
          <w:sz w:val="22"/>
          <w:szCs w:val="22"/>
          <w:lang w:val="en-US"/>
        </w:rPr>
        <w:t xml:space="preserve">Table </w:t>
      </w:r>
      <w:r w:rsidRPr="006348E3">
        <w:rPr>
          <w:rFonts w:ascii="Arial" w:hAnsi="Arial"/>
          <w:sz w:val="22"/>
          <w:szCs w:val="22"/>
          <w:lang w:val="en-US"/>
        </w:rPr>
        <w:fldChar w:fldCharType="begin"/>
      </w:r>
      <w:r w:rsidRPr="006348E3">
        <w:rPr>
          <w:rFonts w:ascii="Arial" w:hAnsi="Arial"/>
          <w:sz w:val="22"/>
          <w:szCs w:val="22"/>
          <w:lang w:val="en-US"/>
        </w:rPr>
        <w:instrText xml:space="preserve"> SEQ Table \* ARABIC </w:instrText>
      </w:r>
      <w:r w:rsidRPr="006348E3">
        <w:rPr>
          <w:rFonts w:ascii="Arial" w:hAnsi="Arial"/>
          <w:sz w:val="22"/>
          <w:szCs w:val="22"/>
          <w:lang w:val="en-US"/>
        </w:rPr>
        <w:fldChar w:fldCharType="separate"/>
      </w:r>
      <w:r w:rsidR="00151A1C">
        <w:rPr>
          <w:rFonts w:ascii="Arial" w:hAnsi="Arial"/>
          <w:noProof/>
          <w:sz w:val="22"/>
          <w:szCs w:val="22"/>
          <w:lang w:val="en-US"/>
        </w:rPr>
        <w:t>18</w:t>
      </w:r>
      <w:r w:rsidRPr="006348E3">
        <w:rPr>
          <w:rFonts w:ascii="Arial" w:hAnsi="Arial"/>
          <w:sz w:val="22"/>
          <w:szCs w:val="22"/>
          <w:lang w:val="en-US"/>
        </w:rPr>
        <w:fldChar w:fldCharType="end"/>
      </w:r>
      <w:bookmarkEnd w:id="103"/>
      <w:r w:rsidRPr="006348E3">
        <w:rPr>
          <w:rFonts w:ascii="Arial" w:hAnsi="Arial"/>
          <w:sz w:val="22"/>
          <w:szCs w:val="22"/>
          <w:lang w:val="en-US"/>
        </w:rPr>
        <w:t>:</w:t>
      </w:r>
      <w:r w:rsidRPr="006348E3">
        <w:rPr>
          <w:rFonts w:ascii="Arial" w:eastAsia="Arial Unicode MS" w:hAnsi="Arial"/>
          <w:sz w:val="22"/>
          <w:szCs w:val="22"/>
          <w:lang w:val="en-US"/>
        </w:rPr>
        <w:t xml:space="preserve"> </w:t>
      </w:r>
      <w:r w:rsidRPr="006348E3">
        <w:rPr>
          <w:rFonts w:ascii="Arial" w:hAnsi="Arial"/>
          <w:sz w:val="22"/>
          <w:szCs w:val="22"/>
          <w:lang w:val="en-US"/>
        </w:rPr>
        <w:t>Criteria for responders and non-responders at the 48 Hour to 72 Hour Visit</w:t>
      </w:r>
      <w:r w:rsidRPr="006348E3">
        <w:rPr>
          <w:rFonts w:ascii="Arial" w:eastAsia="Arial Unicode MS" w:hAnsi="Arial"/>
          <w:sz w:val="22"/>
          <w:szCs w:val="22"/>
          <w:lang w:val="en-US"/>
        </w:rPr>
        <w:t xml:space="preserve"> in ESTABLISH-2</w:t>
      </w:r>
      <w:bookmarkEnd w:id="104"/>
    </w:p>
    <w:tbl>
      <w:tblPr>
        <w:tblStyle w:val="Table-HERONplain"/>
        <w:tblW w:w="8612" w:type="dxa"/>
        <w:tblLook w:val="04A0" w:firstRow="1" w:lastRow="0" w:firstColumn="1" w:lastColumn="0" w:noHBand="0" w:noVBand="1"/>
      </w:tblPr>
      <w:tblGrid>
        <w:gridCol w:w="1885"/>
        <w:gridCol w:w="6727"/>
      </w:tblGrid>
      <w:tr w:rsidR="00623338" w:rsidRPr="00A13945" w14:paraId="296C390B" w14:textId="77777777" w:rsidTr="00706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hideMark/>
          </w:tcPr>
          <w:p w14:paraId="63460B2A" w14:textId="77777777" w:rsidR="00623338" w:rsidRPr="003D5B9A" w:rsidRDefault="00623338" w:rsidP="00100BE6">
            <w:pPr>
              <w:pStyle w:val="TableBodyText-H54"/>
              <w:rPr>
                <w:rFonts w:ascii="Arial" w:hAnsi="Arial" w:cs="Arial"/>
                <w:sz w:val="22"/>
                <w:szCs w:val="22"/>
                <w:lang w:val="en-US" w:eastAsia="en-GB"/>
              </w:rPr>
            </w:pPr>
            <w:r w:rsidRPr="003D5B9A">
              <w:rPr>
                <w:rFonts w:ascii="Arial" w:hAnsi="Arial" w:cs="Arial"/>
                <w:sz w:val="22"/>
                <w:szCs w:val="22"/>
                <w:lang w:val="en-US" w:eastAsia="en-GB"/>
              </w:rPr>
              <w:t>Term</w:t>
            </w:r>
          </w:p>
        </w:tc>
        <w:tc>
          <w:tcPr>
            <w:tcW w:w="6727" w:type="dxa"/>
            <w:shd w:val="clear" w:color="auto" w:fill="auto"/>
            <w:hideMark/>
          </w:tcPr>
          <w:p w14:paraId="11273D6D" w14:textId="77777777" w:rsidR="00623338" w:rsidRPr="003D5B9A" w:rsidRDefault="00623338"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eastAsia="en-GB"/>
              </w:rPr>
            </w:pPr>
            <w:r w:rsidRPr="003D5B9A">
              <w:rPr>
                <w:rFonts w:ascii="Arial" w:hAnsi="Arial" w:cs="Arial"/>
                <w:sz w:val="22"/>
                <w:szCs w:val="22"/>
                <w:lang w:val="en-US" w:eastAsia="en-GB"/>
              </w:rPr>
              <w:t>Definition</w:t>
            </w:r>
          </w:p>
        </w:tc>
      </w:tr>
      <w:tr w:rsidR="00623338" w:rsidRPr="00A13945" w14:paraId="08CB30D5" w14:textId="77777777" w:rsidTr="00706950">
        <w:tc>
          <w:tcPr>
            <w:cnfStyle w:val="001000000000" w:firstRow="0" w:lastRow="0" w:firstColumn="1" w:lastColumn="0" w:oddVBand="0" w:evenVBand="0" w:oddHBand="0" w:evenHBand="0" w:firstRowFirstColumn="0" w:firstRowLastColumn="0" w:lastRowFirstColumn="0" w:lastRowLastColumn="0"/>
            <w:tcW w:w="1885" w:type="dxa"/>
            <w:shd w:val="clear" w:color="auto" w:fill="auto"/>
            <w:hideMark/>
          </w:tcPr>
          <w:p w14:paraId="37D5288C" w14:textId="77777777" w:rsidR="00623338" w:rsidRPr="003D5B9A" w:rsidRDefault="00623338" w:rsidP="00100BE6">
            <w:pPr>
              <w:pStyle w:val="TableBodyText-H54"/>
              <w:rPr>
                <w:rFonts w:ascii="Arial" w:hAnsi="Arial" w:cs="Arial"/>
                <w:sz w:val="22"/>
                <w:szCs w:val="22"/>
                <w:lang w:val="en-US" w:eastAsia="en-GB"/>
              </w:rPr>
            </w:pPr>
            <w:r w:rsidRPr="003D5B9A">
              <w:rPr>
                <w:rFonts w:ascii="Arial" w:hAnsi="Arial" w:cs="Arial"/>
                <w:sz w:val="22"/>
                <w:szCs w:val="22"/>
                <w:lang w:val="en-US" w:eastAsia="en-GB"/>
              </w:rPr>
              <w:t>Responders</w:t>
            </w:r>
          </w:p>
        </w:tc>
        <w:tc>
          <w:tcPr>
            <w:tcW w:w="6727" w:type="dxa"/>
            <w:hideMark/>
          </w:tcPr>
          <w:p w14:paraId="07815CA1" w14:textId="121A1F73" w:rsidR="00623338" w:rsidRPr="003D5B9A" w:rsidRDefault="00623338" w:rsidP="00623338">
            <w:pPr>
              <w:pStyle w:val="TableBullet-H5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D5B9A">
              <w:rPr>
                <w:rFonts w:ascii="Arial" w:hAnsi="Arial" w:cs="Arial"/>
                <w:sz w:val="22"/>
                <w:szCs w:val="22"/>
              </w:rPr>
              <w:t xml:space="preserve">≥20% reduction in the area of erythema, </w:t>
            </w:r>
            <w:r w:rsidR="00F96837" w:rsidRPr="003D5B9A">
              <w:rPr>
                <w:rFonts w:ascii="Arial" w:hAnsi="Arial" w:cs="Arial"/>
                <w:sz w:val="22"/>
                <w:szCs w:val="22"/>
              </w:rPr>
              <w:t>oedema</w:t>
            </w:r>
            <w:r w:rsidRPr="003D5B9A">
              <w:rPr>
                <w:rFonts w:ascii="Arial" w:hAnsi="Arial" w:cs="Arial"/>
                <w:sz w:val="22"/>
                <w:szCs w:val="22"/>
              </w:rPr>
              <w:t>, and/or induration (length*width) of the primary ABSSSI lesion compared with baseline at the 48-Hour to 72-Hour Visit</w:t>
            </w:r>
          </w:p>
        </w:tc>
      </w:tr>
      <w:tr w:rsidR="00623338" w:rsidRPr="00A13945" w14:paraId="42F72F9D"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top"/>
            <w:hideMark/>
          </w:tcPr>
          <w:p w14:paraId="761D1286" w14:textId="77777777" w:rsidR="00623338" w:rsidRPr="003D5B9A" w:rsidRDefault="00623338" w:rsidP="00100BE6">
            <w:pPr>
              <w:pStyle w:val="TableBodyText-H54"/>
              <w:rPr>
                <w:rFonts w:ascii="Arial" w:hAnsi="Arial" w:cs="Arial"/>
                <w:sz w:val="22"/>
                <w:szCs w:val="22"/>
                <w:lang w:val="en-US" w:eastAsia="en-GB"/>
              </w:rPr>
            </w:pPr>
            <w:r w:rsidRPr="003D5B9A">
              <w:rPr>
                <w:rFonts w:ascii="Arial" w:hAnsi="Arial" w:cs="Arial"/>
                <w:sz w:val="22"/>
                <w:szCs w:val="22"/>
                <w:lang w:val="en-US" w:eastAsia="en-GB"/>
              </w:rPr>
              <w:t>Non-responders</w:t>
            </w:r>
          </w:p>
        </w:tc>
        <w:tc>
          <w:tcPr>
            <w:tcW w:w="6727" w:type="dxa"/>
            <w:vAlign w:val="top"/>
            <w:hideMark/>
          </w:tcPr>
          <w:p w14:paraId="545C92E4" w14:textId="77777777" w:rsidR="00623338" w:rsidRPr="003D5B9A" w:rsidRDefault="00623338" w:rsidP="00623338">
            <w:pPr>
              <w:pStyle w:val="TableBullet-H55"/>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3D5B9A">
              <w:rPr>
                <w:rFonts w:ascii="Arial" w:hAnsi="Arial" w:cs="Arial"/>
                <w:sz w:val="22"/>
                <w:szCs w:val="22"/>
              </w:rPr>
              <w:t>&lt;20% reduction in the area of the primary ABSSSI lesion compared with baseline at the 48 Hour to 72 Hour Visit</w:t>
            </w:r>
          </w:p>
          <w:p w14:paraId="7E7C2A89" w14:textId="77777777" w:rsidR="00623338" w:rsidRPr="003D5B9A" w:rsidRDefault="00623338" w:rsidP="00623338">
            <w:pPr>
              <w:pStyle w:val="TableBullet-H55"/>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3D5B9A">
              <w:rPr>
                <w:rFonts w:ascii="Arial" w:hAnsi="Arial" w:cs="Arial"/>
                <w:sz w:val="22"/>
                <w:szCs w:val="22"/>
              </w:rPr>
              <w:lastRenderedPageBreak/>
              <w:t>Receipt of any systemic concomitant antibiotic therapy within 72 hours after the first infusion of study drug that is potentially effective against the baseline pathogen with the exception of adjunctive aztreonam and/or metronidazole in patients with wound infections</w:t>
            </w:r>
          </w:p>
          <w:p w14:paraId="7C78D7AE" w14:textId="77777777" w:rsidR="00623338" w:rsidRPr="003D5B9A" w:rsidRDefault="00623338" w:rsidP="00623338">
            <w:pPr>
              <w:pStyle w:val="TableBullet-H55"/>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3D5B9A">
              <w:rPr>
                <w:rFonts w:ascii="Arial" w:hAnsi="Arial" w:cs="Arial"/>
                <w:sz w:val="22"/>
                <w:szCs w:val="22"/>
              </w:rPr>
              <w:t>Death</w:t>
            </w:r>
          </w:p>
        </w:tc>
      </w:tr>
    </w:tbl>
    <w:p w14:paraId="7EABBE38" w14:textId="03EDFCC2" w:rsidR="00623338" w:rsidRPr="00A13945" w:rsidRDefault="00623338" w:rsidP="00A13945">
      <w:pPr>
        <w:pStyle w:val="TableNote-H58"/>
        <w:spacing w:before="0" w:after="0"/>
        <w:rPr>
          <w:rFonts w:ascii="Arial" w:hAnsi="Arial" w:cs="Arial"/>
          <w:sz w:val="16"/>
          <w:szCs w:val="16"/>
          <w:lang w:val="en-US"/>
        </w:rPr>
      </w:pPr>
      <w:r w:rsidRPr="00A13945">
        <w:rPr>
          <w:rFonts w:ascii="Arial" w:hAnsi="Arial" w:cs="Arial"/>
          <w:sz w:val="16"/>
          <w:szCs w:val="16"/>
          <w:lang w:val="en-US"/>
        </w:rPr>
        <w:lastRenderedPageBreak/>
        <w:t>SOURCE: ESTABLISH-2 CSR</w:t>
      </w:r>
      <w:r w:rsidR="00E81C22">
        <w:rPr>
          <w:rFonts w:ascii="Arial" w:hAnsi="Arial" w:cs="Arial"/>
          <w:sz w:val="16"/>
          <w:szCs w:val="16"/>
          <w:lang w:val="en-US"/>
        </w:rPr>
        <w:t xml:space="preserve"> </w:t>
      </w:r>
      <w:r w:rsidR="00E81C22">
        <w:rPr>
          <w:rFonts w:ascii="Arial" w:hAnsi="Arial" w:cs="Arial"/>
          <w:sz w:val="16"/>
          <w:szCs w:val="16"/>
          <w:lang w:val="en-US"/>
        </w:rPr>
        <w:fldChar w:fldCharType="begin"/>
      </w:r>
      <w:r w:rsidR="00E81C22">
        <w:rPr>
          <w:rFonts w:ascii="Arial" w:hAnsi="Arial" w:cs="Arial"/>
          <w:sz w:val="16"/>
          <w:szCs w:val="16"/>
          <w:lang w:val="en-US"/>
        </w:rPr>
        <w:instrText xml:space="preserve"> REF _Ref284171394 \r \h </w:instrText>
      </w:r>
      <w:r w:rsidR="00E81C22">
        <w:rPr>
          <w:rFonts w:ascii="Arial" w:hAnsi="Arial" w:cs="Arial"/>
          <w:sz w:val="16"/>
          <w:szCs w:val="16"/>
          <w:lang w:val="en-US"/>
        </w:rPr>
      </w:r>
      <w:r w:rsidR="00E81C22">
        <w:rPr>
          <w:rFonts w:ascii="Arial" w:hAnsi="Arial" w:cs="Arial"/>
          <w:sz w:val="16"/>
          <w:szCs w:val="16"/>
          <w:lang w:val="en-US"/>
        </w:rPr>
        <w:fldChar w:fldCharType="separate"/>
      </w:r>
      <w:r w:rsidR="00151A1C">
        <w:rPr>
          <w:rFonts w:ascii="Arial" w:hAnsi="Arial" w:cs="Arial"/>
          <w:sz w:val="16"/>
          <w:szCs w:val="16"/>
          <w:lang w:val="en-US"/>
        </w:rPr>
        <w:t>42</w:t>
      </w:r>
      <w:r w:rsidR="00E81C22">
        <w:rPr>
          <w:rFonts w:ascii="Arial" w:hAnsi="Arial" w:cs="Arial"/>
          <w:sz w:val="16"/>
          <w:szCs w:val="16"/>
          <w:lang w:val="en-US"/>
        </w:rPr>
        <w:fldChar w:fldCharType="end"/>
      </w:r>
      <w:r w:rsidRPr="00A13945">
        <w:rPr>
          <w:rFonts w:ascii="Arial" w:hAnsi="Arial" w:cs="Arial"/>
          <w:sz w:val="16"/>
          <w:szCs w:val="16"/>
          <w:lang w:val="en-US"/>
        </w:rPr>
        <w:t>: section 9.5.4.1 ABSSSI: Acute bacterial skin and skin structure infection</w:t>
      </w:r>
    </w:p>
    <w:p w14:paraId="610CE8CC" w14:textId="77777777" w:rsidR="001021BC" w:rsidRDefault="001021BC" w:rsidP="00AD2DF8">
      <w:pPr>
        <w:ind w:left="357" w:hanging="357"/>
        <w:jc w:val="both"/>
        <w:rPr>
          <w:rFonts w:cs="Arial"/>
          <w:b/>
          <w:sz w:val="22"/>
          <w:szCs w:val="22"/>
          <w:lang w:val="en-US"/>
        </w:rPr>
      </w:pPr>
    </w:p>
    <w:p w14:paraId="117DCBA3" w14:textId="77777777" w:rsidR="00151A1C" w:rsidRDefault="00623338" w:rsidP="00AD2DF8">
      <w:pPr>
        <w:ind w:left="357" w:hanging="357"/>
        <w:jc w:val="both"/>
        <w:rPr>
          <w:sz w:val="22"/>
          <w:szCs w:val="22"/>
          <w:lang w:val="en-US"/>
        </w:rPr>
      </w:pPr>
      <w:r w:rsidRPr="001021BC">
        <w:rPr>
          <w:rFonts w:cs="Arial"/>
          <w:sz w:val="22"/>
          <w:szCs w:val="22"/>
          <w:lang w:val="en-US"/>
        </w:rPr>
        <w:t>A number of populations were used in ESTABLISH-2 inclu</w:t>
      </w:r>
      <w:r w:rsidR="00945987" w:rsidRPr="001021BC">
        <w:rPr>
          <w:rFonts w:cs="Arial"/>
          <w:sz w:val="22"/>
          <w:szCs w:val="22"/>
          <w:lang w:val="en-US"/>
        </w:rPr>
        <w:t xml:space="preserve">ding ITT, MITT, CE-EOT, CE-PTE </w:t>
      </w:r>
      <w:r w:rsidRPr="001021BC">
        <w:rPr>
          <w:rFonts w:cs="Arial"/>
          <w:sz w:val="22"/>
          <w:szCs w:val="22"/>
          <w:lang w:val="en-US"/>
        </w:rPr>
        <w:t>and safety</w:t>
      </w:r>
      <w:r w:rsidR="00A13945" w:rsidRPr="001021BC">
        <w:rPr>
          <w:rFonts w:cs="Arial"/>
          <w:sz w:val="22"/>
          <w:szCs w:val="22"/>
          <w:lang w:val="en-US"/>
        </w:rPr>
        <w:t xml:space="preserve"> populations</w:t>
      </w:r>
      <w:r w:rsidRPr="001021BC">
        <w:rPr>
          <w:rFonts w:cs="Arial"/>
          <w:sz w:val="22"/>
          <w:szCs w:val="22"/>
          <w:lang w:val="en-US"/>
        </w:rPr>
        <w:t>. These population</w:t>
      </w:r>
      <w:r w:rsidR="0015653B" w:rsidRPr="001021BC">
        <w:rPr>
          <w:rFonts w:cs="Arial"/>
          <w:sz w:val="22"/>
          <w:szCs w:val="22"/>
          <w:lang w:val="en-US"/>
        </w:rPr>
        <w:t xml:space="preserve">s </w:t>
      </w:r>
      <w:r w:rsidR="00945987" w:rsidRPr="001021BC">
        <w:rPr>
          <w:rFonts w:cs="Arial"/>
          <w:sz w:val="22"/>
          <w:szCs w:val="22"/>
          <w:lang w:val="en-US"/>
        </w:rPr>
        <w:t>were</w:t>
      </w:r>
      <w:r w:rsidR="0015653B" w:rsidRPr="001021BC">
        <w:rPr>
          <w:rFonts w:cs="Arial"/>
          <w:sz w:val="22"/>
          <w:szCs w:val="22"/>
          <w:lang w:val="en-US"/>
        </w:rPr>
        <w:t xml:space="preserve"> defined </w:t>
      </w:r>
      <w:r w:rsidR="00945987" w:rsidRPr="001021BC">
        <w:rPr>
          <w:rFonts w:cs="Arial"/>
          <w:sz w:val="22"/>
          <w:szCs w:val="22"/>
          <w:lang w:val="en-US"/>
        </w:rPr>
        <w:t>in the same way as in ESTABLISH-1 (see</w:t>
      </w:r>
      <w:r w:rsidRPr="001021BC">
        <w:rPr>
          <w:rFonts w:cs="Arial"/>
          <w:sz w:val="22"/>
          <w:szCs w:val="22"/>
          <w:lang w:val="en-US"/>
        </w:rPr>
        <w:t xml:space="preserve"> </w:t>
      </w:r>
      <w:r w:rsidR="00945987" w:rsidRPr="001021BC">
        <w:rPr>
          <w:rFonts w:cs="Arial"/>
          <w:sz w:val="22"/>
          <w:szCs w:val="22"/>
          <w:lang w:val="en-US"/>
        </w:rPr>
        <w:fldChar w:fldCharType="begin"/>
      </w:r>
      <w:r w:rsidR="00945987" w:rsidRPr="001021BC">
        <w:rPr>
          <w:rFonts w:cs="Arial"/>
          <w:sz w:val="22"/>
          <w:szCs w:val="22"/>
          <w:lang w:val="en-US"/>
        </w:rPr>
        <w:instrText xml:space="preserve"> REF _Ref381373751 \h </w:instrText>
      </w:r>
      <w:r w:rsidR="00945987" w:rsidRPr="001021BC">
        <w:rPr>
          <w:rFonts w:cs="Arial"/>
          <w:sz w:val="22"/>
          <w:szCs w:val="22"/>
          <w:lang w:val="en-US"/>
        </w:rPr>
      </w:r>
      <w:r w:rsidR="00945987" w:rsidRPr="001021BC">
        <w:rPr>
          <w:rFonts w:cs="Arial"/>
          <w:sz w:val="22"/>
          <w:szCs w:val="22"/>
          <w:lang w:val="en-US"/>
        </w:rPr>
        <w:fldChar w:fldCharType="separate"/>
      </w:r>
    </w:p>
    <w:p w14:paraId="1546F90E" w14:textId="61E34F06" w:rsidR="00623338" w:rsidRPr="001021BC" w:rsidRDefault="00151A1C" w:rsidP="00CE6870">
      <w:pPr>
        <w:jc w:val="both"/>
        <w:rPr>
          <w:sz w:val="22"/>
          <w:szCs w:val="22"/>
          <w:lang w:val="en-US"/>
        </w:rPr>
      </w:pPr>
      <w:r w:rsidRPr="00AD2DF8">
        <w:rPr>
          <w:b/>
          <w:sz w:val="22"/>
          <w:szCs w:val="22"/>
          <w:lang w:val="en-US"/>
        </w:rPr>
        <w:t xml:space="preserve">Table </w:t>
      </w:r>
      <w:r>
        <w:rPr>
          <w:b/>
          <w:noProof/>
          <w:sz w:val="22"/>
          <w:szCs w:val="22"/>
          <w:lang w:val="en-US"/>
        </w:rPr>
        <w:t>4</w:t>
      </w:r>
      <w:r w:rsidR="00945987" w:rsidRPr="001021BC">
        <w:rPr>
          <w:rFonts w:cs="Arial"/>
          <w:sz w:val="22"/>
          <w:szCs w:val="22"/>
          <w:lang w:val="en-US"/>
        </w:rPr>
        <w:fldChar w:fldCharType="end"/>
      </w:r>
      <w:r w:rsidR="00945987" w:rsidRPr="001021BC">
        <w:rPr>
          <w:rFonts w:cs="Arial"/>
          <w:sz w:val="22"/>
          <w:szCs w:val="22"/>
          <w:lang w:val="en-US"/>
        </w:rPr>
        <w:t xml:space="preserve"> for a definition of each population). </w:t>
      </w:r>
    </w:p>
    <w:p w14:paraId="10B03E09" w14:textId="77777777" w:rsidR="00945987" w:rsidRDefault="00945987" w:rsidP="00623338">
      <w:pPr>
        <w:rPr>
          <w:lang w:val="en-US"/>
        </w:rPr>
      </w:pPr>
    </w:p>
    <w:p w14:paraId="54489AE9" w14:textId="58C039D9" w:rsidR="00945987" w:rsidRPr="00EF6D1E" w:rsidRDefault="00945987" w:rsidP="00945987">
      <w:pPr>
        <w:autoSpaceDE w:val="0"/>
        <w:autoSpaceDN w:val="0"/>
        <w:adjustRightInd w:val="0"/>
        <w:rPr>
          <w:rFonts w:cs="Arial"/>
          <w:b/>
          <w:bCs/>
          <w:sz w:val="22"/>
          <w:szCs w:val="22"/>
          <w:lang w:eastAsia="ja-JP"/>
        </w:rPr>
      </w:pPr>
      <w:r w:rsidRPr="00EF6D1E">
        <w:rPr>
          <w:rFonts w:cs="Arial"/>
          <w:sz w:val="22"/>
          <w:szCs w:val="22"/>
          <w:lang w:val="en-US" w:eastAsia="ja-JP"/>
        </w:rPr>
        <w:t xml:space="preserve">The intent-to-treat (ITT) analysis set </w:t>
      </w:r>
      <w:r>
        <w:rPr>
          <w:rFonts w:cs="Arial"/>
          <w:sz w:val="22"/>
          <w:szCs w:val="22"/>
          <w:lang w:val="en-US" w:eastAsia="ja-JP"/>
        </w:rPr>
        <w:t>(n=666</w:t>
      </w:r>
      <w:r w:rsidRPr="00EF6D1E">
        <w:rPr>
          <w:rFonts w:cs="Arial"/>
          <w:sz w:val="22"/>
          <w:szCs w:val="22"/>
          <w:lang w:val="en-US" w:eastAsia="ja-JP"/>
        </w:rPr>
        <w:t xml:space="preserve">) </w:t>
      </w:r>
      <w:r>
        <w:rPr>
          <w:rFonts w:cs="Arial"/>
          <w:sz w:val="22"/>
          <w:szCs w:val="22"/>
          <w:lang w:val="en-US" w:eastAsia="ja-JP"/>
        </w:rPr>
        <w:t>incl</w:t>
      </w:r>
      <w:r w:rsidRPr="00EF6D1E">
        <w:rPr>
          <w:rFonts w:cs="Arial"/>
          <w:sz w:val="22"/>
          <w:szCs w:val="22"/>
          <w:lang w:val="en-US" w:eastAsia="ja-JP"/>
        </w:rPr>
        <w:t>uded all randomised patients. The safety analysis set</w:t>
      </w:r>
      <w:r>
        <w:rPr>
          <w:rFonts w:cs="Arial"/>
          <w:sz w:val="22"/>
          <w:szCs w:val="22"/>
          <w:lang w:val="en-US" w:eastAsia="ja-JP"/>
        </w:rPr>
        <w:t xml:space="preserve"> (n=658</w:t>
      </w:r>
      <w:r w:rsidRPr="00EF6D1E">
        <w:rPr>
          <w:rFonts w:cs="Arial"/>
          <w:sz w:val="22"/>
          <w:szCs w:val="22"/>
          <w:lang w:val="en-US" w:eastAsia="ja-JP"/>
        </w:rPr>
        <w:t xml:space="preserve">) included all patients who were randomised and received at least 1 dose of study drug. </w:t>
      </w:r>
    </w:p>
    <w:p w14:paraId="006BCCF7" w14:textId="77777777" w:rsidR="00945987" w:rsidRPr="00EF6D1E" w:rsidRDefault="00945987" w:rsidP="00945987">
      <w:pPr>
        <w:widowControl w:val="0"/>
        <w:autoSpaceDE w:val="0"/>
        <w:autoSpaceDN w:val="0"/>
        <w:adjustRightInd w:val="0"/>
        <w:rPr>
          <w:rFonts w:cs="Arial"/>
          <w:sz w:val="22"/>
          <w:szCs w:val="22"/>
          <w:lang w:val="en-US" w:eastAsia="ja-JP"/>
        </w:rPr>
      </w:pPr>
    </w:p>
    <w:p w14:paraId="42A2DDEC" w14:textId="1F1E8904" w:rsidR="00945987" w:rsidRPr="00EF6D1E" w:rsidRDefault="00945987" w:rsidP="00945987">
      <w:pPr>
        <w:widowControl w:val="0"/>
        <w:autoSpaceDE w:val="0"/>
        <w:autoSpaceDN w:val="0"/>
        <w:adjustRightInd w:val="0"/>
        <w:rPr>
          <w:rFonts w:cs="Arial"/>
          <w:sz w:val="22"/>
          <w:szCs w:val="22"/>
          <w:lang w:val="en-US" w:eastAsia="ja-JP"/>
        </w:rPr>
      </w:pPr>
      <w:r w:rsidRPr="00EF6D1E">
        <w:rPr>
          <w:rFonts w:cs="Arial"/>
          <w:sz w:val="22"/>
          <w:szCs w:val="22"/>
          <w:lang w:val="en-US" w:eastAsia="ja-JP"/>
        </w:rPr>
        <w:t xml:space="preserve">There were two CE sets. Patients in the CE-EOT analysis set </w:t>
      </w:r>
      <w:r>
        <w:rPr>
          <w:rFonts w:cs="Arial"/>
          <w:sz w:val="22"/>
          <w:szCs w:val="22"/>
          <w:lang w:val="en-US" w:eastAsia="ja-JP"/>
        </w:rPr>
        <w:t>(n=603</w:t>
      </w:r>
      <w:r w:rsidRPr="00EF6D1E">
        <w:rPr>
          <w:rFonts w:cs="Arial"/>
          <w:sz w:val="22"/>
          <w:szCs w:val="22"/>
          <w:lang w:val="en-US" w:eastAsia="ja-JP"/>
        </w:rPr>
        <w:t>) completed the 48- to 72-hour and EOT assessments without major protocol violations or receiving treatments that might confound outcomes. Patients in the CE-PTE analysis set (n=</w:t>
      </w:r>
      <w:r>
        <w:rPr>
          <w:rFonts w:cs="Arial"/>
          <w:sz w:val="22"/>
          <w:szCs w:val="22"/>
          <w:lang w:val="en-US" w:eastAsia="ja-JP"/>
        </w:rPr>
        <w:t>570</w:t>
      </w:r>
      <w:r w:rsidRPr="00EF6D1E">
        <w:rPr>
          <w:rFonts w:cs="Arial"/>
          <w:sz w:val="22"/>
          <w:szCs w:val="22"/>
          <w:lang w:val="en-US" w:eastAsia="ja-JP"/>
        </w:rPr>
        <w:t>) completed the investigator’s assessment of outcome at the PTE visit without major protocol violations or receipt of treatments that might confound outcomes.</w:t>
      </w:r>
    </w:p>
    <w:p w14:paraId="7D28776E" w14:textId="77777777" w:rsidR="00945987" w:rsidRPr="00EF6D1E" w:rsidRDefault="00945987" w:rsidP="00945987">
      <w:pPr>
        <w:autoSpaceDE w:val="0"/>
        <w:autoSpaceDN w:val="0"/>
        <w:adjustRightInd w:val="0"/>
        <w:rPr>
          <w:rFonts w:cs="Arial"/>
          <w:b/>
          <w:bCs/>
          <w:sz w:val="22"/>
          <w:szCs w:val="22"/>
          <w:lang w:eastAsia="ja-JP"/>
        </w:rPr>
      </w:pPr>
    </w:p>
    <w:p w14:paraId="2853D0C3" w14:textId="77777777" w:rsidR="00EE6A9C" w:rsidRDefault="00945987" w:rsidP="00EE6A9C">
      <w:pPr>
        <w:rPr>
          <w:lang w:val="en-US"/>
        </w:rPr>
      </w:pPr>
      <w:r>
        <w:rPr>
          <w:sz w:val="22"/>
          <w:szCs w:val="22"/>
          <w:lang w:val="en-US" w:eastAsia="ja-JP"/>
        </w:rPr>
        <w:t>The MITT analysis set (n=399</w:t>
      </w:r>
      <w:r w:rsidRPr="00EF6D1E">
        <w:rPr>
          <w:sz w:val="22"/>
          <w:szCs w:val="22"/>
          <w:lang w:val="en-US" w:eastAsia="ja-JP"/>
        </w:rPr>
        <w:t>) comprised all patients in the ITT population who had a Gram-positive bacterial pathogen known to cause ABSSSI</w:t>
      </w:r>
      <w:r w:rsidR="00EE6A9C">
        <w:rPr>
          <w:sz w:val="22"/>
          <w:szCs w:val="22"/>
          <w:lang w:val="en-US" w:eastAsia="ja-JP"/>
        </w:rPr>
        <w:t xml:space="preserve"> at baseline</w:t>
      </w:r>
      <w:r w:rsidRPr="00EF6D1E">
        <w:rPr>
          <w:sz w:val="22"/>
          <w:szCs w:val="22"/>
          <w:lang w:val="en-US" w:eastAsia="ja-JP"/>
        </w:rPr>
        <w:t xml:space="preserve">. </w:t>
      </w:r>
    </w:p>
    <w:p w14:paraId="6FCABDCA" w14:textId="77777777" w:rsidR="00EE6A9C" w:rsidRPr="00874DFC" w:rsidRDefault="00EE6A9C" w:rsidP="00EE6A9C">
      <w:pPr>
        <w:rPr>
          <w:lang w:val="en-US"/>
        </w:rPr>
      </w:pPr>
    </w:p>
    <w:p w14:paraId="4A25CF4E" w14:textId="4774FA86" w:rsidR="00EE6A9C" w:rsidRPr="00FF3BD9" w:rsidRDefault="003D5743" w:rsidP="00EE6A9C">
      <w:pPr>
        <w:rPr>
          <w:rFonts w:cs="Arial"/>
          <w:bCs/>
          <w:color w:val="FF0000"/>
          <w:sz w:val="22"/>
          <w:szCs w:val="22"/>
          <w:lang w:eastAsia="ja-JP"/>
        </w:rPr>
      </w:pPr>
      <w:r w:rsidRPr="00874DFC">
        <w:rPr>
          <w:rFonts w:cs="Arial"/>
          <w:b/>
          <w:bCs/>
          <w:sz w:val="22"/>
          <w:szCs w:val="22"/>
          <w:lang w:eastAsia="ja-JP"/>
        </w:rPr>
        <w:t>3.4</w:t>
      </w:r>
      <w:r w:rsidR="00F305BD" w:rsidRPr="00874DFC">
        <w:rPr>
          <w:rFonts w:cs="Arial"/>
          <w:b/>
          <w:bCs/>
          <w:sz w:val="22"/>
          <w:szCs w:val="22"/>
          <w:lang w:eastAsia="ja-JP"/>
        </w:rPr>
        <w:t>.9</w:t>
      </w:r>
      <w:r w:rsidR="00F305BD" w:rsidRPr="00874DFC">
        <w:rPr>
          <w:rFonts w:cs="Arial"/>
          <w:b/>
          <w:bCs/>
          <w:sz w:val="22"/>
          <w:szCs w:val="22"/>
          <w:lang w:eastAsia="ja-JP"/>
        </w:rPr>
        <w:tab/>
        <w:t>Statistical test in prim</w:t>
      </w:r>
      <w:r w:rsidR="00EE6A9C" w:rsidRPr="00874DFC">
        <w:rPr>
          <w:rFonts w:cs="Arial"/>
          <w:b/>
          <w:bCs/>
          <w:sz w:val="22"/>
          <w:szCs w:val="22"/>
          <w:lang w:eastAsia="ja-JP"/>
        </w:rPr>
        <w:t>ary analysis of primary outcome:</w:t>
      </w:r>
      <w:r w:rsidR="00FF3BD9" w:rsidRPr="00874DFC">
        <w:rPr>
          <w:rFonts w:cs="Arial"/>
          <w:b/>
          <w:bCs/>
          <w:sz w:val="22"/>
          <w:szCs w:val="22"/>
          <w:lang w:eastAsia="ja-JP"/>
        </w:rPr>
        <w:t xml:space="preserve"> </w:t>
      </w:r>
      <w:r w:rsidR="00FF3BD9" w:rsidRPr="00874DFC">
        <w:rPr>
          <w:rFonts w:cs="Arial"/>
          <w:bCs/>
          <w:sz w:val="22"/>
          <w:szCs w:val="22"/>
          <w:lang w:eastAsia="ja-JP"/>
        </w:rPr>
        <w:t xml:space="preserve">The primary efficacy outcome was the percentage of patients with the programmatic determination of the early clinical response of 48 to 72 hours after the first infusion of study drug in the ITT Analysis Set. The NI hypothesis test was to be a 1-sided hypothesis test performed at the 2.5% level of significance. This is based on the lower limit of the 2-sided 95% CI for the observed difference in the early clinical response rate. The primary analysis was based on a CI computed using the method proposed without stratification by Miettinen </w:t>
      </w:r>
      <w:r w:rsidR="00FF3BD9" w:rsidRPr="00874DFC">
        <w:rPr>
          <w:rFonts w:cs="Arial"/>
          <w:bCs/>
          <w:sz w:val="22"/>
          <w:szCs w:val="22"/>
          <w:lang w:eastAsia="ja-JP"/>
        </w:rPr>
        <w:lastRenderedPageBreak/>
        <w:t>and Nurminen (</w:t>
      </w:r>
      <w:r w:rsidR="00425A06">
        <w:rPr>
          <w:rFonts w:cs="Arial"/>
          <w:bCs/>
          <w:sz w:val="22"/>
          <w:szCs w:val="22"/>
          <w:lang w:eastAsia="ja-JP"/>
        </w:rPr>
        <w:fldChar w:fldCharType="begin"/>
      </w:r>
      <w:r w:rsidR="00425A06">
        <w:rPr>
          <w:rFonts w:cs="Arial"/>
          <w:bCs/>
          <w:sz w:val="22"/>
          <w:szCs w:val="22"/>
          <w:lang w:eastAsia="ja-JP"/>
        </w:rPr>
        <w:instrText xml:space="preserve"> REF _Ref284424518 \r \h </w:instrText>
      </w:r>
      <w:r w:rsidR="00425A06">
        <w:rPr>
          <w:rFonts w:cs="Arial"/>
          <w:bCs/>
          <w:sz w:val="22"/>
          <w:szCs w:val="22"/>
          <w:lang w:eastAsia="ja-JP"/>
        </w:rPr>
      </w:r>
      <w:r w:rsidR="00425A06">
        <w:rPr>
          <w:rFonts w:cs="Arial"/>
          <w:bCs/>
          <w:sz w:val="22"/>
          <w:szCs w:val="22"/>
          <w:lang w:eastAsia="ja-JP"/>
        </w:rPr>
        <w:fldChar w:fldCharType="separate"/>
      </w:r>
      <w:r w:rsidR="00151A1C">
        <w:rPr>
          <w:rFonts w:cs="Arial"/>
          <w:bCs/>
          <w:sz w:val="22"/>
          <w:szCs w:val="22"/>
          <w:lang w:eastAsia="ja-JP"/>
        </w:rPr>
        <w:t>48</w:t>
      </w:r>
      <w:r w:rsidR="00425A06">
        <w:rPr>
          <w:rFonts w:cs="Arial"/>
          <w:bCs/>
          <w:sz w:val="22"/>
          <w:szCs w:val="22"/>
          <w:lang w:eastAsia="ja-JP"/>
        </w:rPr>
        <w:fldChar w:fldCharType="end"/>
      </w:r>
      <w:r w:rsidR="00425A06">
        <w:rPr>
          <w:rFonts w:cs="Arial"/>
          <w:bCs/>
          <w:sz w:val="22"/>
          <w:szCs w:val="22"/>
          <w:lang w:eastAsia="ja-JP"/>
        </w:rPr>
        <w:t xml:space="preserve">) </w:t>
      </w:r>
      <w:r w:rsidR="00FF3BD9" w:rsidRPr="00874DFC">
        <w:rPr>
          <w:rFonts w:cs="Arial"/>
          <w:bCs/>
          <w:sz w:val="22"/>
          <w:szCs w:val="22"/>
          <w:lang w:eastAsia="ja-JP"/>
        </w:rPr>
        <w:t>which corresponds to the p-value approach of the Farrington-Manning test</w:t>
      </w:r>
      <w:r w:rsidR="00E81C22">
        <w:rPr>
          <w:rFonts w:cs="Arial"/>
          <w:bCs/>
          <w:sz w:val="22"/>
          <w:szCs w:val="22"/>
          <w:lang w:eastAsia="ja-JP"/>
        </w:rPr>
        <w:t xml:space="preserve"> (</w:t>
      </w:r>
      <w:r w:rsidR="00E81C22">
        <w:rPr>
          <w:rFonts w:cs="Arial"/>
          <w:bCs/>
          <w:sz w:val="22"/>
          <w:szCs w:val="22"/>
          <w:lang w:eastAsia="ja-JP"/>
        </w:rPr>
        <w:fldChar w:fldCharType="begin"/>
      </w:r>
      <w:r w:rsidR="00E81C22">
        <w:rPr>
          <w:rFonts w:cs="Arial"/>
          <w:bCs/>
          <w:sz w:val="22"/>
          <w:szCs w:val="22"/>
          <w:lang w:eastAsia="ja-JP"/>
        </w:rPr>
        <w:instrText xml:space="preserve"> REF _Ref284172641 \r \h </w:instrText>
      </w:r>
      <w:r w:rsidR="00E81C22">
        <w:rPr>
          <w:rFonts w:cs="Arial"/>
          <w:bCs/>
          <w:sz w:val="22"/>
          <w:szCs w:val="22"/>
          <w:lang w:eastAsia="ja-JP"/>
        </w:rPr>
      </w:r>
      <w:r w:rsidR="00E81C22">
        <w:rPr>
          <w:rFonts w:cs="Arial"/>
          <w:bCs/>
          <w:sz w:val="22"/>
          <w:szCs w:val="22"/>
          <w:lang w:eastAsia="ja-JP"/>
        </w:rPr>
        <w:fldChar w:fldCharType="separate"/>
      </w:r>
      <w:r w:rsidR="00151A1C">
        <w:rPr>
          <w:rFonts w:cs="Arial"/>
          <w:bCs/>
          <w:sz w:val="22"/>
          <w:szCs w:val="22"/>
          <w:lang w:eastAsia="ja-JP"/>
        </w:rPr>
        <w:t>46</w:t>
      </w:r>
      <w:r w:rsidR="00E81C22">
        <w:rPr>
          <w:rFonts w:cs="Arial"/>
          <w:bCs/>
          <w:sz w:val="22"/>
          <w:szCs w:val="22"/>
          <w:lang w:eastAsia="ja-JP"/>
        </w:rPr>
        <w:fldChar w:fldCharType="end"/>
      </w:r>
      <w:r w:rsidR="00E81C22">
        <w:rPr>
          <w:rFonts w:cs="Arial"/>
          <w:bCs/>
          <w:sz w:val="22"/>
          <w:szCs w:val="22"/>
          <w:lang w:eastAsia="ja-JP"/>
        </w:rPr>
        <w:t>)</w:t>
      </w:r>
      <w:r w:rsidR="00FF3BD9" w:rsidRPr="00FF3BD9">
        <w:rPr>
          <w:rFonts w:cs="Arial"/>
          <w:bCs/>
          <w:color w:val="FF0000"/>
          <w:sz w:val="22"/>
          <w:szCs w:val="22"/>
          <w:lang w:eastAsia="ja-JP"/>
        </w:rPr>
        <w:t xml:space="preserve">. </w:t>
      </w:r>
    </w:p>
    <w:p w14:paraId="3C72D666" w14:textId="77777777" w:rsidR="00FF3BD9" w:rsidRDefault="00FF3BD9" w:rsidP="00EE6A9C">
      <w:pPr>
        <w:rPr>
          <w:rFonts w:cs="Arial"/>
          <w:b/>
          <w:bCs/>
          <w:sz w:val="22"/>
          <w:szCs w:val="22"/>
          <w:lang w:eastAsia="ja-JP"/>
        </w:rPr>
      </w:pPr>
    </w:p>
    <w:p w14:paraId="6F14E54D" w14:textId="2F36537F" w:rsidR="0054324E" w:rsidRPr="00874DFC" w:rsidRDefault="003D5743" w:rsidP="00EE6A9C">
      <w:pPr>
        <w:rPr>
          <w:sz w:val="20"/>
          <w:lang w:val="en-US"/>
        </w:rPr>
      </w:pPr>
      <w:r w:rsidRPr="00087858">
        <w:rPr>
          <w:rFonts w:cs="Arial"/>
          <w:b/>
          <w:sz w:val="22"/>
          <w:szCs w:val="22"/>
          <w:lang w:eastAsia="ja-JP"/>
        </w:rPr>
        <w:t>3.4</w:t>
      </w:r>
      <w:r w:rsidR="00F305BD" w:rsidRPr="00087858">
        <w:rPr>
          <w:rFonts w:cs="Arial"/>
          <w:b/>
          <w:sz w:val="22"/>
          <w:szCs w:val="22"/>
          <w:lang w:eastAsia="ja-JP"/>
        </w:rPr>
        <w:t>.10 Primary hypothesis under investigation an</w:t>
      </w:r>
      <w:r w:rsidRPr="00087858">
        <w:rPr>
          <w:rFonts w:cs="Arial"/>
          <w:b/>
          <w:sz w:val="22"/>
          <w:szCs w:val="22"/>
          <w:lang w:eastAsia="ja-JP"/>
        </w:rPr>
        <w:t xml:space="preserve">d power calculation/sample size: </w:t>
      </w:r>
      <w:r w:rsidR="0054324E" w:rsidRPr="00087858">
        <w:rPr>
          <w:sz w:val="22"/>
          <w:szCs w:val="22"/>
          <w:lang w:val="en-US" w:eastAsia="ja-JP"/>
        </w:rPr>
        <w:t>Sample size was cal</w:t>
      </w:r>
      <w:r w:rsidR="00972C84">
        <w:rPr>
          <w:sz w:val="22"/>
          <w:szCs w:val="22"/>
          <w:lang w:val="en-US" w:eastAsia="ja-JP"/>
        </w:rPr>
        <w:t>culated with standard methods.</w:t>
      </w:r>
      <w:r w:rsidR="003B4453" w:rsidRPr="00087858">
        <w:rPr>
          <w:sz w:val="22"/>
          <w:szCs w:val="22"/>
          <w:lang w:val="en-US" w:eastAsia="ja-JP"/>
        </w:rPr>
        <w:t xml:space="preserve"> </w:t>
      </w:r>
      <w:r w:rsidR="0054324E" w:rsidRPr="00087858">
        <w:rPr>
          <w:sz w:val="22"/>
          <w:szCs w:val="22"/>
          <w:lang w:val="en-US" w:eastAsia="ja-JP"/>
        </w:rPr>
        <w:t xml:space="preserve">With an assumption of an 81% point </w:t>
      </w:r>
      <w:r w:rsidR="0054324E" w:rsidRPr="00874DFC">
        <w:rPr>
          <w:sz w:val="22"/>
          <w:szCs w:val="22"/>
          <w:lang w:val="en-US" w:eastAsia="ja-JP"/>
        </w:rPr>
        <w:t>estimate in both</w:t>
      </w:r>
      <w:r w:rsidR="003B4453" w:rsidRPr="00874DFC">
        <w:rPr>
          <w:sz w:val="22"/>
          <w:szCs w:val="22"/>
          <w:lang w:val="en-US" w:eastAsia="ja-JP"/>
        </w:rPr>
        <w:t xml:space="preserve"> </w:t>
      </w:r>
      <w:r w:rsidR="0054324E" w:rsidRPr="00874DFC">
        <w:rPr>
          <w:sz w:val="22"/>
          <w:szCs w:val="22"/>
          <w:lang w:val="en-US" w:eastAsia="ja-JP"/>
        </w:rPr>
        <w:t>treatment groups for the primary outcome (on the basis</w:t>
      </w:r>
      <w:r w:rsidR="003B4453" w:rsidRPr="00874DFC">
        <w:rPr>
          <w:sz w:val="22"/>
          <w:szCs w:val="22"/>
          <w:lang w:val="en-US" w:eastAsia="ja-JP"/>
        </w:rPr>
        <w:t xml:space="preserve"> </w:t>
      </w:r>
      <w:r w:rsidR="0054324E" w:rsidRPr="00874DFC">
        <w:rPr>
          <w:sz w:val="22"/>
          <w:szCs w:val="22"/>
          <w:lang w:val="en-US" w:eastAsia="ja-JP"/>
        </w:rPr>
        <w:t>of results fro</w:t>
      </w:r>
      <w:r w:rsidRPr="00874DFC">
        <w:rPr>
          <w:sz w:val="22"/>
          <w:szCs w:val="22"/>
          <w:lang w:val="en-US" w:eastAsia="ja-JP"/>
        </w:rPr>
        <w:t>m a phase 2 dose-ranging study [</w:t>
      </w:r>
      <w:r w:rsidR="00CA0F83">
        <w:rPr>
          <w:sz w:val="22"/>
          <w:szCs w:val="22"/>
          <w:lang w:val="en-US" w:eastAsia="ja-JP"/>
        </w:rPr>
        <w:fldChar w:fldCharType="begin"/>
      </w:r>
      <w:r w:rsidR="00CA0F83">
        <w:rPr>
          <w:sz w:val="22"/>
          <w:szCs w:val="22"/>
          <w:lang w:val="en-US" w:eastAsia="ja-JP"/>
        </w:rPr>
        <w:instrText xml:space="preserve"> REF _Ref284171956 \r \h </w:instrText>
      </w:r>
      <w:r w:rsidR="00CA0F83">
        <w:rPr>
          <w:sz w:val="22"/>
          <w:szCs w:val="22"/>
          <w:lang w:val="en-US" w:eastAsia="ja-JP"/>
        </w:rPr>
      </w:r>
      <w:r w:rsidR="00CA0F83">
        <w:rPr>
          <w:sz w:val="22"/>
          <w:szCs w:val="22"/>
          <w:lang w:val="en-US" w:eastAsia="ja-JP"/>
        </w:rPr>
        <w:fldChar w:fldCharType="separate"/>
      </w:r>
      <w:r w:rsidR="00151A1C">
        <w:rPr>
          <w:sz w:val="22"/>
          <w:szCs w:val="22"/>
          <w:lang w:val="en-US" w:eastAsia="ja-JP"/>
        </w:rPr>
        <w:t>45</w:t>
      </w:r>
      <w:r w:rsidR="00CA0F83">
        <w:rPr>
          <w:sz w:val="22"/>
          <w:szCs w:val="22"/>
          <w:lang w:val="en-US" w:eastAsia="ja-JP"/>
        </w:rPr>
        <w:fldChar w:fldCharType="end"/>
      </w:r>
      <w:r w:rsidRPr="00874DFC">
        <w:rPr>
          <w:sz w:val="22"/>
          <w:szCs w:val="22"/>
          <w:lang w:val="en-US" w:eastAsia="ja-JP"/>
        </w:rPr>
        <w:t>]</w:t>
      </w:r>
      <w:r w:rsidR="0054324E" w:rsidRPr="00874DFC">
        <w:rPr>
          <w:sz w:val="22"/>
          <w:szCs w:val="22"/>
          <w:lang w:val="en-US" w:eastAsia="ja-JP"/>
        </w:rPr>
        <w:t>), 90%</w:t>
      </w:r>
      <w:r w:rsidR="003B4453" w:rsidRPr="00874DFC">
        <w:rPr>
          <w:sz w:val="22"/>
          <w:szCs w:val="22"/>
          <w:lang w:val="en-US" w:eastAsia="ja-JP"/>
        </w:rPr>
        <w:t xml:space="preserve"> </w:t>
      </w:r>
      <w:r w:rsidR="0054324E" w:rsidRPr="00874DFC">
        <w:rPr>
          <w:sz w:val="22"/>
          <w:szCs w:val="22"/>
          <w:lang w:val="en-US" w:eastAsia="ja-JP"/>
        </w:rPr>
        <w:t xml:space="preserve">power, a </w:t>
      </w:r>
      <w:r w:rsidR="003B4453" w:rsidRPr="00874DFC">
        <w:rPr>
          <w:sz w:val="22"/>
          <w:szCs w:val="22"/>
          <w:lang w:val="en-US" w:eastAsia="ja-JP"/>
        </w:rPr>
        <w:t xml:space="preserve">one-sided α level of 0.025, and </w:t>
      </w:r>
      <w:r w:rsidR="0054324E" w:rsidRPr="00874DFC">
        <w:rPr>
          <w:sz w:val="22"/>
          <w:szCs w:val="22"/>
          <w:lang w:val="en-US" w:eastAsia="ja-JP"/>
        </w:rPr>
        <w:t>a 10% non</w:t>
      </w:r>
      <w:r w:rsidR="000C4EAF" w:rsidRPr="00874DFC">
        <w:rPr>
          <w:sz w:val="22"/>
          <w:szCs w:val="22"/>
          <w:lang w:val="en-US" w:eastAsia="ja-JP"/>
        </w:rPr>
        <w:t>-</w:t>
      </w:r>
      <w:r w:rsidR="0054324E" w:rsidRPr="00874DFC">
        <w:rPr>
          <w:sz w:val="22"/>
          <w:szCs w:val="22"/>
          <w:lang w:val="en-US" w:eastAsia="ja-JP"/>
        </w:rPr>
        <w:t>inferiority</w:t>
      </w:r>
      <w:r w:rsidR="003B4453" w:rsidRPr="00874DFC">
        <w:rPr>
          <w:sz w:val="22"/>
          <w:szCs w:val="22"/>
          <w:lang w:val="en-US" w:eastAsia="ja-JP"/>
        </w:rPr>
        <w:t xml:space="preserve"> </w:t>
      </w:r>
      <w:r w:rsidR="0054324E" w:rsidRPr="00874DFC">
        <w:rPr>
          <w:sz w:val="22"/>
          <w:szCs w:val="22"/>
          <w:lang w:val="en-US" w:eastAsia="ja-JP"/>
        </w:rPr>
        <w:t>margin, a total sample size of 329 patients in</w:t>
      </w:r>
      <w:r w:rsidR="003B4453" w:rsidRPr="00874DFC">
        <w:rPr>
          <w:sz w:val="22"/>
          <w:szCs w:val="22"/>
          <w:lang w:val="en-US" w:eastAsia="ja-JP"/>
        </w:rPr>
        <w:t xml:space="preserve"> </w:t>
      </w:r>
      <w:r w:rsidR="0054324E" w:rsidRPr="00874DFC">
        <w:rPr>
          <w:sz w:val="22"/>
          <w:szCs w:val="22"/>
          <w:lang w:val="en-US" w:eastAsia="ja-JP"/>
        </w:rPr>
        <w:t>each treatment group was needed. In total, 30% or fewer</w:t>
      </w:r>
      <w:r w:rsidR="003B4453" w:rsidRPr="00874DFC">
        <w:rPr>
          <w:sz w:val="22"/>
          <w:szCs w:val="22"/>
          <w:lang w:val="en-US" w:eastAsia="ja-JP"/>
        </w:rPr>
        <w:t xml:space="preserve"> </w:t>
      </w:r>
      <w:r w:rsidR="0054324E" w:rsidRPr="00874DFC">
        <w:rPr>
          <w:sz w:val="22"/>
          <w:szCs w:val="22"/>
          <w:lang w:val="en-US" w:eastAsia="ja-JP"/>
        </w:rPr>
        <w:t>patients were to be enrolled with cutaneous abscess, and</w:t>
      </w:r>
      <w:r w:rsidR="003B4453" w:rsidRPr="00874DFC">
        <w:rPr>
          <w:sz w:val="22"/>
          <w:szCs w:val="22"/>
          <w:lang w:val="en-US" w:eastAsia="ja-JP"/>
        </w:rPr>
        <w:t xml:space="preserve"> </w:t>
      </w:r>
      <w:r w:rsidR="0054324E" w:rsidRPr="00874DFC">
        <w:rPr>
          <w:sz w:val="22"/>
          <w:szCs w:val="22"/>
          <w:lang w:val="en-US" w:eastAsia="ja-JP"/>
        </w:rPr>
        <w:t>patients from the USA could not represent more than</w:t>
      </w:r>
      <w:r w:rsidR="003B4453" w:rsidRPr="00874DFC">
        <w:rPr>
          <w:sz w:val="22"/>
          <w:szCs w:val="22"/>
          <w:lang w:val="en-US" w:eastAsia="ja-JP"/>
        </w:rPr>
        <w:t xml:space="preserve"> </w:t>
      </w:r>
      <w:r w:rsidR="0054324E" w:rsidRPr="00874DFC">
        <w:rPr>
          <w:sz w:val="22"/>
          <w:szCs w:val="22"/>
          <w:lang w:val="en-US" w:eastAsia="ja-JP"/>
        </w:rPr>
        <w:t>50% of this group.</w:t>
      </w:r>
      <w:r w:rsidR="003B4453" w:rsidRPr="00874DFC">
        <w:rPr>
          <w:sz w:val="22"/>
          <w:szCs w:val="22"/>
          <w:lang w:val="en-US" w:eastAsia="ja-JP"/>
        </w:rPr>
        <w:t xml:space="preserve">  The study authors</w:t>
      </w:r>
      <w:r w:rsidR="0054324E" w:rsidRPr="00874DFC">
        <w:rPr>
          <w:sz w:val="22"/>
          <w:szCs w:val="22"/>
          <w:lang w:val="en-US" w:eastAsia="ja-JP"/>
        </w:rPr>
        <w:t xml:space="preserve"> concluded non-inferiority of tedizolid to linezolid</w:t>
      </w:r>
      <w:r w:rsidR="003B4453" w:rsidRPr="00874DFC">
        <w:rPr>
          <w:sz w:val="22"/>
          <w:szCs w:val="22"/>
          <w:lang w:val="en-US" w:eastAsia="ja-JP"/>
        </w:rPr>
        <w:t xml:space="preserve"> </w:t>
      </w:r>
      <w:r w:rsidR="0054324E" w:rsidRPr="00874DFC">
        <w:rPr>
          <w:sz w:val="22"/>
          <w:szCs w:val="22"/>
          <w:lang w:val="en-US" w:eastAsia="ja-JP"/>
        </w:rPr>
        <w:t>if the lower l</w:t>
      </w:r>
      <w:r w:rsidRPr="00874DFC">
        <w:rPr>
          <w:sz w:val="22"/>
          <w:szCs w:val="22"/>
          <w:lang w:val="en-US" w:eastAsia="ja-JP"/>
        </w:rPr>
        <w:t>imit of the 95% CI for the diff</w:t>
      </w:r>
      <w:r w:rsidR="0054324E" w:rsidRPr="00874DFC">
        <w:rPr>
          <w:sz w:val="22"/>
          <w:szCs w:val="22"/>
          <w:lang w:val="en-US" w:eastAsia="ja-JP"/>
        </w:rPr>
        <w:t>erence in the</w:t>
      </w:r>
      <w:r w:rsidR="003B4453" w:rsidRPr="00874DFC">
        <w:rPr>
          <w:sz w:val="22"/>
          <w:szCs w:val="22"/>
          <w:lang w:val="en-US" w:eastAsia="ja-JP"/>
        </w:rPr>
        <w:t xml:space="preserve"> </w:t>
      </w:r>
      <w:r w:rsidR="0054324E" w:rsidRPr="00874DFC">
        <w:rPr>
          <w:sz w:val="22"/>
          <w:szCs w:val="22"/>
          <w:lang w:val="en-US" w:eastAsia="ja-JP"/>
        </w:rPr>
        <w:t>primary endpoint, calculated with the Miettienen and</w:t>
      </w:r>
      <w:r w:rsidR="003B4453" w:rsidRPr="00874DFC">
        <w:rPr>
          <w:sz w:val="22"/>
          <w:szCs w:val="22"/>
          <w:lang w:val="en-US" w:eastAsia="ja-JP"/>
        </w:rPr>
        <w:t xml:space="preserve"> </w:t>
      </w:r>
      <w:r w:rsidR="0054324E" w:rsidRPr="00874DFC">
        <w:rPr>
          <w:sz w:val="22"/>
          <w:szCs w:val="22"/>
          <w:lang w:val="en-US" w:eastAsia="ja-JP"/>
        </w:rPr>
        <w:t>N</w:t>
      </w:r>
      <w:r w:rsidRPr="00874DFC">
        <w:rPr>
          <w:sz w:val="22"/>
          <w:szCs w:val="22"/>
          <w:lang w:val="en-US" w:eastAsia="ja-JP"/>
        </w:rPr>
        <w:t>urminen (</w:t>
      </w:r>
      <w:r w:rsidR="00425A06">
        <w:rPr>
          <w:sz w:val="22"/>
          <w:szCs w:val="22"/>
          <w:lang w:val="en-US" w:eastAsia="ja-JP"/>
        </w:rPr>
        <w:fldChar w:fldCharType="begin"/>
      </w:r>
      <w:r w:rsidR="00425A06">
        <w:rPr>
          <w:sz w:val="22"/>
          <w:szCs w:val="22"/>
          <w:lang w:val="en-US" w:eastAsia="ja-JP"/>
        </w:rPr>
        <w:instrText xml:space="preserve"> REF _Ref284424518 \r \h </w:instrText>
      </w:r>
      <w:r w:rsidR="00425A06">
        <w:rPr>
          <w:sz w:val="22"/>
          <w:szCs w:val="22"/>
          <w:lang w:val="en-US" w:eastAsia="ja-JP"/>
        </w:rPr>
      </w:r>
      <w:r w:rsidR="00425A06">
        <w:rPr>
          <w:sz w:val="22"/>
          <w:szCs w:val="22"/>
          <w:lang w:val="en-US" w:eastAsia="ja-JP"/>
        </w:rPr>
        <w:fldChar w:fldCharType="separate"/>
      </w:r>
      <w:r w:rsidR="00151A1C">
        <w:rPr>
          <w:sz w:val="22"/>
          <w:szCs w:val="22"/>
          <w:lang w:val="en-US" w:eastAsia="ja-JP"/>
        </w:rPr>
        <w:t>48</w:t>
      </w:r>
      <w:r w:rsidR="00425A06">
        <w:rPr>
          <w:sz w:val="22"/>
          <w:szCs w:val="22"/>
          <w:lang w:val="en-US" w:eastAsia="ja-JP"/>
        </w:rPr>
        <w:fldChar w:fldCharType="end"/>
      </w:r>
      <w:r w:rsidRPr="00874DFC">
        <w:rPr>
          <w:sz w:val="22"/>
          <w:szCs w:val="22"/>
          <w:lang w:val="en-US" w:eastAsia="ja-JP"/>
        </w:rPr>
        <w:t>) method without stratifi</w:t>
      </w:r>
      <w:r w:rsidR="0054324E" w:rsidRPr="00874DFC">
        <w:rPr>
          <w:sz w:val="22"/>
          <w:szCs w:val="22"/>
          <w:lang w:val="en-US" w:eastAsia="ja-JP"/>
        </w:rPr>
        <w:t>cation, was more than</w:t>
      </w:r>
      <w:r w:rsidR="003B4453" w:rsidRPr="00874DFC">
        <w:rPr>
          <w:sz w:val="22"/>
          <w:szCs w:val="22"/>
          <w:lang w:val="en-US" w:eastAsia="ja-JP"/>
        </w:rPr>
        <w:t xml:space="preserve"> </w:t>
      </w:r>
      <w:r w:rsidR="0054324E" w:rsidRPr="00874DFC">
        <w:rPr>
          <w:sz w:val="22"/>
          <w:szCs w:val="22"/>
          <w:lang w:val="en-US" w:eastAsia="ja-JP"/>
        </w:rPr>
        <w:t>–10%. This non-inferiority margin was based on</w:t>
      </w:r>
      <w:r w:rsidR="003B4453" w:rsidRPr="00874DFC">
        <w:rPr>
          <w:sz w:val="22"/>
          <w:szCs w:val="22"/>
          <w:lang w:val="en-US" w:eastAsia="ja-JP"/>
        </w:rPr>
        <w:t xml:space="preserve"> </w:t>
      </w:r>
      <w:r w:rsidR="0054324E" w:rsidRPr="00874DFC">
        <w:rPr>
          <w:sz w:val="22"/>
          <w:szCs w:val="22"/>
          <w:lang w:val="en-US" w:eastAsia="ja-JP"/>
        </w:rPr>
        <w:t>historical data and current guidance from the US</w:t>
      </w:r>
      <w:r w:rsidR="003B4453" w:rsidRPr="00874DFC">
        <w:rPr>
          <w:sz w:val="22"/>
          <w:szCs w:val="22"/>
          <w:lang w:val="en-US" w:eastAsia="ja-JP"/>
        </w:rPr>
        <w:t xml:space="preserve"> </w:t>
      </w:r>
      <w:r w:rsidR="00B77F1F">
        <w:rPr>
          <w:sz w:val="22"/>
          <w:szCs w:val="22"/>
          <w:lang w:val="en-US" w:eastAsia="ja-JP"/>
        </w:rPr>
        <w:t>FDA (FDA, 2013</w:t>
      </w:r>
      <w:r w:rsidRPr="00874DFC">
        <w:rPr>
          <w:sz w:val="22"/>
          <w:szCs w:val="22"/>
          <w:lang w:val="en-US" w:eastAsia="ja-JP"/>
        </w:rPr>
        <w:t>).</w:t>
      </w:r>
      <w:r w:rsidR="0054324E" w:rsidRPr="00874DFC">
        <w:rPr>
          <w:sz w:val="22"/>
          <w:szCs w:val="22"/>
          <w:lang w:val="en-US" w:eastAsia="ja-JP"/>
        </w:rPr>
        <w:t xml:space="preserve"> Post-hoc exploratory analyses of</w:t>
      </w:r>
      <w:r w:rsidR="003B4453" w:rsidRPr="00874DFC">
        <w:rPr>
          <w:sz w:val="22"/>
          <w:szCs w:val="22"/>
          <w:lang w:val="en-US" w:eastAsia="ja-JP"/>
        </w:rPr>
        <w:t xml:space="preserve"> </w:t>
      </w:r>
      <w:r w:rsidR="000C4EAF" w:rsidRPr="00874DFC">
        <w:rPr>
          <w:sz w:val="22"/>
          <w:szCs w:val="22"/>
          <w:lang w:val="en-US" w:eastAsia="ja-JP"/>
        </w:rPr>
        <w:t>treatment diff</w:t>
      </w:r>
      <w:r w:rsidR="0054324E" w:rsidRPr="00874DFC">
        <w:rPr>
          <w:sz w:val="22"/>
          <w:szCs w:val="22"/>
          <w:lang w:val="en-US" w:eastAsia="ja-JP"/>
        </w:rPr>
        <w:t>erences in haematological parameters</w:t>
      </w:r>
      <w:r w:rsidR="003B4453" w:rsidRPr="00874DFC">
        <w:rPr>
          <w:sz w:val="22"/>
          <w:szCs w:val="22"/>
          <w:lang w:val="en-US" w:eastAsia="ja-JP"/>
        </w:rPr>
        <w:t xml:space="preserve"> </w:t>
      </w:r>
      <w:r w:rsidR="0054324E" w:rsidRPr="00874DFC">
        <w:rPr>
          <w:sz w:val="22"/>
          <w:szCs w:val="22"/>
          <w:lang w:val="en-US" w:eastAsia="ja-JP"/>
        </w:rPr>
        <w:t>were done with Fisher’s exact test, with two-sided</w:t>
      </w:r>
      <w:r w:rsidR="003B4453" w:rsidRPr="00874DFC">
        <w:rPr>
          <w:sz w:val="22"/>
          <w:szCs w:val="22"/>
          <w:lang w:val="en-US" w:eastAsia="ja-JP"/>
        </w:rPr>
        <w:t xml:space="preserve"> </w:t>
      </w:r>
      <w:r w:rsidR="0054324E" w:rsidRPr="00874DFC">
        <w:rPr>
          <w:sz w:val="22"/>
          <w:szCs w:val="22"/>
          <w:lang w:val="en-US" w:eastAsia="ja-JP"/>
        </w:rPr>
        <w:t>p-values reported as desc</w:t>
      </w:r>
      <w:r w:rsidRPr="00874DFC">
        <w:rPr>
          <w:sz w:val="22"/>
          <w:szCs w:val="22"/>
          <w:lang w:val="en-US" w:eastAsia="ja-JP"/>
        </w:rPr>
        <w:t>riptive statistics. D</w:t>
      </w:r>
      <w:r w:rsidR="003B4453" w:rsidRPr="00874DFC">
        <w:rPr>
          <w:sz w:val="22"/>
          <w:szCs w:val="22"/>
          <w:lang w:val="en-US" w:eastAsia="ja-JP"/>
        </w:rPr>
        <w:t xml:space="preserve">ifferences in baseline </w:t>
      </w:r>
      <w:r w:rsidR="001021F4" w:rsidRPr="00874DFC">
        <w:rPr>
          <w:sz w:val="22"/>
          <w:szCs w:val="22"/>
          <w:lang w:val="en-US" w:eastAsia="ja-JP"/>
        </w:rPr>
        <w:t>characteristics between treatment</w:t>
      </w:r>
      <w:r w:rsidR="003B4453" w:rsidRPr="00874DFC">
        <w:rPr>
          <w:sz w:val="22"/>
          <w:szCs w:val="22"/>
          <w:lang w:val="en-US" w:eastAsia="ja-JP"/>
        </w:rPr>
        <w:t xml:space="preserve"> </w:t>
      </w:r>
      <w:r w:rsidR="001021F4" w:rsidRPr="00874DFC">
        <w:rPr>
          <w:sz w:val="22"/>
          <w:szCs w:val="22"/>
          <w:lang w:val="en-US" w:eastAsia="ja-JP"/>
        </w:rPr>
        <w:t xml:space="preserve">groups </w:t>
      </w:r>
      <w:r w:rsidRPr="00874DFC">
        <w:rPr>
          <w:sz w:val="22"/>
          <w:szCs w:val="22"/>
          <w:lang w:val="en-US" w:eastAsia="ja-JP"/>
        </w:rPr>
        <w:t xml:space="preserve">were identified </w:t>
      </w:r>
      <w:r w:rsidR="001021F4" w:rsidRPr="00874DFC">
        <w:rPr>
          <w:sz w:val="22"/>
          <w:szCs w:val="22"/>
          <w:lang w:val="en-US" w:eastAsia="ja-JP"/>
        </w:rPr>
        <w:t>with Fisher’s exact test or the Wilcoxon rank sum</w:t>
      </w:r>
      <w:r w:rsidR="003B4453" w:rsidRPr="00874DFC">
        <w:rPr>
          <w:sz w:val="22"/>
          <w:szCs w:val="22"/>
          <w:lang w:val="en-US" w:eastAsia="ja-JP"/>
        </w:rPr>
        <w:t xml:space="preserve"> </w:t>
      </w:r>
      <w:r w:rsidR="001021F4" w:rsidRPr="00874DFC">
        <w:rPr>
          <w:sz w:val="22"/>
          <w:szCs w:val="22"/>
          <w:lang w:val="en-US" w:eastAsia="ja-JP"/>
        </w:rPr>
        <w:t xml:space="preserve">test. </w:t>
      </w:r>
      <w:r w:rsidR="003B4453" w:rsidRPr="00874DFC">
        <w:rPr>
          <w:sz w:val="22"/>
          <w:szCs w:val="22"/>
          <w:lang w:val="en-US" w:eastAsia="ja-JP"/>
        </w:rPr>
        <w:t>S</w:t>
      </w:r>
      <w:r w:rsidR="001021F4" w:rsidRPr="00874DFC">
        <w:rPr>
          <w:sz w:val="22"/>
          <w:szCs w:val="22"/>
          <w:lang w:val="en-US" w:eastAsia="ja-JP"/>
        </w:rPr>
        <w:t xml:space="preserve">tatistical analyses </w:t>
      </w:r>
      <w:r w:rsidR="003B4453" w:rsidRPr="00874DFC">
        <w:rPr>
          <w:sz w:val="22"/>
          <w:szCs w:val="22"/>
          <w:lang w:val="en-US" w:eastAsia="ja-JP"/>
        </w:rPr>
        <w:t xml:space="preserve">were undertaken </w:t>
      </w:r>
      <w:r w:rsidR="001021F4" w:rsidRPr="00874DFC">
        <w:rPr>
          <w:sz w:val="22"/>
          <w:szCs w:val="22"/>
          <w:lang w:val="en-US" w:eastAsia="ja-JP"/>
        </w:rPr>
        <w:t>with SAS (version 9.2).</w:t>
      </w:r>
    </w:p>
    <w:p w14:paraId="2B518174" w14:textId="77777777" w:rsidR="00087858" w:rsidRPr="00874DFC" w:rsidRDefault="00087858" w:rsidP="00F305BD">
      <w:pPr>
        <w:autoSpaceDE w:val="0"/>
        <w:autoSpaceDN w:val="0"/>
        <w:adjustRightInd w:val="0"/>
        <w:rPr>
          <w:rFonts w:cs="Arial"/>
          <w:b/>
          <w:sz w:val="22"/>
          <w:szCs w:val="22"/>
          <w:lang w:eastAsia="ja-JP"/>
        </w:rPr>
      </w:pPr>
    </w:p>
    <w:p w14:paraId="153D0743" w14:textId="3A46BFC2" w:rsidR="00F305BD" w:rsidRPr="00874DFC" w:rsidRDefault="000C4EAF" w:rsidP="00F305BD">
      <w:pPr>
        <w:autoSpaceDE w:val="0"/>
        <w:autoSpaceDN w:val="0"/>
        <w:adjustRightInd w:val="0"/>
        <w:rPr>
          <w:rFonts w:cs="Arial"/>
          <w:b/>
          <w:sz w:val="22"/>
          <w:szCs w:val="22"/>
          <w:lang w:eastAsia="ja-JP"/>
        </w:rPr>
      </w:pPr>
      <w:r w:rsidRPr="00874DFC">
        <w:rPr>
          <w:rFonts w:cs="Arial"/>
          <w:b/>
          <w:sz w:val="22"/>
          <w:szCs w:val="22"/>
          <w:lang w:eastAsia="ja-JP"/>
        </w:rPr>
        <w:t>3.4</w:t>
      </w:r>
      <w:r w:rsidR="00F305BD" w:rsidRPr="00874DFC">
        <w:rPr>
          <w:rFonts w:cs="Arial"/>
          <w:b/>
          <w:sz w:val="22"/>
          <w:szCs w:val="22"/>
          <w:lang w:eastAsia="ja-JP"/>
        </w:rPr>
        <w:t>.11 Secondary analyses of primary outcome (if relevant)</w:t>
      </w:r>
      <w:r w:rsidR="000C4ABB" w:rsidRPr="00874DFC">
        <w:rPr>
          <w:rFonts w:cs="Arial"/>
          <w:b/>
          <w:sz w:val="22"/>
          <w:szCs w:val="22"/>
          <w:lang w:eastAsia="ja-JP"/>
        </w:rPr>
        <w:t xml:space="preserve">: </w:t>
      </w:r>
      <w:r w:rsidR="00F43096" w:rsidRPr="00874DFC">
        <w:rPr>
          <w:rFonts w:cs="Arial"/>
          <w:sz w:val="22"/>
          <w:szCs w:val="22"/>
          <w:lang w:eastAsia="ja-JP"/>
        </w:rPr>
        <w:t>Not applicable.</w:t>
      </w:r>
    </w:p>
    <w:p w14:paraId="4A3FDFFC" w14:textId="77777777" w:rsidR="00EE6A9C" w:rsidRPr="00874DFC" w:rsidRDefault="00EE6A9C" w:rsidP="00F305BD">
      <w:pPr>
        <w:autoSpaceDE w:val="0"/>
        <w:autoSpaceDN w:val="0"/>
        <w:adjustRightInd w:val="0"/>
        <w:rPr>
          <w:rFonts w:cs="Arial"/>
          <w:b/>
          <w:bCs/>
          <w:sz w:val="22"/>
          <w:szCs w:val="22"/>
          <w:lang w:eastAsia="ja-JP"/>
        </w:rPr>
      </w:pPr>
    </w:p>
    <w:p w14:paraId="47A35F50" w14:textId="068DDABF" w:rsidR="00F305BD" w:rsidRPr="00874DFC" w:rsidRDefault="000C4EAF" w:rsidP="00F305BD">
      <w:pPr>
        <w:autoSpaceDE w:val="0"/>
        <w:autoSpaceDN w:val="0"/>
        <w:adjustRightInd w:val="0"/>
        <w:rPr>
          <w:rFonts w:cs="Arial"/>
          <w:bCs/>
          <w:sz w:val="22"/>
          <w:szCs w:val="22"/>
          <w:lang w:eastAsia="ja-JP"/>
        </w:rPr>
      </w:pPr>
      <w:r w:rsidRPr="00874DFC">
        <w:rPr>
          <w:rFonts w:cs="Arial"/>
          <w:b/>
          <w:bCs/>
          <w:sz w:val="22"/>
          <w:szCs w:val="22"/>
          <w:lang w:eastAsia="ja-JP"/>
        </w:rPr>
        <w:t>3.4</w:t>
      </w:r>
      <w:r w:rsidR="00F305BD" w:rsidRPr="00874DFC">
        <w:rPr>
          <w:rFonts w:cs="Arial"/>
          <w:b/>
          <w:bCs/>
          <w:sz w:val="22"/>
          <w:szCs w:val="22"/>
          <w:lang w:eastAsia="ja-JP"/>
        </w:rPr>
        <w:t>.12 Analyses of secondary outcomes</w:t>
      </w:r>
      <w:r w:rsidR="000C4ABB" w:rsidRPr="00874DFC">
        <w:rPr>
          <w:rFonts w:cs="Arial"/>
          <w:b/>
          <w:bCs/>
          <w:sz w:val="22"/>
          <w:szCs w:val="22"/>
          <w:lang w:eastAsia="ja-JP"/>
        </w:rPr>
        <w:t xml:space="preserve">: </w:t>
      </w:r>
      <w:r w:rsidR="00F43096" w:rsidRPr="00874DFC">
        <w:rPr>
          <w:rFonts w:cs="Arial"/>
          <w:bCs/>
          <w:sz w:val="22"/>
          <w:szCs w:val="22"/>
          <w:lang w:eastAsia="ja-JP"/>
        </w:rPr>
        <w:t xml:space="preserve">For the secondary endpoints, the number and percentage of patients in each treatment group with a </w:t>
      </w:r>
      <w:r w:rsidR="00ED0837" w:rsidRPr="00874DFC">
        <w:rPr>
          <w:rFonts w:cs="Arial"/>
          <w:bCs/>
          <w:sz w:val="22"/>
          <w:szCs w:val="22"/>
          <w:lang w:eastAsia="ja-JP"/>
        </w:rPr>
        <w:t>clinical success, clinical fail</w:t>
      </w:r>
      <w:r w:rsidR="00F43096" w:rsidRPr="00874DFC">
        <w:rPr>
          <w:rFonts w:cs="Arial"/>
          <w:bCs/>
          <w:sz w:val="22"/>
          <w:szCs w:val="22"/>
          <w:lang w:eastAsia="ja-JP"/>
        </w:rPr>
        <w:t>ure and inde</w:t>
      </w:r>
      <w:r w:rsidR="00F831BD" w:rsidRPr="00874DFC">
        <w:rPr>
          <w:rFonts w:cs="Arial"/>
          <w:bCs/>
          <w:sz w:val="22"/>
          <w:szCs w:val="22"/>
          <w:lang w:eastAsia="ja-JP"/>
        </w:rPr>
        <w:t>terminate response based on pro</w:t>
      </w:r>
      <w:r w:rsidR="00F43096" w:rsidRPr="00874DFC">
        <w:rPr>
          <w:rFonts w:cs="Arial"/>
          <w:bCs/>
          <w:sz w:val="22"/>
          <w:szCs w:val="22"/>
          <w:lang w:eastAsia="ja-JP"/>
        </w:rPr>
        <w:t xml:space="preserve">grammatic clinical response at EOT were to be determined </w:t>
      </w:r>
      <w:r w:rsidR="00F831BD" w:rsidRPr="00874DFC">
        <w:rPr>
          <w:rFonts w:cs="Arial"/>
          <w:bCs/>
          <w:sz w:val="22"/>
          <w:szCs w:val="22"/>
          <w:lang w:eastAsia="ja-JP"/>
        </w:rPr>
        <w:t>i</w:t>
      </w:r>
      <w:r w:rsidR="00F43096" w:rsidRPr="00874DFC">
        <w:rPr>
          <w:rFonts w:cs="Arial"/>
          <w:bCs/>
          <w:sz w:val="22"/>
          <w:szCs w:val="22"/>
          <w:lang w:eastAsia="ja-JP"/>
        </w:rPr>
        <w:t>n</w:t>
      </w:r>
      <w:r w:rsidR="00F831BD" w:rsidRPr="00874DFC">
        <w:rPr>
          <w:rFonts w:cs="Arial"/>
          <w:bCs/>
          <w:sz w:val="22"/>
          <w:szCs w:val="22"/>
          <w:lang w:eastAsia="ja-JP"/>
        </w:rPr>
        <w:t xml:space="preserve"> </w:t>
      </w:r>
      <w:r w:rsidR="00F43096" w:rsidRPr="00874DFC">
        <w:rPr>
          <w:rFonts w:cs="Arial"/>
          <w:bCs/>
          <w:sz w:val="22"/>
          <w:szCs w:val="22"/>
          <w:lang w:eastAsia="ja-JP"/>
        </w:rPr>
        <w:t>the ITT and the CE-EOT Analysis Sets (by defin</w:t>
      </w:r>
      <w:r w:rsidR="00F831BD" w:rsidRPr="00874DFC">
        <w:rPr>
          <w:rFonts w:cs="Arial"/>
          <w:bCs/>
          <w:sz w:val="22"/>
          <w:szCs w:val="22"/>
          <w:lang w:eastAsia="ja-JP"/>
        </w:rPr>
        <w:t>ition</w:t>
      </w:r>
      <w:r w:rsidR="00F43096" w:rsidRPr="00874DFC">
        <w:rPr>
          <w:rFonts w:cs="Arial"/>
          <w:bCs/>
          <w:sz w:val="22"/>
          <w:szCs w:val="22"/>
          <w:lang w:eastAsia="ja-JP"/>
        </w:rPr>
        <w:t>, CE-EOT patients cannot have an</w:t>
      </w:r>
      <w:r w:rsidR="00F831BD" w:rsidRPr="00874DFC">
        <w:rPr>
          <w:rFonts w:cs="Arial"/>
          <w:bCs/>
          <w:sz w:val="22"/>
          <w:szCs w:val="22"/>
          <w:lang w:eastAsia="ja-JP"/>
        </w:rPr>
        <w:t xml:space="preserve"> </w:t>
      </w:r>
      <w:r w:rsidR="00F43096" w:rsidRPr="00874DFC">
        <w:rPr>
          <w:rFonts w:cs="Arial"/>
          <w:bCs/>
          <w:sz w:val="22"/>
          <w:szCs w:val="22"/>
          <w:lang w:eastAsia="ja-JP"/>
        </w:rPr>
        <w:t>indet</w:t>
      </w:r>
      <w:r w:rsidR="00F831BD" w:rsidRPr="00874DFC">
        <w:rPr>
          <w:rFonts w:cs="Arial"/>
          <w:bCs/>
          <w:sz w:val="22"/>
          <w:szCs w:val="22"/>
          <w:lang w:eastAsia="ja-JP"/>
        </w:rPr>
        <w:t>erminate</w:t>
      </w:r>
      <w:r w:rsidR="00F43096" w:rsidRPr="00874DFC">
        <w:rPr>
          <w:rFonts w:cs="Arial"/>
          <w:bCs/>
          <w:sz w:val="22"/>
          <w:szCs w:val="22"/>
          <w:lang w:eastAsia="ja-JP"/>
        </w:rPr>
        <w:t xml:space="preserve"> response). In additional</w:t>
      </w:r>
      <w:r w:rsidR="00ED0837" w:rsidRPr="00874DFC">
        <w:rPr>
          <w:rFonts w:cs="Arial"/>
          <w:bCs/>
          <w:sz w:val="22"/>
          <w:szCs w:val="22"/>
          <w:lang w:eastAsia="ja-JP"/>
        </w:rPr>
        <w:t xml:space="preserve"> the numb</w:t>
      </w:r>
      <w:r w:rsidR="00F43096" w:rsidRPr="00874DFC">
        <w:rPr>
          <w:rFonts w:cs="Arial"/>
          <w:bCs/>
          <w:sz w:val="22"/>
          <w:szCs w:val="22"/>
          <w:lang w:eastAsia="ja-JP"/>
        </w:rPr>
        <w:t xml:space="preserve">er and percentage of patients </w:t>
      </w:r>
      <w:r w:rsidR="00ED0837" w:rsidRPr="00874DFC">
        <w:rPr>
          <w:rFonts w:cs="Arial"/>
          <w:bCs/>
          <w:sz w:val="22"/>
          <w:szCs w:val="22"/>
          <w:lang w:eastAsia="ja-JP"/>
        </w:rPr>
        <w:t>i</w:t>
      </w:r>
      <w:r w:rsidR="00F43096" w:rsidRPr="00874DFC">
        <w:rPr>
          <w:rFonts w:cs="Arial"/>
          <w:bCs/>
          <w:sz w:val="22"/>
          <w:szCs w:val="22"/>
          <w:lang w:eastAsia="ja-JP"/>
        </w:rPr>
        <w:t>n</w:t>
      </w:r>
      <w:r w:rsidR="00ED0837" w:rsidRPr="00874DFC">
        <w:rPr>
          <w:rFonts w:cs="Arial"/>
          <w:bCs/>
          <w:sz w:val="22"/>
          <w:szCs w:val="22"/>
          <w:lang w:eastAsia="ja-JP"/>
        </w:rPr>
        <w:t xml:space="preserve"> </w:t>
      </w:r>
      <w:r w:rsidR="00F43096" w:rsidRPr="00874DFC">
        <w:rPr>
          <w:rFonts w:cs="Arial"/>
          <w:bCs/>
          <w:sz w:val="22"/>
          <w:szCs w:val="22"/>
          <w:lang w:eastAsia="ja-JP"/>
        </w:rPr>
        <w:t>each treatment group with a clinical success, clinical failure and indeterminate response</w:t>
      </w:r>
      <w:r w:rsidR="00ED0837" w:rsidRPr="00874DFC">
        <w:rPr>
          <w:rFonts w:cs="Arial"/>
          <w:bCs/>
          <w:sz w:val="22"/>
          <w:szCs w:val="22"/>
          <w:lang w:eastAsia="ja-JP"/>
        </w:rPr>
        <w:t xml:space="preserve"> based o</w:t>
      </w:r>
      <w:r w:rsidR="00F43096" w:rsidRPr="00874DFC">
        <w:rPr>
          <w:rFonts w:cs="Arial"/>
          <w:bCs/>
          <w:sz w:val="22"/>
          <w:szCs w:val="22"/>
          <w:lang w:eastAsia="ja-JP"/>
        </w:rPr>
        <w:t>n</w:t>
      </w:r>
      <w:r w:rsidR="00ED0837" w:rsidRPr="00874DFC">
        <w:rPr>
          <w:rFonts w:cs="Arial"/>
          <w:bCs/>
          <w:sz w:val="22"/>
          <w:szCs w:val="22"/>
          <w:lang w:eastAsia="ja-JP"/>
        </w:rPr>
        <w:t xml:space="preserve"> the Investigator</w:t>
      </w:r>
      <w:r w:rsidR="00F43096" w:rsidRPr="00874DFC">
        <w:rPr>
          <w:rFonts w:cs="Arial"/>
          <w:bCs/>
          <w:sz w:val="22"/>
          <w:szCs w:val="22"/>
          <w:lang w:eastAsia="ja-JP"/>
        </w:rPr>
        <w:t>’s assessment were to be reported for the ITT and CE-PTE Analysis Sets (by definition, CE-PTE patients cannot ha</w:t>
      </w:r>
      <w:r w:rsidR="00ED0837" w:rsidRPr="00874DFC">
        <w:rPr>
          <w:rFonts w:cs="Arial"/>
          <w:bCs/>
          <w:sz w:val="22"/>
          <w:szCs w:val="22"/>
          <w:lang w:eastAsia="ja-JP"/>
        </w:rPr>
        <w:t>ve an indeterminate response). T</w:t>
      </w:r>
      <w:r w:rsidR="00ED0837" w:rsidRPr="00874DFC">
        <w:rPr>
          <w:sz w:val="22"/>
          <w:szCs w:val="22"/>
          <w:lang w:val="en-US" w:eastAsia="ja-JP"/>
        </w:rPr>
        <w:t>wo-</w:t>
      </w:r>
      <w:r w:rsidR="00F43096" w:rsidRPr="00874DFC">
        <w:rPr>
          <w:sz w:val="22"/>
          <w:szCs w:val="22"/>
          <w:lang w:val="en-US" w:eastAsia="ja-JP"/>
        </w:rPr>
        <w:t xml:space="preserve"> side</w:t>
      </w:r>
      <w:r w:rsidR="00F831BD" w:rsidRPr="00874DFC">
        <w:rPr>
          <w:sz w:val="22"/>
          <w:szCs w:val="22"/>
          <w:lang w:val="en-US" w:eastAsia="ja-JP"/>
        </w:rPr>
        <w:t xml:space="preserve">d 95% CIs were constructed for the observed </w:t>
      </w:r>
      <w:r w:rsidR="00F43096" w:rsidRPr="00874DFC">
        <w:rPr>
          <w:sz w:val="22"/>
          <w:szCs w:val="22"/>
          <w:lang w:val="en-US" w:eastAsia="ja-JP"/>
        </w:rPr>
        <w:t xml:space="preserve">differences in </w:t>
      </w:r>
      <w:r w:rsidR="00F831BD" w:rsidRPr="00874DFC">
        <w:rPr>
          <w:sz w:val="22"/>
          <w:szCs w:val="22"/>
          <w:lang w:val="en-US" w:eastAsia="ja-JP"/>
        </w:rPr>
        <w:t xml:space="preserve">clinical success rate based on clinical response at EOT and the Investigator’s assessment </w:t>
      </w:r>
      <w:r w:rsidR="00F43096" w:rsidRPr="00874DFC">
        <w:rPr>
          <w:sz w:val="22"/>
          <w:szCs w:val="22"/>
          <w:lang w:val="en-US" w:eastAsia="ja-JP"/>
        </w:rPr>
        <w:t xml:space="preserve">without stratification </w:t>
      </w:r>
      <w:r w:rsidR="00F831BD" w:rsidRPr="00874DFC">
        <w:rPr>
          <w:sz w:val="22"/>
          <w:szCs w:val="22"/>
          <w:lang w:val="en-US" w:eastAsia="ja-JP"/>
        </w:rPr>
        <w:t>using</w:t>
      </w:r>
      <w:r w:rsidR="00F43096" w:rsidRPr="00874DFC">
        <w:rPr>
          <w:sz w:val="22"/>
          <w:szCs w:val="22"/>
          <w:lang w:val="en-US" w:eastAsia="ja-JP"/>
        </w:rPr>
        <w:t xml:space="preserve"> the Miettienen and Nurminen method. </w:t>
      </w:r>
    </w:p>
    <w:p w14:paraId="2CC30371" w14:textId="77777777" w:rsidR="00F43096" w:rsidRPr="00874DFC" w:rsidRDefault="00F43096" w:rsidP="00F305BD">
      <w:pPr>
        <w:autoSpaceDE w:val="0"/>
        <w:autoSpaceDN w:val="0"/>
        <w:adjustRightInd w:val="0"/>
        <w:rPr>
          <w:rFonts w:cs="Arial"/>
          <w:bCs/>
          <w:sz w:val="22"/>
          <w:szCs w:val="22"/>
          <w:lang w:eastAsia="ja-JP"/>
        </w:rPr>
      </w:pPr>
    </w:p>
    <w:p w14:paraId="5067DD7E" w14:textId="21198E22" w:rsidR="00F43096" w:rsidRPr="00874DFC" w:rsidRDefault="00F831BD" w:rsidP="00F305BD">
      <w:pPr>
        <w:autoSpaceDE w:val="0"/>
        <w:autoSpaceDN w:val="0"/>
        <w:adjustRightInd w:val="0"/>
        <w:rPr>
          <w:rFonts w:cs="Arial"/>
          <w:bCs/>
          <w:sz w:val="22"/>
          <w:szCs w:val="22"/>
          <w:lang w:eastAsia="ja-JP"/>
        </w:rPr>
      </w:pPr>
      <w:r w:rsidRPr="00874DFC">
        <w:rPr>
          <w:rFonts w:cs="Arial"/>
          <w:bCs/>
          <w:sz w:val="22"/>
          <w:szCs w:val="22"/>
          <w:lang w:eastAsia="ja-JP"/>
        </w:rPr>
        <w:lastRenderedPageBreak/>
        <w:t>To control for inflation of the overall Type 1 error rate, the hierarchical testing procedure of West</w:t>
      </w:r>
      <w:r w:rsidR="00B77F1F">
        <w:rPr>
          <w:rFonts w:cs="Arial"/>
          <w:bCs/>
          <w:sz w:val="22"/>
          <w:szCs w:val="22"/>
          <w:lang w:eastAsia="ja-JP"/>
        </w:rPr>
        <w:t>fall and Krishen (</w:t>
      </w:r>
      <w:r w:rsidR="00706950">
        <w:rPr>
          <w:rFonts w:cs="Arial"/>
          <w:bCs/>
          <w:sz w:val="22"/>
          <w:szCs w:val="22"/>
          <w:lang w:eastAsia="ja-JP"/>
        </w:rPr>
        <w:fldChar w:fldCharType="begin"/>
      </w:r>
      <w:r w:rsidR="00706950">
        <w:rPr>
          <w:rFonts w:cs="Arial"/>
          <w:bCs/>
          <w:sz w:val="22"/>
          <w:szCs w:val="22"/>
          <w:lang w:eastAsia="ja-JP"/>
        </w:rPr>
        <w:instrText xml:space="preserve"> REF _Ref284424601 \r \h </w:instrText>
      </w:r>
      <w:r w:rsidR="00706950">
        <w:rPr>
          <w:rFonts w:cs="Arial"/>
          <w:bCs/>
          <w:sz w:val="22"/>
          <w:szCs w:val="22"/>
          <w:lang w:eastAsia="ja-JP"/>
        </w:rPr>
      </w:r>
      <w:r w:rsidR="00706950">
        <w:rPr>
          <w:rFonts w:cs="Arial"/>
          <w:bCs/>
          <w:sz w:val="22"/>
          <w:szCs w:val="22"/>
          <w:lang w:eastAsia="ja-JP"/>
        </w:rPr>
        <w:fldChar w:fldCharType="separate"/>
      </w:r>
      <w:r w:rsidR="00151A1C">
        <w:rPr>
          <w:rFonts w:cs="Arial"/>
          <w:bCs/>
          <w:sz w:val="22"/>
          <w:szCs w:val="22"/>
          <w:lang w:eastAsia="ja-JP"/>
        </w:rPr>
        <w:t>49</w:t>
      </w:r>
      <w:r w:rsidR="00706950">
        <w:rPr>
          <w:rFonts w:cs="Arial"/>
          <w:bCs/>
          <w:sz w:val="22"/>
          <w:szCs w:val="22"/>
          <w:lang w:eastAsia="ja-JP"/>
        </w:rPr>
        <w:fldChar w:fldCharType="end"/>
      </w:r>
      <w:r w:rsidRPr="00874DFC">
        <w:rPr>
          <w:rFonts w:cs="Arial"/>
          <w:bCs/>
          <w:sz w:val="22"/>
          <w:szCs w:val="22"/>
          <w:lang w:eastAsia="ja-JP"/>
        </w:rPr>
        <w:t>) was used. If NI was declared for the primary outcome, NI was then to be tested for the secondary outcomes in a specified order. If</w:t>
      </w:r>
      <w:r w:rsidR="00ED0837" w:rsidRPr="00874DFC">
        <w:rPr>
          <w:rFonts w:cs="Arial"/>
          <w:bCs/>
          <w:sz w:val="22"/>
          <w:szCs w:val="22"/>
          <w:lang w:eastAsia="ja-JP"/>
        </w:rPr>
        <w:t xml:space="preserve"> the lower limit of the 95% CI </w:t>
      </w:r>
      <w:r w:rsidRPr="00874DFC">
        <w:rPr>
          <w:rFonts w:cs="Arial"/>
          <w:bCs/>
          <w:sz w:val="22"/>
          <w:szCs w:val="22"/>
          <w:lang w:eastAsia="ja-JP"/>
        </w:rPr>
        <w:t>for the difference in the outcome measure is greater than -10%, NI of tedizolid phosphate to linezolid was to be concluded. Only in this case did testing proceed to the next outcome measure.</w:t>
      </w:r>
    </w:p>
    <w:p w14:paraId="5F22B2F2" w14:textId="77777777" w:rsidR="00F305BD" w:rsidRPr="00874DFC" w:rsidRDefault="00F305BD" w:rsidP="00F305BD">
      <w:pPr>
        <w:autoSpaceDE w:val="0"/>
        <w:autoSpaceDN w:val="0"/>
        <w:adjustRightInd w:val="0"/>
        <w:rPr>
          <w:rFonts w:cs="Arial"/>
          <w:b/>
          <w:bCs/>
          <w:sz w:val="22"/>
          <w:szCs w:val="22"/>
          <w:lang w:eastAsia="ja-JP"/>
        </w:rPr>
      </w:pPr>
    </w:p>
    <w:p w14:paraId="5137C461" w14:textId="59678CDF" w:rsidR="00F305BD" w:rsidRPr="00874DFC" w:rsidRDefault="000C4EAF" w:rsidP="00F305BD">
      <w:pPr>
        <w:autoSpaceDE w:val="0"/>
        <w:autoSpaceDN w:val="0"/>
        <w:adjustRightInd w:val="0"/>
        <w:rPr>
          <w:rFonts w:cs="Arial"/>
          <w:bCs/>
          <w:sz w:val="22"/>
          <w:szCs w:val="22"/>
          <w:lang w:eastAsia="ja-JP"/>
        </w:rPr>
      </w:pPr>
      <w:r w:rsidRPr="00874DFC">
        <w:rPr>
          <w:rFonts w:cs="Arial"/>
          <w:b/>
          <w:bCs/>
          <w:sz w:val="22"/>
          <w:szCs w:val="22"/>
          <w:lang w:eastAsia="ja-JP"/>
        </w:rPr>
        <w:t>3.4</w:t>
      </w:r>
      <w:r w:rsidR="00F305BD" w:rsidRPr="00874DFC">
        <w:rPr>
          <w:rFonts w:cs="Arial"/>
          <w:b/>
          <w:bCs/>
          <w:sz w:val="22"/>
          <w:szCs w:val="22"/>
          <w:lang w:eastAsia="ja-JP"/>
        </w:rPr>
        <w:t>.13 Patient disposition</w:t>
      </w:r>
      <w:r w:rsidRPr="00874DFC">
        <w:rPr>
          <w:rFonts w:cs="Arial"/>
          <w:b/>
          <w:bCs/>
          <w:sz w:val="22"/>
          <w:szCs w:val="22"/>
          <w:lang w:eastAsia="ja-JP"/>
        </w:rPr>
        <w:t xml:space="preserve">: </w:t>
      </w:r>
      <w:r w:rsidRPr="00874DFC">
        <w:rPr>
          <w:rFonts w:cs="Arial"/>
          <w:bCs/>
          <w:sz w:val="22"/>
          <w:szCs w:val="22"/>
          <w:lang w:eastAsia="ja-JP"/>
        </w:rPr>
        <w:t xml:space="preserve">A total of 666 patients were randomly assigned to receive either tedizolid phosphate (n=332) or linezolid (n=334). The disposition of all patients enrolled in the study is shown in </w:t>
      </w:r>
      <w:r w:rsidRPr="00874DFC">
        <w:rPr>
          <w:rFonts w:cs="Arial"/>
          <w:bCs/>
          <w:sz w:val="22"/>
          <w:szCs w:val="22"/>
          <w:lang w:eastAsia="ja-JP"/>
        </w:rPr>
        <w:fldChar w:fldCharType="begin"/>
      </w:r>
      <w:r w:rsidRPr="00874DFC">
        <w:rPr>
          <w:rFonts w:cs="Arial"/>
          <w:bCs/>
          <w:sz w:val="22"/>
          <w:szCs w:val="22"/>
          <w:lang w:eastAsia="ja-JP"/>
        </w:rPr>
        <w:instrText xml:space="preserve"> REF _Ref281751556 \h </w:instrText>
      </w:r>
      <w:r w:rsidRPr="00874DFC">
        <w:rPr>
          <w:rFonts w:cs="Arial"/>
          <w:bCs/>
          <w:sz w:val="22"/>
          <w:szCs w:val="22"/>
          <w:lang w:eastAsia="ja-JP"/>
        </w:rPr>
      </w:r>
      <w:r w:rsidRPr="00874DFC">
        <w:rPr>
          <w:rFonts w:cs="Arial"/>
          <w:bCs/>
          <w:sz w:val="22"/>
          <w:szCs w:val="22"/>
          <w:lang w:eastAsia="ja-JP"/>
        </w:rPr>
        <w:fldChar w:fldCharType="separate"/>
      </w:r>
      <w:r w:rsidR="00151A1C" w:rsidRPr="000C4EAF">
        <w:rPr>
          <w:rFonts w:cs="Arial"/>
          <w:sz w:val="22"/>
          <w:szCs w:val="22"/>
        </w:rPr>
        <w:t xml:space="preserve">Figure </w:t>
      </w:r>
      <w:r w:rsidR="00151A1C">
        <w:rPr>
          <w:rFonts w:cs="Arial"/>
          <w:noProof/>
          <w:sz w:val="22"/>
          <w:szCs w:val="22"/>
        </w:rPr>
        <w:t>4</w:t>
      </w:r>
      <w:r w:rsidRPr="00874DFC">
        <w:rPr>
          <w:rFonts w:cs="Arial"/>
          <w:bCs/>
          <w:sz w:val="22"/>
          <w:szCs w:val="22"/>
          <w:lang w:eastAsia="ja-JP"/>
        </w:rPr>
        <w:fldChar w:fldCharType="end"/>
      </w:r>
      <w:r w:rsidR="00087858" w:rsidRPr="00874DFC">
        <w:rPr>
          <w:rFonts w:cs="Arial"/>
          <w:bCs/>
          <w:sz w:val="22"/>
          <w:szCs w:val="22"/>
          <w:lang w:eastAsia="ja-JP"/>
        </w:rPr>
        <w:t>.</w:t>
      </w:r>
    </w:p>
    <w:p w14:paraId="72BF3271" w14:textId="035ED42E" w:rsidR="00C31EFB" w:rsidRPr="000C4EAF" w:rsidRDefault="000C4EAF" w:rsidP="000C4EAF">
      <w:pPr>
        <w:pStyle w:val="Caption"/>
        <w:jc w:val="left"/>
        <w:rPr>
          <w:rFonts w:ascii="Arial" w:hAnsi="Arial" w:cs="Arial"/>
          <w:sz w:val="22"/>
          <w:szCs w:val="22"/>
        </w:rPr>
      </w:pPr>
      <w:bookmarkStart w:id="105" w:name="_Ref281751556"/>
      <w:r w:rsidRPr="000C4EAF">
        <w:rPr>
          <w:rFonts w:ascii="Arial" w:hAnsi="Arial" w:cs="Arial"/>
          <w:sz w:val="22"/>
          <w:szCs w:val="22"/>
        </w:rPr>
        <w:lastRenderedPageBreak/>
        <w:t xml:space="preserve">Figure </w:t>
      </w:r>
      <w:r w:rsidRPr="000C4EAF">
        <w:rPr>
          <w:rFonts w:ascii="Arial" w:hAnsi="Arial" w:cs="Arial"/>
          <w:sz w:val="22"/>
          <w:szCs w:val="22"/>
        </w:rPr>
        <w:fldChar w:fldCharType="begin"/>
      </w:r>
      <w:r w:rsidRPr="000C4EAF">
        <w:rPr>
          <w:rFonts w:ascii="Arial" w:hAnsi="Arial" w:cs="Arial"/>
          <w:sz w:val="22"/>
          <w:szCs w:val="22"/>
        </w:rPr>
        <w:instrText xml:space="preserve"> SEQ Figure \* ARABIC </w:instrText>
      </w:r>
      <w:r w:rsidRPr="000C4EAF">
        <w:rPr>
          <w:rFonts w:ascii="Arial" w:hAnsi="Arial" w:cs="Arial"/>
          <w:sz w:val="22"/>
          <w:szCs w:val="22"/>
        </w:rPr>
        <w:fldChar w:fldCharType="separate"/>
      </w:r>
      <w:r w:rsidR="00151A1C">
        <w:rPr>
          <w:rFonts w:ascii="Arial" w:hAnsi="Arial" w:cs="Arial"/>
          <w:noProof/>
          <w:sz w:val="22"/>
          <w:szCs w:val="22"/>
        </w:rPr>
        <w:t>4</w:t>
      </w:r>
      <w:r w:rsidRPr="000C4EAF">
        <w:rPr>
          <w:rFonts w:ascii="Arial" w:hAnsi="Arial" w:cs="Arial"/>
          <w:sz w:val="22"/>
          <w:szCs w:val="22"/>
        </w:rPr>
        <w:fldChar w:fldCharType="end"/>
      </w:r>
      <w:bookmarkEnd w:id="105"/>
      <w:r w:rsidRPr="000C4EAF">
        <w:rPr>
          <w:rFonts w:ascii="Arial" w:hAnsi="Arial" w:cs="Arial"/>
          <w:bCs w:val="0"/>
          <w:sz w:val="22"/>
          <w:szCs w:val="22"/>
          <w:lang w:eastAsia="ja-JP"/>
        </w:rPr>
        <w:t xml:space="preserve">: </w:t>
      </w:r>
      <w:r>
        <w:rPr>
          <w:rFonts w:ascii="Arial" w:hAnsi="Arial" w:cs="Arial"/>
          <w:bCs w:val="0"/>
          <w:sz w:val="22"/>
          <w:szCs w:val="22"/>
          <w:lang w:eastAsia="ja-JP"/>
        </w:rPr>
        <w:t>Disposition and Analysis Sets of Patients in</w:t>
      </w:r>
      <w:r w:rsidRPr="000C4EAF">
        <w:rPr>
          <w:rFonts w:ascii="Arial" w:hAnsi="Arial" w:cs="Arial"/>
          <w:bCs w:val="0"/>
          <w:sz w:val="22"/>
          <w:szCs w:val="22"/>
          <w:lang w:eastAsia="ja-JP"/>
        </w:rPr>
        <w:t xml:space="preserve"> ESTABLISH-2</w:t>
      </w:r>
      <w:r w:rsidR="00087858">
        <w:rPr>
          <w:rFonts w:ascii="Arial" w:hAnsi="Arial" w:cs="Arial"/>
          <w:bCs w:val="0"/>
          <w:sz w:val="22"/>
          <w:szCs w:val="22"/>
          <w:lang w:eastAsia="ja-JP"/>
        </w:rPr>
        <w:t xml:space="preserve"> (Moran, 2014</w:t>
      </w:r>
      <w:r w:rsidR="00CA0F83">
        <w:rPr>
          <w:rFonts w:ascii="Arial" w:hAnsi="Arial" w:cs="Arial"/>
          <w:bCs w:val="0"/>
          <w:sz w:val="22"/>
          <w:szCs w:val="22"/>
          <w:lang w:eastAsia="ja-JP"/>
        </w:rPr>
        <w:t xml:space="preserve"> </w:t>
      </w:r>
      <w:r w:rsidR="00CA0F83">
        <w:rPr>
          <w:rFonts w:ascii="Arial" w:hAnsi="Arial" w:cs="Arial"/>
          <w:bCs w:val="0"/>
          <w:sz w:val="22"/>
          <w:szCs w:val="22"/>
          <w:lang w:eastAsia="ja-JP"/>
        </w:rPr>
        <w:fldChar w:fldCharType="begin"/>
      </w:r>
      <w:r w:rsidR="00CA0F83">
        <w:rPr>
          <w:rFonts w:ascii="Arial" w:hAnsi="Arial" w:cs="Arial"/>
          <w:bCs w:val="0"/>
          <w:sz w:val="22"/>
          <w:szCs w:val="22"/>
          <w:lang w:eastAsia="ja-JP"/>
        </w:rPr>
        <w:instrText xml:space="preserve"> REF _Ref284170919 \r \h </w:instrText>
      </w:r>
      <w:r w:rsidR="00CA0F83">
        <w:rPr>
          <w:rFonts w:ascii="Arial" w:hAnsi="Arial" w:cs="Arial"/>
          <w:bCs w:val="0"/>
          <w:sz w:val="22"/>
          <w:szCs w:val="22"/>
          <w:lang w:eastAsia="ja-JP"/>
        </w:rPr>
      </w:r>
      <w:r w:rsidR="00CA0F83">
        <w:rPr>
          <w:rFonts w:ascii="Arial" w:hAnsi="Arial" w:cs="Arial"/>
          <w:bCs w:val="0"/>
          <w:sz w:val="22"/>
          <w:szCs w:val="22"/>
          <w:lang w:eastAsia="ja-JP"/>
        </w:rPr>
        <w:fldChar w:fldCharType="separate"/>
      </w:r>
      <w:r w:rsidR="00151A1C">
        <w:rPr>
          <w:rFonts w:ascii="Arial" w:hAnsi="Arial" w:cs="Arial"/>
          <w:bCs w:val="0"/>
          <w:sz w:val="22"/>
          <w:szCs w:val="22"/>
          <w:lang w:eastAsia="ja-JP"/>
        </w:rPr>
        <w:t>40</w:t>
      </w:r>
      <w:r w:rsidR="00CA0F83">
        <w:rPr>
          <w:rFonts w:ascii="Arial" w:hAnsi="Arial" w:cs="Arial"/>
          <w:bCs w:val="0"/>
          <w:sz w:val="22"/>
          <w:szCs w:val="22"/>
          <w:lang w:eastAsia="ja-JP"/>
        </w:rPr>
        <w:fldChar w:fldCharType="end"/>
      </w:r>
      <w:r w:rsidR="00087858">
        <w:rPr>
          <w:rFonts w:ascii="Arial" w:hAnsi="Arial" w:cs="Arial"/>
          <w:bCs w:val="0"/>
          <w:sz w:val="22"/>
          <w:szCs w:val="22"/>
          <w:lang w:eastAsia="ja-JP"/>
        </w:rPr>
        <w:t>)</w:t>
      </w:r>
    </w:p>
    <w:p w14:paraId="2BFF06D3" w14:textId="435DAA43" w:rsidR="00C31EFB" w:rsidRPr="00325673" w:rsidRDefault="00C31EFB" w:rsidP="00F305BD">
      <w:pPr>
        <w:autoSpaceDE w:val="0"/>
        <w:autoSpaceDN w:val="0"/>
        <w:adjustRightInd w:val="0"/>
        <w:rPr>
          <w:rFonts w:cs="Arial"/>
          <w:b/>
          <w:bCs/>
          <w:color w:val="FF0000"/>
          <w:sz w:val="22"/>
          <w:szCs w:val="22"/>
          <w:lang w:eastAsia="ja-JP"/>
        </w:rPr>
      </w:pPr>
      <w:r>
        <w:rPr>
          <w:rFonts w:cs="Arial"/>
          <w:b/>
          <w:bCs/>
          <w:noProof/>
          <w:color w:val="FF0000"/>
          <w:sz w:val="22"/>
          <w:szCs w:val="22"/>
          <w:lang w:eastAsia="en-GB"/>
        </w:rPr>
        <w:lastRenderedPageBreak/>
        <w:drawing>
          <wp:inline distT="0" distB="0" distL="0" distR="0" wp14:anchorId="1D67D9E2" wp14:editId="7D7EB407">
            <wp:extent cx="5636052" cy="6395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6052" cy="6395720"/>
                    </a:xfrm>
                    <a:prstGeom prst="rect">
                      <a:avLst/>
                    </a:prstGeom>
                    <a:noFill/>
                    <a:ln>
                      <a:noFill/>
                    </a:ln>
                  </pic:spPr>
                </pic:pic>
              </a:graphicData>
            </a:graphic>
          </wp:inline>
        </w:drawing>
      </w:r>
    </w:p>
    <w:p w14:paraId="56B13F23" w14:textId="77777777" w:rsidR="00C31EFB" w:rsidRDefault="00C31EFB" w:rsidP="00F305BD">
      <w:pPr>
        <w:autoSpaceDE w:val="0"/>
        <w:autoSpaceDN w:val="0"/>
        <w:adjustRightInd w:val="0"/>
        <w:rPr>
          <w:rFonts w:cs="Arial"/>
          <w:b/>
          <w:bCs/>
          <w:color w:val="FF0000"/>
          <w:sz w:val="22"/>
          <w:szCs w:val="22"/>
          <w:lang w:eastAsia="ja-JP"/>
        </w:rPr>
      </w:pPr>
    </w:p>
    <w:p w14:paraId="14945E9C" w14:textId="04947D54" w:rsidR="000B1F68" w:rsidRPr="00221294" w:rsidRDefault="00221294" w:rsidP="00244E29">
      <w:pPr>
        <w:rPr>
          <w:sz w:val="22"/>
          <w:szCs w:val="22"/>
          <w:lang w:val="en-US"/>
        </w:rPr>
      </w:pPr>
      <w:r w:rsidRPr="00221294">
        <w:rPr>
          <w:rFonts w:cs="Arial"/>
          <w:b/>
          <w:bCs/>
          <w:sz w:val="22"/>
          <w:szCs w:val="22"/>
          <w:lang w:eastAsia="ja-JP"/>
        </w:rPr>
        <w:t>3.4</w:t>
      </w:r>
      <w:r w:rsidR="00F305BD" w:rsidRPr="00221294">
        <w:rPr>
          <w:rFonts w:cs="Arial"/>
          <w:b/>
          <w:bCs/>
          <w:sz w:val="22"/>
          <w:szCs w:val="22"/>
          <w:lang w:eastAsia="ja-JP"/>
        </w:rPr>
        <w:t>.14 Baseline demographics</w:t>
      </w:r>
      <w:r w:rsidR="00B15B8F" w:rsidRPr="00221294">
        <w:rPr>
          <w:rFonts w:cs="Arial"/>
          <w:b/>
          <w:bCs/>
          <w:sz w:val="22"/>
          <w:szCs w:val="22"/>
          <w:lang w:eastAsia="ja-JP"/>
        </w:rPr>
        <w:t xml:space="preserve"> and characteristics</w:t>
      </w:r>
      <w:r w:rsidRPr="00221294">
        <w:rPr>
          <w:rFonts w:cs="Arial"/>
          <w:b/>
          <w:bCs/>
          <w:sz w:val="22"/>
          <w:szCs w:val="22"/>
          <w:lang w:eastAsia="ja-JP"/>
        </w:rPr>
        <w:t xml:space="preserve">: </w:t>
      </w:r>
      <w:r w:rsidR="000B1F68" w:rsidRPr="00221294">
        <w:rPr>
          <w:sz w:val="22"/>
          <w:szCs w:val="22"/>
          <w:lang w:val="en-US"/>
        </w:rPr>
        <w:t xml:space="preserve">Baseline characteristics and demographics </w:t>
      </w:r>
      <w:r w:rsidR="00087858">
        <w:rPr>
          <w:sz w:val="22"/>
          <w:szCs w:val="22"/>
          <w:lang w:val="en-US"/>
        </w:rPr>
        <w:t xml:space="preserve">in the ITT population </w:t>
      </w:r>
      <w:r w:rsidR="000B1F68" w:rsidRPr="00221294">
        <w:rPr>
          <w:sz w:val="22"/>
          <w:szCs w:val="22"/>
          <w:lang w:val="en-US"/>
        </w:rPr>
        <w:t>were balanced with no sign</w:t>
      </w:r>
      <w:r w:rsidR="00B15B8F" w:rsidRPr="00221294">
        <w:rPr>
          <w:sz w:val="22"/>
          <w:szCs w:val="22"/>
          <w:lang w:val="en-US"/>
        </w:rPr>
        <w:t xml:space="preserve">ificant differences between </w:t>
      </w:r>
      <w:r w:rsidR="000B1F68" w:rsidRPr="00221294">
        <w:rPr>
          <w:sz w:val="22"/>
          <w:szCs w:val="22"/>
          <w:lang w:val="en-US"/>
        </w:rPr>
        <w:t xml:space="preserve">treatment </w:t>
      </w:r>
      <w:r w:rsidR="000B1F68" w:rsidRPr="00D15D91">
        <w:rPr>
          <w:sz w:val="22"/>
          <w:szCs w:val="22"/>
          <w:lang w:val="en-US"/>
        </w:rPr>
        <w:t>groups</w:t>
      </w:r>
      <w:r w:rsidR="00087858" w:rsidRPr="00D15D91">
        <w:rPr>
          <w:sz w:val="22"/>
          <w:szCs w:val="22"/>
          <w:lang w:val="en-US"/>
        </w:rPr>
        <w:t xml:space="preserve"> (</w:t>
      </w:r>
      <w:r w:rsidR="00087858" w:rsidRPr="00706950">
        <w:rPr>
          <w:sz w:val="22"/>
          <w:szCs w:val="22"/>
          <w:lang w:val="en-US"/>
        </w:rPr>
        <w:t xml:space="preserve">see </w:t>
      </w:r>
      <w:r w:rsidR="00244E29">
        <w:rPr>
          <w:sz w:val="22"/>
          <w:szCs w:val="22"/>
          <w:lang w:val="en-US"/>
        </w:rPr>
        <w:t>Table 19).</w:t>
      </w:r>
    </w:p>
    <w:p w14:paraId="41E6C8A7" w14:textId="77777777" w:rsidR="000C450C" w:rsidRDefault="000C450C" w:rsidP="000C450C">
      <w:pPr>
        <w:rPr>
          <w:lang w:val="en-US"/>
        </w:rPr>
      </w:pPr>
      <w:bookmarkStart w:id="106" w:name="_Ref281751886"/>
      <w:bookmarkStart w:id="107" w:name="_Toc396058442"/>
    </w:p>
    <w:p w14:paraId="6C6E602D" w14:textId="77777777" w:rsidR="00706950" w:rsidRDefault="00706950" w:rsidP="000C450C">
      <w:pPr>
        <w:rPr>
          <w:rFonts w:cs="Arial"/>
          <w:b/>
          <w:sz w:val="22"/>
          <w:szCs w:val="22"/>
        </w:rPr>
      </w:pPr>
      <w:bookmarkStart w:id="108" w:name="_Ref281819626"/>
    </w:p>
    <w:p w14:paraId="616C9688" w14:textId="77777777" w:rsidR="00706950" w:rsidRDefault="00706950" w:rsidP="000C450C">
      <w:pPr>
        <w:rPr>
          <w:rFonts w:cs="Arial"/>
          <w:b/>
          <w:sz w:val="22"/>
          <w:szCs w:val="22"/>
        </w:rPr>
      </w:pPr>
    </w:p>
    <w:p w14:paraId="1DD7C6BC" w14:textId="77777777" w:rsidR="00706950" w:rsidRDefault="00706950" w:rsidP="000C450C">
      <w:pPr>
        <w:rPr>
          <w:rFonts w:cs="Arial"/>
          <w:b/>
          <w:sz w:val="22"/>
          <w:szCs w:val="22"/>
        </w:rPr>
      </w:pPr>
    </w:p>
    <w:p w14:paraId="187D9F1A" w14:textId="77777777" w:rsidR="00C970E2" w:rsidRDefault="00C970E2">
      <w:pPr>
        <w:ind w:left="357" w:hanging="357"/>
        <w:jc w:val="both"/>
        <w:rPr>
          <w:rFonts w:cs="Arial"/>
          <w:b/>
          <w:sz w:val="22"/>
          <w:szCs w:val="22"/>
        </w:rPr>
      </w:pPr>
      <w:r>
        <w:rPr>
          <w:rFonts w:cs="Arial"/>
          <w:b/>
          <w:sz w:val="22"/>
          <w:szCs w:val="22"/>
        </w:rPr>
        <w:br w:type="page"/>
      </w:r>
    </w:p>
    <w:p w14:paraId="24AAE542" w14:textId="6443CF89" w:rsidR="000B1F68" w:rsidRPr="00EF4135" w:rsidRDefault="00087858" w:rsidP="000C450C">
      <w:pPr>
        <w:rPr>
          <w:b/>
          <w:lang w:val="en-US"/>
        </w:rPr>
      </w:pPr>
      <w:r w:rsidRPr="00EF4135">
        <w:rPr>
          <w:rFonts w:cs="Arial"/>
          <w:b/>
          <w:sz w:val="22"/>
          <w:szCs w:val="22"/>
        </w:rPr>
        <w:lastRenderedPageBreak/>
        <w:t xml:space="preserve">Table </w:t>
      </w:r>
      <w:r w:rsidRPr="00EF4135">
        <w:rPr>
          <w:rFonts w:cs="Arial"/>
          <w:b/>
          <w:sz w:val="22"/>
          <w:szCs w:val="22"/>
        </w:rPr>
        <w:fldChar w:fldCharType="begin"/>
      </w:r>
      <w:r w:rsidRPr="00EF4135">
        <w:rPr>
          <w:rFonts w:cs="Arial"/>
          <w:b/>
          <w:sz w:val="22"/>
          <w:szCs w:val="22"/>
        </w:rPr>
        <w:instrText xml:space="preserve"> SEQ Table \* ARABIC </w:instrText>
      </w:r>
      <w:r w:rsidRPr="00EF4135">
        <w:rPr>
          <w:rFonts w:cs="Arial"/>
          <w:b/>
          <w:sz w:val="22"/>
          <w:szCs w:val="22"/>
        </w:rPr>
        <w:fldChar w:fldCharType="separate"/>
      </w:r>
      <w:r w:rsidR="00151A1C">
        <w:rPr>
          <w:rFonts w:cs="Arial"/>
          <w:b/>
          <w:noProof/>
          <w:sz w:val="22"/>
          <w:szCs w:val="22"/>
        </w:rPr>
        <w:t>19</w:t>
      </w:r>
      <w:r w:rsidRPr="00EF4135">
        <w:rPr>
          <w:rFonts w:cs="Arial"/>
          <w:b/>
          <w:sz w:val="22"/>
          <w:szCs w:val="22"/>
        </w:rPr>
        <w:fldChar w:fldCharType="end"/>
      </w:r>
      <w:bookmarkEnd w:id="106"/>
      <w:bookmarkEnd w:id="108"/>
      <w:r w:rsidR="000B1F68" w:rsidRPr="00EF4135">
        <w:rPr>
          <w:rFonts w:cs="Arial"/>
          <w:b/>
          <w:sz w:val="22"/>
          <w:szCs w:val="22"/>
          <w:lang w:val="en-US"/>
        </w:rPr>
        <w:t>: Demographics and baseline characteristics in ESTABLISH-2 (ITT population)</w:t>
      </w:r>
      <w:bookmarkEnd w:id="107"/>
    </w:p>
    <w:tbl>
      <w:tblPr>
        <w:tblStyle w:val="Table-HERONplain"/>
        <w:tblW w:w="5000" w:type="pct"/>
        <w:tblInd w:w="0" w:type="dxa"/>
        <w:tblLook w:val="04A0" w:firstRow="1" w:lastRow="0" w:firstColumn="1" w:lastColumn="0" w:noHBand="0" w:noVBand="1"/>
      </w:tblPr>
      <w:tblGrid>
        <w:gridCol w:w="2018"/>
        <w:gridCol w:w="2333"/>
        <w:gridCol w:w="2333"/>
        <w:gridCol w:w="2332"/>
      </w:tblGrid>
      <w:tr w:rsidR="000B1F68" w:rsidRPr="00221294" w14:paraId="31BC6C23" w14:textId="77777777" w:rsidTr="007069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4B29CC0C"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Characteristic</w:t>
            </w:r>
          </w:p>
        </w:tc>
        <w:tc>
          <w:tcPr>
            <w:tcW w:w="1294" w:type="pct"/>
            <w:shd w:val="clear" w:color="auto" w:fill="auto"/>
          </w:tcPr>
          <w:p w14:paraId="1D85D59B"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Tedizolid phosphate (N=332)</w:t>
            </w:r>
          </w:p>
          <w:p w14:paraId="32606EB4"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p>
        </w:tc>
        <w:tc>
          <w:tcPr>
            <w:tcW w:w="1294" w:type="pct"/>
            <w:shd w:val="clear" w:color="auto" w:fill="auto"/>
          </w:tcPr>
          <w:p w14:paraId="3883CF99"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Linezolid</w:t>
            </w:r>
          </w:p>
          <w:p w14:paraId="33C0031D"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(N=334)</w:t>
            </w:r>
          </w:p>
          <w:p w14:paraId="684443E7"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p>
        </w:tc>
        <w:tc>
          <w:tcPr>
            <w:tcW w:w="1293" w:type="pct"/>
            <w:shd w:val="clear" w:color="auto" w:fill="auto"/>
          </w:tcPr>
          <w:p w14:paraId="1DEDE2FD"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Total</w:t>
            </w:r>
          </w:p>
          <w:p w14:paraId="4A29D73B"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(N=666)</w:t>
            </w:r>
          </w:p>
          <w:p w14:paraId="4232CBAC" w14:textId="77777777" w:rsidR="000B1F68" w:rsidRPr="00221294"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p>
        </w:tc>
      </w:tr>
      <w:tr w:rsidR="000B1F68" w:rsidRPr="00221294" w14:paraId="5C116758"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248D4EB6"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Sex, n (%)</w:t>
            </w:r>
          </w:p>
        </w:tc>
      </w:tr>
      <w:tr w:rsidR="000B1F68" w:rsidRPr="00221294" w14:paraId="27C71E11"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22B682E5"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Female</w:t>
            </w:r>
          </w:p>
        </w:tc>
        <w:tc>
          <w:tcPr>
            <w:tcW w:w="1294" w:type="pct"/>
            <w:hideMark/>
          </w:tcPr>
          <w:p w14:paraId="4EC8628F"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107 (32.2)</w:t>
            </w:r>
          </w:p>
        </w:tc>
        <w:tc>
          <w:tcPr>
            <w:tcW w:w="1294" w:type="pct"/>
            <w:hideMark/>
          </w:tcPr>
          <w:p w14:paraId="7879D9D8"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120 (35.9)</w:t>
            </w:r>
          </w:p>
        </w:tc>
        <w:tc>
          <w:tcPr>
            <w:tcW w:w="1293" w:type="pct"/>
            <w:hideMark/>
          </w:tcPr>
          <w:p w14:paraId="75A721C3"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227 (34.1)</w:t>
            </w:r>
          </w:p>
        </w:tc>
      </w:tr>
      <w:tr w:rsidR="000B1F68" w:rsidRPr="00221294" w14:paraId="09C04680"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1CD93F21"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Male</w:t>
            </w:r>
          </w:p>
        </w:tc>
        <w:tc>
          <w:tcPr>
            <w:tcW w:w="1294" w:type="pct"/>
            <w:hideMark/>
          </w:tcPr>
          <w:p w14:paraId="55579D5E"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225 (67.8)</w:t>
            </w:r>
          </w:p>
        </w:tc>
        <w:tc>
          <w:tcPr>
            <w:tcW w:w="1294" w:type="pct"/>
            <w:hideMark/>
          </w:tcPr>
          <w:p w14:paraId="1D3D0AD3"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214 (64.1)</w:t>
            </w:r>
          </w:p>
        </w:tc>
        <w:tc>
          <w:tcPr>
            <w:tcW w:w="1293" w:type="pct"/>
            <w:hideMark/>
          </w:tcPr>
          <w:p w14:paraId="49D4F4CD"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439 (65.9)</w:t>
            </w:r>
          </w:p>
        </w:tc>
      </w:tr>
      <w:tr w:rsidR="000B1F68" w:rsidRPr="00221294" w14:paraId="06F19A13"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top"/>
            <w:hideMark/>
          </w:tcPr>
          <w:p w14:paraId="305D50CD"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Age, years</w:t>
            </w:r>
          </w:p>
        </w:tc>
      </w:tr>
      <w:tr w:rsidR="000B1F68" w:rsidRPr="00221294" w14:paraId="32FA831F"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vAlign w:val="top"/>
            <w:hideMark/>
          </w:tcPr>
          <w:p w14:paraId="7DB076F5"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Mean</w:t>
            </w:r>
          </w:p>
        </w:tc>
        <w:tc>
          <w:tcPr>
            <w:tcW w:w="1294" w:type="pct"/>
            <w:hideMark/>
          </w:tcPr>
          <w:p w14:paraId="75D08DB6"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45.6</w:t>
            </w:r>
          </w:p>
        </w:tc>
        <w:tc>
          <w:tcPr>
            <w:tcW w:w="1294" w:type="pct"/>
            <w:hideMark/>
          </w:tcPr>
          <w:p w14:paraId="5CD970EF"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45.6</w:t>
            </w:r>
          </w:p>
        </w:tc>
        <w:tc>
          <w:tcPr>
            <w:tcW w:w="1293" w:type="pct"/>
            <w:hideMark/>
          </w:tcPr>
          <w:p w14:paraId="1CCE575E"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45.6</w:t>
            </w:r>
          </w:p>
        </w:tc>
      </w:tr>
      <w:tr w:rsidR="000B1F68" w:rsidRPr="00221294" w14:paraId="1064FC0E"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4F850B29"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SD</w:t>
            </w:r>
          </w:p>
        </w:tc>
        <w:tc>
          <w:tcPr>
            <w:tcW w:w="1294" w:type="pct"/>
            <w:hideMark/>
          </w:tcPr>
          <w:p w14:paraId="3E0A0800"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15.79</w:t>
            </w:r>
          </w:p>
        </w:tc>
        <w:tc>
          <w:tcPr>
            <w:tcW w:w="1294" w:type="pct"/>
            <w:hideMark/>
          </w:tcPr>
          <w:p w14:paraId="21E1B541"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15.57</w:t>
            </w:r>
          </w:p>
        </w:tc>
        <w:tc>
          <w:tcPr>
            <w:tcW w:w="1293" w:type="pct"/>
            <w:hideMark/>
          </w:tcPr>
          <w:p w14:paraId="6AF33C80"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15.67</w:t>
            </w:r>
          </w:p>
        </w:tc>
      </w:tr>
      <w:tr w:rsidR="000B1F68" w:rsidRPr="00221294" w14:paraId="6B1DC954"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0D265AD0"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Median</w:t>
            </w:r>
          </w:p>
        </w:tc>
        <w:tc>
          <w:tcPr>
            <w:tcW w:w="1294" w:type="pct"/>
            <w:hideMark/>
          </w:tcPr>
          <w:p w14:paraId="13769A1C"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46.0</w:t>
            </w:r>
          </w:p>
        </w:tc>
        <w:tc>
          <w:tcPr>
            <w:tcW w:w="1294" w:type="pct"/>
            <w:hideMark/>
          </w:tcPr>
          <w:p w14:paraId="4802CEA8"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46.0</w:t>
            </w:r>
          </w:p>
        </w:tc>
        <w:tc>
          <w:tcPr>
            <w:tcW w:w="1293" w:type="pct"/>
            <w:hideMark/>
          </w:tcPr>
          <w:p w14:paraId="2EBEDC7F"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46.0</w:t>
            </w:r>
          </w:p>
        </w:tc>
      </w:tr>
      <w:tr w:rsidR="000B1F68" w:rsidRPr="00221294" w14:paraId="4AA57324"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70C18982"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Min, max</w:t>
            </w:r>
          </w:p>
        </w:tc>
        <w:tc>
          <w:tcPr>
            <w:tcW w:w="1294" w:type="pct"/>
            <w:hideMark/>
          </w:tcPr>
          <w:p w14:paraId="4BC532F1"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17, 86</w:t>
            </w:r>
          </w:p>
        </w:tc>
        <w:tc>
          <w:tcPr>
            <w:tcW w:w="1294" w:type="pct"/>
            <w:hideMark/>
          </w:tcPr>
          <w:p w14:paraId="674024FC"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15, 89</w:t>
            </w:r>
          </w:p>
        </w:tc>
        <w:tc>
          <w:tcPr>
            <w:tcW w:w="1293" w:type="pct"/>
            <w:hideMark/>
          </w:tcPr>
          <w:p w14:paraId="22D7C4CB"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15, 89</w:t>
            </w:r>
          </w:p>
        </w:tc>
      </w:tr>
      <w:tr w:rsidR="000B1F68" w:rsidRPr="00221294" w14:paraId="35C72F0D"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483F0C49"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Age group, n (%)</w:t>
            </w:r>
          </w:p>
        </w:tc>
      </w:tr>
      <w:tr w:rsidR="000B1F68" w:rsidRPr="00221294" w14:paraId="23C45953"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3564DA18"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&lt;65 years</w:t>
            </w:r>
          </w:p>
        </w:tc>
        <w:tc>
          <w:tcPr>
            <w:tcW w:w="1294" w:type="pct"/>
            <w:hideMark/>
          </w:tcPr>
          <w:p w14:paraId="790F926C"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289 (87.0)</w:t>
            </w:r>
          </w:p>
        </w:tc>
        <w:tc>
          <w:tcPr>
            <w:tcW w:w="1294" w:type="pct"/>
            <w:hideMark/>
          </w:tcPr>
          <w:p w14:paraId="657132EA"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301 (90.1)</w:t>
            </w:r>
          </w:p>
        </w:tc>
        <w:tc>
          <w:tcPr>
            <w:tcW w:w="1293" w:type="pct"/>
            <w:hideMark/>
          </w:tcPr>
          <w:p w14:paraId="42BB3A9C"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590 (88.6)</w:t>
            </w:r>
          </w:p>
        </w:tc>
      </w:tr>
      <w:tr w:rsidR="000B1F68" w:rsidRPr="00221294" w14:paraId="429FAF49"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3EA39926"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≥65 to ≤75 years</w:t>
            </w:r>
          </w:p>
        </w:tc>
        <w:tc>
          <w:tcPr>
            <w:tcW w:w="1294" w:type="pct"/>
            <w:hideMark/>
          </w:tcPr>
          <w:p w14:paraId="25371209"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32 (9.6)</w:t>
            </w:r>
          </w:p>
        </w:tc>
        <w:tc>
          <w:tcPr>
            <w:tcW w:w="1294" w:type="pct"/>
            <w:hideMark/>
          </w:tcPr>
          <w:p w14:paraId="4CBBA4D5"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19 (5.7)</w:t>
            </w:r>
          </w:p>
        </w:tc>
        <w:tc>
          <w:tcPr>
            <w:tcW w:w="1293" w:type="pct"/>
            <w:hideMark/>
          </w:tcPr>
          <w:p w14:paraId="55AF56BF"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51 (7.7)</w:t>
            </w:r>
          </w:p>
        </w:tc>
      </w:tr>
      <w:tr w:rsidR="000B1F68" w:rsidRPr="00221294" w14:paraId="224DF1EB"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03144B74"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&gt;75 years</w:t>
            </w:r>
          </w:p>
        </w:tc>
        <w:tc>
          <w:tcPr>
            <w:tcW w:w="1294" w:type="pct"/>
            <w:hideMark/>
          </w:tcPr>
          <w:p w14:paraId="3C9F6301"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11 (3.3)</w:t>
            </w:r>
          </w:p>
        </w:tc>
        <w:tc>
          <w:tcPr>
            <w:tcW w:w="1294" w:type="pct"/>
            <w:hideMark/>
          </w:tcPr>
          <w:p w14:paraId="49A5EA3E"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14 (4.2)</w:t>
            </w:r>
          </w:p>
        </w:tc>
        <w:tc>
          <w:tcPr>
            <w:tcW w:w="1293" w:type="pct"/>
            <w:hideMark/>
          </w:tcPr>
          <w:p w14:paraId="7D1824EF"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25 (3.8)</w:t>
            </w:r>
          </w:p>
        </w:tc>
      </w:tr>
      <w:tr w:rsidR="000B1F68" w:rsidRPr="00221294" w14:paraId="619E8F6F"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2346790C"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 xml:space="preserve">Ethnicity, n (%) </w:t>
            </w:r>
          </w:p>
        </w:tc>
      </w:tr>
      <w:tr w:rsidR="000B1F68" w:rsidRPr="00221294" w14:paraId="401E0F0F" w14:textId="77777777" w:rsidTr="0070695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1AF17982"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Hispanic or Latino</w:t>
            </w:r>
          </w:p>
        </w:tc>
        <w:tc>
          <w:tcPr>
            <w:tcW w:w="1294" w:type="pct"/>
            <w:hideMark/>
          </w:tcPr>
          <w:p w14:paraId="3CCF1E15"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67 (20.2)</w:t>
            </w:r>
          </w:p>
        </w:tc>
        <w:tc>
          <w:tcPr>
            <w:tcW w:w="1294" w:type="pct"/>
            <w:hideMark/>
          </w:tcPr>
          <w:p w14:paraId="70C1EBC2"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63 (18.9)</w:t>
            </w:r>
          </w:p>
        </w:tc>
        <w:tc>
          <w:tcPr>
            <w:tcW w:w="1293" w:type="pct"/>
            <w:hideMark/>
          </w:tcPr>
          <w:p w14:paraId="5A7E7367"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130 (19.5)</w:t>
            </w:r>
          </w:p>
        </w:tc>
      </w:tr>
      <w:tr w:rsidR="000B1F68" w:rsidRPr="00221294" w14:paraId="15994B9B"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5C3487B7"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Not Hispanic or Latino</w:t>
            </w:r>
          </w:p>
        </w:tc>
        <w:tc>
          <w:tcPr>
            <w:tcW w:w="1294" w:type="pct"/>
            <w:hideMark/>
          </w:tcPr>
          <w:p w14:paraId="66476C71"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265 (79.8)</w:t>
            </w:r>
          </w:p>
        </w:tc>
        <w:tc>
          <w:tcPr>
            <w:tcW w:w="1294" w:type="pct"/>
            <w:hideMark/>
          </w:tcPr>
          <w:p w14:paraId="5D1819A5"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271 (81.1)</w:t>
            </w:r>
          </w:p>
        </w:tc>
        <w:tc>
          <w:tcPr>
            <w:tcW w:w="1293" w:type="pct"/>
            <w:hideMark/>
          </w:tcPr>
          <w:p w14:paraId="009CACAE"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536 (80.5)</w:t>
            </w:r>
          </w:p>
        </w:tc>
      </w:tr>
      <w:tr w:rsidR="000B1F68" w:rsidRPr="00221294" w14:paraId="65711D8D"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34F63C39"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Race, n (%)</w:t>
            </w:r>
          </w:p>
        </w:tc>
      </w:tr>
      <w:tr w:rsidR="000B1F68" w:rsidRPr="00221294" w14:paraId="02579DF0"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3F878D51"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White</w:t>
            </w:r>
          </w:p>
        </w:tc>
        <w:tc>
          <w:tcPr>
            <w:tcW w:w="1294" w:type="pct"/>
            <w:hideMark/>
          </w:tcPr>
          <w:p w14:paraId="4E452B8D"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285 (85.8)</w:t>
            </w:r>
          </w:p>
        </w:tc>
        <w:tc>
          <w:tcPr>
            <w:tcW w:w="1294" w:type="pct"/>
            <w:hideMark/>
          </w:tcPr>
          <w:p w14:paraId="4EA492DE"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282 (84.4)</w:t>
            </w:r>
          </w:p>
        </w:tc>
        <w:tc>
          <w:tcPr>
            <w:tcW w:w="1293" w:type="pct"/>
            <w:hideMark/>
          </w:tcPr>
          <w:p w14:paraId="1AA335E7"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567 (85.1)</w:t>
            </w:r>
          </w:p>
        </w:tc>
      </w:tr>
      <w:tr w:rsidR="000B1F68" w:rsidRPr="00221294" w14:paraId="498BE489"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7652AA72"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Asian</w:t>
            </w:r>
          </w:p>
        </w:tc>
        <w:tc>
          <w:tcPr>
            <w:tcW w:w="1294" w:type="pct"/>
            <w:hideMark/>
          </w:tcPr>
          <w:p w14:paraId="5C61C256"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 (1.2)</w:t>
            </w:r>
          </w:p>
        </w:tc>
        <w:tc>
          <w:tcPr>
            <w:tcW w:w="1294" w:type="pct"/>
            <w:hideMark/>
          </w:tcPr>
          <w:p w14:paraId="2D6955CE"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7 (2.1)</w:t>
            </w:r>
          </w:p>
        </w:tc>
        <w:tc>
          <w:tcPr>
            <w:tcW w:w="1293" w:type="pct"/>
            <w:hideMark/>
          </w:tcPr>
          <w:p w14:paraId="3D0D7D47"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11 (1.7)</w:t>
            </w:r>
          </w:p>
        </w:tc>
      </w:tr>
      <w:tr w:rsidR="000B1F68" w:rsidRPr="00221294" w14:paraId="2A2C1F9A"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16CB2A26"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Black or African American</w:t>
            </w:r>
          </w:p>
        </w:tc>
        <w:tc>
          <w:tcPr>
            <w:tcW w:w="1294" w:type="pct"/>
            <w:hideMark/>
          </w:tcPr>
          <w:p w14:paraId="0B1CA722"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38 (11.4)</w:t>
            </w:r>
          </w:p>
        </w:tc>
        <w:tc>
          <w:tcPr>
            <w:tcW w:w="1294" w:type="pct"/>
            <w:hideMark/>
          </w:tcPr>
          <w:p w14:paraId="65448716"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37 (11.1)</w:t>
            </w:r>
          </w:p>
        </w:tc>
        <w:tc>
          <w:tcPr>
            <w:tcW w:w="1293" w:type="pct"/>
            <w:hideMark/>
          </w:tcPr>
          <w:p w14:paraId="10FF38A0"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75 (11.3)</w:t>
            </w:r>
          </w:p>
        </w:tc>
      </w:tr>
      <w:tr w:rsidR="000B1F68" w:rsidRPr="00221294" w14:paraId="4782ED1C"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79C529BD"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Native Hawaiian or other Pacific Islander</w:t>
            </w:r>
          </w:p>
        </w:tc>
        <w:tc>
          <w:tcPr>
            <w:tcW w:w="1294" w:type="pct"/>
            <w:hideMark/>
          </w:tcPr>
          <w:p w14:paraId="1BDF2CDA"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 (0.6)</w:t>
            </w:r>
          </w:p>
        </w:tc>
        <w:tc>
          <w:tcPr>
            <w:tcW w:w="1294" w:type="pct"/>
            <w:hideMark/>
          </w:tcPr>
          <w:p w14:paraId="5BC85DF7"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 (0.3)</w:t>
            </w:r>
          </w:p>
        </w:tc>
        <w:tc>
          <w:tcPr>
            <w:tcW w:w="1293" w:type="pct"/>
            <w:hideMark/>
          </w:tcPr>
          <w:p w14:paraId="30C9C478"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 (0.5)</w:t>
            </w:r>
          </w:p>
        </w:tc>
      </w:tr>
      <w:tr w:rsidR="000B1F68" w:rsidRPr="00221294" w14:paraId="7E0C6A21"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04CF29E3"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lastRenderedPageBreak/>
              <w:t>American Indian or Alaskan Native</w:t>
            </w:r>
          </w:p>
        </w:tc>
        <w:tc>
          <w:tcPr>
            <w:tcW w:w="1294" w:type="pct"/>
            <w:hideMark/>
          </w:tcPr>
          <w:p w14:paraId="1A868D5C"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 (0.9)</w:t>
            </w:r>
          </w:p>
        </w:tc>
        <w:tc>
          <w:tcPr>
            <w:tcW w:w="1294" w:type="pct"/>
            <w:hideMark/>
          </w:tcPr>
          <w:p w14:paraId="36E9B620"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4 (1.2)</w:t>
            </w:r>
          </w:p>
        </w:tc>
        <w:tc>
          <w:tcPr>
            <w:tcW w:w="1293" w:type="pct"/>
            <w:hideMark/>
          </w:tcPr>
          <w:p w14:paraId="3EFCA9D7"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7 (1.1)</w:t>
            </w:r>
          </w:p>
        </w:tc>
      </w:tr>
      <w:tr w:rsidR="000B1F68" w:rsidRPr="00221294" w14:paraId="27B96A3F"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3D5069B3"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Other</w:t>
            </w:r>
          </w:p>
        </w:tc>
        <w:tc>
          <w:tcPr>
            <w:tcW w:w="1294" w:type="pct"/>
            <w:hideMark/>
          </w:tcPr>
          <w:p w14:paraId="50F3DFA7"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0</w:t>
            </w:r>
          </w:p>
        </w:tc>
        <w:tc>
          <w:tcPr>
            <w:tcW w:w="1294" w:type="pct"/>
            <w:hideMark/>
          </w:tcPr>
          <w:p w14:paraId="36D7EB86"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 (0.9)</w:t>
            </w:r>
          </w:p>
        </w:tc>
        <w:tc>
          <w:tcPr>
            <w:tcW w:w="1293" w:type="pct"/>
            <w:hideMark/>
          </w:tcPr>
          <w:p w14:paraId="14735610"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3 (0.5)</w:t>
            </w:r>
          </w:p>
        </w:tc>
      </w:tr>
      <w:tr w:rsidR="000B1F68" w:rsidRPr="00221294" w14:paraId="69985E50"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14:paraId="0F2DC2D7"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BMI, kg/m</w:t>
            </w:r>
            <w:r w:rsidRPr="00221294">
              <w:rPr>
                <w:rStyle w:val="BodyText-SuperScript-H14"/>
                <w:rFonts w:ascii="Arial" w:hAnsi="Arial" w:cs="Arial"/>
                <w:sz w:val="20"/>
                <w:lang w:val="en-US" w:eastAsia="en-GB"/>
              </w:rPr>
              <w:t>2</w:t>
            </w:r>
          </w:p>
        </w:tc>
      </w:tr>
      <w:tr w:rsidR="000B1F68" w:rsidRPr="00221294" w14:paraId="7B92122B"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15670359"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Mean</w:t>
            </w:r>
          </w:p>
        </w:tc>
        <w:tc>
          <w:tcPr>
            <w:tcW w:w="1294" w:type="pct"/>
            <w:hideMark/>
          </w:tcPr>
          <w:p w14:paraId="2BF83078"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28.6</w:t>
            </w:r>
          </w:p>
        </w:tc>
        <w:tc>
          <w:tcPr>
            <w:tcW w:w="1294" w:type="pct"/>
            <w:hideMark/>
          </w:tcPr>
          <w:p w14:paraId="6B683BD7"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28.7</w:t>
            </w:r>
          </w:p>
        </w:tc>
        <w:tc>
          <w:tcPr>
            <w:tcW w:w="1294" w:type="pct"/>
            <w:hideMark/>
          </w:tcPr>
          <w:p w14:paraId="18CC958D"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28.6</w:t>
            </w:r>
          </w:p>
        </w:tc>
      </w:tr>
      <w:tr w:rsidR="000B1F68" w:rsidRPr="00221294" w14:paraId="64F9D092"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2DCFF48F"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SD</w:t>
            </w:r>
          </w:p>
        </w:tc>
        <w:tc>
          <w:tcPr>
            <w:tcW w:w="1294" w:type="pct"/>
            <w:hideMark/>
          </w:tcPr>
          <w:p w14:paraId="1DE5CC05"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7.89</w:t>
            </w:r>
          </w:p>
        </w:tc>
        <w:tc>
          <w:tcPr>
            <w:tcW w:w="1294" w:type="pct"/>
            <w:hideMark/>
          </w:tcPr>
          <w:p w14:paraId="13D0ACE4"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6.90</w:t>
            </w:r>
          </w:p>
        </w:tc>
        <w:tc>
          <w:tcPr>
            <w:tcW w:w="1294" w:type="pct"/>
            <w:hideMark/>
          </w:tcPr>
          <w:p w14:paraId="47856ED6"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7.41</w:t>
            </w:r>
          </w:p>
        </w:tc>
      </w:tr>
      <w:tr w:rsidR="000B1F68" w:rsidRPr="00221294" w14:paraId="4FF3E42F" w14:textId="77777777" w:rsidTr="0070695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5EC36028"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Median</w:t>
            </w:r>
          </w:p>
        </w:tc>
        <w:tc>
          <w:tcPr>
            <w:tcW w:w="1294" w:type="pct"/>
            <w:hideMark/>
          </w:tcPr>
          <w:p w14:paraId="084CC6AF"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27.0</w:t>
            </w:r>
          </w:p>
        </w:tc>
        <w:tc>
          <w:tcPr>
            <w:tcW w:w="1294" w:type="pct"/>
            <w:hideMark/>
          </w:tcPr>
          <w:p w14:paraId="046EED7C"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27.4</w:t>
            </w:r>
          </w:p>
        </w:tc>
        <w:tc>
          <w:tcPr>
            <w:tcW w:w="1294" w:type="pct"/>
            <w:hideMark/>
          </w:tcPr>
          <w:p w14:paraId="2E997395" w14:textId="77777777" w:rsidR="000B1F68" w:rsidRPr="00221294"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27.1</w:t>
            </w:r>
          </w:p>
        </w:tc>
      </w:tr>
      <w:tr w:rsidR="000B1F68" w:rsidRPr="00221294" w14:paraId="2931538F" w14:textId="77777777" w:rsidTr="00706950">
        <w:trPr>
          <w:trHeight w:val="317"/>
        </w:trPr>
        <w:tc>
          <w:tcPr>
            <w:cnfStyle w:val="001000000000" w:firstRow="0" w:lastRow="0" w:firstColumn="1" w:lastColumn="0" w:oddVBand="0" w:evenVBand="0" w:oddHBand="0" w:evenHBand="0" w:firstRowFirstColumn="0" w:firstRowLastColumn="0" w:lastRowFirstColumn="0" w:lastRowLastColumn="0"/>
            <w:tcW w:w="1119" w:type="pct"/>
            <w:shd w:val="clear" w:color="auto" w:fill="auto"/>
            <w:hideMark/>
          </w:tcPr>
          <w:p w14:paraId="5A85BCBC" w14:textId="77777777" w:rsidR="000B1F68" w:rsidRPr="00221294" w:rsidRDefault="000B1F68" w:rsidP="00100BE6">
            <w:pPr>
              <w:pStyle w:val="TableBodyText-H54"/>
              <w:rPr>
                <w:rFonts w:ascii="Arial" w:hAnsi="Arial" w:cs="Arial"/>
                <w:sz w:val="20"/>
                <w:lang w:val="en-US" w:eastAsia="en-GB"/>
              </w:rPr>
            </w:pPr>
            <w:r w:rsidRPr="00221294">
              <w:rPr>
                <w:rFonts w:ascii="Arial" w:hAnsi="Arial" w:cs="Arial"/>
                <w:sz w:val="20"/>
                <w:lang w:val="en-US" w:eastAsia="en-GB"/>
              </w:rPr>
              <w:t>Min, max</w:t>
            </w:r>
          </w:p>
        </w:tc>
        <w:tc>
          <w:tcPr>
            <w:tcW w:w="1294" w:type="pct"/>
            <w:hideMark/>
          </w:tcPr>
          <w:p w14:paraId="57A65415"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14.23, 69.88</w:t>
            </w:r>
          </w:p>
        </w:tc>
        <w:tc>
          <w:tcPr>
            <w:tcW w:w="1294" w:type="pct"/>
            <w:hideMark/>
          </w:tcPr>
          <w:p w14:paraId="22F49707"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14.75, 56.24</w:t>
            </w:r>
          </w:p>
        </w:tc>
        <w:tc>
          <w:tcPr>
            <w:tcW w:w="1294" w:type="pct"/>
            <w:hideMark/>
          </w:tcPr>
          <w:p w14:paraId="1C52A284" w14:textId="77777777" w:rsidR="000B1F68" w:rsidRPr="00221294"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21294">
              <w:rPr>
                <w:rFonts w:ascii="Arial" w:hAnsi="Arial" w:cs="Arial"/>
                <w:sz w:val="20"/>
                <w:lang w:val="en-US" w:eastAsia="en-GB"/>
              </w:rPr>
              <w:t>14.23, 69.88</w:t>
            </w:r>
          </w:p>
        </w:tc>
      </w:tr>
    </w:tbl>
    <w:p w14:paraId="645F51DD" w14:textId="42A0364F" w:rsidR="000B1F68" w:rsidRPr="00C158E9" w:rsidRDefault="000B1F68" w:rsidP="00C158E9">
      <w:pPr>
        <w:pStyle w:val="TableNote-H58"/>
        <w:spacing w:before="0" w:after="0"/>
        <w:rPr>
          <w:rFonts w:ascii="Arial" w:hAnsi="Arial" w:cs="Arial"/>
          <w:sz w:val="16"/>
          <w:szCs w:val="16"/>
          <w:lang w:val="en-US"/>
        </w:rPr>
      </w:pPr>
      <w:r w:rsidRPr="00C158E9">
        <w:rPr>
          <w:rFonts w:ascii="Arial" w:hAnsi="Arial" w:cs="Arial"/>
          <w:sz w:val="16"/>
          <w:szCs w:val="16"/>
          <w:lang w:val="en-US"/>
        </w:rPr>
        <w:t>SOURCE: 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C158E9">
        <w:rPr>
          <w:rFonts w:ascii="Arial" w:hAnsi="Arial" w:cs="Arial"/>
          <w:sz w:val="16"/>
          <w:szCs w:val="16"/>
          <w:lang w:val="en-US"/>
        </w:rPr>
        <w:t xml:space="preserve">: section 11.2.1 Table 11-3 </w:t>
      </w:r>
    </w:p>
    <w:p w14:paraId="37D47EFA" w14:textId="77777777" w:rsidR="000B1F68" w:rsidRPr="00C158E9" w:rsidRDefault="000B1F68" w:rsidP="00C158E9">
      <w:pPr>
        <w:pStyle w:val="TableNote-H58"/>
        <w:spacing w:before="0" w:after="0"/>
        <w:rPr>
          <w:rFonts w:ascii="Arial" w:hAnsi="Arial" w:cs="Arial"/>
          <w:sz w:val="16"/>
          <w:szCs w:val="16"/>
          <w:lang w:val="en-US"/>
        </w:rPr>
      </w:pPr>
      <w:r w:rsidRPr="00C158E9">
        <w:rPr>
          <w:rFonts w:ascii="Arial" w:hAnsi="Arial" w:cs="Arial"/>
          <w:sz w:val="16"/>
          <w:szCs w:val="16"/>
          <w:lang w:val="en-US"/>
        </w:rPr>
        <w:t xml:space="preserve">BMI: Body mass index; ITT: Intent-to-treat; N: Number of patients in population; n: Number of patients in specific category; SD: Standard deviation </w:t>
      </w:r>
    </w:p>
    <w:p w14:paraId="47E944D7" w14:textId="77777777" w:rsidR="00151731" w:rsidRDefault="000B1F68" w:rsidP="00D47853">
      <w:pPr>
        <w:pStyle w:val="Heading5"/>
        <w:rPr>
          <w:rFonts w:ascii="Arial" w:hAnsi="Arial"/>
          <w:color w:val="auto"/>
          <w:sz w:val="22"/>
          <w:szCs w:val="22"/>
          <w:lang w:val="en-US"/>
        </w:rPr>
      </w:pPr>
      <w:r w:rsidRPr="00AF22CE">
        <w:rPr>
          <w:rFonts w:ascii="Arial" w:hAnsi="Arial"/>
          <w:b/>
          <w:color w:val="auto"/>
          <w:sz w:val="22"/>
          <w:szCs w:val="22"/>
          <w:lang w:val="en-US"/>
        </w:rPr>
        <w:t>Baseline disease characteristics in ESTABLISH-2</w:t>
      </w:r>
      <w:r w:rsidR="00C158E9" w:rsidRPr="00AF22CE">
        <w:rPr>
          <w:rFonts w:ascii="Arial" w:hAnsi="Arial"/>
          <w:b/>
          <w:color w:val="auto"/>
          <w:sz w:val="22"/>
          <w:szCs w:val="22"/>
          <w:lang w:val="en-US"/>
        </w:rPr>
        <w:t xml:space="preserve"> </w:t>
      </w:r>
    </w:p>
    <w:p w14:paraId="2A054747" w14:textId="5B02BC34" w:rsidR="000B1F68" w:rsidRPr="00AF22CE" w:rsidRDefault="000B1F68" w:rsidP="00D47853">
      <w:pPr>
        <w:pStyle w:val="Heading5"/>
        <w:rPr>
          <w:rFonts w:ascii="Arial" w:hAnsi="Arial"/>
          <w:color w:val="auto"/>
          <w:sz w:val="22"/>
          <w:szCs w:val="22"/>
          <w:highlight w:val="yellow"/>
          <w:lang w:val="en-US"/>
        </w:rPr>
      </w:pPr>
      <w:r w:rsidRPr="00AF22CE">
        <w:rPr>
          <w:rFonts w:ascii="Arial" w:eastAsia="TimesNewRoman" w:hAnsi="Arial" w:cs="Arial"/>
          <w:color w:val="auto"/>
          <w:sz w:val="22"/>
          <w:szCs w:val="22"/>
          <w:lang w:val="en-US"/>
        </w:rPr>
        <w:t>The most common ABSSSI relevant medical histories, reported in ≥20% of patients in either the tedizolid phosphate or linezolid treatment group, were patient-reported fever (48.5% vs. 46.1%), recent trauma that resulted in primary infection (44.6% vs. 45.8%), current or recent IV drug use (19.9% vs. 22.2%), and previous ABSSSI (21.4% vs. 18.9%). There were no clinically significant differences between the treatment groups in ABSSSI relevant medical histories.</w:t>
      </w:r>
      <w:r w:rsidR="007523AA" w:rsidRPr="00AF22CE">
        <w:rPr>
          <w:rFonts w:ascii="Arial" w:hAnsi="Arial"/>
          <w:color w:val="auto"/>
          <w:sz w:val="22"/>
          <w:szCs w:val="22"/>
          <w:highlight w:val="yellow"/>
          <w:lang w:val="en-US"/>
        </w:rPr>
        <w:t xml:space="preserve"> </w:t>
      </w:r>
    </w:p>
    <w:p w14:paraId="5175F06D" w14:textId="77777777" w:rsidR="00350BE0" w:rsidRPr="00D93645" w:rsidRDefault="00350BE0" w:rsidP="000B1F68">
      <w:pPr>
        <w:pStyle w:val="BodyText"/>
        <w:rPr>
          <w:rFonts w:eastAsia="TimesNewRoman" w:cs="Arial"/>
          <w:sz w:val="22"/>
          <w:szCs w:val="22"/>
          <w:lang w:val="en-US"/>
        </w:rPr>
      </w:pPr>
    </w:p>
    <w:p w14:paraId="278C4B55" w14:textId="03170ED1" w:rsidR="000B1F68" w:rsidRPr="00D93645" w:rsidRDefault="000B1F68" w:rsidP="000B1F68">
      <w:pPr>
        <w:pStyle w:val="BodyText"/>
        <w:rPr>
          <w:rFonts w:eastAsia="TimesNewRoman" w:cs="Arial"/>
          <w:sz w:val="22"/>
          <w:szCs w:val="22"/>
          <w:lang w:val="en-US"/>
        </w:rPr>
      </w:pPr>
      <w:r w:rsidRPr="00D93645">
        <w:rPr>
          <w:rFonts w:eastAsia="TimesNewRoman" w:cs="Arial"/>
          <w:sz w:val="22"/>
          <w:szCs w:val="22"/>
          <w:lang w:val="en-US"/>
        </w:rPr>
        <w:t>Summary data related to ABSSSI relevant medical history at baseline in ESTABLISH-2 trial are presented in</w:t>
      </w:r>
      <w:r w:rsidR="00AC07D9" w:rsidRPr="00AC07D9">
        <w:rPr>
          <w:rFonts w:cs="Arial"/>
          <w:sz w:val="22"/>
          <w:szCs w:val="22"/>
          <w:lang w:val="en-US"/>
        </w:rPr>
        <w:t xml:space="preserve"> </w:t>
      </w:r>
      <w:r w:rsidR="00C65748">
        <w:rPr>
          <w:rFonts w:cs="Arial"/>
          <w:sz w:val="22"/>
          <w:szCs w:val="22"/>
          <w:lang w:val="en-US"/>
        </w:rPr>
        <w:fldChar w:fldCharType="begin"/>
      </w:r>
      <w:r w:rsidR="00C65748">
        <w:rPr>
          <w:rFonts w:cs="Arial"/>
          <w:sz w:val="22"/>
          <w:szCs w:val="22"/>
          <w:lang w:val="en-US"/>
        </w:rPr>
        <w:instrText xml:space="preserve"> REF _Ref381693012 \h </w:instrText>
      </w:r>
      <w:r w:rsidR="00C65748">
        <w:rPr>
          <w:rFonts w:cs="Arial"/>
          <w:sz w:val="22"/>
          <w:szCs w:val="22"/>
          <w:lang w:val="en-US"/>
        </w:rPr>
      </w:r>
      <w:r w:rsidR="00C65748">
        <w:rPr>
          <w:rFonts w:cs="Arial"/>
          <w:sz w:val="22"/>
          <w:szCs w:val="22"/>
          <w:lang w:val="en-US"/>
        </w:rPr>
        <w:fldChar w:fldCharType="separate"/>
      </w:r>
      <w:r w:rsidR="00151A1C" w:rsidRPr="00D93645">
        <w:rPr>
          <w:rFonts w:cs="Arial"/>
          <w:sz w:val="22"/>
          <w:szCs w:val="22"/>
          <w:lang w:val="en-US"/>
        </w:rPr>
        <w:t xml:space="preserve">Table </w:t>
      </w:r>
      <w:r w:rsidR="00151A1C">
        <w:rPr>
          <w:rFonts w:cs="Arial"/>
          <w:noProof/>
          <w:sz w:val="22"/>
          <w:szCs w:val="22"/>
          <w:lang w:val="en-US"/>
        </w:rPr>
        <w:t>20</w:t>
      </w:r>
      <w:r w:rsidR="00C65748">
        <w:rPr>
          <w:rFonts w:cs="Arial"/>
          <w:sz w:val="22"/>
          <w:szCs w:val="22"/>
          <w:lang w:val="en-US"/>
        </w:rPr>
        <w:fldChar w:fldCharType="end"/>
      </w:r>
      <w:r w:rsidR="00C65748">
        <w:rPr>
          <w:rFonts w:cs="Arial"/>
          <w:sz w:val="22"/>
          <w:szCs w:val="22"/>
          <w:lang w:val="en-US"/>
        </w:rPr>
        <w:t>.</w:t>
      </w:r>
    </w:p>
    <w:p w14:paraId="4C32BBDE" w14:textId="77777777" w:rsidR="000B1F68" w:rsidRPr="00D93645" w:rsidRDefault="000B1F68" w:rsidP="000B1F68">
      <w:pPr>
        <w:pStyle w:val="Caption"/>
        <w:rPr>
          <w:rFonts w:ascii="Arial" w:hAnsi="Arial" w:cs="Arial"/>
          <w:sz w:val="22"/>
          <w:szCs w:val="22"/>
          <w:lang w:val="en-US"/>
        </w:rPr>
      </w:pPr>
      <w:bookmarkStart w:id="109" w:name="_Ref381693012"/>
      <w:bookmarkStart w:id="110" w:name="_Toc396058443"/>
      <w:r w:rsidRPr="00D93645">
        <w:rPr>
          <w:rFonts w:ascii="Arial" w:hAnsi="Arial" w:cs="Arial"/>
          <w:sz w:val="22"/>
          <w:szCs w:val="22"/>
          <w:lang w:val="en-US"/>
        </w:rPr>
        <w:lastRenderedPageBreak/>
        <w:t xml:space="preserve">Table </w:t>
      </w:r>
      <w:r w:rsidRPr="00D93645">
        <w:rPr>
          <w:rFonts w:ascii="Arial" w:hAnsi="Arial" w:cs="Arial"/>
          <w:sz w:val="22"/>
          <w:szCs w:val="22"/>
          <w:lang w:val="en-US"/>
        </w:rPr>
        <w:fldChar w:fldCharType="begin"/>
      </w:r>
      <w:r w:rsidRPr="00D93645">
        <w:rPr>
          <w:rFonts w:ascii="Arial" w:hAnsi="Arial" w:cs="Arial"/>
          <w:sz w:val="22"/>
          <w:szCs w:val="22"/>
          <w:lang w:val="en-US"/>
        </w:rPr>
        <w:instrText xml:space="preserve"> SEQ Table \* ARABIC </w:instrText>
      </w:r>
      <w:r w:rsidRPr="00D93645">
        <w:rPr>
          <w:rFonts w:ascii="Arial" w:hAnsi="Arial" w:cs="Arial"/>
          <w:sz w:val="22"/>
          <w:szCs w:val="22"/>
          <w:lang w:val="en-US"/>
        </w:rPr>
        <w:fldChar w:fldCharType="separate"/>
      </w:r>
      <w:r w:rsidR="00151A1C">
        <w:rPr>
          <w:rFonts w:ascii="Arial" w:hAnsi="Arial" w:cs="Arial"/>
          <w:noProof/>
          <w:sz w:val="22"/>
          <w:szCs w:val="22"/>
          <w:lang w:val="en-US"/>
        </w:rPr>
        <w:t>20</w:t>
      </w:r>
      <w:r w:rsidRPr="00D93645">
        <w:rPr>
          <w:rFonts w:ascii="Arial" w:hAnsi="Arial" w:cs="Arial"/>
          <w:sz w:val="22"/>
          <w:szCs w:val="22"/>
          <w:lang w:val="en-US"/>
        </w:rPr>
        <w:fldChar w:fldCharType="end"/>
      </w:r>
      <w:bookmarkEnd w:id="109"/>
      <w:r w:rsidRPr="00D93645">
        <w:rPr>
          <w:rFonts w:ascii="Arial" w:hAnsi="Arial" w:cs="Arial"/>
          <w:sz w:val="22"/>
          <w:szCs w:val="22"/>
          <w:lang w:val="en-US"/>
        </w:rPr>
        <w:t>: Baseline ABSSSI relevant medical history in ESTABLISH-2 (ITT population)</w:t>
      </w:r>
      <w:bookmarkEnd w:id="110"/>
    </w:p>
    <w:tbl>
      <w:tblPr>
        <w:tblStyle w:val="Table-HERONplain"/>
        <w:tblW w:w="0" w:type="auto"/>
        <w:tblLook w:val="04A0" w:firstRow="1" w:lastRow="0" w:firstColumn="1" w:lastColumn="0" w:noHBand="0" w:noVBand="1"/>
      </w:tblPr>
      <w:tblGrid>
        <w:gridCol w:w="5390"/>
        <w:gridCol w:w="1252"/>
        <w:gridCol w:w="1161"/>
        <w:gridCol w:w="1100"/>
      </w:tblGrid>
      <w:tr w:rsidR="000B1F68" w:rsidRPr="00D95C15" w14:paraId="75EF7307" w14:textId="77777777" w:rsidTr="00706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515E1222"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Characteristic</w:t>
            </w:r>
          </w:p>
        </w:tc>
        <w:tc>
          <w:tcPr>
            <w:tcW w:w="1253" w:type="dxa"/>
            <w:shd w:val="clear" w:color="auto" w:fill="auto"/>
            <w:hideMark/>
          </w:tcPr>
          <w:p w14:paraId="20EA7E11" w14:textId="77777777" w:rsidR="000B1F68" w:rsidRPr="00D9364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Tedizolid phosphate (N=332)</w:t>
            </w:r>
          </w:p>
          <w:p w14:paraId="5EF3123D" w14:textId="77777777" w:rsidR="000B1F68" w:rsidRPr="00D9364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n (%)</w:t>
            </w:r>
          </w:p>
        </w:tc>
        <w:tc>
          <w:tcPr>
            <w:tcW w:w="1165" w:type="dxa"/>
            <w:shd w:val="clear" w:color="auto" w:fill="auto"/>
            <w:hideMark/>
          </w:tcPr>
          <w:p w14:paraId="2E0F939D" w14:textId="77777777" w:rsidR="000B1F68" w:rsidRPr="00D9364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Linezolid (N=334)</w:t>
            </w:r>
          </w:p>
          <w:p w14:paraId="269EC5A1" w14:textId="77777777" w:rsidR="000B1F68" w:rsidRPr="00D9364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n (%)</w:t>
            </w:r>
          </w:p>
        </w:tc>
        <w:tc>
          <w:tcPr>
            <w:tcW w:w="1115" w:type="dxa"/>
            <w:shd w:val="clear" w:color="auto" w:fill="auto"/>
            <w:hideMark/>
          </w:tcPr>
          <w:p w14:paraId="341071ED" w14:textId="77777777" w:rsidR="000B1F68" w:rsidRPr="00D9364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p-value</w:t>
            </w:r>
          </w:p>
        </w:tc>
      </w:tr>
      <w:tr w:rsidR="000B1F68" w:rsidRPr="00D95C15" w14:paraId="7DAD7988" w14:textId="77777777" w:rsidTr="00706950">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7E1CBCE4"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Relevant surgical procedure that resulted in primary infection</w:t>
            </w:r>
          </w:p>
        </w:tc>
        <w:tc>
          <w:tcPr>
            <w:tcW w:w="1253" w:type="dxa"/>
            <w:hideMark/>
          </w:tcPr>
          <w:p w14:paraId="2F875FA7"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5 (1.5)</w:t>
            </w:r>
          </w:p>
        </w:tc>
        <w:tc>
          <w:tcPr>
            <w:tcW w:w="1165" w:type="dxa"/>
            <w:hideMark/>
          </w:tcPr>
          <w:p w14:paraId="776D6800"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3 (0.9)</w:t>
            </w:r>
          </w:p>
        </w:tc>
        <w:tc>
          <w:tcPr>
            <w:tcW w:w="1115" w:type="dxa"/>
            <w:hideMark/>
          </w:tcPr>
          <w:p w14:paraId="3B3BBC24"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0.5042</w:t>
            </w:r>
          </w:p>
        </w:tc>
      </w:tr>
      <w:tr w:rsidR="000B1F68" w:rsidRPr="00D95C15" w14:paraId="2D257AD8"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031C490D"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Recent trauma that resulted in primary infection</w:t>
            </w:r>
          </w:p>
        </w:tc>
        <w:tc>
          <w:tcPr>
            <w:tcW w:w="1253" w:type="dxa"/>
            <w:hideMark/>
          </w:tcPr>
          <w:p w14:paraId="6F2B27E6"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148 (44.6)</w:t>
            </w:r>
          </w:p>
        </w:tc>
        <w:tc>
          <w:tcPr>
            <w:tcW w:w="1165" w:type="dxa"/>
            <w:hideMark/>
          </w:tcPr>
          <w:p w14:paraId="65A69AE4"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153 (45.8)</w:t>
            </w:r>
          </w:p>
        </w:tc>
        <w:tc>
          <w:tcPr>
            <w:tcW w:w="1115" w:type="dxa"/>
            <w:hideMark/>
          </w:tcPr>
          <w:p w14:paraId="439102CE"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0.7561</w:t>
            </w:r>
          </w:p>
        </w:tc>
      </w:tr>
      <w:tr w:rsidR="000B1F68" w:rsidRPr="00D95C15" w14:paraId="5B5EA7F7" w14:textId="77777777" w:rsidTr="00706950">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11E67A6D"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Current or recent IV drug use</w:t>
            </w:r>
          </w:p>
        </w:tc>
        <w:tc>
          <w:tcPr>
            <w:tcW w:w="1253" w:type="dxa"/>
            <w:hideMark/>
          </w:tcPr>
          <w:p w14:paraId="51F365CA"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66 (19.9)</w:t>
            </w:r>
          </w:p>
        </w:tc>
        <w:tc>
          <w:tcPr>
            <w:tcW w:w="1165" w:type="dxa"/>
            <w:hideMark/>
          </w:tcPr>
          <w:p w14:paraId="0194C716"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74 (22.2)</w:t>
            </w:r>
          </w:p>
        </w:tc>
        <w:tc>
          <w:tcPr>
            <w:tcW w:w="1115" w:type="dxa"/>
            <w:hideMark/>
          </w:tcPr>
          <w:p w14:paraId="43A63C28"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0.5060</w:t>
            </w:r>
          </w:p>
        </w:tc>
      </w:tr>
      <w:tr w:rsidR="000B1F68" w:rsidRPr="00D95C15" w14:paraId="558F27EB"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595EA770"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Diabetes mellitus</w:t>
            </w:r>
          </w:p>
        </w:tc>
        <w:tc>
          <w:tcPr>
            <w:tcW w:w="1253" w:type="dxa"/>
            <w:hideMark/>
          </w:tcPr>
          <w:p w14:paraId="1F4A656E"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32 (9.6)</w:t>
            </w:r>
          </w:p>
        </w:tc>
        <w:tc>
          <w:tcPr>
            <w:tcW w:w="1165" w:type="dxa"/>
            <w:hideMark/>
          </w:tcPr>
          <w:p w14:paraId="0421FC77"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41 (12.3)</w:t>
            </w:r>
          </w:p>
        </w:tc>
        <w:tc>
          <w:tcPr>
            <w:tcW w:w="1115" w:type="dxa"/>
            <w:hideMark/>
          </w:tcPr>
          <w:p w14:paraId="26DF09FE"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0.3213</w:t>
            </w:r>
          </w:p>
        </w:tc>
      </w:tr>
      <w:tr w:rsidR="000B1F68" w:rsidRPr="00D95C15" w14:paraId="642731B9" w14:textId="77777777" w:rsidTr="00706950">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6FFB499F"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 xml:space="preserve">HIV positive </w:t>
            </w:r>
          </w:p>
        </w:tc>
        <w:tc>
          <w:tcPr>
            <w:tcW w:w="1253" w:type="dxa"/>
            <w:hideMark/>
          </w:tcPr>
          <w:p w14:paraId="16443E24"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8 (2.4)</w:t>
            </w:r>
          </w:p>
        </w:tc>
        <w:tc>
          <w:tcPr>
            <w:tcW w:w="1165" w:type="dxa"/>
            <w:hideMark/>
          </w:tcPr>
          <w:p w14:paraId="5310BBC6"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7 (2.1)</w:t>
            </w:r>
          </w:p>
        </w:tc>
        <w:tc>
          <w:tcPr>
            <w:tcW w:w="1115" w:type="dxa"/>
            <w:hideMark/>
          </w:tcPr>
          <w:p w14:paraId="44008CD2"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0.8009</w:t>
            </w:r>
          </w:p>
        </w:tc>
      </w:tr>
      <w:tr w:rsidR="000B1F68" w:rsidRPr="00D95C15" w14:paraId="2A1C7111"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4EAB7374"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Poor living conditions</w:t>
            </w:r>
          </w:p>
        </w:tc>
        <w:tc>
          <w:tcPr>
            <w:tcW w:w="1253" w:type="dxa"/>
            <w:hideMark/>
          </w:tcPr>
          <w:p w14:paraId="2278FC8A"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15 (4.5)</w:t>
            </w:r>
          </w:p>
        </w:tc>
        <w:tc>
          <w:tcPr>
            <w:tcW w:w="1165" w:type="dxa"/>
            <w:hideMark/>
          </w:tcPr>
          <w:p w14:paraId="167CF3FB"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18 (5.4)</w:t>
            </w:r>
          </w:p>
        </w:tc>
        <w:tc>
          <w:tcPr>
            <w:tcW w:w="1115" w:type="dxa"/>
            <w:hideMark/>
          </w:tcPr>
          <w:p w14:paraId="52A8A05A"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0.7216</w:t>
            </w:r>
          </w:p>
        </w:tc>
      </w:tr>
      <w:tr w:rsidR="000B1F68" w:rsidRPr="00D95C15" w14:paraId="75B739AA" w14:textId="77777777" w:rsidTr="00706950">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202A60E2"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Concurrent secondary ABSSSI lesions</w:t>
            </w:r>
          </w:p>
        </w:tc>
        <w:tc>
          <w:tcPr>
            <w:tcW w:w="1253" w:type="dxa"/>
            <w:hideMark/>
          </w:tcPr>
          <w:p w14:paraId="14D3916D"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48 (14.5)</w:t>
            </w:r>
          </w:p>
        </w:tc>
        <w:tc>
          <w:tcPr>
            <w:tcW w:w="1165" w:type="dxa"/>
            <w:hideMark/>
          </w:tcPr>
          <w:p w14:paraId="137EB57A"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47 (14.1)</w:t>
            </w:r>
          </w:p>
        </w:tc>
        <w:tc>
          <w:tcPr>
            <w:tcW w:w="1115" w:type="dxa"/>
            <w:hideMark/>
          </w:tcPr>
          <w:p w14:paraId="7F04C99B"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0.9121</w:t>
            </w:r>
          </w:p>
        </w:tc>
      </w:tr>
      <w:tr w:rsidR="000B1F68" w:rsidRPr="00D95C15" w14:paraId="5374BA27"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112C206D"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Previous ABSSSI</w:t>
            </w:r>
          </w:p>
        </w:tc>
        <w:tc>
          <w:tcPr>
            <w:tcW w:w="1253" w:type="dxa"/>
            <w:hideMark/>
          </w:tcPr>
          <w:p w14:paraId="64E4BE34"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71 (21.4)</w:t>
            </w:r>
          </w:p>
        </w:tc>
        <w:tc>
          <w:tcPr>
            <w:tcW w:w="1165" w:type="dxa"/>
            <w:hideMark/>
          </w:tcPr>
          <w:p w14:paraId="3661AB1B"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63 (18.9)</w:t>
            </w:r>
          </w:p>
        </w:tc>
        <w:tc>
          <w:tcPr>
            <w:tcW w:w="1115" w:type="dxa"/>
            <w:hideMark/>
          </w:tcPr>
          <w:p w14:paraId="5BEDF8F5"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0.4402</w:t>
            </w:r>
          </w:p>
        </w:tc>
      </w:tr>
      <w:tr w:rsidR="000B1F68" w:rsidRPr="00D95C15" w14:paraId="3B71445D" w14:textId="77777777" w:rsidTr="00706950">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40163A44"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Patient</w:t>
            </w:r>
            <w:r w:rsidRPr="00D93645">
              <w:rPr>
                <w:rFonts w:ascii="Arial" w:hAnsi="Arial" w:cs="Arial"/>
                <w:sz w:val="20"/>
                <w:lang w:val="en-US"/>
              </w:rPr>
              <w:t>-</w:t>
            </w:r>
            <w:r w:rsidRPr="00D93645">
              <w:rPr>
                <w:rFonts w:ascii="Arial" w:hAnsi="Arial" w:cs="Arial"/>
                <w:sz w:val="20"/>
                <w:lang w:val="en-US" w:eastAsia="en-GB"/>
              </w:rPr>
              <w:t>reported fever</w:t>
            </w:r>
          </w:p>
        </w:tc>
        <w:tc>
          <w:tcPr>
            <w:tcW w:w="1253" w:type="dxa"/>
            <w:hideMark/>
          </w:tcPr>
          <w:p w14:paraId="2FC62336"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161 (48.5)</w:t>
            </w:r>
          </w:p>
        </w:tc>
        <w:tc>
          <w:tcPr>
            <w:tcW w:w="1165" w:type="dxa"/>
            <w:hideMark/>
          </w:tcPr>
          <w:p w14:paraId="5F41A6A8"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154 (46.1)</w:t>
            </w:r>
          </w:p>
        </w:tc>
        <w:tc>
          <w:tcPr>
            <w:tcW w:w="1115" w:type="dxa"/>
            <w:hideMark/>
          </w:tcPr>
          <w:p w14:paraId="74A36547" w14:textId="77777777" w:rsidR="000B1F68" w:rsidRPr="00D9364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0.5870</w:t>
            </w:r>
          </w:p>
        </w:tc>
      </w:tr>
      <w:tr w:rsidR="000B1F68" w:rsidRPr="00D95C15" w14:paraId="61FA9B16"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shd w:val="clear" w:color="auto" w:fill="auto"/>
            <w:hideMark/>
          </w:tcPr>
          <w:p w14:paraId="03586919" w14:textId="77777777" w:rsidR="000B1F68" w:rsidRPr="00D93645" w:rsidRDefault="000B1F68" w:rsidP="00100BE6">
            <w:pPr>
              <w:pStyle w:val="TableBodyText-H54"/>
              <w:rPr>
                <w:rFonts w:ascii="Arial" w:hAnsi="Arial" w:cs="Arial"/>
                <w:sz w:val="20"/>
                <w:lang w:val="en-US" w:eastAsia="en-GB"/>
              </w:rPr>
            </w:pPr>
            <w:r w:rsidRPr="00D93645">
              <w:rPr>
                <w:rFonts w:ascii="Arial" w:hAnsi="Arial" w:cs="Arial"/>
                <w:sz w:val="20"/>
                <w:lang w:val="en-US" w:eastAsia="en-GB"/>
              </w:rPr>
              <w:t>Other relevant diagnosis or procedure</w:t>
            </w:r>
          </w:p>
        </w:tc>
        <w:tc>
          <w:tcPr>
            <w:tcW w:w="1253" w:type="dxa"/>
            <w:hideMark/>
          </w:tcPr>
          <w:p w14:paraId="71C4983B"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26 (7.8)</w:t>
            </w:r>
          </w:p>
        </w:tc>
        <w:tc>
          <w:tcPr>
            <w:tcW w:w="1165" w:type="dxa"/>
            <w:hideMark/>
          </w:tcPr>
          <w:p w14:paraId="1E10F976"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13 (3.9)</w:t>
            </w:r>
          </w:p>
        </w:tc>
        <w:tc>
          <w:tcPr>
            <w:tcW w:w="1115" w:type="dxa"/>
            <w:hideMark/>
          </w:tcPr>
          <w:p w14:paraId="0C3ED83F" w14:textId="77777777" w:rsidR="000B1F68" w:rsidRPr="00D9364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D93645">
              <w:rPr>
                <w:rFonts w:ascii="Arial" w:hAnsi="Arial" w:cs="Arial"/>
                <w:sz w:val="20"/>
                <w:lang w:val="en-US" w:eastAsia="en-GB"/>
              </w:rPr>
              <w:t>0.0326</w:t>
            </w:r>
          </w:p>
        </w:tc>
      </w:tr>
    </w:tbl>
    <w:p w14:paraId="661C8FA7" w14:textId="4DC0DBAE" w:rsidR="000B1F68" w:rsidRPr="00D93645" w:rsidRDefault="000B1F68" w:rsidP="00D93645">
      <w:pPr>
        <w:pStyle w:val="TableNote-H58"/>
        <w:spacing w:before="0" w:after="0"/>
        <w:rPr>
          <w:rFonts w:ascii="Arial" w:hAnsi="Arial" w:cs="Arial"/>
          <w:sz w:val="16"/>
          <w:szCs w:val="16"/>
          <w:lang w:val="en-US"/>
        </w:rPr>
      </w:pPr>
      <w:r w:rsidRPr="00D93645">
        <w:rPr>
          <w:rFonts w:ascii="Arial" w:hAnsi="Arial" w:cs="Arial"/>
          <w:sz w:val="16"/>
          <w:szCs w:val="16"/>
          <w:lang w:val="en-US"/>
        </w:rPr>
        <w:t>SOURCE: 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D93645">
        <w:rPr>
          <w:rFonts w:ascii="Arial" w:hAnsi="Arial" w:cs="Arial"/>
          <w:sz w:val="16"/>
          <w:szCs w:val="16"/>
          <w:lang w:val="en-US"/>
        </w:rPr>
        <w:t xml:space="preserve">: section 11.2.2 Table 11-5 </w:t>
      </w:r>
    </w:p>
    <w:p w14:paraId="70BFF2C0" w14:textId="77777777" w:rsidR="000B1F68" w:rsidRPr="00D93645" w:rsidRDefault="000B1F68" w:rsidP="00D93645">
      <w:pPr>
        <w:pStyle w:val="TableNote-H58"/>
        <w:spacing w:before="0" w:after="0"/>
        <w:rPr>
          <w:rFonts w:ascii="Arial" w:hAnsi="Arial" w:cs="Arial"/>
          <w:sz w:val="16"/>
          <w:szCs w:val="16"/>
          <w:lang w:val="en-US"/>
        </w:rPr>
      </w:pPr>
      <w:r w:rsidRPr="00D93645">
        <w:rPr>
          <w:rFonts w:ascii="Arial" w:hAnsi="Arial" w:cs="Arial"/>
          <w:sz w:val="16"/>
          <w:szCs w:val="16"/>
          <w:lang w:val="en-US"/>
        </w:rPr>
        <w:t>ABSSSI: Acute bacterial skin and skin structure infection; HIV: Human immunodeficiency virus; ITT: Intent-to-treat; IV: Intravenous; N: Number of patients in population; n: Number of patients in specific category;</w:t>
      </w:r>
    </w:p>
    <w:p w14:paraId="7449146C" w14:textId="6584C465" w:rsidR="000B1F68" w:rsidRPr="00D47853" w:rsidRDefault="000B1F68" w:rsidP="00D47853">
      <w:pPr>
        <w:pStyle w:val="Heading5"/>
        <w:rPr>
          <w:rFonts w:ascii="Arial" w:hAnsi="Arial" w:cs="Arial"/>
          <w:b/>
          <w:color w:val="auto"/>
          <w:sz w:val="22"/>
          <w:szCs w:val="22"/>
          <w:lang w:val="en-US"/>
        </w:rPr>
      </w:pPr>
      <w:r w:rsidRPr="00D47853">
        <w:rPr>
          <w:rFonts w:ascii="Arial" w:hAnsi="Arial" w:cs="Arial"/>
          <w:b/>
          <w:color w:val="auto"/>
          <w:sz w:val="22"/>
          <w:szCs w:val="22"/>
          <w:lang w:val="en-US"/>
        </w:rPr>
        <w:lastRenderedPageBreak/>
        <w:t>Type and location of infections in ESTABLISH-2</w:t>
      </w:r>
      <w:r w:rsidR="00D47853" w:rsidRPr="00D47853">
        <w:rPr>
          <w:rFonts w:ascii="Arial" w:hAnsi="Arial" w:cs="Arial"/>
          <w:b/>
          <w:color w:val="auto"/>
          <w:sz w:val="22"/>
          <w:szCs w:val="22"/>
          <w:lang w:val="en-US"/>
        </w:rPr>
        <w:t xml:space="preserve">: </w:t>
      </w:r>
      <w:r w:rsidRPr="00D47853">
        <w:rPr>
          <w:rFonts w:ascii="Arial" w:hAnsi="Arial" w:cs="Arial"/>
          <w:color w:val="auto"/>
          <w:sz w:val="22"/>
          <w:szCs w:val="22"/>
          <w:lang w:val="en-US"/>
        </w:rPr>
        <w:t xml:space="preserve">Infection types occurred with similar frequency in both treatment groups. The most common infection of patients enrolled in the study was cellulitis/erysipelas (tedizolid phosphate group: 50.0%; linezolid group: 50.3%), followed by major cutaneous abscess (tedizolid phosphate group: 20.5%; linezolid group: </w:t>
      </w:r>
      <w:r w:rsidRPr="007523AA">
        <w:rPr>
          <w:rFonts w:ascii="Arial" w:hAnsi="Arial" w:cs="Arial"/>
          <w:color w:val="auto"/>
          <w:sz w:val="22"/>
          <w:szCs w:val="22"/>
          <w:lang w:val="en-US"/>
        </w:rPr>
        <w:t>20.4%) and wound infection (tedizolid phosphate group: 29.5%; linezolid group: 29.3%) (</w:t>
      </w:r>
      <w:r w:rsidR="00E72F88" w:rsidRPr="007523AA">
        <w:rPr>
          <w:rFonts w:ascii="Arial" w:hAnsi="Arial" w:cs="Arial"/>
          <w:color w:val="auto"/>
          <w:sz w:val="22"/>
          <w:szCs w:val="22"/>
          <w:lang w:val="en-US"/>
        </w:rPr>
        <w:fldChar w:fldCharType="begin"/>
      </w:r>
      <w:r w:rsidR="00E72F88" w:rsidRPr="007523AA">
        <w:rPr>
          <w:rFonts w:ascii="Arial" w:hAnsi="Arial" w:cs="Arial"/>
          <w:color w:val="auto"/>
          <w:sz w:val="22"/>
          <w:szCs w:val="22"/>
          <w:lang w:val="en-US"/>
        </w:rPr>
        <w:instrText xml:space="preserve"> REF _Ref379295950 \h </w:instrText>
      </w:r>
      <w:r w:rsidR="00E72F88" w:rsidRPr="007523AA">
        <w:rPr>
          <w:rFonts w:ascii="Arial" w:hAnsi="Arial" w:cs="Arial"/>
          <w:color w:val="auto"/>
          <w:sz w:val="22"/>
          <w:szCs w:val="22"/>
          <w:lang w:val="en-US"/>
        </w:rPr>
      </w:r>
      <w:r w:rsidR="00E72F88" w:rsidRPr="007523AA">
        <w:rPr>
          <w:rFonts w:ascii="Arial" w:hAnsi="Arial" w:cs="Arial"/>
          <w:color w:val="auto"/>
          <w:sz w:val="22"/>
          <w:szCs w:val="22"/>
          <w:lang w:val="en-US"/>
        </w:rPr>
        <w:fldChar w:fldCharType="separate"/>
      </w:r>
      <w:r w:rsidR="00151A1C" w:rsidRPr="00D47853">
        <w:rPr>
          <w:rFonts w:ascii="Arial" w:hAnsi="Arial" w:cs="Arial"/>
          <w:sz w:val="22"/>
          <w:szCs w:val="22"/>
          <w:lang w:val="en-US"/>
        </w:rPr>
        <w:t xml:space="preserve">Table </w:t>
      </w:r>
      <w:r w:rsidR="00151A1C">
        <w:rPr>
          <w:rFonts w:ascii="Arial" w:hAnsi="Arial" w:cs="Arial"/>
          <w:noProof/>
          <w:sz w:val="22"/>
          <w:szCs w:val="22"/>
          <w:lang w:val="en-US"/>
        </w:rPr>
        <w:t>21</w:t>
      </w:r>
      <w:r w:rsidR="00E72F88" w:rsidRPr="007523AA">
        <w:rPr>
          <w:rFonts w:ascii="Arial" w:hAnsi="Arial" w:cs="Arial"/>
          <w:color w:val="auto"/>
          <w:sz w:val="22"/>
          <w:szCs w:val="22"/>
          <w:lang w:val="en-US"/>
        </w:rPr>
        <w:fldChar w:fldCharType="end"/>
      </w:r>
      <w:r w:rsidRPr="007523AA">
        <w:rPr>
          <w:rFonts w:ascii="Arial" w:hAnsi="Arial" w:cs="Arial"/>
          <w:color w:val="auto"/>
          <w:sz w:val="22"/>
          <w:szCs w:val="22"/>
          <w:lang w:val="en-US"/>
        </w:rPr>
        <w:t>).</w:t>
      </w:r>
      <w:r w:rsidR="00E72F88" w:rsidRPr="00D47853">
        <w:rPr>
          <w:rFonts w:ascii="Arial" w:hAnsi="Arial" w:cs="Arial"/>
          <w:b/>
          <w:color w:val="auto"/>
          <w:sz w:val="22"/>
          <w:szCs w:val="22"/>
          <w:lang w:val="en-US"/>
        </w:rPr>
        <w:t xml:space="preserve"> </w:t>
      </w:r>
    </w:p>
    <w:p w14:paraId="32A17191" w14:textId="77777777" w:rsidR="000B1F68" w:rsidRPr="00D47853" w:rsidRDefault="000B1F68" w:rsidP="000B1F68">
      <w:pPr>
        <w:pStyle w:val="Caption"/>
        <w:rPr>
          <w:rFonts w:ascii="Arial" w:hAnsi="Arial" w:cs="Arial"/>
          <w:sz w:val="22"/>
          <w:szCs w:val="22"/>
          <w:lang w:val="en-US"/>
        </w:rPr>
      </w:pPr>
      <w:bookmarkStart w:id="111" w:name="_Ref379295950"/>
      <w:bookmarkStart w:id="112" w:name="_Toc396058444"/>
      <w:r w:rsidRPr="00D47853">
        <w:rPr>
          <w:rFonts w:ascii="Arial" w:hAnsi="Arial" w:cs="Arial"/>
          <w:sz w:val="22"/>
          <w:szCs w:val="22"/>
          <w:lang w:val="en-US"/>
        </w:rPr>
        <w:t xml:space="preserve">Table </w:t>
      </w:r>
      <w:r w:rsidRPr="00D47853">
        <w:rPr>
          <w:rFonts w:ascii="Arial" w:hAnsi="Arial" w:cs="Arial"/>
          <w:sz w:val="22"/>
          <w:szCs w:val="22"/>
          <w:lang w:val="en-US"/>
        </w:rPr>
        <w:fldChar w:fldCharType="begin"/>
      </w:r>
      <w:r w:rsidRPr="00D47853">
        <w:rPr>
          <w:rFonts w:ascii="Arial" w:hAnsi="Arial" w:cs="Arial"/>
          <w:sz w:val="22"/>
          <w:szCs w:val="22"/>
          <w:lang w:val="en-US"/>
        </w:rPr>
        <w:instrText xml:space="preserve"> SEQ Table \* ARABIC </w:instrText>
      </w:r>
      <w:r w:rsidRPr="00D47853">
        <w:rPr>
          <w:rFonts w:ascii="Arial" w:hAnsi="Arial" w:cs="Arial"/>
          <w:sz w:val="22"/>
          <w:szCs w:val="22"/>
          <w:lang w:val="en-US"/>
        </w:rPr>
        <w:fldChar w:fldCharType="separate"/>
      </w:r>
      <w:r w:rsidR="00151A1C">
        <w:rPr>
          <w:rFonts w:ascii="Arial" w:hAnsi="Arial" w:cs="Arial"/>
          <w:noProof/>
          <w:sz w:val="22"/>
          <w:szCs w:val="22"/>
          <w:lang w:val="en-US"/>
        </w:rPr>
        <w:t>21</w:t>
      </w:r>
      <w:r w:rsidRPr="00D47853">
        <w:rPr>
          <w:rFonts w:ascii="Arial" w:hAnsi="Arial" w:cs="Arial"/>
          <w:sz w:val="22"/>
          <w:szCs w:val="22"/>
          <w:lang w:val="en-US"/>
        </w:rPr>
        <w:fldChar w:fldCharType="end"/>
      </w:r>
      <w:bookmarkEnd w:id="111"/>
      <w:r w:rsidRPr="00D47853">
        <w:rPr>
          <w:rFonts w:ascii="Arial" w:hAnsi="Arial" w:cs="Arial"/>
          <w:sz w:val="22"/>
          <w:szCs w:val="22"/>
          <w:lang w:val="en-US"/>
        </w:rPr>
        <w:t>: ABSSSI infections in ESTABLISH-2 (ITT population)</w:t>
      </w:r>
      <w:bookmarkEnd w:id="112"/>
    </w:p>
    <w:tbl>
      <w:tblPr>
        <w:tblStyle w:val="Table-HERONplain"/>
        <w:tblW w:w="0" w:type="auto"/>
        <w:tblLook w:val="04A0" w:firstRow="1" w:lastRow="0" w:firstColumn="1" w:lastColumn="0" w:noHBand="0" w:noVBand="1"/>
      </w:tblPr>
      <w:tblGrid>
        <w:gridCol w:w="4035"/>
        <w:gridCol w:w="2300"/>
        <w:gridCol w:w="2568"/>
      </w:tblGrid>
      <w:tr w:rsidR="000B1F68" w:rsidRPr="00D95C15" w14:paraId="16F0B09E" w14:textId="77777777" w:rsidTr="00706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768E84BD" w14:textId="77777777" w:rsidR="000B1F68" w:rsidRPr="00B00B8E" w:rsidRDefault="000B1F68" w:rsidP="00100BE6">
            <w:pPr>
              <w:pStyle w:val="TableBodyText"/>
              <w:rPr>
                <w:rFonts w:ascii="Arial" w:hAnsi="Arial" w:cs="Arial"/>
                <w:sz w:val="20"/>
                <w:szCs w:val="20"/>
                <w:lang w:val="en-US" w:eastAsia="en-GB"/>
              </w:rPr>
            </w:pPr>
            <w:r w:rsidRPr="00B00B8E">
              <w:rPr>
                <w:rFonts w:ascii="Arial" w:hAnsi="Arial" w:cs="Arial"/>
                <w:sz w:val="20"/>
                <w:szCs w:val="20"/>
                <w:lang w:val="en-US" w:eastAsia="en-GB"/>
              </w:rPr>
              <w:t>Type of ABSSSI infection</w:t>
            </w:r>
          </w:p>
        </w:tc>
        <w:tc>
          <w:tcPr>
            <w:tcW w:w="2339" w:type="dxa"/>
            <w:shd w:val="clear" w:color="auto" w:fill="auto"/>
            <w:hideMark/>
          </w:tcPr>
          <w:p w14:paraId="54874849" w14:textId="77777777" w:rsidR="000B1F68" w:rsidRPr="00B00B8E"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B00B8E">
              <w:rPr>
                <w:rFonts w:ascii="Arial" w:hAnsi="Arial" w:cs="Arial"/>
                <w:sz w:val="20"/>
                <w:lang w:val="en-US" w:eastAsia="en-GB"/>
              </w:rPr>
              <w:t>Tedizolid phosphate (N=332)</w:t>
            </w:r>
          </w:p>
          <w:p w14:paraId="64ECFBA6" w14:textId="77777777" w:rsidR="000B1F68" w:rsidRPr="00B00B8E"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B00B8E">
              <w:rPr>
                <w:rFonts w:ascii="Arial" w:hAnsi="Arial" w:cs="Arial"/>
                <w:sz w:val="20"/>
                <w:lang w:val="en-US" w:eastAsia="en-GB"/>
              </w:rPr>
              <w:t>n (%)</w:t>
            </w:r>
          </w:p>
        </w:tc>
        <w:tc>
          <w:tcPr>
            <w:tcW w:w="2622" w:type="dxa"/>
            <w:shd w:val="clear" w:color="auto" w:fill="auto"/>
            <w:hideMark/>
          </w:tcPr>
          <w:p w14:paraId="727EF50E" w14:textId="77777777" w:rsidR="000B1F68" w:rsidRPr="00B00B8E"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B00B8E">
              <w:rPr>
                <w:rFonts w:ascii="Arial" w:hAnsi="Arial" w:cs="Arial"/>
                <w:sz w:val="20"/>
                <w:lang w:val="en-US" w:eastAsia="en-GB"/>
              </w:rPr>
              <w:t>Linezolid (N=334)</w:t>
            </w:r>
          </w:p>
          <w:p w14:paraId="0B8C0D8E" w14:textId="77777777" w:rsidR="000B1F68" w:rsidRPr="00B00B8E"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B00B8E">
              <w:rPr>
                <w:rFonts w:ascii="Arial" w:hAnsi="Arial" w:cs="Arial"/>
                <w:sz w:val="20"/>
                <w:lang w:val="en-US" w:eastAsia="en-GB"/>
              </w:rPr>
              <w:t>n (%)</w:t>
            </w:r>
          </w:p>
        </w:tc>
      </w:tr>
      <w:tr w:rsidR="000B1F68" w:rsidRPr="00D95C15" w14:paraId="0C630CCA" w14:textId="77777777" w:rsidTr="00706950">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AB4616F" w14:textId="77777777" w:rsidR="000B1F68" w:rsidRPr="00B00B8E" w:rsidRDefault="000B1F68" w:rsidP="00100BE6">
            <w:pPr>
              <w:pStyle w:val="TableBodyText"/>
              <w:rPr>
                <w:rFonts w:ascii="Arial" w:hAnsi="Arial" w:cs="Arial"/>
                <w:sz w:val="20"/>
                <w:szCs w:val="20"/>
                <w:lang w:val="en-US" w:eastAsia="en-GB"/>
              </w:rPr>
            </w:pPr>
            <w:r w:rsidRPr="00B00B8E">
              <w:rPr>
                <w:rFonts w:ascii="Arial" w:hAnsi="Arial" w:cs="Arial"/>
                <w:sz w:val="20"/>
                <w:szCs w:val="20"/>
                <w:lang w:val="en-US" w:eastAsia="en-GB"/>
              </w:rPr>
              <w:t>Cellulitis/erysipelas</w:t>
            </w:r>
          </w:p>
        </w:tc>
        <w:tc>
          <w:tcPr>
            <w:tcW w:w="2339" w:type="dxa"/>
            <w:vAlign w:val="top"/>
            <w:hideMark/>
          </w:tcPr>
          <w:p w14:paraId="650AB677"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166 (50.0)</w:t>
            </w:r>
          </w:p>
        </w:tc>
        <w:tc>
          <w:tcPr>
            <w:tcW w:w="2622" w:type="dxa"/>
            <w:vAlign w:val="top"/>
            <w:hideMark/>
          </w:tcPr>
          <w:p w14:paraId="6706D695"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168 (50.3)</w:t>
            </w:r>
          </w:p>
        </w:tc>
      </w:tr>
      <w:tr w:rsidR="000B1F68" w:rsidRPr="00D95C15" w14:paraId="1C3837CA"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4EEE621F" w14:textId="77777777" w:rsidR="000B1F68" w:rsidRPr="00B00B8E" w:rsidRDefault="000B1F68" w:rsidP="00100BE6">
            <w:pPr>
              <w:pStyle w:val="TableBodyText"/>
              <w:rPr>
                <w:rFonts w:ascii="Arial" w:hAnsi="Arial" w:cs="Arial"/>
                <w:sz w:val="20"/>
                <w:szCs w:val="20"/>
                <w:lang w:val="en-US" w:eastAsia="en-GB"/>
              </w:rPr>
            </w:pPr>
            <w:r w:rsidRPr="00B00B8E">
              <w:rPr>
                <w:rFonts w:ascii="Arial" w:hAnsi="Arial" w:cs="Arial"/>
                <w:sz w:val="20"/>
                <w:szCs w:val="20"/>
                <w:lang w:val="en-US" w:eastAsia="en-GB"/>
              </w:rPr>
              <w:t>Major cutaneous abscess</w:t>
            </w:r>
          </w:p>
        </w:tc>
        <w:tc>
          <w:tcPr>
            <w:tcW w:w="2339" w:type="dxa"/>
            <w:vAlign w:val="top"/>
            <w:hideMark/>
          </w:tcPr>
          <w:p w14:paraId="2A3716B4" w14:textId="77777777" w:rsidR="000B1F68" w:rsidRPr="00B00B8E" w:rsidRDefault="000B1F68" w:rsidP="00100BE6">
            <w:pPr>
              <w:pStyle w:val="TableBodyCentered"/>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68 (20.5)</w:t>
            </w:r>
          </w:p>
        </w:tc>
        <w:tc>
          <w:tcPr>
            <w:tcW w:w="2622" w:type="dxa"/>
            <w:vAlign w:val="top"/>
            <w:hideMark/>
          </w:tcPr>
          <w:p w14:paraId="1E6ED042" w14:textId="77777777" w:rsidR="000B1F68" w:rsidRPr="00B00B8E" w:rsidRDefault="000B1F68" w:rsidP="00100BE6">
            <w:pPr>
              <w:pStyle w:val="TableBodyCentered"/>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68 (20.4)</w:t>
            </w:r>
          </w:p>
        </w:tc>
      </w:tr>
      <w:tr w:rsidR="000B1F68" w:rsidRPr="00D95C15" w14:paraId="6F8396D7" w14:textId="77777777" w:rsidTr="00706950">
        <w:trPr>
          <w:trHeight w:val="6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top"/>
            <w:hideMark/>
          </w:tcPr>
          <w:p w14:paraId="33C1029F" w14:textId="77777777" w:rsidR="000B1F68" w:rsidRPr="00B00B8E" w:rsidRDefault="000B1F68" w:rsidP="00100BE6">
            <w:pPr>
              <w:pStyle w:val="TableBodyText"/>
              <w:rPr>
                <w:rFonts w:ascii="Arial" w:hAnsi="Arial" w:cs="Arial"/>
                <w:sz w:val="20"/>
                <w:szCs w:val="20"/>
                <w:lang w:val="en-US" w:eastAsia="en-GB"/>
              </w:rPr>
            </w:pPr>
            <w:r w:rsidRPr="00B00B8E">
              <w:rPr>
                <w:rFonts w:ascii="Arial" w:hAnsi="Arial" w:cs="Arial"/>
                <w:sz w:val="20"/>
                <w:szCs w:val="20"/>
                <w:lang w:val="en-US" w:eastAsia="en-GB"/>
              </w:rPr>
              <w:t>Wound infection:</w:t>
            </w:r>
          </w:p>
        </w:tc>
        <w:tc>
          <w:tcPr>
            <w:tcW w:w="2339" w:type="dxa"/>
            <w:vAlign w:val="top"/>
            <w:hideMark/>
          </w:tcPr>
          <w:p w14:paraId="0E8E571F"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98 (29.5)</w:t>
            </w:r>
          </w:p>
        </w:tc>
        <w:tc>
          <w:tcPr>
            <w:tcW w:w="2622" w:type="dxa"/>
            <w:vAlign w:val="top"/>
            <w:hideMark/>
          </w:tcPr>
          <w:p w14:paraId="05B0ED13"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98 (29.3)</w:t>
            </w:r>
          </w:p>
        </w:tc>
      </w:tr>
      <w:tr w:rsidR="000B1F68" w:rsidRPr="00D95C15" w14:paraId="1115244F" w14:textId="77777777" w:rsidTr="00706950">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top"/>
            <w:hideMark/>
          </w:tcPr>
          <w:p w14:paraId="263EA500" w14:textId="77777777" w:rsidR="000B1F68" w:rsidRPr="00B00B8E" w:rsidRDefault="000B1F68" w:rsidP="00100BE6">
            <w:pPr>
              <w:pStyle w:val="TableBodyText"/>
              <w:ind w:left="720"/>
              <w:rPr>
                <w:rFonts w:ascii="Arial" w:hAnsi="Arial" w:cs="Arial"/>
                <w:sz w:val="20"/>
                <w:szCs w:val="20"/>
                <w:lang w:val="en-US" w:eastAsia="en-GB"/>
              </w:rPr>
            </w:pPr>
            <w:r w:rsidRPr="00B00B8E">
              <w:rPr>
                <w:rFonts w:ascii="Arial" w:hAnsi="Arial" w:cs="Arial"/>
                <w:sz w:val="20"/>
                <w:szCs w:val="20"/>
                <w:lang w:val="en-US" w:eastAsia="en-GB"/>
              </w:rPr>
              <w:t>Superficial incisional surgical site infection</w:t>
            </w:r>
          </w:p>
        </w:tc>
        <w:tc>
          <w:tcPr>
            <w:tcW w:w="2339" w:type="dxa"/>
            <w:vAlign w:val="top"/>
            <w:hideMark/>
          </w:tcPr>
          <w:p w14:paraId="4C4CC43F" w14:textId="77777777" w:rsidR="000B1F68" w:rsidRPr="00B00B8E" w:rsidRDefault="000B1F68" w:rsidP="00100BE6">
            <w:pPr>
              <w:pStyle w:val="TableBodyCentered"/>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5 (1.5)</w:t>
            </w:r>
          </w:p>
        </w:tc>
        <w:tc>
          <w:tcPr>
            <w:tcW w:w="2622" w:type="dxa"/>
            <w:vAlign w:val="top"/>
            <w:hideMark/>
          </w:tcPr>
          <w:p w14:paraId="38117729" w14:textId="77777777" w:rsidR="000B1F68" w:rsidRPr="00B00B8E" w:rsidRDefault="000B1F68" w:rsidP="00100BE6">
            <w:pPr>
              <w:pStyle w:val="TableBodyCentered"/>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3 (0.9)</w:t>
            </w:r>
          </w:p>
        </w:tc>
      </w:tr>
      <w:tr w:rsidR="000B1F68" w:rsidRPr="00D95C15" w14:paraId="6AB55998" w14:textId="77777777" w:rsidTr="00706950">
        <w:trPr>
          <w:trHeight w:val="201"/>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top"/>
            <w:hideMark/>
          </w:tcPr>
          <w:p w14:paraId="731E97F4" w14:textId="77777777" w:rsidR="000B1F68" w:rsidRPr="00B00B8E" w:rsidRDefault="000B1F68" w:rsidP="00100BE6">
            <w:pPr>
              <w:pStyle w:val="TableBodyText"/>
              <w:ind w:left="720"/>
              <w:rPr>
                <w:rFonts w:ascii="Arial" w:hAnsi="Arial" w:cs="Arial"/>
                <w:sz w:val="20"/>
                <w:szCs w:val="20"/>
                <w:lang w:val="en-US" w:eastAsia="en-GB"/>
              </w:rPr>
            </w:pPr>
            <w:r w:rsidRPr="00B00B8E">
              <w:rPr>
                <w:rFonts w:ascii="Arial" w:hAnsi="Arial" w:cs="Arial"/>
                <w:sz w:val="20"/>
                <w:szCs w:val="20"/>
                <w:lang w:val="en-US" w:eastAsia="en-GB"/>
              </w:rPr>
              <w:t>Post-traumatic wound</w:t>
            </w:r>
          </w:p>
        </w:tc>
        <w:tc>
          <w:tcPr>
            <w:tcW w:w="2339" w:type="dxa"/>
            <w:vAlign w:val="top"/>
            <w:hideMark/>
          </w:tcPr>
          <w:p w14:paraId="77B860C0"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93 (28.0)</w:t>
            </w:r>
          </w:p>
        </w:tc>
        <w:tc>
          <w:tcPr>
            <w:tcW w:w="2622" w:type="dxa"/>
            <w:vAlign w:val="top"/>
            <w:hideMark/>
          </w:tcPr>
          <w:p w14:paraId="7764A25A" w14:textId="77777777" w:rsidR="000B1F68" w:rsidRPr="00B00B8E" w:rsidRDefault="000B1F68" w:rsidP="00100BE6">
            <w:pPr>
              <w:pStyle w:val="TableBodyCentere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eastAsia="en-GB"/>
              </w:rPr>
            </w:pPr>
            <w:r w:rsidRPr="00B00B8E">
              <w:rPr>
                <w:rFonts w:ascii="Arial" w:hAnsi="Arial" w:cs="Arial"/>
                <w:sz w:val="20"/>
                <w:szCs w:val="20"/>
                <w:lang w:val="en-US" w:eastAsia="en-GB"/>
              </w:rPr>
              <w:t>95 (28.4)</w:t>
            </w:r>
          </w:p>
        </w:tc>
      </w:tr>
    </w:tbl>
    <w:p w14:paraId="54E15965" w14:textId="7D19B18D" w:rsidR="000B1F68" w:rsidRPr="006B32CC" w:rsidRDefault="000B1F68" w:rsidP="00B00B8E">
      <w:pPr>
        <w:pStyle w:val="TableNote-H58"/>
        <w:spacing w:before="0" w:after="0"/>
        <w:rPr>
          <w:rFonts w:ascii="Arial" w:hAnsi="Arial" w:cs="Arial"/>
          <w:sz w:val="16"/>
          <w:szCs w:val="16"/>
          <w:lang w:val="en-US"/>
        </w:rPr>
      </w:pPr>
      <w:r w:rsidRPr="00B00B8E">
        <w:rPr>
          <w:rStyle w:val="CommentReference"/>
          <w:rFonts w:ascii="Arial" w:eastAsiaTheme="majorEastAsia" w:hAnsi="Arial" w:cs="Arial"/>
          <w:sz w:val="16"/>
          <w:szCs w:val="16"/>
          <w:lang w:val="en-US"/>
        </w:rPr>
        <w:t xml:space="preserve">SOURCE: </w:t>
      </w:r>
      <w:r w:rsidRPr="00B00B8E">
        <w:rPr>
          <w:rFonts w:ascii="Arial" w:hAnsi="Arial" w:cs="Arial"/>
          <w:sz w:val="16"/>
          <w:szCs w:val="16"/>
          <w:lang w:val="en-US"/>
        </w:rPr>
        <w:t>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B00B8E">
        <w:rPr>
          <w:rFonts w:ascii="Arial" w:hAnsi="Arial" w:cs="Arial"/>
          <w:sz w:val="16"/>
          <w:szCs w:val="16"/>
          <w:lang w:val="en-US"/>
        </w:rPr>
        <w:t>: section 11.2.3.1 Table 11-5</w:t>
      </w:r>
      <w:r w:rsidR="008632EE">
        <w:rPr>
          <w:rStyle w:val="CommentReference"/>
          <w:rFonts w:ascii="Arial" w:eastAsiaTheme="majorEastAsia" w:hAnsi="Arial" w:cs="Arial"/>
          <w:sz w:val="16"/>
          <w:szCs w:val="16"/>
          <w:lang w:val="en-US"/>
        </w:rPr>
        <w:t xml:space="preserve"> </w:t>
      </w:r>
      <w:r w:rsidRPr="00B00B8E">
        <w:rPr>
          <w:rStyle w:val="CommentReference"/>
          <w:rFonts w:ascii="Arial" w:eastAsiaTheme="majorEastAsia" w:hAnsi="Arial" w:cs="Arial"/>
          <w:sz w:val="16"/>
          <w:szCs w:val="16"/>
          <w:lang w:val="en-US"/>
        </w:rPr>
        <w:t xml:space="preserve">ABSSSI: Acute bacterial skin and skin structure infection; ITT: Intent-to-treat; </w:t>
      </w:r>
      <w:r w:rsidRPr="00B00B8E">
        <w:rPr>
          <w:rFonts w:ascii="Arial" w:hAnsi="Arial" w:cs="Arial"/>
          <w:sz w:val="16"/>
          <w:szCs w:val="16"/>
          <w:lang w:val="en-US"/>
        </w:rPr>
        <w:t>N: Number of patients in population; n: Number of patients in specific category</w:t>
      </w:r>
    </w:p>
    <w:p w14:paraId="084F3D23" w14:textId="77777777" w:rsidR="00B00B8E" w:rsidRDefault="00B00B8E" w:rsidP="000B1F68">
      <w:pPr>
        <w:pStyle w:val="BodyText"/>
        <w:rPr>
          <w:lang w:val="en-US"/>
        </w:rPr>
      </w:pPr>
    </w:p>
    <w:p w14:paraId="2B5BE5C6" w14:textId="0F29091D" w:rsidR="00BA66AD" w:rsidRPr="006B32CC" w:rsidRDefault="000B1F68" w:rsidP="00BA66AD">
      <w:pPr>
        <w:pStyle w:val="BodyText"/>
        <w:rPr>
          <w:rFonts w:cs="Arial"/>
          <w:sz w:val="22"/>
          <w:szCs w:val="22"/>
          <w:lang w:val="en-US"/>
        </w:rPr>
      </w:pPr>
      <w:r w:rsidRPr="006B32CC">
        <w:rPr>
          <w:rFonts w:cs="Arial"/>
          <w:sz w:val="22"/>
          <w:szCs w:val="22"/>
          <w:lang w:val="en-US"/>
        </w:rPr>
        <w:t xml:space="preserve">The anatomic sites of infection were also similar in the tedizolid phosphate and linezolid treatment groups with the most common locations being leg (37.3% vs. 39.2%), arm (31.0% vs. 31.4%), and hand (9.3% vs. 6.0%). </w:t>
      </w:r>
      <w:r w:rsidRPr="006B32CC">
        <w:rPr>
          <w:rFonts w:eastAsia="TimesNewRoman" w:cs="Arial"/>
          <w:sz w:val="22"/>
          <w:szCs w:val="22"/>
          <w:lang w:val="en-US"/>
        </w:rPr>
        <w:t>In addition, baseline median surface area of lesion was similar in both the tedizolid phosphate and linezolid treatment groups</w:t>
      </w:r>
      <w:r w:rsidRPr="006B32CC">
        <w:rPr>
          <w:rFonts w:cs="Arial"/>
          <w:sz w:val="22"/>
          <w:szCs w:val="22"/>
          <w:lang w:val="en-US"/>
        </w:rPr>
        <w:t xml:space="preserve"> (231.3 cm</w:t>
      </w:r>
      <w:r w:rsidRPr="006B32CC">
        <w:rPr>
          <w:rStyle w:val="BodyText-SuperScript-H14"/>
          <w:rFonts w:ascii="Arial" w:hAnsi="Arial" w:cs="Arial"/>
          <w:sz w:val="22"/>
          <w:szCs w:val="22"/>
          <w:lang w:val="en-US"/>
        </w:rPr>
        <w:t xml:space="preserve">2 </w:t>
      </w:r>
      <w:r w:rsidRPr="006B32CC">
        <w:rPr>
          <w:rFonts w:cs="Arial"/>
          <w:sz w:val="22"/>
          <w:szCs w:val="22"/>
          <w:lang w:val="en-US"/>
        </w:rPr>
        <w:t>vs. 238.6 cm</w:t>
      </w:r>
      <w:r w:rsidRPr="006B32CC">
        <w:rPr>
          <w:rStyle w:val="BodyText-SuperScript-H14"/>
          <w:rFonts w:ascii="Arial" w:hAnsi="Arial" w:cs="Arial"/>
          <w:sz w:val="22"/>
          <w:szCs w:val="22"/>
          <w:lang w:val="en-US"/>
        </w:rPr>
        <w:t>2</w:t>
      </w:r>
      <w:r w:rsidRPr="006B32CC">
        <w:rPr>
          <w:rFonts w:cs="Arial"/>
          <w:sz w:val="22"/>
          <w:szCs w:val="22"/>
          <w:lang w:val="en-US"/>
        </w:rPr>
        <w:t>). Median surface area of lesion was balanced between the tedizolid phosphate and linezolid groups for cellulitis/erysipelas (301.0 cm</w:t>
      </w:r>
      <w:r w:rsidRPr="006B32CC">
        <w:rPr>
          <w:rStyle w:val="BodyText-SuperScript-H14"/>
          <w:rFonts w:ascii="Arial" w:hAnsi="Arial" w:cs="Arial"/>
          <w:sz w:val="22"/>
          <w:szCs w:val="22"/>
          <w:lang w:val="en-US"/>
        </w:rPr>
        <w:t>2</w:t>
      </w:r>
      <w:r w:rsidRPr="006B32CC">
        <w:rPr>
          <w:rFonts w:cs="Arial"/>
          <w:sz w:val="22"/>
          <w:szCs w:val="22"/>
          <w:lang w:val="en-US"/>
        </w:rPr>
        <w:t xml:space="preserve"> vs. 314.3 cm</w:t>
      </w:r>
      <w:r w:rsidRPr="006B32CC">
        <w:rPr>
          <w:rStyle w:val="BodyText-SuperScript-H14"/>
          <w:rFonts w:ascii="Arial" w:hAnsi="Arial" w:cs="Arial"/>
          <w:sz w:val="22"/>
          <w:szCs w:val="22"/>
          <w:lang w:val="en-US"/>
        </w:rPr>
        <w:t>2</w:t>
      </w:r>
      <w:r w:rsidRPr="006B32CC">
        <w:rPr>
          <w:rFonts w:cs="Arial"/>
          <w:sz w:val="22"/>
          <w:szCs w:val="22"/>
          <w:lang w:val="en-US"/>
        </w:rPr>
        <w:t>), major cutaneous abscess (155.1 cm</w:t>
      </w:r>
      <w:r w:rsidRPr="006B32CC">
        <w:rPr>
          <w:rStyle w:val="BodyText-SuperScript-H14"/>
          <w:rFonts w:ascii="Arial" w:hAnsi="Arial" w:cs="Arial"/>
          <w:sz w:val="22"/>
          <w:szCs w:val="22"/>
          <w:lang w:val="en-US"/>
        </w:rPr>
        <w:t>2</w:t>
      </w:r>
      <w:r w:rsidRPr="006B32CC">
        <w:rPr>
          <w:rFonts w:cs="Arial"/>
          <w:sz w:val="22"/>
          <w:szCs w:val="22"/>
          <w:lang w:val="en-US"/>
        </w:rPr>
        <w:t xml:space="preserve"> vs. 178.8 cm</w:t>
      </w:r>
      <w:r w:rsidRPr="006B32CC">
        <w:rPr>
          <w:rStyle w:val="BodyText-SuperScript-H14"/>
          <w:rFonts w:ascii="Arial" w:hAnsi="Arial" w:cs="Arial"/>
          <w:sz w:val="22"/>
          <w:szCs w:val="22"/>
          <w:lang w:val="en-US"/>
        </w:rPr>
        <w:t>2</w:t>
      </w:r>
      <w:r w:rsidRPr="006B32CC">
        <w:rPr>
          <w:rFonts w:cs="Arial"/>
          <w:sz w:val="22"/>
          <w:szCs w:val="22"/>
          <w:lang w:val="en-US"/>
        </w:rPr>
        <w:t>), and wound infection (265.4 cm</w:t>
      </w:r>
      <w:r w:rsidRPr="006B32CC">
        <w:rPr>
          <w:rStyle w:val="BodyText-SuperScript-H14"/>
          <w:rFonts w:ascii="Arial" w:hAnsi="Arial" w:cs="Arial"/>
          <w:sz w:val="22"/>
          <w:szCs w:val="22"/>
          <w:lang w:val="en-US"/>
        </w:rPr>
        <w:t>2</w:t>
      </w:r>
      <w:r w:rsidRPr="006B32CC">
        <w:rPr>
          <w:rFonts w:cs="Arial"/>
          <w:sz w:val="22"/>
          <w:szCs w:val="22"/>
          <w:lang w:val="en-US"/>
        </w:rPr>
        <w:t xml:space="preserve"> vs. 219.3 cm</w:t>
      </w:r>
      <w:r w:rsidRPr="006B32CC">
        <w:rPr>
          <w:rStyle w:val="BodyText-SuperScript-H14"/>
          <w:rFonts w:ascii="Arial" w:hAnsi="Arial" w:cs="Arial"/>
          <w:sz w:val="22"/>
          <w:szCs w:val="22"/>
          <w:lang w:val="en-US"/>
        </w:rPr>
        <w:t>2</w:t>
      </w:r>
      <w:r w:rsidRPr="006B32CC">
        <w:rPr>
          <w:rFonts w:cs="Arial"/>
          <w:sz w:val="22"/>
          <w:szCs w:val="22"/>
          <w:lang w:val="en-US"/>
        </w:rPr>
        <w:t>).</w:t>
      </w:r>
      <w:r w:rsidR="008632EE" w:rsidRPr="006B32CC">
        <w:rPr>
          <w:rFonts w:cs="Arial"/>
          <w:sz w:val="22"/>
          <w:szCs w:val="22"/>
          <w:lang w:val="en-US"/>
        </w:rPr>
        <w:t xml:space="preserve"> </w:t>
      </w:r>
    </w:p>
    <w:p w14:paraId="06F17C7C" w14:textId="77777777" w:rsidR="00BA66AD" w:rsidRDefault="00BA66AD" w:rsidP="00BA66AD">
      <w:pPr>
        <w:pStyle w:val="BodyText"/>
        <w:rPr>
          <w:lang w:val="en-US"/>
        </w:rPr>
      </w:pPr>
    </w:p>
    <w:p w14:paraId="7E648FEF" w14:textId="14408514" w:rsidR="000B1F68" w:rsidRPr="00BA66AD" w:rsidRDefault="000B1F68" w:rsidP="000B1F68">
      <w:pPr>
        <w:pStyle w:val="BodyText"/>
        <w:rPr>
          <w:rFonts w:cs="Arial"/>
          <w:b/>
          <w:sz w:val="22"/>
          <w:szCs w:val="22"/>
          <w:lang w:val="en-US"/>
        </w:rPr>
      </w:pPr>
      <w:r w:rsidRPr="00BA66AD">
        <w:rPr>
          <w:rFonts w:cs="Arial"/>
          <w:b/>
          <w:sz w:val="22"/>
          <w:szCs w:val="22"/>
          <w:lang w:val="en-US"/>
        </w:rPr>
        <w:t>Baseline ABSSSI infecting pathogens in ESTABLISH-2</w:t>
      </w:r>
      <w:r w:rsidR="00BA66AD">
        <w:rPr>
          <w:rFonts w:cs="Arial"/>
          <w:b/>
          <w:sz w:val="22"/>
          <w:szCs w:val="22"/>
          <w:lang w:val="en-US"/>
        </w:rPr>
        <w:t xml:space="preserve">: </w:t>
      </w:r>
      <w:r w:rsidRPr="00BA66AD">
        <w:rPr>
          <w:rFonts w:eastAsia="Arial Unicode MS" w:cs="Arial"/>
          <w:sz w:val="22"/>
          <w:szCs w:val="22"/>
          <w:lang w:val="en-US"/>
        </w:rPr>
        <w:t xml:space="preserve">The majority of the infecting pathogens were Gram-positive aerobes in both the tedizolid phosphate and linezolid groups within the MITT </w:t>
      </w:r>
      <w:r w:rsidRPr="00BA66AD">
        <w:rPr>
          <w:rFonts w:cs="Arial"/>
          <w:sz w:val="22"/>
          <w:szCs w:val="22"/>
          <w:lang w:val="en-US"/>
        </w:rPr>
        <w:t>population</w:t>
      </w:r>
      <w:r w:rsidRPr="00BA66AD">
        <w:rPr>
          <w:rFonts w:eastAsia="Arial Unicode MS" w:cs="Arial"/>
          <w:sz w:val="22"/>
          <w:szCs w:val="22"/>
          <w:lang w:val="en-US"/>
        </w:rPr>
        <w:t xml:space="preserve">. In both treatment groups, </w:t>
      </w:r>
      <w:r w:rsidRPr="00BA66AD">
        <w:rPr>
          <w:rStyle w:val="BodyText-italic-H12"/>
          <w:rFonts w:eastAsia="Arial Unicode MS" w:cs="Arial"/>
          <w:sz w:val="22"/>
          <w:szCs w:val="22"/>
          <w:lang w:val="en-US"/>
        </w:rPr>
        <w:t>S. aureus</w:t>
      </w:r>
      <w:r w:rsidRPr="00BA66AD">
        <w:rPr>
          <w:rFonts w:eastAsia="Arial Unicode MS" w:cs="Arial"/>
          <w:sz w:val="22"/>
          <w:szCs w:val="22"/>
          <w:lang w:val="en-US"/>
        </w:rPr>
        <w:t xml:space="preserve"> represented </w:t>
      </w:r>
      <w:r w:rsidRPr="00BA66AD">
        <w:rPr>
          <w:rFonts w:eastAsia="Arial Unicode MS" w:cs="Arial"/>
          <w:sz w:val="22"/>
          <w:szCs w:val="22"/>
          <w:lang w:val="en-US"/>
        </w:rPr>
        <w:lastRenderedPageBreak/>
        <w:t>slightly over 80% of the pathogens. MRSA was prevalent in 26.9% of cases in the tedizolid phosphate group and 27.7% in the linezolid group (</w:t>
      </w:r>
      <w:r w:rsidR="004412AA">
        <w:rPr>
          <w:rFonts w:cs="Arial"/>
          <w:sz w:val="22"/>
          <w:szCs w:val="22"/>
          <w:lang w:val="en-US"/>
        </w:rPr>
        <w:fldChar w:fldCharType="begin"/>
      </w:r>
      <w:r w:rsidR="004412AA">
        <w:rPr>
          <w:rFonts w:eastAsia="Arial Unicode MS" w:cs="Arial"/>
          <w:sz w:val="22"/>
          <w:szCs w:val="22"/>
          <w:lang w:val="en-US"/>
        </w:rPr>
        <w:instrText xml:space="preserve"> REF _Ref381888830 \h </w:instrText>
      </w:r>
      <w:r w:rsidR="004412AA">
        <w:rPr>
          <w:rFonts w:cs="Arial"/>
          <w:sz w:val="22"/>
          <w:szCs w:val="22"/>
          <w:lang w:val="en-US"/>
        </w:rPr>
      </w:r>
      <w:r w:rsidR="004412AA">
        <w:rPr>
          <w:rFonts w:cs="Arial"/>
          <w:sz w:val="22"/>
          <w:szCs w:val="22"/>
          <w:lang w:val="en-US"/>
        </w:rPr>
        <w:fldChar w:fldCharType="separate"/>
      </w:r>
      <w:r w:rsidR="00151A1C" w:rsidRPr="00BA66AD">
        <w:rPr>
          <w:rFonts w:cs="Arial"/>
          <w:sz w:val="22"/>
          <w:szCs w:val="22"/>
          <w:lang w:val="en-US"/>
        </w:rPr>
        <w:t xml:space="preserve">Table </w:t>
      </w:r>
      <w:r w:rsidR="00151A1C">
        <w:rPr>
          <w:rFonts w:cs="Arial"/>
          <w:noProof/>
          <w:sz w:val="22"/>
          <w:szCs w:val="22"/>
          <w:lang w:val="en-US"/>
        </w:rPr>
        <w:t>22</w:t>
      </w:r>
      <w:r w:rsidR="004412AA">
        <w:rPr>
          <w:rFonts w:cs="Arial"/>
          <w:sz w:val="22"/>
          <w:szCs w:val="22"/>
          <w:lang w:val="en-US"/>
        </w:rPr>
        <w:fldChar w:fldCharType="end"/>
      </w:r>
      <w:r w:rsidRPr="00BA66AD">
        <w:rPr>
          <w:rFonts w:eastAsia="Arial Unicode MS" w:cs="Arial"/>
          <w:sz w:val="22"/>
          <w:szCs w:val="22"/>
          <w:lang w:val="en-US"/>
        </w:rPr>
        <w:t>).</w:t>
      </w:r>
      <w:r w:rsidR="00F8335F">
        <w:rPr>
          <w:rFonts w:eastAsia="Arial Unicode MS" w:cs="Arial"/>
          <w:sz w:val="22"/>
          <w:szCs w:val="22"/>
          <w:lang w:val="en-US"/>
        </w:rPr>
        <w:t xml:space="preserve"> This sub-population of patients with MRSA-caused ABSSSI is described in more detail in section 3b).</w:t>
      </w:r>
    </w:p>
    <w:p w14:paraId="72F2AD2C" w14:textId="77777777" w:rsidR="000B1F68" w:rsidRPr="00BA66AD" w:rsidRDefault="000B1F68" w:rsidP="000B1F68">
      <w:pPr>
        <w:pStyle w:val="Caption"/>
        <w:rPr>
          <w:rFonts w:ascii="Arial" w:hAnsi="Arial" w:cs="Arial"/>
          <w:sz w:val="22"/>
          <w:szCs w:val="22"/>
          <w:lang w:val="en-US"/>
        </w:rPr>
      </w:pPr>
      <w:bookmarkStart w:id="113" w:name="_Ref381888830"/>
      <w:bookmarkStart w:id="114" w:name="_Toc396058445"/>
      <w:r w:rsidRPr="00BA66AD">
        <w:rPr>
          <w:rFonts w:ascii="Arial" w:hAnsi="Arial" w:cs="Arial"/>
          <w:sz w:val="22"/>
          <w:szCs w:val="22"/>
          <w:lang w:val="en-US"/>
        </w:rPr>
        <w:t xml:space="preserve">Table </w:t>
      </w:r>
      <w:r w:rsidRPr="00BA66AD">
        <w:rPr>
          <w:rFonts w:ascii="Arial" w:hAnsi="Arial" w:cs="Arial"/>
          <w:sz w:val="22"/>
          <w:szCs w:val="22"/>
          <w:lang w:val="en-US"/>
        </w:rPr>
        <w:fldChar w:fldCharType="begin"/>
      </w:r>
      <w:r w:rsidRPr="00BA66AD">
        <w:rPr>
          <w:rFonts w:ascii="Arial" w:hAnsi="Arial" w:cs="Arial"/>
          <w:sz w:val="22"/>
          <w:szCs w:val="22"/>
          <w:lang w:val="en-US"/>
        </w:rPr>
        <w:instrText xml:space="preserve"> SEQ Table \* ARABIC </w:instrText>
      </w:r>
      <w:r w:rsidRPr="00BA66AD">
        <w:rPr>
          <w:rFonts w:ascii="Arial" w:hAnsi="Arial" w:cs="Arial"/>
          <w:sz w:val="22"/>
          <w:szCs w:val="22"/>
          <w:lang w:val="en-US"/>
        </w:rPr>
        <w:fldChar w:fldCharType="separate"/>
      </w:r>
      <w:r w:rsidR="00151A1C">
        <w:rPr>
          <w:rFonts w:ascii="Arial" w:hAnsi="Arial" w:cs="Arial"/>
          <w:noProof/>
          <w:sz w:val="22"/>
          <w:szCs w:val="22"/>
          <w:lang w:val="en-US"/>
        </w:rPr>
        <w:t>22</w:t>
      </w:r>
      <w:r w:rsidRPr="00BA66AD">
        <w:rPr>
          <w:rFonts w:ascii="Arial" w:hAnsi="Arial" w:cs="Arial"/>
          <w:sz w:val="22"/>
          <w:szCs w:val="22"/>
          <w:lang w:val="en-US"/>
        </w:rPr>
        <w:fldChar w:fldCharType="end"/>
      </w:r>
      <w:bookmarkEnd w:id="113"/>
      <w:r w:rsidRPr="00BA66AD">
        <w:rPr>
          <w:rFonts w:ascii="Arial" w:hAnsi="Arial" w:cs="Arial"/>
          <w:sz w:val="22"/>
          <w:szCs w:val="22"/>
          <w:lang w:val="en-US"/>
        </w:rPr>
        <w:t>: Pathogenic organisms from primary ABSSSI site or blood culture in ESTABLISH-2 (MITT population)</w:t>
      </w:r>
      <w:bookmarkEnd w:id="114"/>
      <w:r w:rsidRPr="00BA66AD">
        <w:rPr>
          <w:rFonts w:ascii="Arial" w:hAnsi="Arial" w:cs="Arial"/>
          <w:sz w:val="22"/>
          <w:szCs w:val="22"/>
          <w:lang w:val="en-US"/>
        </w:rPr>
        <w:t xml:space="preserve"> </w:t>
      </w:r>
    </w:p>
    <w:tbl>
      <w:tblPr>
        <w:tblStyle w:val="Table-HERONplain1"/>
        <w:tblW w:w="0" w:type="auto"/>
        <w:tblLook w:val="04A0" w:firstRow="1" w:lastRow="0" w:firstColumn="1" w:lastColumn="0" w:noHBand="0" w:noVBand="1"/>
      </w:tblPr>
      <w:tblGrid>
        <w:gridCol w:w="2979"/>
        <w:gridCol w:w="2965"/>
        <w:gridCol w:w="2959"/>
      </w:tblGrid>
      <w:tr w:rsidR="000B1F68" w:rsidRPr="00D95C15" w14:paraId="04254B01" w14:textId="77777777" w:rsidTr="00706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62EA59CF" w14:textId="77777777" w:rsidR="000B1F68" w:rsidRPr="009A3E25" w:rsidRDefault="000B1F68" w:rsidP="00100BE6">
            <w:pPr>
              <w:pStyle w:val="TableBodyText"/>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 xml:space="preserve">Pathogenic organism </w:t>
            </w:r>
          </w:p>
        </w:tc>
        <w:tc>
          <w:tcPr>
            <w:tcW w:w="3041" w:type="dxa"/>
            <w:shd w:val="clear" w:color="auto" w:fill="auto"/>
            <w:hideMark/>
          </w:tcPr>
          <w:p w14:paraId="53843888" w14:textId="77777777" w:rsidR="000B1F68" w:rsidRPr="009A3E2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cs="Arial"/>
                <w:sz w:val="20"/>
                <w:lang w:val="en-US"/>
              </w:rPr>
            </w:pPr>
            <w:r w:rsidRPr="009A3E25">
              <w:rPr>
                <w:rStyle w:val="CommentReference"/>
                <w:rFonts w:ascii="Arial" w:eastAsiaTheme="majorEastAsia" w:hAnsi="Arial" w:cs="Arial"/>
                <w:sz w:val="20"/>
                <w:lang w:val="en-US" w:eastAsia="en-GB"/>
              </w:rPr>
              <w:t>Tedizolid phosphate (N=197)</w:t>
            </w:r>
          </w:p>
          <w:p w14:paraId="1279AD8C" w14:textId="77777777" w:rsidR="000B1F68" w:rsidRPr="009A3E2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cs="Arial"/>
                <w:sz w:val="20"/>
                <w:lang w:val="en-US" w:eastAsia="en-GB"/>
              </w:rPr>
            </w:pPr>
            <w:r w:rsidRPr="009A3E25">
              <w:rPr>
                <w:rStyle w:val="CommentReference"/>
                <w:rFonts w:ascii="Arial" w:eastAsiaTheme="majorEastAsia" w:hAnsi="Arial" w:cs="Arial"/>
                <w:sz w:val="20"/>
                <w:lang w:val="en-US" w:eastAsia="en-GB"/>
              </w:rPr>
              <w:t>n (%)</w:t>
            </w:r>
          </w:p>
        </w:tc>
        <w:tc>
          <w:tcPr>
            <w:tcW w:w="3041" w:type="dxa"/>
            <w:shd w:val="clear" w:color="auto" w:fill="auto"/>
            <w:hideMark/>
          </w:tcPr>
          <w:p w14:paraId="61039C2A" w14:textId="77777777" w:rsidR="000B1F68" w:rsidRPr="009A3E2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cs="Arial"/>
                <w:sz w:val="20"/>
                <w:lang w:val="en-US"/>
              </w:rPr>
            </w:pPr>
            <w:r w:rsidRPr="009A3E25">
              <w:rPr>
                <w:rStyle w:val="CommentReference"/>
                <w:rFonts w:ascii="Arial" w:eastAsiaTheme="majorEastAsia" w:hAnsi="Arial" w:cs="Arial"/>
                <w:sz w:val="20"/>
                <w:lang w:val="en-US" w:eastAsia="en-GB"/>
              </w:rPr>
              <w:t>Linezolid (N=202)</w:t>
            </w:r>
          </w:p>
          <w:p w14:paraId="628ADBF6" w14:textId="77777777" w:rsidR="000B1F68" w:rsidRPr="009A3E25" w:rsidRDefault="000B1F68" w:rsidP="00100BE6">
            <w:pPr>
              <w:pStyle w:val="TableBodyCentered-H52"/>
              <w:cnfStyle w:val="100000000000" w:firstRow="1" w:lastRow="0" w:firstColumn="0" w:lastColumn="0" w:oddVBand="0" w:evenVBand="0" w:oddHBand="0" w:evenHBand="0" w:firstRowFirstColumn="0" w:firstRowLastColumn="0" w:lastRowFirstColumn="0" w:lastRowLastColumn="0"/>
              <w:rPr>
                <w:rStyle w:val="CommentReference"/>
                <w:rFonts w:ascii="Arial" w:hAnsi="Arial" w:cs="Arial"/>
                <w:sz w:val="20"/>
                <w:lang w:val="en-US" w:eastAsia="en-GB"/>
              </w:rPr>
            </w:pPr>
            <w:r w:rsidRPr="009A3E25">
              <w:rPr>
                <w:rStyle w:val="CommentReference"/>
                <w:rFonts w:ascii="Arial" w:eastAsiaTheme="majorEastAsia" w:hAnsi="Arial" w:cs="Arial"/>
                <w:sz w:val="20"/>
                <w:lang w:val="en-US" w:eastAsia="en-GB"/>
              </w:rPr>
              <w:t>n (%)</w:t>
            </w:r>
          </w:p>
        </w:tc>
      </w:tr>
      <w:tr w:rsidR="000B1F68" w:rsidRPr="00D95C15" w14:paraId="0357CA96" w14:textId="77777777" w:rsidTr="00706950">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25BB28A7" w14:textId="77777777" w:rsidR="000B1F68" w:rsidRPr="009A3E25" w:rsidRDefault="000B1F68" w:rsidP="00100BE6">
            <w:pPr>
              <w:pStyle w:val="TableBodyText"/>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Gram-positive (aerobes):</w:t>
            </w:r>
          </w:p>
        </w:tc>
        <w:tc>
          <w:tcPr>
            <w:tcW w:w="3041" w:type="dxa"/>
            <w:hideMark/>
          </w:tcPr>
          <w:p w14:paraId="1813467E"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192 (97.5)</w:t>
            </w:r>
          </w:p>
        </w:tc>
        <w:tc>
          <w:tcPr>
            <w:tcW w:w="3041" w:type="dxa"/>
            <w:hideMark/>
          </w:tcPr>
          <w:p w14:paraId="36840F9D"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199 (98.5)</w:t>
            </w:r>
          </w:p>
        </w:tc>
      </w:tr>
      <w:tr w:rsidR="000B1F68" w:rsidRPr="00D95C15" w14:paraId="675F16D1"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5A039A15" w14:textId="77777777" w:rsidR="000B1F68" w:rsidRPr="009A3E25" w:rsidRDefault="000B1F68" w:rsidP="00100BE6">
            <w:pPr>
              <w:pStyle w:val="TableBodyText"/>
              <w:ind w:left="313"/>
              <w:rPr>
                <w:rStyle w:val="BodyText-italic-H12"/>
                <w:rFonts w:ascii="Arial" w:hAnsi="Arial" w:cs="Arial"/>
                <w:sz w:val="20"/>
                <w:szCs w:val="20"/>
                <w:lang w:val="en-US"/>
              </w:rPr>
            </w:pPr>
            <w:r w:rsidRPr="009A3E25">
              <w:rPr>
                <w:rStyle w:val="BodyText-italic-H12"/>
                <w:rFonts w:ascii="Arial" w:hAnsi="Arial" w:cs="Arial"/>
                <w:sz w:val="20"/>
                <w:szCs w:val="20"/>
                <w:lang w:val="en-US" w:eastAsia="en-GB"/>
              </w:rPr>
              <w:t>S. aureus</w:t>
            </w:r>
          </w:p>
        </w:tc>
        <w:tc>
          <w:tcPr>
            <w:tcW w:w="3041" w:type="dxa"/>
            <w:hideMark/>
          </w:tcPr>
          <w:p w14:paraId="573AFD4E"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158 (80.2)</w:t>
            </w:r>
          </w:p>
        </w:tc>
        <w:tc>
          <w:tcPr>
            <w:tcW w:w="3041" w:type="dxa"/>
            <w:hideMark/>
          </w:tcPr>
          <w:p w14:paraId="0D1485D6"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(167 (82.7)</w:t>
            </w:r>
          </w:p>
        </w:tc>
      </w:tr>
      <w:tr w:rsidR="000B1F68" w:rsidRPr="00D95C15" w14:paraId="1EECB55F" w14:textId="77777777" w:rsidTr="00706950">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45FB32FB" w14:textId="77777777" w:rsidR="000B1F68" w:rsidRPr="009A3E25" w:rsidRDefault="000B1F68" w:rsidP="00100BE6">
            <w:pPr>
              <w:pStyle w:val="TableBodyText"/>
              <w:ind w:left="313"/>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MRSA</w:t>
            </w:r>
          </w:p>
        </w:tc>
        <w:tc>
          <w:tcPr>
            <w:tcW w:w="3041" w:type="dxa"/>
            <w:hideMark/>
          </w:tcPr>
          <w:p w14:paraId="50DFA5F8"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53 (26.9)</w:t>
            </w:r>
          </w:p>
        </w:tc>
        <w:tc>
          <w:tcPr>
            <w:tcW w:w="3041" w:type="dxa"/>
            <w:hideMark/>
          </w:tcPr>
          <w:p w14:paraId="2EEEEC51"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56 (27.7)</w:t>
            </w:r>
          </w:p>
        </w:tc>
      </w:tr>
      <w:tr w:rsidR="000B1F68" w:rsidRPr="00D95C15" w14:paraId="6FF90BE5"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79F6BE19" w14:textId="77777777" w:rsidR="000B1F68" w:rsidRPr="009A3E25" w:rsidRDefault="000B1F68" w:rsidP="00100BE6">
            <w:pPr>
              <w:pStyle w:val="TableBodyText"/>
              <w:ind w:left="313"/>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MSSA</w:t>
            </w:r>
          </w:p>
        </w:tc>
        <w:tc>
          <w:tcPr>
            <w:tcW w:w="3041" w:type="dxa"/>
            <w:hideMark/>
          </w:tcPr>
          <w:p w14:paraId="09E7B4F4"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105 (53.3)</w:t>
            </w:r>
          </w:p>
        </w:tc>
        <w:tc>
          <w:tcPr>
            <w:tcW w:w="3041" w:type="dxa"/>
            <w:hideMark/>
          </w:tcPr>
          <w:p w14:paraId="1915AF76"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111 (55.0)</w:t>
            </w:r>
          </w:p>
        </w:tc>
      </w:tr>
      <w:tr w:rsidR="000B1F68" w:rsidRPr="00D95C15" w14:paraId="05AEA7A7" w14:textId="77777777" w:rsidTr="00706950">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404A3BB7" w14:textId="77777777" w:rsidR="000B1F68" w:rsidRPr="009A3E25" w:rsidRDefault="000B1F68" w:rsidP="00100BE6">
            <w:pPr>
              <w:pStyle w:val="TableBodyText"/>
              <w:ind w:left="313"/>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 xml:space="preserve">PVL </w:t>
            </w:r>
            <w:r w:rsidRPr="009A3E25">
              <w:rPr>
                <w:rStyle w:val="BodyText-italic-H12"/>
                <w:rFonts w:ascii="Arial" w:hAnsi="Arial" w:cs="Arial"/>
                <w:sz w:val="20"/>
                <w:szCs w:val="20"/>
                <w:lang w:val="en-US" w:eastAsia="en-GB"/>
              </w:rPr>
              <w:t>S. aureus</w:t>
            </w:r>
          </w:p>
        </w:tc>
        <w:tc>
          <w:tcPr>
            <w:tcW w:w="3041" w:type="dxa"/>
            <w:hideMark/>
          </w:tcPr>
          <w:p w14:paraId="7AE1A821"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93 (47.2)</w:t>
            </w:r>
          </w:p>
        </w:tc>
        <w:tc>
          <w:tcPr>
            <w:tcW w:w="3041" w:type="dxa"/>
            <w:hideMark/>
          </w:tcPr>
          <w:p w14:paraId="3DFBF339"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78 (38.6)</w:t>
            </w:r>
          </w:p>
        </w:tc>
      </w:tr>
      <w:tr w:rsidR="000B1F68" w:rsidRPr="00D95C15" w14:paraId="09C7F0D0" w14:textId="77777777" w:rsidTr="00706950">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18627242" w14:textId="77777777" w:rsidR="000B1F68" w:rsidRPr="009A3E25" w:rsidRDefault="000B1F68" w:rsidP="00100BE6">
            <w:pPr>
              <w:pStyle w:val="TableBodyText"/>
              <w:ind w:left="313"/>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 xml:space="preserve">Other Gram-positive (aerobes) </w:t>
            </w:r>
          </w:p>
        </w:tc>
        <w:tc>
          <w:tcPr>
            <w:tcW w:w="3041" w:type="dxa"/>
            <w:hideMark/>
          </w:tcPr>
          <w:p w14:paraId="13C6177C"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cs="Arial"/>
                <w:sz w:val="20"/>
                <w:lang w:val="en-US"/>
              </w:rPr>
            </w:pPr>
            <w:r w:rsidRPr="009A3E25">
              <w:rPr>
                <w:rFonts w:ascii="Arial" w:hAnsi="Arial" w:cs="Arial"/>
                <w:sz w:val="20"/>
                <w:lang w:val="en-US" w:eastAsia="en-GB"/>
              </w:rPr>
              <w:t>55 (27.8)</w:t>
            </w:r>
          </w:p>
        </w:tc>
        <w:tc>
          <w:tcPr>
            <w:tcW w:w="3041" w:type="dxa"/>
            <w:hideMark/>
          </w:tcPr>
          <w:p w14:paraId="317FAACB"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Style w:val="CommentReference"/>
                <w:rFonts w:ascii="Arial" w:hAnsi="Arial" w:cs="Arial"/>
                <w:sz w:val="20"/>
                <w:lang w:val="en-US"/>
              </w:rPr>
            </w:pPr>
            <w:r w:rsidRPr="009A3E25">
              <w:rPr>
                <w:rFonts w:ascii="Arial" w:hAnsi="Arial" w:cs="Arial"/>
                <w:sz w:val="20"/>
                <w:lang w:val="en-US" w:eastAsia="en-GB"/>
              </w:rPr>
              <w:t>58 (28.8)</w:t>
            </w:r>
          </w:p>
        </w:tc>
      </w:tr>
      <w:tr w:rsidR="000B1F68" w:rsidRPr="00D95C15" w14:paraId="067019FD" w14:textId="77777777" w:rsidTr="00706950">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566DFE7A" w14:textId="77777777" w:rsidR="000B1F68" w:rsidRPr="009A3E25" w:rsidRDefault="000B1F68" w:rsidP="00100BE6">
            <w:pPr>
              <w:pStyle w:val="TableBodyText"/>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Gram-positive (anaerobes)</w:t>
            </w:r>
          </w:p>
        </w:tc>
        <w:tc>
          <w:tcPr>
            <w:tcW w:w="3041" w:type="dxa"/>
            <w:hideMark/>
          </w:tcPr>
          <w:p w14:paraId="54C880E2"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7 (3.6)</w:t>
            </w:r>
          </w:p>
        </w:tc>
        <w:tc>
          <w:tcPr>
            <w:tcW w:w="3041" w:type="dxa"/>
            <w:hideMark/>
          </w:tcPr>
          <w:p w14:paraId="2B0553E4"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5 (2.5)</w:t>
            </w:r>
          </w:p>
        </w:tc>
      </w:tr>
      <w:tr w:rsidR="000B1F68" w:rsidRPr="00D95C15" w14:paraId="3A133739"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15A1AF51" w14:textId="77777777" w:rsidR="000B1F68" w:rsidRPr="009A3E25" w:rsidRDefault="000B1F68" w:rsidP="00100BE6">
            <w:pPr>
              <w:pStyle w:val="TableBodyText"/>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Gram-negative organisms (aerobes)</w:t>
            </w:r>
          </w:p>
        </w:tc>
        <w:tc>
          <w:tcPr>
            <w:tcW w:w="3041" w:type="dxa"/>
            <w:hideMark/>
          </w:tcPr>
          <w:p w14:paraId="76CF76F0"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3 (1.5)</w:t>
            </w:r>
          </w:p>
        </w:tc>
        <w:tc>
          <w:tcPr>
            <w:tcW w:w="3041" w:type="dxa"/>
            <w:hideMark/>
          </w:tcPr>
          <w:p w14:paraId="1012BE17" w14:textId="77777777" w:rsidR="000B1F68" w:rsidRPr="009A3E25" w:rsidRDefault="000B1F68"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 (0.5)</w:t>
            </w:r>
          </w:p>
        </w:tc>
      </w:tr>
      <w:tr w:rsidR="000B1F68" w:rsidRPr="00D95C15" w14:paraId="0D3DAAAF" w14:textId="77777777" w:rsidTr="00706950">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0E3A4866" w14:textId="77777777" w:rsidR="000B1F68" w:rsidRPr="009A3E25" w:rsidRDefault="000B1F68" w:rsidP="00100BE6">
            <w:pPr>
              <w:pStyle w:val="TableBodyText"/>
              <w:rPr>
                <w:rStyle w:val="CommentReference"/>
                <w:rFonts w:ascii="Arial" w:hAnsi="Arial" w:cs="Arial"/>
                <w:sz w:val="20"/>
                <w:szCs w:val="20"/>
                <w:lang w:val="en-US"/>
              </w:rPr>
            </w:pPr>
            <w:r w:rsidRPr="009A3E25">
              <w:rPr>
                <w:rStyle w:val="CommentReference"/>
                <w:rFonts w:ascii="Arial" w:eastAsiaTheme="majorEastAsia" w:hAnsi="Arial" w:cs="Arial"/>
                <w:sz w:val="20"/>
                <w:szCs w:val="20"/>
                <w:lang w:val="en-US" w:eastAsia="en-GB"/>
              </w:rPr>
              <w:t>Gram-negative organisms (anaerobes)</w:t>
            </w:r>
          </w:p>
        </w:tc>
        <w:tc>
          <w:tcPr>
            <w:tcW w:w="3041" w:type="dxa"/>
            <w:hideMark/>
          </w:tcPr>
          <w:p w14:paraId="6CF8177E"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0</w:t>
            </w:r>
          </w:p>
        </w:tc>
        <w:tc>
          <w:tcPr>
            <w:tcW w:w="3041" w:type="dxa"/>
            <w:hideMark/>
          </w:tcPr>
          <w:p w14:paraId="04AA1D96" w14:textId="77777777" w:rsidR="000B1F68" w:rsidRPr="009A3E25" w:rsidRDefault="000B1F68"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9A3E25">
              <w:rPr>
                <w:rFonts w:ascii="Arial" w:hAnsi="Arial" w:cs="Arial"/>
                <w:sz w:val="20"/>
                <w:lang w:val="en-US" w:eastAsia="en-GB"/>
              </w:rPr>
              <w:t>1 (0.5)</w:t>
            </w:r>
          </w:p>
        </w:tc>
      </w:tr>
    </w:tbl>
    <w:p w14:paraId="11C9AEFA" w14:textId="7301AAE2" w:rsidR="000B1F68" w:rsidRPr="009A3E25" w:rsidRDefault="000B1F68" w:rsidP="00E358AF">
      <w:pPr>
        <w:pStyle w:val="TableNote-H58"/>
        <w:spacing w:before="0" w:after="0"/>
        <w:jc w:val="left"/>
        <w:rPr>
          <w:rFonts w:ascii="Arial" w:hAnsi="Arial" w:cs="Arial"/>
          <w:sz w:val="16"/>
          <w:szCs w:val="16"/>
          <w:lang w:val="en-US"/>
        </w:rPr>
      </w:pPr>
      <w:r w:rsidRPr="009A3E25">
        <w:rPr>
          <w:rFonts w:ascii="Arial" w:hAnsi="Arial" w:cs="Arial"/>
          <w:sz w:val="16"/>
          <w:szCs w:val="16"/>
          <w:lang w:val="en-US"/>
        </w:rPr>
        <w:t>SOURCE: 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9A3E25">
        <w:rPr>
          <w:rFonts w:ascii="Arial" w:hAnsi="Arial" w:cs="Arial"/>
          <w:sz w:val="16"/>
          <w:szCs w:val="16"/>
          <w:lang w:val="en-US"/>
        </w:rPr>
        <w:t xml:space="preserve">: section 11.2.3.3 Table 11-13 </w:t>
      </w:r>
    </w:p>
    <w:p w14:paraId="014A7787" w14:textId="77777777" w:rsidR="000B1F68" w:rsidRPr="009A3E25" w:rsidRDefault="000B1F68" w:rsidP="00E358AF">
      <w:pPr>
        <w:pStyle w:val="TableNote-H58"/>
        <w:spacing w:before="0" w:after="0"/>
        <w:jc w:val="left"/>
        <w:rPr>
          <w:rFonts w:ascii="Arial" w:hAnsi="Arial" w:cs="Arial"/>
          <w:sz w:val="16"/>
          <w:szCs w:val="16"/>
          <w:lang w:val="en-US"/>
        </w:rPr>
      </w:pPr>
      <w:r w:rsidRPr="009A3E25">
        <w:rPr>
          <w:rFonts w:ascii="Arial" w:hAnsi="Arial" w:cs="Arial"/>
          <w:sz w:val="16"/>
          <w:szCs w:val="16"/>
          <w:lang w:val="en-US"/>
        </w:rPr>
        <w:t xml:space="preserve">Note: Patients with the same pathogen isolated from multiple specimens are counted only once for that pathogen. Patients with the same pathogen identified from both the blood and primary ABSSSI cultures are counted only once. Patients with both MRSA and MSSA are counted only once in overall </w:t>
      </w:r>
      <w:r w:rsidRPr="009A3E25">
        <w:rPr>
          <w:rStyle w:val="BodyText-italic-H12"/>
          <w:rFonts w:ascii="Arial" w:hAnsi="Arial" w:cs="Arial"/>
          <w:bCs w:val="0"/>
          <w:sz w:val="16"/>
          <w:szCs w:val="16"/>
          <w:lang w:val="en-US"/>
        </w:rPr>
        <w:t>S. aureus</w:t>
      </w:r>
      <w:r w:rsidRPr="009A3E25">
        <w:rPr>
          <w:rFonts w:ascii="Arial" w:hAnsi="Arial" w:cs="Arial"/>
          <w:sz w:val="16"/>
          <w:szCs w:val="16"/>
          <w:lang w:val="en-US"/>
        </w:rPr>
        <w:t xml:space="preserve"> row and untyped </w:t>
      </w:r>
      <w:r w:rsidRPr="009A3E25">
        <w:rPr>
          <w:rStyle w:val="BodyText-italic-H12"/>
          <w:rFonts w:ascii="Arial" w:hAnsi="Arial" w:cs="Arial"/>
          <w:bCs w:val="0"/>
          <w:sz w:val="16"/>
          <w:szCs w:val="16"/>
          <w:lang w:val="en-US"/>
        </w:rPr>
        <w:t>S. aureus</w:t>
      </w:r>
      <w:r w:rsidRPr="009A3E25">
        <w:rPr>
          <w:rFonts w:ascii="Arial" w:hAnsi="Arial" w:cs="Arial"/>
          <w:sz w:val="16"/>
          <w:szCs w:val="16"/>
          <w:lang w:val="en-US"/>
        </w:rPr>
        <w:t xml:space="preserve"> pathogens are only counted in the overall </w:t>
      </w:r>
      <w:r w:rsidRPr="009A3E25">
        <w:rPr>
          <w:rStyle w:val="BodyText-italic-H12"/>
          <w:rFonts w:ascii="Arial" w:hAnsi="Arial" w:cs="Arial"/>
          <w:bCs w:val="0"/>
          <w:sz w:val="16"/>
          <w:szCs w:val="16"/>
          <w:lang w:val="en-US"/>
        </w:rPr>
        <w:t>S. aureus</w:t>
      </w:r>
      <w:r w:rsidRPr="009A3E25">
        <w:rPr>
          <w:rFonts w:ascii="Arial" w:hAnsi="Arial" w:cs="Arial"/>
          <w:sz w:val="16"/>
          <w:szCs w:val="16"/>
          <w:lang w:val="en-US"/>
        </w:rPr>
        <w:t xml:space="preserve"> row</w:t>
      </w:r>
    </w:p>
    <w:p w14:paraId="20D82D31" w14:textId="77777777" w:rsidR="000B1F68" w:rsidRPr="009A3E25" w:rsidRDefault="000B1F68" w:rsidP="00E358AF">
      <w:pPr>
        <w:pStyle w:val="TableNote-H58"/>
        <w:spacing w:before="0" w:after="0"/>
        <w:jc w:val="left"/>
        <w:rPr>
          <w:rFonts w:ascii="Arial" w:hAnsi="Arial" w:cs="Arial"/>
          <w:sz w:val="16"/>
          <w:szCs w:val="16"/>
          <w:lang w:val="en-US"/>
        </w:rPr>
      </w:pPr>
      <w:r w:rsidRPr="009A3E25">
        <w:rPr>
          <w:rFonts w:ascii="Arial" w:hAnsi="Arial" w:cs="Arial"/>
          <w:sz w:val="16"/>
          <w:szCs w:val="16"/>
          <w:lang w:val="en-US"/>
        </w:rPr>
        <w:t xml:space="preserve">ABSSSI: Acute bacterial skin and skin structure infection; MITT: Microbiological intent-to-treat; MRSA: Methicillin-resistant </w:t>
      </w:r>
      <w:r w:rsidRPr="009A3E25">
        <w:rPr>
          <w:rStyle w:val="BodyText-italic-H12"/>
          <w:rFonts w:ascii="Arial" w:hAnsi="Arial" w:cs="Arial"/>
          <w:bCs w:val="0"/>
          <w:sz w:val="16"/>
          <w:szCs w:val="16"/>
          <w:lang w:val="en-US"/>
        </w:rPr>
        <w:t>S. aureus</w:t>
      </w:r>
      <w:r w:rsidRPr="009A3E25">
        <w:rPr>
          <w:rFonts w:ascii="Arial" w:hAnsi="Arial" w:cs="Arial"/>
          <w:sz w:val="16"/>
          <w:szCs w:val="16"/>
          <w:lang w:val="en-US"/>
        </w:rPr>
        <w:t>; MSSA: Methicillin-</w:t>
      </w:r>
      <w:r w:rsidRPr="009A3E25">
        <w:rPr>
          <w:rStyle w:val="CommentReference"/>
          <w:rFonts w:ascii="Arial" w:eastAsiaTheme="majorEastAsia" w:hAnsi="Arial" w:cs="Arial"/>
          <w:sz w:val="16"/>
          <w:szCs w:val="16"/>
          <w:lang w:val="en-US"/>
        </w:rPr>
        <w:t xml:space="preserve"> susceptible</w:t>
      </w:r>
      <w:r w:rsidRPr="009A3E25">
        <w:rPr>
          <w:rFonts w:ascii="Arial" w:hAnsi="Arial" w:cs="Arial"/>
          <w:sz w:val="16"/>
          <w:szCs w:val="16"/>
          <w:lang w:val="en-US"/>
        </w:rPr>
        <w:t xml:space="preserve"> </w:t>
      </w:r>
      <w:r w:rsidRPr="009A3E25">
        <w:rPr>
          <w:rStyle w:val="BodyText-italic-H12"/>
          <w:rFonts w:ascii="Arial" w:hAnsi="Arial" w:cs="Arial"/>
          <w:bCs w:val="0"/>
          <w:sz w:val="16"/>
          <w:szCs w:val="16"/>
          <w:lang w:val="en-US"/>
        </w:rPr>
        <w:t>S</w:t>
      </w:r>
      <w:r w:rsidRPr="009A3E25">
        <w:rPr>
          <w:rStyle w:val="BodyText-italic-H12"/>
          <w:rFonts w:ascii="Arial" w:hAnsi="Arial" w:cs="Arial"/>
          <w:sz w:val="16"/>
          <w:szCs w:val="16"/>
          <w:lang w:val="en-US"/>
        </w:rPr>
        <w:t>.</w:t>
      </w:r>
      <w:r w:rsidRPr="009A3E25">
        <w:rPr>
          <w:rStyle w:val="BodyText-italic-H12"/>
          <w:rFonts w:ascii="Arial" w:hAnsi="Arial" w:cs="Arial"/>
          <w:bCs w:val="0"/>
          <w:sz w:val="16"/>
          <w:szCs w:val="16"/>
          <w:lang w:val="en-US"/>
        </w:rPr>
        <w:t xml:space="preserve"> aureus</w:t>
      </w:r>
      <w:r w:rsidRPr="009A3E25">
        <w:rPr>
          <w:rFonts w:ascii="Arial" w:hAnsi="Arial" w:cs="Arial"/>
          <w:sz w:val="16"/>
          <w:szCs w:val="16"/>
          <w:lang w:val="en-US"/>
        </w:rPr>
        <w:t>; PVL: Panton-Valentine Leukocidin; N: Number of patients in population; n: Number of patients in specific category</w:t>
      </w:r>
    </w:p>
    <w:p w14:paraId="30AAE8A9" w14:textId="77777777" w:rsidR="006C5A86" w:rsidRDefault="006C5A86" w:rsidP="00A818D1">
      <w:pPr>
        <w:pStyle w:val="BodyText"/>
        <w:rPr>
          <w:lang w:val="en-US"/>
        </w:rPr>
      </w:pPr>
    </w:p>
    <w:p w14:paraId="3B526E97" w14:textId="5458874F" w:rsidR="008E4E92" w:rsidRPr="00DF5FC8" w:rsidRDefault="009A3E25" w:rsidP="008E4E92">
      <w:pPr>
        <w:autoSpaceDE w:val="0"/>
        <w:autoSpaceDN w:val="0"/>
        <w:adjustRightInd w:val="0"/>
        <w:rPr>
          <w:rFonts w:eastAsia="Shaker2Lancet-Bold" w:cs="Arial"/>
          <w:b/>
          <w:bCs/>
          <w:sz w:val="22"/>
          <w:szCs w:val="22"/>
          <w:lang w:eastAsia="ja-JP"/>
        </w:rPr>
      </w:pPr>
      <w:r w:rsidRPr="00DF5FC8">
        <w:rPr>
          <w:rFonts w:cs="Arial"/>
          <w:b/>
          <w:bCs/>
          <w:sz w:val="22"/>
          <w:szCs w:val="22"/>
          <w:lang w:eastAsia="ja-JP"/>
        </w:rPr>
        <w:t>3.4</w:t>
      </w:r>
      <w:r w:rsidR="00695C71" w:rsidRPr="00DF5FC8">
        <w:rPr>
          <w:rFonts w:cs="Arial"/>
          <w:b/>
          <w:bCs/>
          <w:sz w:val="22"/>
          <w:szCs w:val="22"/>
          <w:lang w:eastAsia="ja-JP"/>
        </w:rPr>
        <w:t>.15 Results of the primary analysis of the primary outcome</w:t>
      </w:r>
      <w:r w:rsidRPr="00DF5FC8">
        <w:rPr>
          <w:rFonts w:eastAsia="Shaker2Lancet-Bold" w:cs="Arial"/>
          <w:b/>
          <w:bCs/>
          <w:sz w:val="22"/>
          <w:szCs w:val="22"/>
          <w:lang w:eastAsia="ja-JP"/>
        </w:rPr>
        <w:t xml:space="preserve">: </w:t>
      </w:r>
      <w:r w:rsidR="008E4E92" w:rsidRPr="00DF5FC8">
        <w:rPr>
          <w:rFonts w:eastAsia="ScalaLancetPro-Bold" w:cs="Arial"/>
          <w:bCs/>
          <w:sz w:val="22"/>
          <w:szCs w:val="22"/>
          <w:lang w:eastAsia="ja-JP"/>
        </w:rPr>
        <w:t>283 (85%) patients in</w:t>
      </w:r>
      <w:r w:rsidR="00C30026" w:rsidRPr="00DF5FC8">
        <w:rPr>
          <w:rFonts w:eastAsia="ScalaLancetPro-Bold" w:cs="Arial"/>
          <w:bCs/>
          <w:sz w:val="22"/>
          <w:szCs w:val="22"/>
          <w:lang w:eastAsia="ja-JP"/>
        </w:rPr>
        <w:t xml:space="preserve"> </w:t>
      </w:r>
      <w:r w:rsidR="008E4E92" w:rsidRPr="00DF5FC8">
        <w:rPr>
          <w:rFonts w:eastAsia="ScalaLancetPro-Bold" w:cs="Arial"/>
          <w:bCs/>
          <w:sz w:val="22"/>
          <w:szCs w:val="22"/>
          <w:lang w:eastAsia="ja-JP"/>
        </w:rPr>
        <w:t xml:space="preserve">the tedizolid </w:t>
      </w:r>
      <w:r w:rsidR="00CF4756">
        <w:rPr>
          <w:rFonts w:eastAsia="ScalaLancetPro-Bold" w:cs="Arial"/>
          <w:bCs/>
          <w:sz w:val="22"/>
          <w:szCs w:val="22"/>
          <w:lang w:eastAsia="ja-JP"/>
        </w:rPr>
        <w:t xml:space="preserve">phosphate </w:t>
      </w:r>
      <w:r w:rsidR="008E4E92" w:rsidRPr="00DF5FC8">
        <w:rPr>
          <w:rFonts w:eastAsia="ScalaLancetPro-Bold" w:cs="Arial"/>
          <w:bCs/>
          <w:sz w:val="22"/>
          <w:szCs w:val="22"/>
          <w:lang w:eastAsia="ja-JP"/>
        </w:rPr>
        <w:t>group and 276 (83%) in the linezolid group achieve</w:t>
      </w:r>
      <w:r w:rsidR="00C30026" w:rsidRPr="00DF5FC8">
        <w:rPr>
          <w:rFonts w:eastAsia="ScalaLancetPro-Bold" w:cs="Arial"/>
          <w:bCs/>
          <w:sz w:val="22"/>
          <w:szCs w:val="22"/>
          <w:lang w:eastAsia="ja-JP"/>
        </w:rPr>
        <w:t>d early clini</w:t>
      </w:r>
      <w:r w:rsidR="00C30026" w:rsidRPr="00DF5FC8">
        <w:rPr>
          <w:rFonts w:eastAsia="ScalaLancetPro-Bold" w:cs="Arial"/>
          <w:bCs/>
          <w:sz w:val="22"/>
          <w:szCs w:val="22"/>
          <w:lang w:eastAsia="ja-JP"/>
        </w:rPr>
        <w:lastRenderedPageBreak/>
        <w:t>cal response (diff</w:t>
      </w:r>
      <w:r w:rsidR="000127C7" w:rsidRPr="00DF5FC8">
        <w:rPr>
          <w:rFonts w:eastAsia="ScalaLancetPro-Bold" w:cs="Arial"/>
          <w:bCs/>
          <w:sz w:val="22"/>
          <w:szCs w:val="22"/>
          <w:lang w:eastAsia="ja-JP"/>
        </w:rPr>
        <w:t>erence 2.6%, 95% CI–3.</w:t>
      </w:r>
      <w:r w:rsidR="008E4E92" w:rsidRPr="00DF5FC8">
        <w:rPr>
          <w:rFonts w:eastAsia="ScalaLancetPro-Bold" w:cs="Arial"/>
          <w:bCs/>
          <w:sz w:val="22"/>
          <w:szCs w:val="22"/>
          <w:lang w:eastAsia="ja-JP"/>
        </w:rPr>
        <w:t>0 to 8</w:t>
      </w:r>
      <w:r w:rsidR="000127C7" w:rsidRPr="00DF5FC8">
        <w:rPr>
          <w:rFonts w:eastAsia="ScalaLancetPro-Bold" w:cs="Arial"/>
          <w:bCs/>
          <w:sz w:val="22"/>
          <w:szCs w:val="22"/>
          <w:lang w:eastAsia="ja-JP"/>
        </w:rPr>
        <w:t>.</w:t>
      </w:r>
      <w:r w:rsidR="008E4E92" w:rsidRPr="00DF5FC8">
        <w:rPr>
          <w:rFonts w:eastAsia="ScalaLancetPro-Bold" w:cs="Arial"/>
          <w:bCs/>
          <w:sz w:val="22"/>
          <w:szCs w:val="22"/>
          <w:lang w:eastAsia="ja-JP"/>
        </w:rPr>
        <w:t>2), meeting the pre-specified non-inferiority margin</w:t>
      </w:r>
      <w:r w:rsidR="000127C7" w:rsidRPr="00DF5FC8">
        <w:rPr>
          <w:rFonts w:eastAsia="ScalaLancetPro-Bold" w:cs="Arial"/>
          <w:bCs/>
          <w:sz w:val="22"/>
          <w:szCs w:val="22"/>
          <w:lang w:eastAsia="ja-JP"/>
        </w:rPr>
        <w:t xml:space="preserve"> and showing non-inferiority of tedizolid phosphate to linezolid</w:t>
      </w:r>
      <w:r w:rsidR="00DF5FC8">
        <w:rPr>
          <w:rFonts w:eastAsia="ScalaLancetPro-Bold" w:cs="Arial"/>
          <w:bCs/>
          <w:sz w:val="22"/>
          <w:szCs w:val="22"/>
          <w:lang w:eastAsia="ja-JP"/>
        </w:rPr>
        <w:t xml:space="preserve"> (see </w:t>
      </w:r>
      <w:r w:rsidR="009D2762">
        <w:rPr>
          <w:rFonts w:eastAsia="ScalaLancetPro-Bold" w:cs="Arial"/>
          <w:bCs/>
          <w:sz w:val="22"/>
          <w:szCs w:val="22"/>
          <w:lang w:eastAsia="ja-JP"/>
        </w:rPr>
        <w:fldChar w:fldCharType="begin"/>
      </w:r>
      <w:r w:rsidR="009D2762">
        <w:rPr>
          <w:rFonts w:eastAsia="ScalaLancetPro-Bold" w:cs="Arial"/>
          <w:bCs/>
          <w:sz w:val="22"/>
          <w:szCs w:val="22"/>
          <w:lang w:eastAsia="ja-JP"/>
        </w:rPr>
        <w:instrText xml:space="preserve"> REF _Ref281753660 \h </w:instrText>
      </w:r>
      <w:r w:rsidR="009D2762">
        <w:rPr>
          <w:rFonts w:eastAsia="ScalaLancetPro-Bold" w:cs="Arial"/>
          <w:bCs/>
          <w:sz w:val="22"/>
          <w:szCs w:val="22"/>
          <w:lang w:eastAsia="ja-JP"/>
        </w:rPr>
      </w:r>
      <w:r w:rsidR="009D2762">
        <w:rPr>
          <w:rFonts w:eastAsia="ScalaLancetPro-Bold" w:cs="Arial"/>
          <w:bCs/>
          <w:sz w:val="22"/>
          <w:szCs w:val="22"/>
          <w:lang w:eastAsia="ja-JP"/>
        </w:rPr>
        <w:fldChar w:fldCharType="separate"/>
      </w:r>
      <w:r w:rsidR="00151A1C" w:rsidRPr="00773BF4">
        <w:rPr>
          <w:rFonts w:cs="Arial"/>
          <w:sz w:val="22"/>
          <w:szCs w:val="22"/>
          <w:lang w:val="en-US"/>
        </w:rPr>
        <w:t xml:space="preserve">Table </w:t>
      </w:r>
      <w:r w:rsidR="00151A1C">
        <w:rPr>
          <w:rFonts w:cs="Arial"/>
          <w:noProof/>
          <w:sz w:val="22"/>
          <w:szCs w:val="22"/>
          <w:lang w:val="en-US"/>
        </w:rPr>
        <w:t>23</w:t>
      </w:r>
      <w:r w:rsidR="009D2762">
        <w:rPr>
          <w:rFonts w:eastAsia="ScalaLancetPro-Bold" w:cs="Arial"/>
          <w:bCs/>
          <w:sz w:val="22"/>
          <w:szCs w:val="22"/>
          <w:lang w:eastAsia="ja-JP"/>
        </w:rPr>
        <w:fldChar w:fldCharType="end"/>
      </w:r>
      <w:r w:rsidR="00DF5FC8">
        <w:rPr>
          <w:rFonts w:eastAsia="ScalaLancetPro-Bold" w:cs="Arial"/>
          <w:bCs/>
          <w:sz w:val="22"/>
          <w:szCs w:val="22"/>
          <w:lang w:eastAsia="ja-JP"/>
        </w:rPr>
        <w:t>)</w:t>
      </w:r>
      <w:r w:rsidR="000127C7" w:rsidRPr="00DF5FC8">
        <w:rPr>
          <w:rFonts w:eastAsia="ScalaLancetPro-Bold" w:cs="Arial"/>
          <w:bCs/>
          <w:sz w:val="22"/>
          <w:szCs w:val="22"/>
          <w:lang w:eastAsia="ja-JP"/>
        </w:rPr>
        <w:t>.</w:t>
      </w:r>
    </w:p>
    <w:p w14:paraId="60F5A23A" w14:textId="77777777" w:rsidR="00F3490D" w:rsidRPr="00DF5FC8" w:rsidRDefault="00F3490D" w:rsidP="00F3490D">
      <w:pPr>
        <w:widowControl w:val="0"/>
        <w:autoSpaceDE w:val="0"/>
        <w:autoSpaceDN w:val="0"/>
        <w:adjustRightInd w:val="0"/>
        <w:rPr>
          <w:rFonts w:cs="Arial"/>
          <w:sz w:val="22"/>
          <w:szCs w:val="22"/>
          <w:lang w:val="en-US" w:eastAsia="ja-JP"/>
        </w:rPr>
      </w:pPr>
      <w:bookmarkStart w:id="115" w:name="_Ref281752513"/>
    </w:p>
    <w:p w14:paraId="0A12631A" w14:textId="3313B482" w:rsidR="00773BF4" w:rsidRPr="00DF5FC8" w:rsidRDefault="00F3490D" w:rsidP="00DF5FC8">
      <w:pPr>
        <w:widowControl w:val="0"/>
        <w:autoSpaceDE w:val="0"/>
        <w:autoSpaceDN w:val="0"/>
        <w:adjustRightInd w:val="0"/>
        <w:rPr>
          <w:rFonts w:cs="Arial"/>
          <w:sz w:val="22"/>
          <w:szCs w:val="22"/>
          <w:lang w:val="en-US" w:eastAsia="ja-JP"/>
        </w:rPr>
      </w:pPr>
      <w:r w:rsidRPr="00DF5FC8">
        <w:rPr>
          <w:rFonts w:cs="Arial"/>
          <w:sz w:val="22"/>
          <w:szCs w:val="22"/>
          <w:lang w:val="en-US" w:eastAsia="ja-JP"/>
        </w:rPr>
        <w:t xml:space="preserve">Patients were classified as non-responders if they had a reduction of less than 20% in lesion area (n=40 [12%] in the tedizolid </w:t>
      </w:r>
      <w:r w:rsidR="00CF4756">
        <w:rPr>
          <w:rFonts w:cs="Arial"/>
          <w:sz w:val="22"/>
          <w:szCs w:val="22"/>
          <w:lang w:val="en-US" w:eastAsia="ja-JP"/>
        </w:rPr>
        <w:t xml:space="preserve">phosphate </w:t>
      </w:r>
      <w:r w:rsidRPr="00DF5FC8">
        <w:rPr>
          <w:rFonts w:cs="Arial"/>
          <w:sz w:val="22"/>
          <w:szCs w:val="22"/>
          <w:lang w:val="en-US" w:eastAsia="ja-JP"/>
        </w:rPr>
        <w:t xml:space="preserve">group vs </w:t>
      </w:r>
      <w:r w:rsidR="00DF5FC8" w:rsidRPr="00DF5FC8">
        <w:rPr>
          <w:rFonts w:cs="Arial"/>
          <w:sz w:val="22"/>
          <w:szCs w:val="22"/>
          <w:lang w:val="en-US" w:eastAsia="ja-JP"/>
        </w:rPr>
        <w:t>n=</w:t>
      </w:r>
      <w:r w:rsidRPr="00DF5FC8">
        <w:rPr>
          <w:rFonts w:cs="Arial"/>
          <w:sz w:val="22"/>
          <w:szCs w:val="22"/>
          <w:lang w:val="en-US" w:eastAsia="ja-JP"/>
        </w:rPr>
        <w:t>41 [12%] in the linezolid group),</w:t>
      </w:r>
      <w:r w:rsidR="00DF5FC8" w:rsidRPr="00DF5FC8">
        <w:rPr>
          <w:rFonts w:cs="Arial"/>
          <w:sz w:val="22"/>
          <w:szCs w:val="22"/>
          <w:lang w:val="en-US" w:eastAsia="ja-JP"/>
        </w:rPr>
        <w:t xml:space="preserve"> </w:t>
      </w:r>
      <w:r w:rsidRPr="00DF5FC8">
        <w:rPr>
          <w:rFonts w:cs="Arial"/>
          <w:sz w:val="22"/>
          <w:szCs w:val="22"/>
          <w:lang w:val="en-US" w:eastAsia="ja-JP"/>
        </w:rPr>
        <w:t>missing lesion measur</w:t>
      </w:r>
      <w:r w:rsidR="00DF5FC8" w:rsidRPr="00DF5FC8">
        <w:rPr>
          <w:rFonts w:cs="Arial"/>
          <w:sz w:val="22"/>
          <w:szCs w:val="22"/>
          <w:lang w:val="en-US" w:eastAsia="ja-JP"/>
        </w:rPr>
        <w:t>ements at the 48–72 h visit (n=5</w:t>
      </w:r>
      <w:r w:rsidRPr="00DF5FC8">
        <w:rPr>
          <w:rFonts w:cs="Arial"/>
          <w:sz w:val="22"/>
          <w:szCs w:val="22"/>
          <w:lang w:val="en-US" w:eastAsia="ja-JP"/>
        </w:rPr>
        <w:t xml:space="preserve"> [2%]</w:t>
      </w:r>
      <w:r w:rsidR="00DF5FC8" w:rsidRPr="00DF5FC8">
        <w:rPr>
          <w:rFonts w:cs="Arial"/>
          <w:sz w:val="22"/>
          <w:szCs w:val="22"/>
          <w:lang w:val="en-US" w:eastAsia="ja-JP"/>
        </w:rPr>
        <w:t xml:space="preserve"> </w:t>
      </w:r>
      <w:r w:rsidRPr="00DF5FC8">
        <w:rPr>
          <w:rFonts w:cs="Arial"/>
          <w:sz w:val="22"/>
          <w:szCs w:val="22"/>
          <w:lang w:val="en-US" w:eastAsia="ja-JP"/>
        </w:rPr>
        <w:t xml:space="preserve">vs </w:t>
      </w:r>
      <w:r w:rsidR="00DF5FC8" w:rsidRPr="00DF5FC8">
        <w:rPr>
          <w:rFonts w:cs="Arial"/>
          <w:sz w:val="22"/>
          <w:szCs w:val="22"/>
          <w:lang w:val="en-US" w:eastAsia="ja-JP"/>
        </w:rPr>
        <w:t>n=</w:t>
      </w:r>
      <w:r w:rsidRPr="00DF5FC8">
        <w:rPr>
          <w:rFonts w:cs="Arial"/>
          <w:sz w:val="22"/>
          <w:szCs w:val="22"/>
          <w:lang w:val="en-US" w:eastAsia="ja-JP"/>
        </w:rPr>
        <w:t>14 [4%]), or if they had received concomitant systemic</w:t>
      </w:r>
      <w:r w:rsidR="00DF5FC8" w:rsidRPr="00DF5FC8">
        <w:rPr>
          <w:rFonts w:cs="Arial"/>
          <w:sz w:val="22"/>
          <w:szCs w:val="22"/>
          <w:lang w:val="en-US" w:eastAsia="ja-JP"/>
        </w:rPr>
        <w:t xml:space="preserve"> </w:t>
      </w:r>
      <w:r w:rsidRPr="00DF5FC8">
        <w:rPr>
          <w:rFonts w:cs="Arial"/>
          <w:sz w:val="22"/>
          <w:szCs w:val="22"/>
          <w:lang w:val="en-US" w:eastAsia="ja-JP"/>
        </w:rPr>
        <w:t>antibiotics (</w:t>
      </w:r>
      <w:r w:rsidR="00DF5FC8" w:rsidRPr="00DF5FC8">
        <w:rPr>
          <w:rFonts w:cs="Arial"/>
          <w:sz w:val="22"/>
          <w:szCs w:val="22"/>
          <w:lang w:val="en-US" w:eastAsia="ja-JP"/>
        </w:rPr>
        <w:t>n=7</w:t>
      </w:r>
      <w:r w:rsidRPr="00DF5FC8">
        <w:rPr>
          <w:rFonts w:cs="Arial"/>
          <w:sz w:val="22"/>
          <w:szCs w:val="22"/>
          <w:lang w:val="en-US" w:eastAsia="ja-JP"/>
        </w:rPr>
        <w:t xml:space="preserve"> [2%] vs </w:t>
      </w:r>
      <w:r w:rsidR="00DF5FC8" w:rsidRPr="00DF5FC8">
        <w:rPr>
          <w:rFonts w:cs="Arial"/>
          <w:sz w:val="22"/>
          <w:szCs w:val="22"/>
          <w:lang w:val="en-US" w:eastAsia="ja-JP"/>
        </w:rPr>
        <w:t>n=6</w:t>
      </w:r>
      <w:r w:rsidRPr="00DF5FC8">
        <w:rPr>
          <w:rFonts w:cs="Arial"/>
          <w:sz w:val="22"/>
          <w:szCs w:val="22"/>
          <w:lang w:val="en-US" w:eastAsia="ja-JP"/>
        </w:rPr>
        <w:t xml:space="preserve"> [2%]). Missing data did not</w:t>
      </w:r>
      <w:r w:rsidR="00DF5FC8" w:rsidRPr="00DF5FC8">
        <w:rPr>
          <w:rFonts w:cs="Arial"/>
          <w:sz w:val="22"/>
          <w:szCs w:val="22"/>
          <w:lang w:val="en-US" w:eastAsia="ja-JP"/>
        </w:rPr>
        <w:t xml:space="preserve"> affect the non-inferiority fi</w:t>
      </w:r>
      <w:r w:rsidRPr="00DF5FC8">
        <w:rPr>
          <w:rFonts w:cs="Arial"/>
          <w:sz w:val="22"/>
          <w:szCs w:val="22"/>
          <w:lang w:val="en-US" w:eastAsia="ja-JP"/>
        </w:rPr>
        <w:t>ndings: a tipping point analysis</w:t>
      </w:r>
      <w:r w:rsidR="00DF5FC8" w:rsidRPr="00DF5FC8">
        <w:rPr>
          <w:rFonts w:cs="Arial"/>
          <w:sz w:val="22"/>
          <w:szCs w:val="22"/>
          <w:lang w:val="en-US" w:eastAsia="ja-JP"/>
        </w:rPr>
        <w:t xml:space="preserve"> </w:t>
      </w:r>
      <w:r w:rsidRPr="00DF5FC8">
        <w:rPr>
          <w:rFonts w:cs="Arial"/>
          <w:sz w:val="22"/>
          <w:szCs w:val="22"/>
          <w:lang w:val="en-US" w:eastAsia="ja-JP"/>
        </w:rPr>
        <w:t>showed that if all patients with missing data in the linezolid</w:t>
      </w:r>
      <w:r w:rsidR="00DF5FC8" w:rsidRPr="00DF5FC8">
        <w:rPr>
          <w:rFonts w:cs="Arial"/>
          <w:sz w:val="22"/>
          <w:szCs w:val="22"/>
          <w:lang w:val="en-US" w:eastAsia="ja-JP"/>
        </w:rPr>
        <w:t xml:space="preserve"> </w:t>
      </w:r>
      <w:r w:rsidRPr="00DF5FC8">
        <w:rPr>
          <w:rFonts w:cs="Arial"/>
          <w:sz w:val="22"/>
          <w:szCs w:val="22"/>
          <w:lang w:val="en-US" w:eastAsia="ja-JP"/>
        </w:rPr>
        <w:t>group were considered to be responders, and all those in</w:t>
      </w:r>
      <w:r w:rsidR="00DF5FC8" w:rsidRPr="00DF5FC8">
        <w:rPr>
          <w:rFonts w:cs="Arial"/>
          <w:sz w:val="22"/>
          <w:szCs w:val="22"/>
          <w:lang w:val="en-US" w:eastAsia="ja-JP"/>
        </w:rPr>
        <w:t xml:space="preserve"> </w:t>
      </w:r>
      <w:r w:rsidRPr="00DF5FC8">
        <w:rPr>
          <w:rFonts w:cs="Arial"/>
          <w:sz w:val="22"/>
          <w:szCs w:val="22"/>
          <w:lang w:val="en-US" w:eastAsia="ja-JP"/>
        </w:rPr>
        <w:t xml:space="preserve">the tedizolid </w:t>
      </w:r>
      <w:r w:rsidR="00CF4756">
        <w:rPr>
          <w:rFonts w:cs="Arial"/>
          <w:sz w:val="22"/>
          <w:szCs w:val="22"/>
          <w:lang w:val="en-US" w:eastAsia="ja-JP"/>
        </w:rPr>
        <w:t xml:space="preserve">phosphate </w:t>
      </w:r>
      <w:r w:rsidRPr="00DF5FC8">
        <w:rPr>
          <w:rFonts w:cs="Arial"/>
          <w:sz w:val="22"/>
          <w:szCs w:val="22"/>
          <w:lang w:val="en-US" w:eastAsia="ja-JP"/>
        </w:rPr>
        <w:t>group with missing data non-responders,</w:t>
      </w:r>
      <w:r w:rsidR="00DF5FC8" w:rsidRPr="00DF5FC8">
        <w:rPr>
          <w:rFonts w:cs="Arial"/>
          <w:sz w:val="22"/>
          <w:szCs w:val="22"/>
          <w:lang w:val="en-US" w:eastAsia="ja-JP"/>
        </w:rPr>
        <w:t xml:space="preserve"> </w:t>
      </w:r>
      <w:r w:rsidRPr="00DF5FC8">
        <w:rPr>
          <w:rFonts w:cs="Arial"/>
          <w:sz w:val="22"/>
          <w:szCs w:val="22"/>
          <w:lang w:val="en-US" w:eastAsia="ja-JP"/>
        </w:rPr>
        <w:t>non-inferiority was preserved (95% CI –6.9 to 3.7). A</w:t>
      </w:r>
      <w:r w:rsidR="00DF5FC8" w:rsidRPr="00DF5FC8">
        <w:rPr>
          <w:rFonts w:cs="Arial"/>
          <w:sz w:val="22"/>
          <w:szCs w:val="22"/>
          <w:lang w:val="en-US" w:eastAsia="ja-JP"/>
        </w:rPr>
        <w:t xml:space="preserve"> </w:t>
      </w:r>
      <w:r w:rsidRPr="00DF5FC8">
        <w:rPr>
          <w:rFonts w:cs="Arial"/>
          <w:sz w:val="22"/>
          <w:szCs w:val="22"/>
          <w:lang w:val="en-US" w:eastAsia="ja-JP"/>
        </w:rPr>
        <w:t>multiple im</w:t>
      </w:r>
      <w:r w:rsidR="00DF5FC8" w:rsidRPr="00DF5FC8">
        <w:rPr>
          <w:rFonts w:cs="Arial"/>
          <w:sz w:val="22"/>
          <w:szCs w:val="22"/>
          <w:lang w:val="en-US" w:eastAsia="ja-JP"/>
        </w:rPr>
        <w:t>putation analysis further confi</w:t>
      </w:r>
      <w:r w:rsidRPr="00DF5FC8">
        <w:rPr>
          <w:rFonts w:cs="Arial"/>
          <w:sz w:val="22"/>
          <w:szCs w:val="22"/>
          <w:lang w:val="en-US" w:eastAsia="ja-JP"/>
        </w:rPr>
        <w:t>rmed these</w:t>
      </w:r>
      <w:r w:rsidR="00DF5FC8" w:rsidRPr="00DF5FC8">
        <w:rPr>
          <w:rFonts w:cs="Arial"/>
          <w:sz w:val="22"/>
          <w:szCs w:val="22"/>
          <w:lang w:val="en-US" w:eastAsia="ja-JP"/>
        </w:rPr>
        <w:t xml:space="preserve"> </w:t>
      </w:r>
      <w:r w:rsidRPr="00DF5FC8">
        <w:rPr>
          <w:rFonts w:cs="Arial"/>
          <w:sz w:val="22"/>
          <w:szCs w:val="22"/>
          <w:lang w:val="en-US" w:eastAsia="ja-JP"/>
        </w:rPr>
        <w:t>results (95% CI –4.7 to 6.3)</w:t>
      </w:r>
      <w:r w:rsidR="00DF5FC8" w:rsidRPr="00DF5FC8">
        <w:rPr>
          <w:rFonts w:cs="Arial"/>
          <w:sz w:val="22"/>
          <w:szCs w:val="22"/>
          <w:lang w:val="en-US" w:eastAsia="ja-JP"/>
        </w:rPr>
        <w:t>(</w:t>
      </w:r>
      <w:r w:rsidR="00CA0F83">
        <w:rPr>
          <w:rFonts w:cs="Arial"/>
          <w:sz w:val="22"/>
          <w:szCs w:val="22"/>
          <w:lang w:val="en-US" w:eastAsia="ja-JP"/>
        </w:rPr>
        <w:fldChar w:fldCharType="begin"/>
      </w:r>
      <w:r w:rsidR="00CA0F83">
        <w:rPr>
          <w:rFonts w:cs="Arial"/>
          <w:sz w:val="22"/>
          <w:szCs w:val="22"/>
          <w:lang w:val="en-US" w:eastAsia="ja-JP"/>
        </w:rPr>
        <w:instrText xml:space="preserve"> REF _Ref284170919 \r \h </w:instrText>
      </w:r>
      <w:r w:rsidR="00CA0F83">
        <w:rPr>
          <w:rFonts w:cs="Arial"/>
          <w:sz w:val="22"/>
          <w:szCs w:val="22"/>
          <w:lang w:val="en-US" w:eastAsia="ja-JP"/>
        </w:rPr>
      </w:r>
      <w:r w:rsidR="00CA0F83">
        <w:rPr>
          <w:rFonts w:cs="Arial"/>
          <w:sz w:val="22"/>
          <w:szCs w:val="22"/>
          <w:lang w:val="en-US" w:eastAsia="ja-JP"/>
        </w:rPr>
        <w:fldChar w:fldCharType="separate"/>
      </w:r>
      <w:r w:rsidR="00151A1C">
        <w:rPr>
          <w:rFonts w:cs="Arial"/>
          <w:sz w:val="22"/>
          <w:szCs w:val="22"/>
          <w:lang w:val="en-US" w:eastAsia="ja-JP"/>
        </w:rPr>
        <w:t>40</w:t>
      </w:r>
      <w:r w:rsidR="00CA0F83">
        <w:rPr>
          <w:rFonts w:cs="Arial"/>
          <w:sz w:val="22"/>
          <w:szCs w:val="22"/>
          <w:lang w:val="en-US" w:eastAsia="ja-JP"/>
        </w:rPr>
        <w:fldChar w:fldCharType="end"/>
      </w:r>
      <w:r w:rsidR="00DF5FC8" w:rsidRPr="00DF5FC8">
        <w:rPr>
          <w:rFonts w:cs="Arial"/>
          <w:sz w:val="22"/>
          <w:szCs w:val="22"/>
          <w:lang w:val="en-US" w:eastAsia="ja-JP"/>
        </w:rPr>
        <w:t>).</w:t>
      </w:r>
    </w:p>
    <w:p w14:paraId="694610C5" w14:textId="77777777" w:rsidR="00E4779A" w:rsidRPr="00773BF4" w:rsidRDefault="00E4779A" w:rsidP="00E4779A">
      <w:pPr>
        <w:pStyle w:val="Caption"/>
        <w:rPr>
          <w:rFonts w:ascii="Arial" w:hAnsi="Arial" w:cs="Arial"/>
          <w:sz w:val="22"/>
          <w:szCs w:val="22"/>
          <w:lang w:val="en-US"/>
        </w:rPr>
      </w:pPr>
      <w:bookmarkStart w:id="116" w:name="_Ref281753660"/>
      <w:r w:rsidRPr="00773BF4">
        <w:rPr>
          <w:rFonts w:ascii="Arial" w:hAnsi="Arial" w:cs="Arial"/>
          <w:sz w:val="22"/>
          <w:szCs w:val="22"/>
          <w:lang w:val="en-US"/>
        </w:rPr>
        <w:t xml:space="preserve">Table </w:t>
      </w:r>
      <w:r w:rsidRPr="00773BF4">
        <w:rPr>
          <w:rFonts w:ascii="Arial" w:hAnsi="Arial" w:cs="Arial"/>
          <w:sz w:val="22"/>
          <w:szCs w:val="22"/>
          <w:lang w:val="en-US"/>
        </w:rPr>
        <w:fldChar w:fldCharType="begin"/>
      </w:r>
      <w:r w:rsidRPr="00773BF4">
        <w:rPr>
          <w:rFonts w:ascii="Arial" w:hAnsi="Arial" w:cs="Arial"/>
          <w:sz w:val="22"/>
          <w:szCs w:val="22"/>
          <w:lang w:val="en-US"/>
        </w:rPr>
        <w:instrText xml:space="preserve"> SEQ Table \* ARABIC </w:instrText>
      </w:r>
      <w:r w:rsidRPr="00773BF4">
        <w:rPr>
          <w:rFonts w:ascii="Arial" w:hAnsi="Arial" w:cs="Arial"/>
          <w:sz w:val="22"/>
          <w:szCs w:val="22"/>
          <w:lang w:val="en-US"/>
        </w:rPr>
        <w:fldChar w:fldCharType="separate"/>
      </w:r>
      <w:r w:rsidR="00151A1C">
        <w:rPr>
          <w:rFonts w:ascii="Arial" w:hAnsi="Arial" w:cs="Arial"/>
          <w:noProof/>
          <w:sz w:val="22"/>
          <w:szCs w:val="22"/>
          <w:lang w:val="en-US"/>
        </w:rPr>
        <w:t>23</w:t>
      </w:r>
      <w:r w:rsidRPr="00773BF4">
        <w:rPr>
          <w:rFonts w:ascii="Arial" w:hAnsi="Arial" w:cs="Arial"/>
          <w:sz w:val="22"/>
          <w:szCs w:val="22"/>
          <w:lang w:val="en-US"/>
        </w:rPr>
        <w:fldChar w:fldCharType="end"/>
      </w:r>
      <w:bookmarkEnd w:id="115"/>
      <w:bookmarkEnd w:id="116"/>
      <w:r w:rsidRPr="00773BF4">
        <w:rPr>
          <w:rFonts w:ascii="Arial" w:hAnsi="Arial" w:cs="Arial"/>
          <w:sz w:val="22"/>
          <w:szCs w:val="22"/>
          <w:lang w:val="en-US"/>
        </w:rPr>
        <w:t>: ESTABLISH-2 primary outcome (ITT population)</w:t>
      </w:r>
    </w:p>
    <w:tbl>
      <w:tblPr>
        <w:tblStyle w:val="Table-HERONplain"/>
        <w:tblW w:w="9493" w:type="dxa"/>
        <w:tblLayout w:type="fixed"/>
        <w:tblLook w:val="04A0" w:firstRow="1" w:lastRow="0" w:firstColumn="1" w:lastColumn="0" w:noHBand="0" w:noVBand="1"/>
      </w:tblPr>
      <w:tblGrid>
        <w:gridCol w:w="1638"/>
        <w:gridCol w:w="2497"/>
        <w:gridCol w:w="1260"/>
        <w:gridCol w:w="1283"/>
        <w:gridCol w:w="1397"/>
        <w:gridCol w:w="1418"/>
      </w:tblGrid>
      <w:tr w:rsidR="00E4779A" w:rsidRPr="00811066" w14:paraId="00DC9217" w14:textId="77777777" w:rsidTr="00706950">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3FFE3F71" w14:textId="77777777" w:rsidR="00E4779A" w:rsidRPr="00773BF4" w:rsidRDefault="00E4779A" w:rsidP="0015653B">
            <w:pPr>
              <w:pStyle w:val="TableBodyText-H54"/>
              <w:rPr>
                <w:rFonts w:ascii="Arial" w:hAnsi="Arial" w:cs="Arial"/>
                <w:sz w:val="20"/>
                <w:lang w:val="en-US"/>
              </w:rPr>
            </w:pPr>
            <w:r w:rsidRPr="00773BF4">
              <w:rPr>
                <w:rFonts w:ascii="Arial" w:hAnsi="Arial" w:cs="Arial"/>
                <w:sz w:val="20"/>
                <w:lang w:val="en-US"/>
              </w:rPr>
              <w:t xml:space="preserve">Outcome measure </w:t>
            </w:r>
          </w:p>
        </w:tc>
        <w:tc>
          <w:tcPr>
            <w:tcW w:w="2497" w:type="dxa"/>
            <w:shd w:val="clear" w:color="auto" w:fill="auto"/>
            <w:hideMark/>
          </w:tcPr>
          <w:p w14:paraId="17D49EC8" w14:textId="77777777" w:rsidR="00E4779A" w:rsidRPr="00773BF4" w:rsidRDefault="00E4779A"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Response</w:t>
            </w:r>
          </w:p>
        </w:tc>
        <w:tc>
          <w:tcPr>
            <w:tcW w:w="1260" w:type="dxa"/>
            <w:shd w:val="clear" w:color="auto" w:fill="auto"/>
            <w:hideMark/>
          </w:tcPr>
          <w:p w14:paraId="52DC1222"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Tedizolid phosphate</w:t>
            </w:r>
          </w:p>
          <w:p w14:paraId="5FB07406"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n (%)</w:t>
            </w:r>
          </w:p>
        </w:tc>
        <w:tc>
          <w:tcPr>
            <w:tcW w:w="1283" w:type="dxa"/>
            <w:shd w:val="clear" w:color="auto" w:fill="auto"/>
            <w:hideMark/>
          </w:tcPr>
          <w:p w14:paraId="0F5FE393"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Linezolid</w:t>
            </w:r>
          </w:p>
          <w:p w14:paraId="6CAA2643"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n (%)</w:t>
            </w:r>
          </w:p>
        </w:tc>
        <w:tc>
          <w:tcPr>
            <w:tcW w:w="1397" w:type="dxa"/>
            <w:shd w:val="clear" w:color="auto" w:fill="auto"/>
            <w:hideMark/>
          </w:tcPr>
          <w:p w14:paraId="568ACA74"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Difference</w:t>
            </w:r>
          </w:p>
          <w:p w14:paraId="2585B68F"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w:t>
            </w:r>
          </w:p>
        </w:tc>
        <w:tc>
          <w:tcPr>
            <w:tcW w:w="1418" w:type="dxa"/>
            <w:shd w:val="clear" w:color="auto" w:fill="auto"/>
            <w:hideMark/>
          </w:tcPr>
          <w:p w14:paraId="15B94D71" w14:textId="77777777" w:rsidR="00E4779A" w:rsidRPr="00773BF4" w:rsidRDefault="00E4779A"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95% CI for difference</w:t>
            </w:r>
          </w:p>
        </w:tc>
      </w:tr>
      <w:tr w:rsidR="00E4779A" w:rsidRPr="00811066" w14:paraId="47EE36A6" w14:textId="77777777" w:rsidTr="00706950">
        <w:tc>
          <w:tcPr>
            <w:cnfStyle w:val="001000000000" w:firstRow="0" w:lastRow="0" w:firstColumn="1" w:lastColumn="0" w:oddVBand="0" w:evenVBand="0" w:oddHBand="0" w:evenHBand="0" w:firstRowFirstColumn="0" w:firstRowLastColumn="0" w:lastRowFirstColumn="0" w:lastRowLastColumn="0"/>
            <w:tcW w:w="9493" w:type="dxa"/>
            <w:gridSpan w:val="6"/>
            <w:shd w:val="clear" w:color="auto" w:fill="auto"/>
            <w:hideMark/>
          </w:tcPr>
          <w:p w14:paraId="28DD2C03" w14:textId="77777777" w:rsidR="00E4779A" w:rsidRPr="00773BF4" w:rsidRDefault="00E4779A" w:rsidP="0015653B">
            <w:pPr>
              <w:pStyle w:val="TableBodyText-H54"/>
              <w:rPr>
                <w:rFonts w:ascii="Arial" w:hAnsi="Arial" w:cs="Arial"/>
                <w:sz w:val="20"/>
                <w:lang w:val="en-US"/>
              </w:rPr>
            </w:pPr>
            <w:r w:rsidRPr="00773BF4">
              <w:rPr>
                <w:rFonts w:ascii="Arial" w:hAnsi="Arial" w:cs="Arial"/>
                <w:sz w:val="20"/>
                <w:lang w:val="en-US"/>
              </w:rPr>
              <w:t>Primary outcome</w:t>
            </w:r>
          </w:p>
        </w:tc>
      </w:tr>
      <w:tr w:rsidR="00E4779A" w:rsidRPr="00811066" w14:paraId="7BCADFF2"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18B34F31" w14:textId="77777777" w:rsidR="00E4779A" w:rsidRPr="00773BF4" w:rsidRDefault="00E4779A" w:rsidP="0015653B">
            <w:pPr>
              <w:pStyle w:val="TableBodyText-H54"/>
              <w:rPr>
                <w:rFonts w:ascii="Arial" w:hAnsi="Arial" w:cs="Arial"/>
                <w:sz w:val="20"/>
                <w:lang w:val="en-US"/>
              </w:rPr>
            </w:pPr>
            <w:r w:rsidRPr="00773BF4">
              <w:rPr>
                <w:rFonts w:ascii="Arial" w:hAnsi="Arial" w:cs="Arial"/>
                <w:sz w:val="20"/>
                <w:lang w:val="en-US"/>
              </w:rPr>
              <w:t>≥20% decrease from baseline in lesion area at the 48 Hour to 72 Hour Visit (primary endpoint)</w:t>
            </w:r>
          </w:p>
        </w:tc>
        <w:tc>
          <w:tcPr>
            <w:tcW w:w="2497" w:type="dxa"/>
            <w:hideMark/>
          </w:tcPr>
          <w:p w14:paraId="31F1D488" w14:textId="77777777" w:rsidR="00E4779A" w:rsidRPr="00773BF4" w:rsidRDefault="00E4779A"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N</w:t>
            </w:r>
          </w:p>
        </w:tc>
        <w:tc>
          <w:tcPr>
            <w:tcW w:w="1260" w:type="dxa"/>
            <w:hideMark/>
          </w:tcPr>
          <w:p w14:paraId="2573350F"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332</w:t>
            </w:r>
          </w:p>
        </w:tc>
        <w:tc>
          <w:tcPr>
            <w:tcW w:w="1283" w:type="dxa"/>
            <w:hideMark/>
          </w:tcPr>
          <w:p w14:paraId="4FC73725"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334</w:t>
            </w:r>
          </w:p>
        </w:tc>
        <w:tc>
          <w:tcPr>
            <w:tcW w:w="1397" w:type="dxa"/>
            <w:hideMark/>
          </w:tcPr>
          <w:p w14:paraId="289B7736"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w:t>
            </w:r>
          </w:p>
        </w:tc>
        <w:tc>
          <w:tcPr>
            <w:tcW w:w="1418" w:type="dxa"/>
            <w:hideMark/>
          </w:tcPr>
          <w:p w14:paraId="6F391440"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w:t>
            </w:r>
          </w:p>
        </w:tc>
      </w:tr>
      <w:tr w:rsidR="00E4779A" w:rsidRPr="00811066" w14:paraId="4474845E"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30FE3B21" w14:textId="77777777" w:rsidR="00E4779A" w:rsidRPr="00773BF4" w:rsidRDefault="00E4779A" w:rsidP="0015653B">
            <w:pPr>
              <w:rPr>
                <w:rFonts w:cs="Arial"/>
                <w:sz w:val="20"/>
                <w:lang w:val="en-US"/>
              </w:rPr>
            </w:pPr>
          </w:p>
        </w:tc>
        <w:tc>
          <w:tcPr>
            <w:tcW w:w="2497" w:type="dxa"/>
            <w:hideMark/>
          </w:tcPr>
          <w:p w14:paraId="242F3057" w14:textId="77777777" w:rsidR="00E4779A" w:rsidRPr="00773BF4" w:rsidRDefault="00E4779A"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Responder</w:t>
            </w:r>
          </w:p>
        </w:tc>
        <w:tc>
          <w:tcPr>
            <w:tcW w:w="1260" w:type="dxa"/>
            <w:hideMark/>
          </w:tcPr>
          <w:p w14:paraId="415E3ACB"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283 (85.2)</w:t>
            </w:r>
          </w:p>
        </w:tc>
        <w:tc>
          <w:tcPr>
            <w:tcW w:w="1283" w:type="dxa"/>
            <w:hideMark/>
          </w:tcPr>
          <w:p w14:paraId="570258A2"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276 (82.6)</w:t>
            </w:r>
          </w:p>
        </w:tc>
        <w:tc>
          <w:tcPr>
            <w:tcW w:w="1397" w:type="dxa"/>
            <w:vMerge w:val="restart"/>
            <w:hideMark/>
          </w:tcPr>
          <w:p w14:paraId="100F255B"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2.6</w:t>
            </w:r>
          </w:p>
        </w:tc>
        <w:tc>
          <w:tcPr>
            <w:tcW w:w="1418" w:type="dxa"/>
            <w:vMerge w:val="restart"/>
            <w:hideMark/>
          </w:tcPr>
          <w:p w14:paraId="3018DA1E"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(-3.0, 8.2)</w:t>
            </w:r>
          </w:p>
        </w:tc>
      </w:tr>
      <w:tr w:rsidR="00E4779A" w:rsidRPr="00811066" w14:paraId="259B7773"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4506F153" w14:textId="77777777" w:rsidR="00E4779A" w:rsidRPr="00773BF4" w:rsidRDefault="00E4779A" w:rsidP="0015653B">
            <w:pPr>
              <w:rPr>
                <w:rFonts w:cs="Arial"/>
                <w:sz w:val="20"/>
                <w:lang w:val="en-US"/>
              </w:rPr>
            </w:pPr>
          </w:p>
        </w:tc>
        <w:tc>
          <w:tcPr>
            <w:tcW w:w="2497" w:type="dxa"/>
            <w:hideMark/>
          </w:tcPr>
          <w:p w14:paraId="3664DB90" w14:textId="77777777" w:rsidR="00E4779A" w:rsidRPr="00773BF4" w:rsidRDefault="00E4779A"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Non-responder or indeterminate</w:t>
            </w:r>
          </w:p>
        </w:tc>
        <w:tc>
          <w:tcPr>
            <w:tcW w:w="1260" w:type="dxa"/>
            <w:hideMark/>
          </w:tcPr>
          <w:p w14:paraId="5647F80E"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49 (14.8)</w:t>
            </w:r>
          </w:p>
        </w:tc>
        <w:tc>
          <w:tcPr>
            <w:tcW w:w="1283" w:type="dxa"/>
            <w:hideMark/>
          </w:tcPr>
          <w:p w14:paraId="22041BA3"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58 (17.4)</w:t>
            </w:r>
          </w:p>
        </w:tc>
        <w:tc>
          <w:tcPr>
            <w:tcW w:w="1397" w:type="dxa"/>
            <w:vMerge/>
            <w:hideMark/>
          </w:tcPr>
          <w:p w14:paraId="12A4FAEF"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418" w:type="dxa"/>
            <w:vMerge/>
            <w:hideMark/>
          </w:tcPr>
          <w:p w14:paraId="5E3B5792"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E4779A" w:rsidRPr="00811066" w14:paraId="341D457D"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58423079" w14:textId="77777777" w:rsidR="00E4779A" w:rsidRPr="00773BF4" w:rsidRDefault="00E4779A" w:rsidP="0015653B">
            <w:pPr>
              <w:rPr>
                <w:rFonts w:cs="Arial"/>
                <w:sz w:val="20"/>
                <w:lang w:val="en-US"/>
              </w:rPr>
            </w:pPr>
          </w:p>
        </w:tc>
        <w:tc>
          <w:tcPr>
            <w:tcW w:w="2497" w:type="dxa"/>
            <w:hideMark/>
          </w:tcPr>
          <w:p w14:paraId="7E4A668C" w14:textId="77777777" w:rsidR="00E4779A" w:rsidRPr="00773BF4" w:rsidRDefault="00E4779A"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Non-responder</w:t>
            </w:r>
          </w:p>
        </w:tc>
        <w:tc>
          <w:tcPr>
            <w:tcW w:w="1260" w:type="dxa"/>
            <w:hideMark/>
          </w:tcPr>
          <w:p w14:paraId="074D0BD6"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44 (13.3)</w:t>
            </w:r>
          </w:p>
        </w:tc>
        <w:tc>
          <w:tcPr>
            <w:tcW w:w="1283" w:type="dxa"/>
            <w:hideMark/>
          </w:tcPr>
          <w:p w14:paraId="31CBD7B3"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44 (13.2)</w:t>
            </w:r>
          </w:p>
        </w:tc>
        <w:tc>
          <w:tcPr>
            <w:tcW w:w="1397" w:type="dxa"/>
            <w:vMerge/>
            <w:hideMark/>
          </w:tcPr>
          <w:p w14:paraId="741EC863" w14:textId="77777777" w:rsidR="00E4779A" w:rsidRPr="00773BF4"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418" w:type="dxa"/>
            <w:vMerge/>
            <w:hideMark/>
          </w:tcPr>
          <w:p w14:paraId="5BFA806A" w14:textId="77777777" w:rsidR="00E4779A" w:rsidRPr="00773BF4"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E4779A" w:rsidRPr="00811066" w14:paraId="58EE0053"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61FFA439" w14:textId="77777777" w:rsidR="00E4779A" w:rsidRPr="00773BF4" w:rsidRDefault="00E4779A" w:rsidP="0015653B">
            <w:pPr>
              <w:rPr>
                <w:rFonts w:cs="Arial"/>
                <w:sz w:val="20"/>
                <w:lang w:val="en-US"/>
              </w:rPr>
            </w:pPr>
          </w:p>
        </w:tc>
        <w:tc>
          <w:tcPr>
            <w:tcW w:w="2497" w:type="dxa"/>
            <w:hideMark/>
          </w:tcPr>
          <w:p w14:paraId="274C1A6A" w14:textId="77777777" w:rsidR="00E4779A" w:rsidRPr="00773BF4" w:rsidRDefault="00E4779A"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Indeterminate</w:t>
            </w:r>
          </w:p>
        </w:tc>
        <w:tc>
          <w:tcPr>
            <w:tcW w:w="1260" w:type="dxa"/>
            <w:hideMark/>
          </w:tcPr>
          <w:p w14:paraId="2D9E2A14"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5 (1.5)</w:t>
            </w:r>
          </w:p>
        </w:tc>
        <w:tc>
          <w:tcPr>
            <w:tcW w:w="1283" w:type="dxa"/>
            <w:hideMark/>
          </w:tcPr>
          <w:p w14:paraId="27C10561"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14 (4.2)</w:t>
            </w:r>
          </w:p>
        </w:tc>
        <w:tc>
          <w:tcPr>
            <w:tcW w:w="1397" w:type="dxa"/>
            <w:vMerge/>
            <w:hideMark/>
          </w:tcPr>
          <w:p w14:paraId="32F811FC"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418" w:type="dxa"/>
            <w:vMerge/>
            <w:hideMark/>
          </w:tcPr>
          <w:p w14:paraId="71D6CFC7"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E4779A" w:rsidRPr="00811066" w14:paraId="6A98B670"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3D8F53E2" w14:textId="77777777" w:rsidR="00E4779A" w:rsidRPr="00773BF4" w:rsidRDefault="00E4779A" w:rsidP="0015653B">
            <w:pPr>
              <w:rPr>
                <w:rFonts w:cs="Arial"/>
                <w:sz w:val="20"/>
              </w:rPr>
            </w:pPr>
            <w:r w:rsidRPr="00773BF4">
              <w:rPr>
                <w:rFonts w:cs="Arial"/>
                <w:sz w:val="20"/>
                <w:lang w:val="en-US"/>
              </w:rPr>
              <w:t xml:space="preserve">No increase from baseline at 48-Hour to 72-Hour Visit in lesion area and length and width, and absence of </w:t>
            </w:r>
            <w:r w:rsidRPr="00773BF4">
              <w:rPr>
                <w:rFonts w:cs="Arial"/>
                <w:sz w:val="20"/>
                <w:lang w:val="en-US"/>
              </w:rPr>
              <w:lastRenderedPageBreak/>
              <w:t>fever (sensitivity analysis)</w:t>
            </w:r>
          </w:p>
        </w:tc>
        <w:tc>
          <w:tcPr>
            <w:tcW w:w="2497" w:type="dxa"/>
          </w:tcPr>
          <w:p w14:paraId="3E91D5E0" w14:textId="77777777" w:rsidR="00E4779A" w:rsidRPr="00773BF4" w:rsidRDefault="00E4779A"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lastRenderedPageBreak/>
              <w:t>N</w:t>
            </w:r>
          </w:p>
        </w:tc>
        <w:tc>
          <w:tcPr>
            <w:tcW w:w="1260" w:type="dxa"/>
          </w:tcPr>
          <w:p w14:paraId="7BC6C4DE"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332</w:t>
            </w:r>
          </w:p>
        </w:tc>
        <w:tc>
          <w:tcPr>
            <w:tcW w:w="1283" w:type="dxa"/>
          </w:tcPr>
          <w:p w14:paraId="137B7854"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334</w:t>
            </w:r>
          </w:p>
        </w:tc>
        <w:tc>
          <w:tcPr>
            <w:tcW w:w="1397" w:type="dxa"/>
          </w:tcPr>
          <w:p w14:paraId="02C3F5C7" w14:textId="77777777" w:rsidR="00E4779A" w:rsidRPr="00773BF4"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773BF4">
              <w:rPr>
                <w:rFonts w:cs="Arial"/>
                <w:sz w:val="20"/>
              </w:rPr>
              <w:t>-</w:t>
            </w:r>
          </w:p>
        </w:tc>
        <w:tc>
          <w:tcPr>
            <w:tcW w:w="1418" w:type="dxa"/>
          </w:tcPr>
          <w:p w14:paraId="32B87CCE" w14:textId="77777777" w:rsidR="00E4779A" w:rsidRPr="00773BF4"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773BF4">
              <w:rPr>
                <w:rFonts w:cs="Arial"/>
                <w:sz w:val="20"/>
              </w:rPr>
              <w:t>-</w:t>
            </w:r>
          </w:p>
        </w:tc>
      </w:tr>
      <w:tr w:rsidR="00E4779A" w:rsidRPr="00811066" w14:paraId="3A2B795D"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7F9BE217" w14:textId="77777777" w:rsidR="00E4779A" w:rsidRPr="00773BF4" w:rsidRDefault="00E4779A" w:rsidP="0015653B">
            <w:pPr>
              <w:rPr>
                <w:rFonts w:cs="Arial"/>
                <w:sz w:val="20"/>
              </w:rPr>
            </w:pPr>
          </w:p>
        </w:tc>
        <w:tc>
          <w:tcPr>
            <w:tcW w:w="2497" w:type="dxa"/>
          </w:tcPr>
          <w:p w14:paraId="1A3D92C8" w14:textId="77777777" w:rsidR="00E4779A" w:rsidRPr="00773BF4" w:rsidRDefault="00E4779A"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Responder</w:t>
            </w:r>
          </w:p>
        </w:tc>
        <w:tc>
          <w:tcPr>
            <w:tcW w:w="1260" w:type="dxa"/>
          </w:tcPr>
          <w:p w14:paraId="4734B109"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285 (85.8)</w:t>
            </w:r>
          </w:p>
        </w:tc>
        <w:tc>
          <w:tcPr>
            <w:tcW w:w="1283" w:type="dxa"/>
          </w:tcPr>
          <w:p w14:paraId="4B7890D1"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272 (81.4)</w:t>
            </w:r>
          </w:p>
        </w:tc>
        <w:tc>
          <w:tcPr>
            <w:tcW w:w="1397" w:type="dxa"/>
            <w:vMerge w:val="restart"/>
          </w:tcPr>
          <w:p w14:paraId="6B588700"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773BF4">
              <w:rPr>
                <w:rFonts w:cs="Arial"/>
                <w:sz w:val="20"/>
                <w:lang w:val="en-US"/>
              </w:rPr>
              <w:t>4.4</w:t>
            </w:r>
          </w:p>
        </w:tc>
        <w:tc>
          <w:tcPr>
            <w:tcW w:w="1418" w:type="dxa"/>
            <w:vMerge w:val="restart"/>
          </w:tcPr>
          <w:p w14:paraId="3E400C7A" w14:textId="77777777" w:rsidR="00E4779A" w:rsidRPr="00773BF4"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773BF4">
              <w:rPr>
                <w:rFonts w:cs="Arial"/>
                <w:sz w:val="20"/>
                <w:lang w:val="en-US"/>
              </w:rPr>
              <w:t>(-1.2, 10.1)</w:t>
            </w:r>
          </w:p>
        </w:tc>
      </w:tr>
      <w:tr w:rsidR="00E4779A" w:rsidRPr="00811066" w14:paraId="6D04F2B0"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30DBC4D8" w14:textId="77777777" w:rsidR="00E4779A" w:rsidRPr="00811066" w:rsidRDefault="00E4779A" w:rsidP="0015653B">
            <w:pPr>
              <w:rPr>
                <w:rFonts w:cs="Arial"/>
              </w:rPr>
            </w:pPr>
          </w:p>
        </w:tc>
        <w:tc>
          <w:tcPr>
            <w:tcW w:w="2497" w:type="dxa"/>
          </w:tcPr>
          <w:p w14:paraId="7A1B670F" w14:textId="77777777" w:rsidR="00E4779A" w:rsidRPr="00773BF4" w:rsidRDefault="00E4779A"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Non-responder or indeterminate</w:t>
            </w:r>
          </w:p>
        </w:tc>
        <w:tc>
          <w:tcPr>
            <w:tcW w:w="1260" w:type="dxa"/>
          </w:tcPr>
          <w:p w14:paraId="084DAD6D"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47 (14.2)</w:t>
            </w:r>
          </w:p>
        </w:tc>
        <w:tc>
          <w:tcPr>
            <w:tcW w:w="1283" w:type="dxa"/>
          </w:tcPr>
          <w:p w14:paraId="2702F58E"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62 (18.6)</w:t>
            </w:r>
          </w:p>
        </w:tc>
        <w:tc>
          <w:tcPr>
            <w:tcW w:w="1397" w:type="dxa"/>
            <w:vMerge/>
          </w:tcPr>
          <w:p w14:paraId="379322F3" w14:textId="77777777" w:rsidR="00E4779A" w:rsidRPr="00811066"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vMerge/>
          </w:tcPr>
          <w:p w14:paraId="22B0A05E" w14:textId="77777777" w:rsidR="00E4779A" w:rsidRPr="00811066"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E4779A" w:rsidRPr="00811066" w14:paraId="656C616E"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71DF4125" w14:textId="77777777" w:rsidR="00E4779A" w:rsidRPr="00811066" w:rsidRDefault="00E4779A" w:rsidP="0015653B">
            <w:pPr>
              <w:rPr>
                <w:rFonts w:cs="Arial"/>
              </w:rPr>
            </w:pPr>
          </w:p>
        </w:tc>
        <w:tc>
          <w:tcPr>
            <w:tcW w:w="2497" w:type="dxa"/>
          </w:tcPr>
          <w:p w14:paraId="1CD32859" w14:textId="77777777" w:rsidR="00E4779A" w:rsidRPr="00773BF4" w:rsidRDefault="00E4779A"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Non-responder</w:t>
            </w:r>
          </w:p>
        </w:tc>
        <w:tc>
          <w:tcPr>
            <w:tcW w:w="1260" w:type="dxa"/>
          </w:tcPr>
          <w:p w14:paraId="6BBF9434"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33 (9.9)</w:t>
            </w:r>
          </w:p>
        </w:tc>
        <w:tc>
          <w:tcPr>
            <w:tcW w:w="1283" w:type="dxa"/>
          </w:tcPr>
          <w:p w14:paraId="2FA57FBC" w14:textId="77777777" w:rsidR="00E4779A" w:rsidRPr="00773BF4" w:rsidRDefault="00E4779A"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73BF4">
              <w:rPr>
                <w:rFonts w:ascii="Arial" w:hAnsi="Arial" w:cs="Arial"/>
                <w:sz w:val="20"/>
                <w:lang w:val="en-US"/>
              </w:rPr>
              <w:t>45 (13.5)</w:t>
            </w:r>
          </w:p>
        </w:tc>
        <w:tc>
          <w:tcPr>
            <w:tcW w:w="1397" w:type="dxa"/>
            <w:vMerge/>
          </w:tcPr>
          <w:p w14:paraId="7B22180D" w14:textId="77777777" w:rsidR="00E4779A" w:rsidRPr="00811066"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1418" w:type="dxa"/>
            <w:vMerge/>
          </w:tcPr>
          <w:p w14:paraId="660192DF" w14:textId="77777777" w:rsidR="00E4779A" w:rsidRPr="00811066" w:rsidRDefault="00E4779A" w:rsidP="0015653B">
            <w:pPr>
              <w:jc w:val="center"/>
              <w:cnfStyle w:val="000000010000" w:firstRow="0" w:lastRow="0" w:firstColumn="0" w:lastColumn="0" w:oddVBand="0" w:evenVBand="0" w:oddHBand="0" w:evenHBand="1" w:firstRowFirstColumn="0" w:firstRowLastColumn="0" w:lastRowFirstColumn="0" w:lastRowLastColumn="0"/>
              <w:rPr>
                <w:rFonts w:cs="Arial"/>
              </w:rPr>
            </w:pPr>
          </w:p>
        </w:tc>
      </w:tr>
      <w:tr w:rsidR="00E4779A" w:rsidRPr="00811066" w14:paraId="26577038"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09E2B2CC" w14:textId="77777777" w:rsidR="00E4779A" w:rsidRPr="00811066" w:rsidRDefault="00E4779A" w:rsidP="0015653B">
            <w:pPr>
              <w:rPr>
                <w:rFonts w:cs="Arial"/>
              </w:rPr>
            </w:pPr>
          </w:p>
        </w:tc>
        <w:tc>
          <w:tcPr>
            <w:tcW w:w="2497" w:type="dxa"/>
          </w:tcPr>
          <w:p w14:paraId="58F1FCEC" w14:textId="77777777" w:rsidR="00E4779A" w:rsidRPr="00773BF4" w:rsidRDefault="00E4779A"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Indeterminate</w:t>
            </w:r>
          </w:p>
        </w:tc>
        <w:tc>
          <w:tcPr>
            <w:tcW w:w="1260" w:type="dxa"/>
          </w:tcPr>
          <w:p w14:paraId="5680C825"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14 (4.2)</w:t>
            </w:r>
          </w:p>
        </w:tc>
        <w:tc>
          <w:tcPr>
            <w:tcW w:w="1283" w:type="dxa"/>
          </w:tcPr>
          <w:p w14:paraId="258B0830" w14:textId="77777777" w:rsidR="00E4779A" w:rsidRPr="00773BF4" w:rsidRDefault="00E4779A"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73BF4">
              <w:rPr>
                <w:rFonts w:ascii="Arial" w:hAnsi="Arial" w:cs="Arial"/>
                <w:sz w:val="20"/>
                <w:lang w:val="en-US"/>
              </w:rPr>
              <w:t>17 (5.1)</w:t>
            </w:r>
          </w:p>
        </w:tc>
        <w:tc>
          <w:tcPr>
            <w:tcW w:w="1397" w:type="dxa"/>
            <w:vMerge/>
          </w:tcPr>
          <w:p w14:paraId="61C5DD9F" w14:textId="77777777" w:rsidR="00E4779A" w:rsidRPr="00811066"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vMerge/>
          </w:tcPr>
          <w:p w14:paraId="7ED401D6" w14:textId="77777777" w:rsidR="00E4779A" w:rsidRPr="00811066" w:rsidRDefault="00E4779A" w:rsidP="0015653B">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0378E964" w14:textId="200A20A4" w:rsidR="00E4779A" w:rsidRPr="00534737" w:rsidRDefault="00E4779A" w:rsidP="00534737">
      <w:pPr>
        <w:pStyle w:val="TableNote-H58"/>
        <w:spacing w:before="0" w:after="0"/>
        <w:rPr>
          <w:rFonts w:ascii="Arial" w:hAnsi="Arial" w:cs="Arial"/>
          <w:sz w:val="16"/>
          <w:szCs w:val="16"/>
          <w:lang w:val="en-US"/>
        </w:rPr>
      </w:pPr>
      <w:r w:rsidRPr="00534737">
        <w:rPr>
          <w:rFonts w:ascii="Arial" w:hAnsi="Arial" w:cs="Arial"/>
          <w:sz w:val="16"/>
          <w:szCs w:val="16"/>
          <w:lang w:val="en-US"/>
        </w:rPr>
        <w:lastRenderedPageBreak/>
        <w:t>SOURCE:</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_Ref284170919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40</w:t>
      </w:r>
      <w:r w:rsidR="00CA0F83">
        <w:rPr>
          <w:rFonts w:ascii="Arial" w:hAnsi="Arial" w:cs="Arial"/>
          <w:sz w:val="16"/>
          <w:szCs w:val="16"/>
          <w:lang w:val="en-US"/>
        </w:rPr>
        <w:fldChar w:fldCharType="end"/>
      </w:r>
      <w:r w:rsidR="0099508C">
        <w:rPr>
          <w:rFonts w:ascii="Arial" w:hAnsi="Arial" w:cs="Arial"/>
          <w:sz w:val="16"/>
          <w:szCs w:val="16"/>
          <w:lang w:val="en-US"/>
        </w:rPr>
        <w:t xml:space="preserve">; </w:t>
      </w:r>
      <w:r w:rsidRPr="00534737">
        <w:rPr>
          <w:rFonts w:ascii="Arial" w:hAnsi="Arial" w:cs="Arial"/>
          <w:sz w:val="16"/>
          <w:szCs w:val="16"/>
          <w:lang w:val="en-US"/>
        </w:rPr>
        <w:t>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534737">
        <w:rPr>
          <w:rFonts w:ascii="Arial" w:hAnsi="Arial" w:cs="Arial"/>
          <w:sz w:val="16"/>
          <w:szCs w:val="16"/>
          <w:lang w:val="en-US"/>
        </w:rPr>
        <w:t>:</w:t>
      </w:r>
      <w:r w:rsidR="00B77F1F">
        <w:rPr>
          <w:rFonts w:ascii="Arial" w:hAnsi="Arial" w:cs="Arial"/>
          <w:sz w:val="16"/>
          <w:szCs w:val="16"/>
          <w:lang w:val="en-US"/>
        </w:rPr>
        <w:t xml:space="preserve"> section 11.4.1.1, </w:t>
      </w:r>
      <w:r w:rsidR="00B77F1F" w:rsidRPr="00B77F1F">
        <w:rPr>
          <w:rFonts w:ascii="Arial" w:hAnsi="Arial" w:cs="Arial"/>
          <w:sz w:val="16"/>
          <w:szCs w:val="16"/>
          <w:lang w:val="en-US"/>
        </w:rPr>
        <w:t>Table 11-22;</w:t>
      </w:r>
      <w:r w:rsidR="00B77F1F" w:rsidRPr="00B77F1F">
        <w:rPr>
          <w:rFonts w:ascii="Arial" w:eastAsia="Tahoma" w:hAnsi="Arial" w:cs="Arial"/>
          <w:sz w:val="16"/>
          <w:szCs w:val="16"/>
        </w:rPr>
        <w:t xml:space="preserve"> Table 11-26</w:t>
      </w:r>
    </w:p>
    <w:p w14:paraId="509E5B06" w14:textId="77777777" w:rsidR="00E4779A" w:rsidRPr="00534737" w:rsidRDefault="00E4779A" w:rsidP="00534737">
      <w:pPr>
        <w:pStyle w:val="TableNote-H58"/>
        <w:spacing w:before="0" w:after="0"/>
        <w:rPr>
          <w:rFonts w:ascii="Arial" w:hAnsi="Arial" w:cs="Arial"/>
          <w:sz w:val="16"/>
          <w:szCs w:val="16"/>
          <w:lang w:val="en-US"/>
        </w:rPr>
      </w:pPr>
      <w:r w:rsidRPr="00534737">
        <w:rPr>
          <w:rFonts w:ascii="Arial" w:hAnsi="Arial" w:cs="Arial"/>
          <w:sz w:val="16"/>
          <w:szCs w:val="16"/>
          <w:lang w:val="en-US"/>
        </w:rPr>
        <w:t>CI: Confidence interval; ITT: Intent-to-treat; N: Number of patients in population; n: Number of patients in specific category</w:t>
      </w:r>
    </w:p>
    <w:p w14:paraId="51CD5739" w14:textId="77777777" w:rsidR="007231EE" w:rsidRDefault="007231EE" w:rsidP="00B172B5">
      <w:pPr>
        <w:rPr>
          <w:lang w:val="en-US"/>
        </w:rPr>
      </w:pPr>
    </w:p>
    <w:p w14:paraId="525D5075" w14:textId="1E1D4214" w:rsidR="00630C93" w:rsidRPr="00464D66" w:rsidRDefault="00534737" w:rsidP="00630C93">
      <w:pPr>
        <w:widowControl w:val="0"/>
        <w:autoSpaceDE w:val="0"/>
        <w:autoSpaceDN w:val="0"/>
        <w:adjustRightInd w:val="0"/>
        <w:rPr>
          <w:rFonts w:cs="Arial"/>
          <w:sz w:val="22"/>
          <w:szCs w:val="22"/>
          <w:lang w:val="en-US" w:eastAsia="ja-JP"/>
        </w:rPr>
      </w:pPr>
      <w:r w:rsidRPr="00630C93">
        <w:rPr>
          <w:rFonts w:cs="Arial"/>
          <w:b/>
          <w:sz w:val="22"/>
          <w:szCs w:val="22"/>
          <w:lang w:eastAsia="ja-JP"/>
        </w:rPr>
        <w:t>3.4</w:t>
      </w:r>
      <w:r w:rsidR="007231EE" w:rsidRPr="00630C93">
        <w:rPr>
          <w:rFonts w:cs="Arial"/>
          <w:b/>
          <w:sz w:val="22"/>
          <w:szCs w:val="22"/>
          <w:lang w:eastAsia="ja-JP"/>
        </w:rPr>
        <w:t xml:space="preserve">.16 Results of secondary analyses of primary outcome (if relevant) and </w:t>
      </w:r>
      <w:r w:rsidR="007231EE" w:rsidRPr="00630C93">
        <w:rPr>
          <w:rFonts w:cs="Arial"/>
          <w:b/>
          <w:bCs/>
          <w:sz w:val="22"/>
          <w:szCs w:val="22"/>
          <w:lang w:eastAsia="ja-JP"/>
        </w:rPr>
        <w:t>analyses of secondary outcomes</w:t>
      </w:r>
      <w:r w:rsidR="000127C7" w:rsidRPr="00630C93">
        <w:rPr>
          <w:rFonts w:cs="Arial"/>
          <w:b/>
          <w:bCs/>
          <w:sz w:val="22"/>
          <w:szCs w:val="22"/>
          <w:lang w:eastAsia="ja-JP"/>
        </w:rPr>
        <w:t xml:space="preserve">: </w:t>
      </w:r>
      <w:r w:rsidR="00630C93" w:rsidRPr="00630C93">
        <w:rPr>
          <w:rFonts w:cs="Arial"/>
          <w:sz w:val="22"/>
          <w:szCs w:val="22"/>
          <w:lang w:val="en-US" w:eastAsia="ja-JP"/>
        </w:rPr>
        <w:t xml:space="preserve">Results for secondary endpoints in the ITT population were consistent with those for the primary </w:t>
      </w:r>
      <w:r w:rsidR="00630C93" w:rsidRPr="00B41BE5">
        <w:rPr>
          <w:rFonts w:cs="Arial"/>
          <w:sz w:val="22"/>
          <w:szCs w:val="22"/>
          <w:lang w:val="en-US" w:eastAsia="ja-JP"/>
        </w:rPr>
        <w:t>outcome (</w:t>
      </w:r>
      <w:r w:rsidR="00381A09">
        <w:rPr>
          <w:rFonts w:cs="Arial"/>
          <w:sz w:val="22"/>
          <w:szCs w:val="22"/>
          <w:highlight w:val="yellow"/>
          <w:lang w:val="en-US" w:eastAsia="ja-JP"/>
        </w:rPr>
        <w:fldChar w:fldCharType="begin"/>
      </w:r>
      <w:r w:rsidR="00381A09">
        <w:rPr>
          <w:rFonts w:cs="Arial"/>
          <w:sz w:val="22"/>
          <w:szCs w:val="22"/>
          <w:lang w:val="en-US" w:eastAsia="ja-JP"/>
        </w:rPr>
        <w:instrText xml:space="preserve"> REF _Ref281754003 \h </w:instrText>
      </w:r>
      <w:r w:rsidR="00381A09">
        <w:rPr>
          <w:rFonts w:cs="Arial"/>
          <w:sz w:val="22"/>
          <w:szCs w:val="22"/>
          <w:highlight w:val="yellow"/>
          <w:lang w:val="en-US" w:eastAsia="ja-JP"/>
        </w:rPr>
      </w:r>
      <w:r w:rsidR="00381A09">
        <w:rPr>
          <w:rFonts w:cs="Arial"/>
          <w:sz w:val="22"/>
          <w:szCs w:val="22"/>
          <w:highlight w:val="yellow"/>
          <w:lang w:val="en-US" w:eastAsia="ja-JP"/>
        </w:rPr>
        <w:fldChar w:fldCharType="separate"/>
      </w:r>
      <w:r w:rsidR="00151A1C" w:rsidRPr="00A843AD">
        <w:rPr>
          <w:rFonts w:cs="Arial"/>
          <w:sz w:val="22"/>
          <w:szCs w:val="22"/>
          <w:lang w:val="en-US"/>
        </w:rPr>
        <w:t xml:space="preserve">Table </w:t>
      </w:r>
      <w:r w:rsidR="00151A1C">
        <w:rPr>
          <w:rFonts w:cs="Arial"/>
          <w:noProof/>
          <w:sz w:val="22"/>
          <w:szCs w:val="22"/>
          <w:lang w:val="en-US"/>
        </w:rPr>
        <w:t>24</w:t>
      </w:r>
      <w:r w:rsidR="00381A09">
        <w:rPr>
          <w:rFonts w:cs="Arial"/>
          <w:sz w:val="22"/>
          <w:szCs w:val="22"/>
          <w:highlight w:val="yellow"/>
          <w:lang w:val="en-US" w:eastAsia="ja-JP"/>
        </w:rPr>
        <w:fldChar w:fldCharType="end"/>
      </w:r>
      <w:r w:rsidR="00B41BE5" w:rsidRPr="009D2762">
        <w:rPr>
          <w:rFonts w:cs="Arial"/>
          <w:sz w:val="22"/>
          <w:szCs w:val="22"/>
          <w:lang w:val="en-US" w:eastAsia="ja-JP"/>
        </w:rPr>
        <w:t>)</w:t>
      </w:r>
      <w:r w:rsidR="009D2762">
        <w:rPr>
          <w:rFonts w:cs="Arial"/>
          <w:sz w:val="22"/>
          <w:szCs w:val="22"/>
          <w:lang w:val="en-US" w:eastAsia="ja-JP"/>
        </w:rPr>
        <w:t xml:space="preserve">, </w:t>
      </w:r>
      <w:r w:rsidR="00630C93" w:rsidRPr="009D2762">
        <w:rPr>
          <w:rFonts w:cs="Arial"/>
          <w:sz w:val="22"/>
          <w:szCs w:val="22"/>
          <w:lang w:val="en-US" w:eastAsia="ja-JP"/>
        </w:rPr>
        <w:t>as were microbiological responses in the microbiological</w:t>
      </w:r>
      <w:r w:rsidR="00B41BE5" w:rsidRPr="009D2762">
        <w:rPr>
          <w:rFonts w:cs="Arial"/>
          <w:sz w:val="22"/>
          <w:szCs w:val="22"/>
          <w:lang w:val="en-US" w:eastAsia="ja-JP"/>
        </w:rPr>
        <w:t xml:space="preserve"> intention to-treat population</w:t>
      </w:r>
      <w:r w:rsidR="00630C93" w:rsidRPr="009D2762">
        <w:rPr>
          <w:rFonts w:cs="Arial"/>
          <w:sz w:val="22"/>
          <w:szCs w:val="22"/>
          <w:lang w:val="en-US" w:eastAsia="ja-JP"/>
        </w:rPr>
        <w:t xml:space="preserve">]. The study authors </w:t>
      </w:r>
      <w:r w:rsidR="00B41BE5" w:rsidRPr="009D2762">
        <w:rPr>
          <w:rFonts w:cs="Arial"/>
          <w:sz w:val="22"/>
          <w:szCs w:val="22"/>
          <w:lang w:val="en-US" w:eastAsia="ja-JP"/>
        </w:rPr>
        <w:t xml:space="preserve">also </w:t>
      </w:r>
      <w:r w:rsidR="00630C93" w:rsidRPr="009D2762">
        <w:rPr>
          <w:rFonts w:cs="Arial"/>
          <w:sz w:val="22"/>
          <w:szCs w:val="22"/>
          <w:lang w:val="en-US" w:eastAsia="ja-JP"/>
        </w:rPr>
        <w:t>noted high concordance (&gt;80%) between treatment outcomes recorded</w:t>
      </w:r>
      <w:r w:rsidR="00630C93" w:rsidRPr="00464D66">
        <w:rPr>
          <w:rFonts w:cs="Arial"/>
          <w:sz w:val="22"/>
          <w:szCs w:val="22"/>
          <w:lang w:val="en-US" w:eastAsia="ja-JP"/>
        </w:rPr>
        <w:t xml:space="preserve"> at the 48–72 h</w:t>
      </w:r>
      <w:r w:rsidR="00D063E4">
        <w:rPr>
          <w:rFonts w:cs="Arial"/>
          <w:sz w:val="22"/>
          <w:szCs w:val="22"/>
          <w:lang w:val="en-US" w:eastAsia="ja-JP"/>
        </w:rPr>
        <w:t>our</w:t>
      </w:r>
      <w:r w:rsidR="00630C93" w:rsidRPr="00464D66">
        <w:rPr>
          <w:rFonts w:cs="Arial"/>
          <w:sz w:val="22"/>
          <w:szCs w:val="22"/>
          <w:lang w:val="en-US" w:eastAsia="ja-JP"/>
        </w:rPr>
        <w:t xml:space="preserve"> and PTE visits (</w:t>
      </w:r>
      <w:r w:rsidR="00CA0F83">
        <w:rPr>
          <w:rFonts w:cs="Arial"/>
          <w:sz w:val="22"/>
          <w:szCs w:val="22"/>
          <w:lang w:val="en-US" w:eastAsia="ja-JP"/>
        </w:rPr>
        <w:fldChar w:fldCharType="begin"/>
      </w:r>
      <w:r w:rsidR="00CA0F83">
        <w:rPr>
          <w:rFonts w:cs="Arial"/>
          <w:sz w:val="22"/>
          <w:szCs w:val="22"/>
          <w:lang w:val="en-US" w:eastAsia="ja-JP"/>
        </w:rPr>
        <w:instrText xml:space="preserve"> REF _Ref284170919 \r \h </w:instrText>
      </w:r>
      <w:r w:rsidR="00CA0F83">
        <w:rPr>
          <w:rFonts w:cs="Arial"/>
          <w:sz w:val="22"/>
          <w:szCs w:val="22"/>
          <w:lang w:val="en-US" w:eastAsia="ja-JP"/>
        </w:rPr>
      </w:r>
      <w:r w:rsidR="00CA0F83">
        <w:rPr>
          <w:rFonts w:cs="Arial"/>
          <w:sz w:val="22"/>
          <w:szCs w:val="22"/>
          <w:lang w:val="en-US" w:eastAsia="ja-JP"/>
        </w:rPr>
        <w:fldChar w:fldCharType="separate"/>
      </w:r>
      <w:r w:rsidR="00151A1C">
        <w:rPr>
          <w:rFonts w:cs="Arial"/>
          <w:sz w:val="22"/>
          <w:szCs w:val="22"/>
          <w:lang w:val="en-US" w:eastAsia="ja-JP"/>
        </w:rPr>
        <w:t>40</w:t>
      </w:r>
      <w:r w:rsidR="00CA0F83">
        <w:rPr>
          <w:rFonts w:cs="Arial"/>
          <w:sz w:val="22"/>
          <w:szCs w:val="22"/>
          <w:lang w:val="en-US" w:eastAsia="ja-JP"/>
        </w:rPr>
        <w:fldChar w:fldCharType="end"/>
      </w:r>
      <w:r w:rsidR="00B41BE5" w:rsidRPr="00464D66">
        <w:rPr>
          <w:rFonts w:cs="Arial"/>
          <w:sz w:val="22"/>
          <w:szCs w:val="22"/>
          <w:lang w:val="en-US" w:eastAsia="ja-JP"/>
        </w:rPr>
        <w:t>).</w:t>
      </w:r>
    </w:p>
    <w:p w14:paraId="2E771648" w14:textId="77777777" w:rsidR="00630C93" w:rsidRPr="00630C93" w:rsidRDefault="00630C93" w:rsidP="00630C93">
      <w:pPr>
        <w:widowControl w:val="0"/>
        <w:autoSpaceDE w:val="0"/>
        <w:autoSpaceDN w:val="0"/>
        <w:adjustRightInd w:val="0"/>
        <w:rPr>
          <w:rFonts w:cs="Arial"/>
          <w:color w:val="FF0000"/>
          <w:sz w:val="22"/>
          <w:szCs w:val="22"/>
          <w:lang w:val="en-US" w:eastAsia="ja-JP"/>
        </w:rPr>
      </w:pPr>
    </w:p>
    <w:p w14:paraId="300E4729" w14:textId="433D8CB3" w:rsidR="000E60AA" w:rsidRDefault="00630C93" w:rsidP="00630C93">
      <w:pPr>
        <w:widowControl w:val="0"/>
        <w:autoSpaceDE w:val="0"/>
        <w:autoSpaceDN w:val="0"/>
        <w:adjustRightInd w:val="0"/>
        <w:rPr>
          <w:rFonts w:cs="Arial"/>
          <w:sz w:val="22"/>
          <w:szCs w:val="22"/>
          <w:lang w:val="en-US" w:eastAsia="ja-JP"/>
        </w:rPr>
      </w:pPr>
      <w:r w:rsidRPr="00630C93">
        <w:rPr>
          <w:rFonts w:cs="Arial"/>
          <w:sz w:val="22"/>
          <w:szCs w:val="22"/>
          <w:lang w:val="en-US" w:eastAsia="ja-JP"/>
        </w:rPr>
        <w:t xml:space="preserve">Of patients who were clinically evaluable at the EOT visit, 272 (90%) of 304 in the tedizolid </w:t>
      </w:r>
      <w:r w:rsidR="00CF4756">
        <w:rPr>
          <w:rFonts w:cs="Arial"/>
          <w:sz w:val="22"/>
          <w:szCs w:val="22"/>
          <w:lang w:val="en-US" w:eastAsia="ja-JP"/>
        </w:rPr>
        <w:t xml:space="preserve">phosphate </w:t>
      </w:r>
      <w:r w:rsidRPr="00630C93">
        <w:rPr>
          <w:rFonts w:cs="Arial"/>
          <w:sz w:val="22"/>
          <w:szCs w:val="22"/>
          <w:lang w:val="en-US" w:eastAsia="ja-JP"/>
        </w:rPr>
        <w:t xml:space="preserve">group and </w:t>
      </w:r>
      <w:r w:rsidRPr="00464D66">
        <w:rPr>
          <w:rFonts w:cs="Arial"/>
          <w:sz w:val="22"/>
          <w:szCs w:val="22"/>
          <w:lang w:val="en-US" w:eastAsia="ja-JP"/>
        </w:rPr>
        <w:t>280 (94%) of 299 in the linezolid group had a programmatically determined</w:t>
      </w:r>
      <w:r w:rsidR="000E60AA">
        <w:rPr>
          <w:rFonts w:cs="Arial"/>
          <w:sz w:val="22"/>
          <w:szCs w:val="22"/>
          <w:lang w:val="en-US" w:eastAsia="ja-JP"/>
        </w:rPr>
        <w:t xml:space="preserve"> clinical response (difference -4.1%, 95% CI -</w:t>
      </w:r>
      <w:r w:rsidRPr="00464D66">
        <w:rPr>
          <w:rFonts w:cs="Arial"/>
          <w:sz w:val="22"/>
          <w:szCs w:val="22"/>
          <w:lang w:val="en-US" w:eastAsia="ja-JP"/>
        </w:rPr>
        <w:t xml:space="preserve">8.8% to 0.3%) and 281 (95%) of 296 versus 284 (97%) of 293 patients had investigator-assessed clinical success (–2.0%, –5.7% to 1.2%) at that timepoint (see </w:t>
      </w:r>
      <w:r w:rsidR="00381A09">
        <w:rPr>
          <w:rFonts w:cs="Arial"/>
          <w:sz w:val="22"/>
          <w:szCs w:val="22"/>
          <w:lang w:val="en-US" w:eastAsia="ja-JP"/>
        </w:rPr>
        <w:fldChar w:fldCharType="begin"/>
      </w:r>
      <w:r w:rsidR="00381A09">
        <w:rPr>
          <w:rFonts w:cs="Arial"/>
          <w:sz w:val="22"/>
          <w:szCs w:val="22"/>
          <w:lang w:val="en-US" w:eastAsia="ja-JP"/>
        </w:rPr>
        <w:instrText xml:space="preserve"> REF _Ref281754003 \h </w:instrText>
      </w:r>
      <w:r w:rsidR="00381A09">
        <w:rPr>
          <w:rFonts w:cs="Arial"/>
          <w:sz w:val="22"/>
          <w:szCs w:val="22"/>
          <w:lang w:val="en-US" w:eastAsia="ja-JP"/>
        </w:rPr>
      </w:r>
      <w:r w:rsidR="00381A09">
        <w:rPr>
          <w:rFonts w:cs="Arial"/>
          <w:sz w:val="22"/>
          <w:szCs w:val="22"/>
          <w:lang w:val="en-US" w:eastAsia="ja-JP"/>
        </w:rPr>
        <w:fldChar w:fldCharType="separate"/>
      </w:r>
      <w:r w:rsidR="00151A1C" w:rsidRPr="00A843AD">
        <w:rPr>
          <w:rFonts w:cs="Arial"/>
          <w:sz w:val="22"/>
          <w:szCs w:val="22"/>
          <w:lang w:val="en-US"/>
        </w:rPr>
        <w:t xml:space="preserve">Table </w:t>
      </w:r>
      <w:r w:rsidR="00151A1C">
        <w:rPr>
          <w:rFonts w:cs="Arial"/>
          <w:noProof/>
          <w:sz w:val="22"/>
          <w:szCs w:val="22"/>
          <w:lang w:val="en-US"/>
        </w:rPr>
        <w:t>24</w:t>
      </w:r>
      <w:r w:rsidR="00381A09">
        <w:rPr>
          <w:rFonts w:cs="Arial"/>
          <w:sz w:val="22"/>
          <w:szCs w:val="22"/>
          <w:lang w:val="en-US" w:eastAsia="ja-JP"/>
        </w:rPr>
        <w:fldChar w:fldCharType="end"/>
      </w:r>
      <w:r w:rsidR="00CA0F83">
        <w:rPr>
          <w:rFonts w:cs="Arial"/>
          <w:sz w:val="22"/>
          <w:szCs w:val="22"/>
          <w:lang w:val="en-US" w:eastAsia="ja-JP"/>
        </w:rPr>
        <w:t>).</w:t>
      </w:r>
      <w:r w:rsidRPr="00464D66">
        <w:rPr>
          <w:rFonts w:cs="Arial"/>
          <w:sz w:val="22"/>
          <w:szCs w:val="22"/>
          <w:lang w:val="en-US" w:eastAsia="ja-JP"/>
        </w:rPr>
        <w:t xml:space="preserve"> </w:t>
      </w:r>
    </w:p>
    <w:p w14:paraId="7D17147F" w14:textId="77777777" w:rsidR="000E60AA" w:rsidRDefault="000E60AA" w:rsidP="00630C93">
      <w:pPr>
        <w:widowControl w:val="0"/>
        <w:autoSpaceDE w:val="0"/>
        <w:autoSpaceDN w:val="0"/>
        <w:adjustRightInd w:val="0"/>
        <w:rPr>
          <w:rFonts w:cs="Arial"/>
          <w:sz w:val="22"/>
          <w:szCs w:val="22"/>
          <w:lang w:val="en-US" w:eastAsia="ja-JP"/>
        </w:rPr>
      </w:pPr>
    </w:p>
    <w:p w14:paraId="4D980491" w14:textId="55523A6A" w:rsidR="007231EE" w:rsidRPr="009D2762" w:rsidRDefault="001731DC" w:rsidP="00630C93">
      <w:pPr>
        <w:widowControl w:val="0"/>
        <w:autoSpaceDE w:val="0"/>
        <w:autoSpaceDN w:val="0"/>
        <w:adjustRightInd w:val="0"/>
        <w:rPr>
          <w:rFonts w:cs="Arial"/>
          <w:sz w:val="22"/>
          <w:szCs w:val="22"/>
          <w:lang w:val="en-US" w:eastAsia="ja-JP"/>
        </w:rPr>
      </w:pPr>
      <w:r w:rsidRPr="001731DC">
        <w:rPr>
          <w:rFonts w:cs="Arial"/>
          <w:sz w:val="22"/>
          <w:szCs w:val="22"/>
          <w:lang w:val="en-US" w:eastAsia="ja-JP"/>
        </w:rPr>
        <w:t xml:space="preserve">On the EMA-preferred endpoint of TOC, in the ITT analysis set 292 (88.0%) patients in the tedizolid </w:t>
      </w:r>
      <w:r w:rsidR="00CF4756">
        <w:rPr>
          <w:rFonts w:cs="Arial"/>
          <w:sz w:val="22"/>
          <w:szCs w:val="22"/>
          <w:lang w:val="en-US" w:eastAsia="ja-JP"/>
        </w:rPr>
        <w:t xml:space="preserve">phosphate </w:t>
      </w:r>
      <w:r w:rsidRPr="001731DC">
        <w:rPr>
          <w:rFonts w:cs="Arial"/>
          <w:sz w:val="22"/>
          <w:szCs w:val="22"/>
          <w:lang w:val="en-US" w:eastAsia="ja-JP"/>
        </w:rPr>
        <w:t xml:space="preserve">group and 293 (87.7%) in the linezolid group had investigator-assessed clinical success at the PTE visit (difference 0.3, 95% CI -4.8, 5.3). </w:t>
      </w:r>
      <w:r w:rsidR="00630C93" w:rsidRPr="001731DC">
        <w:rPr>
          <w:rFonts w:cs="Arial"/>
          <w:sz w:val="22"/>
          <w:szCs w:val="22"/>
          <w:lang w:val="en-US" w:eastAsia="ja-JP"/>
        </w:rPr>
        <w:t>Of</w:t>
      </w:r>
      <w:r w:rsidR="00630C93" w:rsidRPr="00464D66">
        <w:rPr>
          <w:rFonts w:cs="Arial"/>
          <w:sz w:val="22"/>
          <w:szCs w:val="22"/>
          <w:lang w:val="en-US" w:eastAsia="ja-JP"/>
        </w:rPr>
        <w:t xml:space="preserve"> patients who were clinically evaluable at the PTE</w:t>
      </w:r>
      <w:r>
        <w:rPr>
          <w:rFonts w:cs="Arial"/>
          <w:sz w:val="22"/>
          <w:szCs w:val="22"/>
          <w:lang w:val="en-US" w:eastAsia="ja-JP"/>
        </w:rPr>
        <w:t xml:space="preserve"> visit</w:t>
      </w:r>
      <w:r w:rsidR="00630C93" w:rsidRPr="00464D66">
        <w:rPr>
          <w:rFonts w:cs="Arial"/>
          <w:sz w:val="22"/>
          <w:szCs w:val="22"/>
          <w:lang w:val="en-US" w:eastAsia="ja-JP"/>
        </w:rPr>
        <w:t xml:space="preserve">, 268 (92%) of 290 in the tedizolid </w:t>
      </w:r>
      <w:r w:rsidR="00CF4756">
        <w:rPr>
          <w:rFonts w:cs="Arial"/>
          <w:sz w:val="22"/>
          <w:szCs w:val="22"/>
          <w:lang w:val="en-US" w:eastAsia="ja-JP"/>
        </w:rPr>
        <w:t xml:space="preserve">phosphate </w:t>
      </w:r>
      <w:r w:rsidR="00630C93" w:rsidRPr="00464D66">
        <w:rPr>
          <w:rFonts w:cs="Arial"/>
          <w:sz w:val="22"/>
          <w:szCs w:val="22"/>
          <w:lang w:val="en-US" w:eastAsia="ja-JP"/>
        </w:rPr>
        <w:t>group and 269 (96%) of 280 in the linezolid group had investiga</w:t>
      </w:r>
      <w:r w:rsidR="000E60AA">
        <w:rPr>
          <w:rFonts w:cs="Arial"/>
          <w:sz w:val="22"/>
          <w:szCs w:val="22"/>
          <w:lang w:val="en-US" w:eastAsia="ja-JP"/>
        </w:rPr>
        <w:t>tor-assessed clinical success (difference -</w:t>
      </w:r>
      <w:r w:rsidR="00630C93" w:rsidRPr="00464D66">
        <w:rPr>
          <w:rFonts w:cs="Arial"/>
          <w:sz w:val="22"/>
          <w:szCs w:val="22"/>
          <w:lang w:val="en-US" w:eastAsia="ja-JP"/>
        </w:rPr>
        <w:t xml:space="preserve">3.7%, </w:t>
      </w:r>
      <w:r w:rsidR="000E60AA">
        <w:rPr>
          <w:rFonts w:cs="Arial"/>
          <w:sz w:val="22"/>
          <w:szCs w:val="22"/>
          <w:lang w:val="en-US" w:eastAsia="ja-JP"/>
        </w:rPr>
        <w:t>95% -</w:t>
      </w:r>
      <w:r w:rsidR="00630C93" w:rsidRPr="00464D66">
        <w:rPr>
          <w:rFonts w:cs="Arial"/>
          <w:sz w:val="22"/>
          <w:szCs w:val="22"/>
          <w:lang w:val="en-US" w:eastAsia="ja-JP"/>
        </w:rPr>
        <w:t>7.7 to 0.2) (</w:t>
      </w:r>
      <w:r w:rsidR="00381A09">
        <w:rPr>
          <w:rFonts w:cs="Arial"/>
          <w:sz w:val="22"/>
          <w:szCs w:val="22"/>
          <w:lang w:val="en-US" w:eastAsia="ja-JP"/>
        </w:rPr>
        <w:fldChar w:fldCharType="begin"/>
      </w:r>
      <w:r w:rsidR="00381A09">
        <w:rPr>
          <w:rFonts w:cs="Arial"/>
          <w:sz w:val="22"/>
          <w:szCs w:val="22"/>
          <w:lang w:val="en-US" w:eastAsia="ja-JP"/>
        </w:rPr>
        <w:instrText xml:space="preserve"> REF _Ref281754003 \h </w:instrText>
      </w:r>
      <w:r w:rsidR="00381A09">
        <w:rPr>
          <w:rFonts w:cs="Arial"/>
          <w:sz w:val="22"/>
          <w:szCs w:val="22"/>
          <w:lang w:val="en-US" w:eastAsia="ja-JP"/>
        </w:rPr>
      </w:r>
      <w:r w:rsidR="00381A09">
        <w:rPr>
          <w:rFonts w:cs="Arial"/>
          <w:sz w:val="22"/>
          <w:szCs w:val="22"/>
          <w:lang w:val="en-US" w:eastAsia="ja-JP"/>
        </w:rPr>
        <w:fldChar w:fldCharType="separate"/>
      </w:r>
      <w:r w:rsidR="00151A1C" w:rsidRPr="00A843AD">
        <w:rPr>
          <w:rFonts w:cs="Arial"/>
          <w:sz w:val="22"/>
          <w:szCs w:val="22"/>
          <w:lang w:val="en-US"/>
        </w:rPr>
        <w:t xml:space="preserve">Table </w:t>
      </w:r>
      <w:r w:rsidR="00151A1C">
        <w:rPr>
          <w:rFonts w:cs="Arial"/>
          <w:noProof/>
          <w:sz w:val="22"/>
          <w:szCs w:val="22"/>
          <w:lang w:val="en-US"/>
        </w:rPr>
        <w:t>24</w:t>
      </w:r>
      <w:r w:rsidR="00381A09">
        <w:rPr>
          <w:rFonts w:cs="Arial"/>
          <w:sz w:val="22"/>
          <w:szCs w:val="22"/>
          <w:lang w:val="en-US" w:eastAsia="ja-JP"/>
        </w:rPr>
        <w:fldChar w:fldCharType="end"/>
      </w:r>
      <w:r w:rsidR="00630C93" w:rsidRPr="00464D66">
        <w:rPr>
          <w:rFonts w:cs="Arial"/>
          <w:sz w:val="22"/>
          <w:szCs w:val="22"/>
          <w:lang w:val="en-US" w:eastAsia="ja-JP"/>
        </w:rPr>
        <w:t>)</w:t>
      </w:r>
      <w:r w:rsidR="009D2762">
        <w:rPr>
          <w:rFonts w:cs="Arial"/>
          <w:color w:val="FF0000"/>
          <w:sz w:val="22"/>
          <w:szCs w:val="22"/>
          <w:lang w:val="en-US" w:eastAsia="ja-JP"/>
        </w:rPr>
        <w:t xml:space="preserve">. </w:t>
      </w:r>
      <w:r w:rsidR="00630C93" w:rsidRPr="009D2762">
        <w:rPr>
          <w:rFonts w:cs="Arial"/>
          <w:sz w:val="22"/>
          <w:szCs w:val="22"/>
          <w:lang w:val="en-US" w:eastAsia="ja-JP"/>
        </w:rPr>
        <w:t>Microbiological responses in microbiologically evaluable patients showed a similar pattern to those in the microbiologica</w:t>
      </w:r>
      <w:r w:rsidR="00151731">
        <w:rPr>
          <w:rFonts w:cs="Arial"/>
          <w:sz w:val="22"/>
          <w:szCs w:val="22"/>
          <w:lang w:val="en-US" w:eastAsia="ja-JP"/>
        </w:rPr>
        <w:t>l intention-to-treat population</w:t>
      </w:r>
      <w:r w:rsidR="00C2674D">
        <w:rPr>
          <w:rFonts w:cs="Arial"/>
          <w:sz w:val="22"/>
          <w:szCs w:val="22"/>
          <w:lang w:val="en-US" w:eastAsia="ja-JP"/>
        </w:rPr>
        <w:t xml:space="preserve"> </w:t>
      </w:r>
      <w:r w:rsidR="00381A09">
        <w:rPr>
          <w:rFonts w:cs="Arial"/>
          <w:sz w:val="22"/>
          <w:szCs w:val="22"/>
          <w:lang w:val="en-US" w:eastAsia="ja-JP"/>
        </w:rPr>
        <w:t>(</w:t>
      </w:r>
      <w:r w:rsidR="00CD6DC2">
        <w:rPr>
          <w:rFonts w:cs="Arial"/>
          <w:sz w:val="22"/>
          <w:szCs w:val="22"/>
          <w:lang w:val="en-US" w:eastAsia="ja-JP"/>
        </w:rPr>
        <w:fldChar w:fldCharType="begin"/>
      </w:r>
      <w:r w:rsidR="00CD6DC2">
        <w:rPr>
          <w:rFonts w:cs="Arial"/>
          <w:sz w:val="22"/>
          <w:szCs w:val="22"/>
          <w:lang w:val="en-US" w:eastAsia="ja-JP"/>
        </w:rPr>
        <w:instrText xml:space="preserve"> REF _Ref382561158 \h </w:instrText>
      </w:r>
      <w:r w:rsidR="00CD6DC2">
        <w:rPr>
          <w:rFonts w:cs="Arial"/>
          <w:sz w:val="22"/>
          <w:szCs w:val="22"/>
          <w:lang w:val="en-US" w:eastAsia="ja-JP"/>
        </w:rPr>
      </w:r>
      <w:r w:rsidR="00CD6DC2">
        <w:rPr>
          <w:rFonts w:cs="Arial"/>
          <w:sz w:val="22"/>
          <w:szCs w:val="22"/>
          <w:lang w:val="en-US" w:eastAsia="ja-JP"/>
        </w:rPr>
        <w:fldChar w:fldCharType="separate"/>
      </w:r>
      <w:r w:rsidR="00151A1C" w:rsidRPr="00753318">
        <w:rPr>
          <w:rFonts w:cs="Arial"/>
          <w:sz w:val="22"/>
          <w:szCs w:val="22"/>
          <w:lang w:val="en-US"/>
        </w:rPr>
        <w:t xml:space="preserve">Table </w:t>
      </w:r>
      <w:r w:rsidR="00151A1C">
        <w:rPr>
          <w:rFonts w:cs="Arial"/>
          <w:noProof/>
          <w:sz w:val="22"/>
          <w:szCs w:val="22"/>
          <w:lang w:val="en-US"/>
        </w:rPr>
        <w:t>27</w:t>
      </w:r>
      <w:r w:rsidR="00CD6DC2">
        <w:rPr>
          <w:rFonts w:cs="Arial"/>
          <w:sz w:val="22"/>
          <w:szCs w:val="22"/>
          <w:lang w:val="en-US" w:eastAsia="ja-JP"/>
        </w:rPr>
        <w:fldChar w:fldCharType="end"/>
      </w:r>
      <w:r w:rsidR="00381A09">
        <w:rPr>
          <w:rFonts w:cs="Arial"/>
          <w:sz w:val="22"/>
          <w:szCs w:val="22"/>
          <w:lang w:val="en-US" w:eastAsia="ja-JP"/>
        </w:rPr>
        <w:t>)</w:t>
      </w:r>
      <w:r w:rsidR="00151731">
        <w:rPr>
          <w:rFonts w:cs="Arial"/>
          <w:sz w:val="22"/>
          <w:szCs w:val="22"/>
          <w:lang w:val="en-US" w:eastAsia="ja-JP"/>
        </w:rPr>
        <w:t>.</w:t>
      </w:r>
      <w:r w:rsidR="00381A09">
        <w:rPr>
          <w:rFonts w:cs="Arial"/>
          <w:sz w:val="22"/>
          <w:szCs w:val="22"/>
          <w:lang w:val="en-US" w:eastAsia="ja-JP"/>
        </w:rPr>
        <w:t xml:space="preserve"> </w:t>
      </w:r>
    </w:p>
    <w:p w14:paraId="6688E16E" w14:textId="706B3DA3" w:rsidR="009C3163" w:rsidRPr="00A843AD" w:rsidRDefault="00630C93" w:rsidP="00187D40">
      <w:pPr>
        <w:pStyle w:val="Caption"/>
        <w:rPr>
          <w:rFonts w:ascii="Arial" w:hAnsi="Arial" w:cs="Arial"/>
          <w:sz w:val="22"/>
          <w:szCs w:val="22"/>
          <w:lang w:val="en-US"/>
        </w:rPr>
      </w:pPr>
      <w:bookmarkStart w:id="117" w:name="_Ref281754003"/>
      <w:r w:rsidRPr="00A843AD">
        <w:rPr>
          <w:rFonts w:ascii="Arial" w:hAnsi="Arial" w:cs="Arial"/>
          <w:sz w:val="22"/>
          <w:szCs w:val="22"/>
          <w:lang w:val="en-US"/>
        </w:rPr>
        <w:lastRenderedPageBreak/>
        <w:t>T</w:t>
      </w:r>
      <w:r w:rsidR="00350BE0" w:rsidRPr="00A843AD">
        <w:rPr>
          <w:rFonts w:ascii="Arial" w:hAnsi="Arial" w:cs="Arial"/>
          <w:sz w:val="22"/>
          <w:szCs w:val="22"/>
          <w:lang w:val="en-US"/>
        </w:rPr>
        <w:t>a</w:t>
      </w:r>
      <w:r w:rsidR="009C3163" w:rsidRPr="00A843AD">
        <w:rPr>
          <w:rFonts w:ascii="Arial" w:hAnsi="Arial" w:cs="Arial"/>
          <w:sz w:val="22"/>
          <w:szCs w:val="22"/>
          <w:lang w:val="en-US"/>
        </w:rPr>
        <w:t xml:space="preserve">ble </w:t>
      </w:r>
      <w:r w:rsidR="009C3163" w:rsidRPr="00A843AD">
        <w:rPr>
          <w:rFonts w:ascii="Arial" w:hAnsi="Arial" w:cs="Arial"/>
          <w:sz w:val="22"/>
          <w:szCs w:val="22"/>
          <w:lang w:val="en-US"/>
        </w:rPr>
        <w:fldChar w:fldCharType="begin"/>
      </w:r>
      <w:r w:rsidR="009C3163" w:rsidRPr="00A843AD">
        <w:rPr>
          <w:rFonts w:ascii="Arial" w:hAnsi="Arial" w:cs="Arial"/>
          <w:sz w:val="22"/>
          <w:szCs w:val="22"/>
          <w:lang w:val="en-US"/>
        </w:rPr>
        <w:instrText xml:space="preserve"> SEQ Table \* ARABIC </w:instrText>
      </w:r>
      <w:r w:rsidR="009C3163" w:rsidRPr="00A843AD">
        <w:rPr>
          <w:rFonts w:ascii="Arial" w:hAnsi="Arial" w:cs="Arial"/>
          <w:sz w:val="22"/>
          <w:szCs w:val="22"/>
          <w:lang w:val="en-US"/>
        </w:rPr>
        <w:fldChar w:fldCharType="separate"/>
      </w:r>
      <w:r w:rsidR="00151A1C">
        <w:rPr>
          <w:rFonts w:ascii="Arial" w:hAnsi="Arial" w:cs="Arial"/>
          <w:noProof/>
          <w:sz w:val="22"/>
          <w:szCs w:val="22"/>
          <w:lang w:val="en-US"/>
        </w:rPr>
        <w:t>24</w:t>
      </w:r>
      <w:r w:rsidR="009C3163" w:rsidRPr="00A843AD">
        <w:rPr>
          <w:rFonts w:ascii="Arial" w:hAnsi="Arial" w:cs="Arial"/>
          <w:sz w:val="22"/>
          <w:szCs w:val="22"/>
          <w:lang w:val="en-US"/>
        </w:rPr>
        <w:fldChar w:fldCharType="end"/>
      </w:r>
      <w:bookmarkEnd w:id="117"/>
      <w:r w:rsidR="009C3163" w:rsidRPr="00A843AD">
        <w:rPr>
          <w:rFonts w:ascii="Arial" w:hAnsi="Arial" w:cs="Arial"/>
          <w:sz w:val="22"/>
          <w:szCs w:val="22"/>
          <w:lang w:val="en-US"/>
        </w:rPr>
        <w:t>:</w:t>
      </w:r>
      <w:r w:rsidR="005A73A3" w:rsidRPr="00A843AD">
        <w:rPr>
          <w:rFonts w:ascii="Arial" w:hAnsi="Arial" w:cs="Arial"/>
          <w:sz w:val="22"/>
          <w:szCs w:val="22"/>
          <w:lang w:val="en-US"/>
        </w:rPr>
        <w:t xml:space="preserve"> </w:t>
      </w:r>
      <w:r w:rsidR="00E87187" w:rsidRPr="00A843AD">
        <w:rPr>
          <w:rFonts w:ascii="Arial" w:hAnsi="Arial" w:cs="Arial"/>
          <w:sz w:val="22"/>
          <w:szCs w:val="22"/>
          <w:lang w:val="en-US"/>
        </w:rPr>
        <w:t>Key</w:t>
      </w:r>
      <w:r w:rsidR="0048246C" w:rsidRPr="00A843AD">
        <w:rPr>
          <w:rFonts w:ascii="Arial" w:hAnsi="Arial" w:cs="Arial"/>
          <w:sz w:val="22"/>
          <w:szCs w:val="22"/>
          <w:lang w:val="en-US"/>
        </w:rPr>
        <w:t xml:space="preserve"> secondary outcomes</w:t>
      </w:r>
      <w:r w:rsidR="00E87187" w:rsidRPr="00A843AD">
        <w:rPr>
          <w:rFonts w:ascii="Arial" w:hAnsi="Arial" w:cs="Arial"/>
          <w:sz w:val="22"/>
          <w:szCs w:val="22"/>
          <w:lang w:val="en-US"/>
        </w:rPr>
        <w:t xml:space="preserve"> – ESTABLISH 2</w:t>
      </w:r>
    </w:p>
    <w:tbl>
      <w:tblPr>
        <w:tblStyle w:val="Table-HERONplain"/>
        <w:tblW w:w="9209" w:type="dxa"/>
        <w:tblLayout w:type="fixed"/>
        <w:tblLook w:val="04A0" w:firstRow="1" w:lastRow="0" w:firstColumn="1" w:lastColumn="0" w:noHBand="0" w:noVBand="1"/>
      </w:tblPr>
      <w:tblGrid>
        <w:gridCol w:w="1638"/>
        <w:gridCol w:w="2326"/>
        <w:gridCol w:w="1431"/>
        <w:gridCol w:w="1283"/>
        <w:gridCol w:w="1255"/>
        <w:gridCol w:w="1276"/>
      </w:tblGrid>
      <w:tr w:rsidR="009C3163" w:rsidRPr="009D2762" w14:paraId="0D110606" w14:textId="77777777" w:rsidTr="00706950">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2C3D369E" w14:textId="77777777" w:rsidR="009C3163" w:rsidRPr="009D2762" w:rsidRDefault="009C3163" w:rsidP="0015653B">
            <w:pPr>
              <w:pStyle w:val="TableBodyText-H54"/>
              <w:rPr>
                <w:rFonts w:ascii="Arial" w:hAnsi="Arial" w:cs="Arial"/>
                <w:sz w:val="20"/>
                <w:lang w:val="en-US"/>
              </w:rPr>
            </w:pPr>
            <w:r w:rsidRPr="009D2762">
              <w:rPr>
                <w:rFonts w:ascii="Arial" w:hAnsi="Arial" w:cs="Arial"/>
                <w:sz w:val="20"/>
                <w:lang w:val="en-US"/>
              </w:rPr>
              <w:t xml:space="preserve">Outcome measure </w:t>
            </w:r>
          </w:p>
        </w:tc>
        <w:tc>
          <w:tcPr>
            <w:tcW w:w="2326" w:type="dxa"/>
            <w:shd w:val="clear" w:color="auto" w:fill="auto"/>
            <w:hideMark/>
          </w:tcPr>
          <w:p w14:paraId="43651654" w14:textId="77777777" w:rsidR="009C3163" w:rsidRPr="009D2762" w:rsidRDefault="009C3163" w:rsidP="0015653B">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Response</w:t>
            </w:r>
          </w:p>
        </w:tc>
        <w:tc>
          <w:tcPr>
            <w:tcW w:w="1431" w:type="dxa"/>
            <w:shd w:val="clear" w:color="auto" w:fill="auto"/>
            <w:hideMark/>
          </w:tcPr>
          <w:p w14:paraId="18166092"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Tedizolid phosphate</w:t>
            </w:r>
          </w:p>
          <w:p w14:paraId="2D838287"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n (%)</w:t>
            </w:r>
          </w:p>
        </w:tc>
        <w:tc>
          <w:tcPr>
            <w:tcW w:w="1283" w:type="dxa"/>
            <w:shd w:val="clear" w:color="auto" w:fill="auto"/>
            <w:hideMark/>
          </w:tcPr>
          <w:p w14:paraId="29334571"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Linezolid</w:t>
            </w:r>
          </w:p>
          <w:p w14:paraId="2EFBD612"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n (%)</w:t>
            </w:r>
          </w:p>
        </w:tc>
        <w:tc>
          <w:tcPr>
            <w:tcW w:w="1255" w:type="dxa"/>
            <w:shd w:val="clear" w:color="auto" w:fill="auto"/>
            <w:hideMark/>
          </w:tcPr>
          <w:p w14:paraId="0E503819"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Difference</w:t>
            </w:r>
          </w:p>
          <w:p w14:paraId="3684DC77"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w:t>
            </w:r>
          </w:p>
        </w:tc>
        <w:tc>
          <w:tcPr>
            <w:tcW w:w="1276" w:type="dxa"/>
            <w:shd w:val="clear" w:color="auto" w:fill="auto"/>
            <w:hideMark/>
          </w:tcPr>
          <w:p w14:paraId="220AA2B7" w14:textId="77777777" w:rsidR="009C3163" w:rsidRPr="009D2762" w:rsidRDefault="009C3163" w:rsidP="0015653B">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95% CI for difference</w:t>
            </w:r>
          </w:p>
        </w:tc>
      </w:tr>
      <w:tr w:rsidR="009C3163" w:rsidRPr="009D2762" w14:paraId="15D5E9FF"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6120C8DA" w14:textId="77777777" w:rsidR="009C3163" w:rsidRPr="009D2762" w:rsidRDefault="009C3163" w:rsidP="0015653B">
            <w:pPr>
              <w:rPr>
                <w:rFonts w:cs="Arial"/>
                <w:sz w:val="20"/>
              </w:rPr>
            </w:pPr>
            <w:r w:rsidRPr="009D2762">
              <w:rPr>
                <w:rFonts w:cs="Arial"/>
                <w:sz w:val="20"/>
                <w:lang w:val="en-US"/>
              </w:rPr>
              <w:t xml:space="preserve">Clinical response at the EOT Visit (ITT population) </w:t>
            </w:r>
          </w:p>
        </w:tc>
        <w:tc>
          <w:tcPr>
            <w:tcW w:w="2326" w:type="dxa"/>
          </w:tcPr>
          <w:p w14:paraId="41C647A2"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N</w:t>
            </w:r>
          </w:p>
        </w:tc>
        <w:tc>
          <w:tcPr>
            <w:tcW w:w="1431" w:type="dxa"/>
          </w:tcPr>
          <w:p w14:paraId="6EB6F607"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332</w:t>
            </w:r>
          </w:p>
        </w:tc>
        <w:tc>
          <w:tcPr>
            <w:tcW w:w="1283" w:type="dxa"/>
          </w:tcPr>
          <w:p w14:paraId="7C09651F"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334</w:t>
            </w:r>
          </w:p>
        </w:tc>
        <w:tc>
          <w:tcPr>
            <w:tcW w:w="1255" w:type="dxa"/>
          </w:tcPr>
          <w:p w14:paraId="0F795CC3"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w:t>
            </w:r>
          </w:p>
        </w:tc>
        <w:tc>
          <w:tcPr>
            <w:tcW w:w="1276" w:type="dxa"/>
          </w:tcPr>
          <w:p w14:paraId="3DE85A1D"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w:t>
            </w:r>
          </w:p>
        </w:tc>
      </w:tr>
      <w:tr w:rsidR="009C3163" w:rsidRPr="009D2762" w14:paraId="36D982CB"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4A7E9ED9" w14:textId="77777777" w:rsidR="009C3163" w:rsidRPr="009D2762" w:rsidRDefault="009C3163" w:rsidP="0015653B">
            <w:pPr>
              <w:rPr>
                <w:rFonts w:cs="Arial"/>
                <w:sz w:val="20"/>
              </w:rPr>
            </w:pPr>
          </w:p>
        </w:tc>
        <w:tc>
          <w:tcPr>
            <w:tcW w:w="2326" w:type="dxa"/>
          </w:tcPr>
          <w:p w14:paraId="76A0C20C"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Clinical success</w:t>
            </w:r>
          </w:p>
        </w:tc>
        <w:tc>
          <w:tcPr>
            <w:tcW w:w="1431" w:type="dxa"/>
          </w:tcPr>
          <w:p w14:paraId="104130B0"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289 (87.0)</w:t>
            </w:r>
          </w:p>
        </w:tc>
        <w:tc>
          <w:tcPr>
            <w:tcW w:w="1283" w:type="dxa"/>
          </w:tcPr>
          <w:p w14:paraId="2FF579D3"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294 (88.0)</w:t>
            </w:r>
          </w:p>
        </w:tc>
        <w:tc>
          <w:tcPr>
            <w:tcW w:w="1255" w:type="dxa"/>
            <w:vMerge w:val="restart"/>
          </w:tcPr>
          <w:p w14:paraId="774F5BBB"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-1.0</w:t>
            </w:r>
          </w:p>
        </w:tc>
        <w:tc>
          <w:tcPr>
            <w:tcW w:w="1276" w:type="dxa"/>
            <w:vMerge w:val="restart"/>
          </w:tcPr>
          <w:p w14:paraId="3A7F0B19"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(-6.1, 4.1)</w:t>
            </w:r>
          </w:p>
        </w:tc>
      </w:tr>
      <w:tr w:rsidR="009C3163" w:rsidRPr="009D2762" w14:paraId="1266FB74"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517B6EE0" w14:textId="77777777" w:rsidR="009C3163" w:rsidRPr="009D2762" w:rsidRDefault="009C3163" w:rsidP="0015653B">
            <w:pPr>
              <w:rPr>
                <w:rFonts w:cs="Arial"/>
                <w:sz w:val="20"/>
              </w:rPr>
            </w:pPr>
          </w:p>
        </w:tc>
        <w:tc>
          <w:tcPr>
            <w:tcW w:w="2326" w:type="dxa"/>
          </w:tcPr>
          <w:p w14:paraId="07596C02"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Clinical failure or indeterminate</w:t>
            </w:r>
          </w:p>
        </w:tc>
        <w:tc>
          <w:tcPr>
            <w:tcW w:w="1431" w:type="dxa"/>
          </w:tcPr>
          <w:p w14:paraId="0C913A08"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43 (13.0)</w:t>
            </w:r>
          </w:p>
        </w:tc>
        <w:tc>
          <w:tcPr>
            <w:tcW w:w="1283" w:type="dxa"/>
          </w:tcPr>
          <w:p w14:paraId="3A6C0C50"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40 (12.0)</w:t>
            </w:r>
          </w:p>
        </w:tc>
        <w:tc>
          <w:tcPr>
            <w:tcW w:w="1255" w:type="dxa"/>
            <w:vMerge/>
          </w:tcPr>
          <w:p w14:paraId="5E2136DF" w14:textId="77777777" w:rsidR="009C3163" w:rsidRPr="009D2762" w:rsidRDefault="009C3163" w:rsidP="0015653B">
            <w:pPr>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Merge/>
          </w:tcPr>
          <w:p w14:paraId="3B42F2BC" w14:textId="77777777" w:rsidR="009C3163" w:rsidRPr="009D2762" w:rsidRDefault="009C3163" w:rsidP="0015653B">
            <w:pPr>
              <w:cnfStyle w:val="000000000000" w:firstRow="0" w:lastRow="0" w:firstColumn="0" w:lastColumn="0" w:oddVBand="0" w:evenVBand="0" w:oddHBand="0" w:evenHBand="0" w:firstRowFirstColumn="0" w:firstRowLastColumn="0" w:lastRowFirstColumn="0" w:lastRowLastColumn="0"/>
              <w:rPr>
                <w:rFonts w:cs="Arial"/>
                <w:sz w:val="20"/>
              </w:rPr>
            </w:pPr>
          </w:p>
        </w:tc>
      </w:tr>
      <w:tr w:rsidR="009C3163" w:rsidRPr="009D2762" w14:paraId="133BACAB"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13C94CDD" w14:textId="77777777" w:rsidR="009C3163" w:rsidRPr="009D2762" w:rsidRDefault="009C3163" w:rsidP="0015653B">
            <w:pPr>
              <w:rPr>
                <w:rFonts w:cs="Arial"/>
                <w:sz w:val="20"/>
              </w:rPr>
            </w:pPr>
            <w:r w:rsidRPr="009D2762">
              <w:rPr>
                <w:rFonts w:cs="Arial"/>
                <w:sz w:val="20"/>
                <w:lang w:val="en-US"/>
              </w:rPr>
              <w:t>Clinical response at the EOT Visit (CE-EOT population)</w:t>
            </w:r>
          </w:p>
        </w:tc>
        <w:tc>
          <w:tcPr>
            <w:tcW w:w="2326" w:type="dxa"/>
          </w:tcPr>
          <w:p w14:paraId="2C9664D9"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N</w:t>
            </w:r>
          </w:p>
        </w:tc>
        <w:tc>
          <w:tcPr>
            <w:tcW w:w="1431" w:type="dxa"/>
          </w:tcPr>
          <w:p w14:paraId="20A792E7"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304</w:t>
            </w:r>
          </w:p>
        </w:tc>
        <w:tc>
          <w:tcPr>
            <w:tcW w:w="1283" w:type="dxa"/>
          </w:tcPr>
          <w:p w14:paraId="57BB78FD" w14:textId="2DC11331"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299</w:t>
            </w:r>
            <w:r w:rsidR="0048246C" w:rsidRPr="009D2762">
              <w:rPr>
                <w:rFonts w:ascii="Arial" w:hAnsi="Arial" w:cs="Arial"/>
                <w:sz w:val="20"/>
                <w:lang w:val="en-US"/>
              </w:rPr>
              <w:t xml:space="preserve"> </w:t>
            </w:r>
          </w:p>
        </w:tc>
        <w:tc>
          <w:tcPr>
            <w:tcW w:w="1255" w:type="dxa"/>
          </w:tcPr>
          <w:p w14:paraId="4E1D7047"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w:t>
            </w:r>
          </w:p>
        </w:tc>
        <w:tc>
          <w:tcPr>
            <w:tcW w:w="1276" w:type="dxa"/>
          </w:tcPr>
          <w:p w14:paraId="5A6942FC"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w:t>
            </w:r>
          </w:p>
        </w:tc>
      </w:tr>
      <w:tr w:rsidR="009C3163" w:rsidRPr="009D2762" w14:paraId="2A0FD30F"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735BDDE8" w14:textId="77777777" w:rsidR="009C3163" w:rsidRPr="009D2762" w:rsidRDefault="009C3163" w:rsidP="0015653B">
            <w:pPr>
              <w:rPr>
                <w:rFonts w:cs="Arial"/>
                <w:sz w:val="20"/>
              </w:rPr>
            </w:pPr>
          </w:p>
        </w:tc>
        <w:tc>
          <w:tcPr>
            <w:tcW w:w="2326" w:type="dxa"/>
          </w:tcPr>
          <w:p w14:paraId="265CF98E"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Clinical success</w:t>
            </w:r>
          </w:p>
        </w:tc>
        <w:tc>
          <w:tcPr>
            <w:tcW w:w="1431" w:type="dxa"/>
          </w:tcPr>
          <w:p w14:paraId="57DE8231"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272 (89.5)</w:t>
            </w:r>
          </w:p>
        </w:tc>
        <w:tc>
          <w:tcPr>
            <w:tcW w:w="1283" w:type="dxa"/>
          </w:tcPr>
          <w:p w14:paraId="0E358831"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280 (93.6)</w:t>
            </w:r>
          </w:p>
        </w:tc>
        <w:tc>
          <w:tcPr>
            <w:tcW w:w="1255" w:type="dxa"/>
            <w:vMerge w:val="restart"/>
          </w:tcPr>
          <w:p w14:paraId="36B672FA"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-4.1</w:t>
            </w:r>
          </w:p>
        </w:tc>
        <w:tc>
          <w:tcPr>
            <w:tcW w:w="1276" w:type="dxa"/>
            <w:vMerge w:val="restart"/>
          </w:tcPr>
          <w:p w14:paraId="1065BCFC"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(-8.8, 0.3)</w:t>
            </w:r>
          </w:p>
        </w:tc>
      </w:tr>
      <w:tr w:rsidR="009C3163" w:rsidRPr="009D2762" w14:paraId="62849484"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3C20B32D" w14:textId="77777777" w:rsidR="009C3163" w:rsidRPr="009D2762" w:rsidRDefault="009C3163" w:rsidP="0015653B">
            <w:pPr>
              <w:rPr>
                <w:rFonts w:cs="Arial"/>
                <w:sz w:val="20"/>
              </w:rPr>
            </w:pPr>
          </w:p>
        </w:tc>
        <w:tc>
          <w:tcPr>
            <w:tcW w:w="2326" w:type="dxa"/>
          </w:tcPr>
          <w:p w14:paraId="4D869F30"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Clinical failure</w:t>
            </w:r>
          </w:p>
        </w:tc>
        <w:tc>
          <w:tcPr>
            <w:tcW w:w="1431" w:type="dxa"/>
          </w:tcPr>
          <w:p w14:paraId="4095C61C"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32 (10.5)</w:t>
            </w:r>
          </w:p>
        </w:tc>
        <w:tc>
          <w:tcPr>
            <w:tcW w:w="1283" w:type="dxa"/>
          </w:tcPr>
          <w:p w14:paraId="4CDDF990"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19 (6.4)</w:t>
            </w:r>
          </w:p>
        </w:tc>
        <w:tc>
          <w:tcPr>
            <w:tcW w:w="1255" w:type="dxa"/>
            <w:vMerge/>
          </w:tcPr>
          <w:p w14:paraId="7ABBD789"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p>
        </w:tc>
        <w:tc>
          <w:tcPr>
            <w:tcW w:w="1276" w:type="dxa"/>
            <w:vMerge/>
          </w:tcPr>
          <w:p w14:paraId="134894E3"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p>
        </w:tc>
      </w:tr>
      <w:tr w:rsidR="009C3163" w:rsidRPr="009D2762" w14:paraId="7CE9AFD7"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134273CF" w14:textId="77777777" w:rsidR="009C3163" w:rsidRPr="009D2762" w:rsidRDefault="009C3163" w:rsidP="0015653B">
            <w:pPr>
              <w:rPr>
                <w:rFonts w:cs="Arial"/>
                <w:sz w:val="20"/>
              </w:rPr>
            </w:pPr>
            <w:r w:rsidRPr="009D2762">
              <w:rPr>
                <w:rFonts w:cs="Arial"/>
                <w:sz w:val="20"/>
                <w:lang w:val="en-US"/>
              </w:rPr>
              <w:t>Investigator’s assessment of clinical success at the PTE Visit (ITT population)</w:t>
            </w:r>
          </w:p>
        </w:tc>
        <w:tc>
          <w:tcPr>
            <w:tcW w:w="2326" w:type="dxa"/>
          </w:tcPr>
          <w:p w14:paraId="7761763B"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N</w:t>
            </w:r>
          </w:p>
        </w:tc>
        <w:tc>
          <w:tcPr>
            <w:tcW w:w="1431" w:type="dxa"/>
          </w:tcPr>
          <w:p w14:paraId="7101B1D0"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332</w:t>
            </w:r>
          </w:p>
        </w:tc>
        <w:tc>
          <w:tcPr>
            <w:tcW w:w="1283" w:type="dxa"/>
          </w:tcPr>
          <w:p w14:paraId="690F667B"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334</w:t>
            </w:r>
          </w:p>
        </w:tc>
        <w:tc>
          <w:tcPr>
            <w:tcW w:w="1255" w:type="dxa"/>
          </w:tcPr>
          <w:p w14:paraId="0EDB6882"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w:t>
            </w:r>
          </w:p>
        </w:tc>
        <w:tc>
          <w:tcPr>
            <w:tcW w:w="1276" w:type="dxa"/>
          </w:tcPr>
          <w:p w14:paraId="12450551"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w:t>
            </w:r>
          </w:p>
        </w:tc>
      </w:tr>
      <w:tr w:rsidR="009C3163" w:rsidRPr="009D2762" w14:paraId="3AE8D634"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2C0BCCE2" w14:textId="77777777" w:rsidR="009C3163" w:rsidRPr="009D2762" w:rsidRDefault="009C3163" w:rsidP="0015653B">
            <w:pPr>
              <w:rPr>
                <w:rFonts w:cs="Arial"/>
                <w:sz w:val="20"/>
              </w:rPr>
            </w:pPr>
          </w:p>
        </w:tc>
        <w:tc>
          <w:tcPr>
            <w:tcW w:w="2326" w:type="dxa"/>
          </w:tcPr>
          <w:p w14:paraId="5BBFC4A7"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Clinical success</w:t>
            </w:r>
          </w:p>
        </w:tc>
        <w:tc>
          <w:tcPr>
            <w:tcW w:w="1431" w:type="dxa"/>
          </w:tcPr>
          <w:p w14:paraId="66E8309A"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292 (88.0)</w:t>
            </w:r>
          </w:p>
        </w:tc>
        <w:tc>
          <w:tcPr>
            <w:tcW w:w="1283" w:type="dxa"/>
          </w:tcPr>
          <w:p w14:paraId="749D8066"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293 (87.7)</w:t>
            </w:r>
          </w:p>
        </w:tc>
        <w:tc>
          <w:tcPr>
            <w:tcW w:w="1255" w:type="dxa"/>
            <w:vMerge w:val="restart"/>
          </w:tcPr>
          <w:p w14:paraId="5953BDF1"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0.3</w:t>
            </w:r>
          </w:p>
        </w:tc>
        <w:tc>
          <w:tcPr>
            <w:tcW w:w="1276" w:type="dxa"/>
            <w:vMerge w:val="restart"/>
          </w:tcPr>
          <w:p w14:paraId="7CAAAE2C"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(-4.8, 5.3)</w:t>
            </w:r>
          </w:p>
        </w:tc>
      </w:tr>
      <w:tr w:rsidR="009C3163" w:rsidRPr="009D2762" w14:paraId="2460AE6E"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116E6B6D" w14:textId="77777777" w:rsidR="009C3163" w:rsidRPr="009D2762" w:rsidRDefault="009C3163" w:rsidP="0015653B">
            <w:pPr>
              <w:rPr>
                <w:rFonts w:cs="Arial"/>
                <w:sz w:val="20"/>
              </w:rPr>
            </w:pPr>
          </w:p>
        </w:tc>
        <w:tc>
          <w:tcPr>
            <w:tcW w:w="2326" w:type="dxa"/>
          </w:tcPr>
          <w:p w14:paraId="541BE29A"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Clinical failure or indeterminate</w:t>
            </w:r>
          </w:p>
        </w:tc>
        <w:tc>
          <w:tcPr>
            <w:tcW w:w="1431" w:type="dxa"/>
          </w:tcPr>
          <w:p w14:paraId="4CD11C04"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40 (12.0)</w:t>
            </w:r>
          </w:p>
        </w:tc>
        <w:tc>
          <w:tcPr>
            <w:tcW w:w="1283" w:type="dxa"/>
          </w:tcPr>
          <w:p w14:paraId="0D2C98C7"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41 (12.3)</w:t>
            </w:r>
          </w:p>
        </w:tc>
        <w:tc>
          <w:tcPr>
            <w:tcW w:w="1255" w:type="dxa"/>
            <w:vMerge/>
          </w:tcPr>
          <w:p w14:paraId="02EDBD2C"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Merge/>
          </w:tcPr>
          <w:p w14:paraId="757F0145"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9C3163" w:rsidRPr="009D2762" w14:paraId="181C01A3"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tcPr>
          <w:p w14:paraId="2C106DD5" w14:textId="77777777" w:rsidR="009C3163" w:rsidRPr="009D2762" w:rsidRDefault="009C3163" w:rsidP="0015653B">
            <w:pPr>
              <w:rPr>
                <w:rFonts w:cs="Arial"/>
                <w:sz w:val="20"/>
              </w:rPr>
            </w:pPr>
            <w:r w:rsidRPr="009D2762">
              <w:rPr>
                <w:rFonts w:cs="Arial"/>
                <w:sz w:val="20"/>
                <w:lang w:val="en-US"/>
              </w:rPr>
              <w:t>Investigator’s assessment of clinical success at the PTE Visit (CE-PTE population)</w:t>
            </w:r>
          </w:p>
        </w:tc>
        <w:tc>
          <w:tcPr>
            <w:tcW w:w="2326" w:type="dxa"/>
          </w:tcPr>
          <w:p w14:paraId="0D523CE1"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N</w:t>
            </w:r>
          </w:p>
        </w:tc>
        <w:tc>
          <w:tcPr>
            <w:tcW w:w="1431" w:type="dxa"/>
          </w:tcPr>
          <w:p w14:paraId="26F63591"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290</w:t>
            </w:r>
          </w:p>
        </w:tc>
        <w:tc>
          <w:tcPr>
            <w:tcW w:w="1283" w:type="dxa"/>
          </w:tcPr>
          <w:p w14:paraId="4E71CD7F"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280</w:t>
            </w:r>
          </w:p>
        </w:tc>
        <w:tc>
          <w:tcPr>
            <w:tcW w:w="1255" w:type="dxa"/>
          </w:tcPr>
          <w:p w14:paraId="7EE56876"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w:t>
            </w:r>
          </w:p>
        </w:tc>
        <w:tc>
          <w:tcPr>
            <w:tcW w:w="1276" w:type="dxa"/>
          </w:tcPr>
          <w:p w14:paraId="41E56337" w14:textId="77777777" w:rsidR="009C3163" w:rsidRPr="009D2762" w:rsidRDefault="009C3163" w:rsidP="00C06F98">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9D2762">
              <w:rPr>
                <w:rFonts w:cs="Arial"/>
                <w:sz w:val="20"/>
                <w:lang w:val="en-US"/>
              </w:rPr>
              <w:t>-</w:t>
            </w:r>
          </w:p>
        </w:tc>
      </w:tr>
      <w:tr w:rsidR="009C3163" w:rsidRPr="009D2762" w14:paraId="6D0F0FE8" w14:textId="77777777" w:rsidTr="00706950">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057776BA" w14:textId="77777777" w:rsidR="009C3163" w:rsidRPr="009D2762" w:rsidRDefault="009C3163" w:rsidP="0015653B">
            <w:pPr>
              <w:rPr>
                <w:rFonts w:cs="Arial"/>
                <w:sz w:val="20"/>
              </w:rPr>
            </w:pPr>
          </w:p>
        </w:tc>
        <w:tc>
          <w:tcPr>
            <w:tcW w:w="2326" w:type="dxa"/>
          </w:tcPr>
          <w:p w14:paraId="53126D00" w14:textId="77777777" w:rsidR="009C3163" w:rsidRPr="009D2762" w:rsidRDefault="009C3163" w:rsidP="0015653B">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Clinical success</w:t>
            </w:r>
          </w:p>
        </w:tc>
        <w:tc>
          <w:tcPr>
            <w:tcW w:w="1431" w:type="dxa"/>
          </w:tcPr>
          <w:p w14:paraId="04EC7205"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268 (92.4)</w:t>
            </w:r>
          </w:p>
        </w:tc>
        <w:tc>
          <w:tcPr>
            <w:tcW w:w="1283" w:type="dxa"/>
          </w:tcPr>
          <w:p w14:paraId="7DDED532" w14:textId="77777777" w:rsidR="009C3163" w:rsidRPr="009D2762" w:rsidRDefault="009C3163" w:rsidP="0015653B">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D2762">
              <w:rPr>
                <w:rFonts w:ascii="Arial" w:hAnsi="Arial" w:cs="Arial"/>
                <w:sz w:val="20"/>
                <w:lang w:val="en-US"/>
              </w:rPr>
              <w:t>269 (96.1)</w:t>
            </w:r>
          </w:p>
        </w:tc>
        <w:tc>
          <w:tcPr>
            <w:tcW w:w="1255" w:type="dxa"/>
            <w:vMerge w:val="restart"/>
          </w:tcPr>
          <w:p w14:paraId="68A5E5E2"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-3.7</w:t>
            </w:r>
          </w:p>
        </w:tc>
        <w:tc>
          <w:tcPr>
            <w:tcW w:w="1276" w:type="dxa"/>
            <w:vMerge w:val="restart"/>
          </w:tcPr>
          <w:p w14:paraId="3F70FFB8" w14:textId="77777777" w:rsidR="009C3163" w:rsidRPr="009D2762" w:rsidRDefault="009C3163" w:rsidP="00C06F9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9D2762">
              <w:rPr>
                <w:rFonts w:cs="Arial"/>
                <w:sz w:val="20"/>
                <w:lang w:val="en-US"/>
              </w:rPr>
              <w:t>(-7.7, 0.2)</w:t>
            </w:r>
          </w:p>
        </w:tc>
      </w:tr>
      <w:tr w:rsidR="009C3163" w:rsidRPr="009D2762" w14:paraId="0405E903" w14:textId="77777777" w:rsidTr="00706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75E21DDB" w14:textId="77777777" w:rsidR="009C3163" w:rsidRPr="009D2762" w:rsidRDefault="009C3163" w:rsidP="0015653B">
            <w:pPr>
              <w:rPr>
                <w:rFonts w:cs="Arial"/>
                <w:sz w:val="20"/>
              </w:rPr>
            </w:pPr>
          </w:p>
        </w:tc>
        <w:tc>
          <w:tcPr>
            <w:tcW w:w="2326" w:type="dxa"/>
          </w:tcPr>
          <w:p w14:paraId="7EA04E05" w14:textId="77777777" w:rsidR="009C3163" w:rsidRPr="009D2762" w:rsidRDefault="009C3163" w:rsidP="0015653B">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Clinical failure</w:t>
            </w:r>
          </w:p>
        </w:tc>
        <w:tc>
          <w:tcPr>
            <w:tcW w:w="1431" w:type="dxa"/>
          </w:tcPr>
          <w:p w14:paraId="66DE1292"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22 (7.6)</w:t>
            </w:r>
          </w:p>
        </w:tc>
        <w:tc>
          <w:tcPr>
            <w:tcW w:w="1283" w:type="dxa"/>
          </w:tcPr>
          <w:p w14:paraId="707B5582" w14:textId="77777777" w:rsidR="009C3163" w:rsidRPr="009D2762" w:rsidRDefault="009C3163" w:rsidP="0015653B">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D2762">
              <w:rPr>
                <w:rFonts w:ascii="Arial" w:hAnsi="Arial" w:cs="Arial"/>
                <w:sz w:val="20"/>
                <w:lang w:val="en-US"/>
              </w:rPr>
              <w:t>11 (3.9)</w:t>
            </w:r>
          </w:p>
        </w:tc>
        <w:tc>
          <w:tcPr>
            <w:tcW w:w="1255" w:type="dxa"/>
            <w:vMerge/>
          </w:tcPr>
          <w:p w14:paraId="468C60B3" w14:textId="77777777" w:rsidR="009C3163" w:rsidRPr="009D2762" w:rsidRDefault="009C3163" w:rsidP="0015653B">
            <w:pPr>
              <w:cnfStyle w:val="000000010000" w:firstRow="0" w:lastRow="0" w:firstColumn="0" w:lastColumn="0" w:oddVBand="0" w:evenVBand="0" w:oddHBand="0" w:evenHBand="1" w:firstRowFirstColumn="0" w:firstRowLastColumn="0" w:lastRowFirstColumn="0" w:lastRowLastColumn="0"/>
              <w:rPr>
                <w:rFonts w:cs="Arial"/>
                <w:sz w:val="20"/>
              </w:rPr>
            </w:pPr>
          </w:p>
        </w:tc>
        <w:tc>
          <w:tcPr>
            <w:tcW w:w="1276" w:type="dxa"/>
            <w:vMerge/>
          </w:tcPr>
          <w:p w14:paraId="12669244" w14:textId="77777777" w:rsidR="009C3163" w:rsidRPr="009D2762" w:rsidRDefault="009C3163" w:rsidP="0015653B">
            <w:pPr>
              <w:cnfStyle w:val="000000010000" w:firstRow="0" w:lastRow="0" w:firstColumn="0" w:lastColumn="0" w:oddVBand="0" w:evenVBand="0" w:oddHBand="0" w:evenHBand="1" w:firstRowFirstColumn="0" w:firstRowLastColumn="0" w:lastRowFirstColumn="0" w:lastRowLastColumn="0"/>
              <w:rPr>
                <w:rFonts w:cs="Arial"/>
                <w:sz w:val="20"/>
              </w:rPr>
            </w:pPr>
          </w:p>
        </w:tc>
      </w:tr>
    </w:tbl>
    <w:p w14:paraId="70CD0BF7" w14:textId="41EAA394" w:rsidR="00534737" w:rsidRPr="00534737" w:rsidRDefault="00534737" w:rsidP="00534737">
      <w:pPr>
        <w:tabs>
          <w:tab w:val="left" w:pos="680"/>
        </w:tabs>
        <w:jc w:val="both"/>
        <w:rPr>
          <w:bCs/>
          <w:sz w:val="16"/>
          <w:szCs w:val="16"/>
          <w:lang w:val="en-US"/>
        </w:rPr>
      </w:pPr>
      <w:bookmarkStart w:id="118" w:name="_Toc396058398"/>
      <w:r w:rsidRPr="00534737">
        <w:rPr>
          <w:rFonts w:eastAsia="MS PGothic"/>
          <w:bCs/>
          <w:sz w:val="16"/>
          <w:szCs w:val="16"/>
          <w:lang w:val="en-US"/>
        </w:rPr>
        <w:t>SOURCE:</w:t>
      </w:r>
      <w:r w:rsidR="00CA0F83">
        <w:rPr>
          <w:rFonts w:eastAsia="MS PGothic"/>
          <w:bCs/>
          <w:sz w:val="16"/>
          <w:szCs w:val="16"/>
          <w:lang w:val="en-US"/>
        </w:rPr>
        <w:fldChar w:fldCharType="begin"/>
      </w:r>
      <w:r w:rsidR="00CA0F83">
        <w:rPr>
          <w:rFonts w:eastAsia="MS PGothic"/>
          <w:bCs/>
          <w:sz w:val="16"/>
          <w:szCs w:val="16"/>
          <w:lang w:val="en-US"/>
        </w:rPr>
        <w:instrText xml:space="preserve"> REF _Ref284170919 \r \h </w:instrText>
      </w:r>
      <w:r w:rsidR="00CA0F83">
        <w:rPr>
          <w:rFonts w:eastAsia="MS PGothic"/>
          <w:bCs/>
          <w:sz w:val="16"/>
          <w:szCs w:val="16"/>
          <w:lang w:val="en-US"/>
        </w:rPr>
      </w:r>
      <w:r w:rsidR="00CA0F83">
        <w:rPr>
          <w:rFonts w:eastAsia="MS PGothic"/>
          <w:bCs/>
          <w:sz w:val="16"/>
          <w:szCs w:val="16"/>
          <w:lang w:val="en-US"/>
        </w:rPr>
        <w:fldChar w:fldCharType="separate"/>
      </w:r>
      <w:r w:rsidR="00151A1C">
        <w:rPr>
          <w:rFonts w:eastAsia="MS PGothic"/>
          <w:bCs/>
          <w:sz w:val="16"/>
          <w:szCs w:val="16"/>
          <w:lang w:val="en-US"/>
        </w:rPr>
        <w:t>40</w:t>
      </w:r>
      <w:r w:rsidR="00CA0F83">
        <w:rPr>
          <w:rFonts w:eastAsia="MS PGothic"/>
          <w:bCs/>
          <w:sz w:val="16"/>
          <w:szCs w:val="16"/>
          <w:lang w:val="en-US"/>
        </w:rPr>
        <w:fldChar w:fldCharType="end"/>
      </w:r>
      <w:r w:rsidR="001E4B40">
        <w:rPr>
          <w:bCs/>
          <w:sz w:val="16"/>
          <w:szCs w:val="16"/>
          <w:lang w:val="en-US"/>
        </w:rPr>
        <w:t>; ESTABLISH-2 CSR</w:t>
      </w:r>
      <w:r w:rsidR="00CA0F83">
        <w:rPr>
          <w:bCs/>
          <w:sz w:val="16"/>
          <w:szCs w:val="16"/>
          <w:lang w:val="en-US"/>
        </w:rPr>
        <w:t xml:space="preserve"> </w:t>
      </w:r>
      <w:r w:rsidR="00CA0F83">
        <w:rPr>
          <w:bCs/>
          <w:sz w:val="16"/>
          <w:szCs w:val="16"/>
          <w:lang w:val="en-US"/>
        </w:rPr>
        <w:fldChar w:fldCharType="begin"/>
      </w:r>
      <w:r w:rsidR="00CA0F83">
        <w:rPr>
          <w:bCs/>
          <w:sz w:val="16"/>
          <w:szCs w:val="16"/>
          <w:lang w:val="en-US"/>
        </w:rPr>
        <w:instrText xml:space="preserve"> REF _Ref284171394 \r \h </w:instrText>
      </w:r>
      <w:r w:rsidR="00CA0F83">
        <w:rPr>
          <w:bCs/>
          <w:sz w:val="16"/>
          <w:szCs w:val="16"/>
          <w:lang w:val="en-US"/>
        </w:rPr>
      </w:r>
      <w:r w:rsidR="00CA0F83">
        <w:rPr>
          <w:bCs/>
          <w:sz w:val="16"/>
          <w:szCs w:val="16"/>
          <w:lang w:val="en-US"/>
        </w:rPr>
        <w:fldChar w:fldCharType="separate"/>
      </w:r>
      <w:r w:rsidR="00151A1C">
        <w:rPr>
          <w:bCs/>
          <w:sz w:val="16"/>
          <w:szCs w:val="16"/>
          <w:lang w:val="en-US"/>
        </w:rPr>
        <w:t>42</w:t>
      </w:r>
      <w:r w:rsidR="00CA0F83">
        <w:rPr>
          <w:bCs/>
          <w:sz w:val="16"/>
          <w:szCs w:val="16"/>
          <w:lang w:val="en-US"/>
        </w:rPr>
        <w:fldChar w:fldCharType="end"/>
      </w:r>
      <w:r w:rsidR="001E4B40">
        <w:rPr>
          <w:bCs/>
          <w:sz w:val="16"/>
          <w:szCs w:val="16"/>
          <w:lang w:val="en-US"/>
        </w:rPr>
        <w:t xml:space="preserve">. </w:t>
      </w:r>
      <w:r w:rsidRPr="00534737">
        <w:rPr>
          <w:bCs/>
          <w:sz w:val="16"/>
          <w:szCs w:val="16"/>
          <w:lang w:val="en-US"/>
        </w:rPr>
        <w:t>CE-PTE: Clinically evaluable post therapy evaluation; CI: Confidence interval; PTE: Post therapy evaluation</w:t>
      </w:r>
    </w:p>
    <w:bookmarkEnd w:id="118"/>
    <w:p w14:paraId="17CEB486" w14:textId="447505D2" w:rsidR="00772217" w:rsidRPr="001C6488" w:rsidRDefault="000B2246" w:rsidP="00673008">
      <w:pPr>
        <w:pStyle w:val="Heading3"/>
        <w:keepLines w:val="0"/>
        <w:spacing w:before="240" w:after="120"/>
        <w:rPr>
          <w:rFonts w:ascii="Arial" w:hAnsi="Arial" w:cs="Arial"/>
          <w:color w:val="auto"/>
          <w:sz w:val="22"/>
          <w:szCs w:val="22"/>
          <w:lang w:val="en-US"/>
        </w:rPr>
      </w:pPr>
      <w:r w:rsidRPr="001C6488">
        <w:rPr>
          <w:rFonts w:ascii="Arial" w:hAnsi="Arial" w:cs="Arial"/>
          <w:color w:val="auto"/>
          <w:sz w:val="22"/>
          <w:szCs w:val="22"/>
          <w:lang w:val="en-US"/>
        </w:rPr>
        <w:t xml:space="preserve">3.4.17 </w:t>
      </w:r>
      <w:r w:rsidR="003061A2" w:rsidRPr="001C6488">
        <w:rPr>
          <w:rFonts w:ascii="Arial" w:hAnsi="Arial" w:cs="Arial"/>
          <w:color w:val="auto"/>
          <w:sz w:val="22"/>
          <w:szCs w:val="22"/>
          <w:lang w:val="en-US"/>
        </w:rPr>
        <w:t>C</w:t>
      </w:r>
      <w:r w:rsidR="00772217" w:rsidRPr="001C6488">
        <w:rPr>
          <w:rFonts w:ascii="Arial" w:hAnsi="Arial" w:cs="Arial"/>
          <w:color w:val="auto"/>
          <w:sz w:val="22"/>
          <w:szCs w:val="22"/>
          <w:lang w:val="en-US"/>
        </w:rPr>
        <w:t xml:space="preserve">oncordance of early clinical response assessments and those at the EOT and PTE Visits </w:t>
      </w:r>
    </w:p>
    <w:p w14:paraId="7274A2D4" w14:textId="5805E499" w:rsidR="00925952" w:rsidRPr="00C970E2" w:rsidRDefault="003061A2" w:rsidP="00673008">
      <w:pPr>
        <w:rPr>
          <w:rFonts w:cs="Arial"/>
          <w:sz w:val="22"/>
          <w:szCs w:val="22"/>
          <w:lang w:val="en-US"/>
        </w:rPr>
      </w:pPr>
      <w:r w:rsidRPr="00C970E2">
        <w:rPr>
          <w:rFonts w:cs="Arial"/>
          <w:sz w:val="22"/>
          <w:szCs w:val="22"/>
          <w:lang w:val="en-US"/>
        </w:rPr>
        <w:t xml:space="preserve">There was a high concordance </w:t>
      </w:r>
      <w:r w:rsidR="00925952" w:rsidRPr="00C970E2">
        <w:rPr>
          <w:rFonts w:cs="Arial"/>
          <w:sz w:val="22"/>
          <w:szCs w:val="22"/>
          <w:lang w:val="en-US"/>
        </w:rPr>
        <w:t xml:space="preserve">between </w:t>
      </w:r>
      <w:r w:rsidRPr="00C970E2">
        <w:rPr>
          <w:rFonts w:cs="Arial"/>
          <w:sz w:val="22"/>
          <w:szCs w:val="22"/>
          <w:lang w:val="en-US"/>
        </w:rPr>
        <w:t xml:space="preserve">early clinical response assessments and those at the EOT </w:t>
      </w:r>
      <w:r w:rsidR="00925952" w:rsidRPr="00C970E2">
        <w:rPr>
          <w:rFonts w:cs="Arial"/>
          <w:sz w:val="22"/>
          <w:szCs w:val="22"/>
          <w:lang w:val="en-US"/>
        </w:rPr>
        <w:t xml:space="preserve">(&gt;80%) </w:t>
      </w:r>
      <w:r w:rsidRPr="00C970E2">
        <w:rPr>
          <w:rFonts w:cs="Arial"/>
          <w:sz w:val="22"/>
          <w:szCs w:val="22"/>
          <w:lang w:val="en-US"/>
        </w:rPr>
        <w:t xml:space="preserve">and PTE Visits for </w:t>
      </w:r>
      <w:r w:rsidR="00925952" w:rsidRPr="00C970E2">
        <w:rPr>
          <w:rFonts w:cs="Arial"/>
          <w:sz w:val="22"/>
          <w:szCs w:val="22"/>
          <w:lang w:val="en-US"/>
        </w:rPr>
        <w:t xml:space="preserve">the </w:t>
      </w:r>
      <w:r w:rsidRPr="00C970E2">
        <w:rPr>
          <w:rFonts w:cs="Arial"/>
          <w:sz w:val="22"/>
          <w:szCs w:val="22"/>
          <w:lang w:val="en-US"/>
        </w:rPr>
        <w:t>tedizolid phosphate</w:t>
      </w:r>
      <w:r w:rsidR="00925952" w:rsidRPr="00C970E2">
        <w:rPr>
          <w:rFonts w:cs="Arial"/>
          <w:sz w:val="22"/>
          <w:szCs w:val="22"/>
          <w:lang w:val="en-US"/>
        </w:rPr>
        <w:t xml:space="preserve"> group</w:t>
      </w:r>
      <w:r w:rsidRPr="00C970E2">
        <w:rPr>
          <w:rFonts w:cs="Arial"/>
          <w:sz w:val="22"/>
          <w:szCs w:val="22"/>
          <w:lang w:val="en-US"/>
        </w:rPr>
        <w:t xml:space="preserve">, which was similar </w:t>
      </w:r>
      <w:r w:rsidRPr="00C970E2">
        <w:rPr>
          <w:rFonts w:cs="Arial"/>
          <w:sz w:val="22"/>
          <w:szCs w:val="22"/>
          <w:lang w:val="en-US"/>
        </w:rPr>
        <w:lastRenderedPageBreak/>
        <w:t xml:space="preserve">compared with </w:t>
      </w:r>
      <w:r w:rsidR="00925952" w:rsidRPr="00C970E2">
        <w:rPr>
          <w:rFonts w:cs="Arial"/>
          <w:sz w:val="22"/>
          <w:szCs w:val="22"/>
          <w:lang w:val="en-US"/>
        </w:rPr>
        <w:t xml:space="preserve">the </w:t>
      </w:r>
      <w:r w:rsidRPr="00C970E2">
        <w:rPr>
          <w:rFonts w:cs="Arial"/>
          <w:sz w:val="22"/>
          <w:szCs w:val="22"/>
          <w:lang w:val="en-US"/>
        </w:rPr>
        <w:t xml:space="preserve">linezolid </w:t>
      </w:r>
      <w:r w:rsidR="00925952" w:rsidRPr="00C970E2">
        <w:rPr>
          <w:rFonts w:cs="Arial"/>
          <w:sz w:val="22"/>
          <w:szCs w:val="22"/>
          <w:lang w:val="en-US"/>
        </w:rPr>
        <w:t>group</w:t>
      </w:r>
      <w:r w:rsidR="002D1711" w:rsidRPr="00C970E2">
        <w:rPr>
          <w:rFonts w:cs="Arial"/>
          <w:sz w:val="22"/>
          <w:szCs w:val="22"/>
          <w:lang w:val="en-US"/>
        </w:rPr>
        <w:t xml:space="preserve"> (</w:t>
      </w:r>
      <w:r w:rsidR="001C6488" w:rsidRPr="00C970E2">
        <w:rPr>
          <w:rFonts w:cs="Arial"/>
          <w:sz w:val="22"/>
          <w:szCs w:val="22"/>
          <w:lang w:val="en-US"/>
        </w:rPr>
        <w:fldChar w:fldCharType="begin"/>
      </w:r>
      <w:r w:rsidR="001C6488" w:rsidRPr="00C970E2">
        <w:rPr>
          <w:rFonts w:cs="Arial"/>
          <w:sz w:val="22"/>
          <w:szCs w:val="22"/>
          <w:lang w:val="en-US"/>
        </w:rPr>
        <w:instrText xml:space="preserve"> REF _Ref281820662 \h </w:instrText>
      </w:r>
      <w:r w:rsidR="001C6488" w:rsidRPr="00C970E2">
        <w:rPr>
          <w:rFonts w:cs="Arial"/>
          <w:sz w:val="22"/>
          <w:szCs w:val="22"/>
          <w:lang w:val="en-US"/>
        </w:rPr>
      </w:r>
      <w:r w:rsidR="001C6488" w:rsidRPr="00C970E2">
        <w:rPr>
          <w:rFonts w:cs="Arial"/>
          <w:sz w:val="22"/>
          <w:szCs w:val="22"/>
          <w:lang w:val="en-US"/>
        </w:rPr>
        <w:fldChar w:fldCharType="separate"/>
      </w:r>
      <w:r w:rsidR="00151A1C" w:rsidRPr="001C6488">
        <w:rPr>
          <w:rFonts w:cs="Arial"/>
          <w:b/>
          <w:sz w:val="22"/>
          <w:szCs w:val="22"/>
          <w:lang w:val="en-US"/>
        </w:rPr>
        <w:t xml:space="preserve">Table </w:t>
      </w:r>
      <w:r w:rsidR="00151A1C">
        <w:rPr>
          <w:rFonts w:cs="Arial"/>
          <w:b/>
          <w:noProof/>
          <w:sz w:val="22"/>
          <w:szCs w:val="22"/>
          <w:lang w:val="en-US"/>
        </w:rPr>
        <w:t>25</w:t>
      </w:r>
      <w:r w:rsidR="001C6488" w:rsidRPr="00C970E2">
        <w:rPr>
          <w:rFonts w:cs="Arial"/>
          <w:sz w:val="22"/>
          <w:szCs w:val="22"/>
          <w:lang w:val="en-US"/>
        </w:rPr>
        <w:fldChar w:fldCharType="end"/>
      </w:r>
      <w:r w:rsidR="00772217" w:rsidRPr="00C970E2">
        <w:rPr>
          <w:rFonts w:cs="Arial"/>
          <w:sz w:val="22"/>
          <w:szCs w:val="22"/>
          <w:lang w:val="en-US"/>
        </w:rPr>
        <w:t xml:space="preserve">). Data from ESTABLISH-2 </w:t>
      </w:r>
      <w:r w:rsidR="00925952" w:rsidRPr="00C970E2">
        <w:rPr>
          <w:rFonts w:cs="Arial"/>
          <w:sz w:val="22"/>
          <w:szCs w:val="22"/>
          <w:lang w:val="en-US"/>
        </w:rPr>
        <w:t xml:space="preserve">also </w:t>
      </w:r>
      <w:r w:rsidR="00772217" w:rsidRPr="00C970E2">
        <w:rPr>
          <w:rFonts w:cs="Arial"/>
          <w:sz w:val="22"/>
          <w:szCs w:val="22"/>
          <w:lang w:val="en-US"/>
        </w:rPr>
        <w:t xml:space="preserve">demonstrated good concordance between early clinical response and the clinical response at the PTE for both the tedizolid phosphate and linezolid groups. </w:t>
      </w:r>
    </w:p>
    <w:p w14:paraId="6381D527" w14:textId="77777777" w:rsidR="002D1711" w:rsidRPr="001C6488" w:rsidRDefault="002D1711" w:rsidP="00673008">
      <w:pPr>
        <w:rPr>
          <w:rFonts w:cs="Arial"/>
          <w:sz w:val="22"/>
          <w:szCs w:val="22"/>
        </w:rPr>
      </w:pPr>
    </w:p>
    <w:p w14:paraId="37767F31" w14:textId="004B19D5" w:rsidR="00772217" w:rsidRDefault="00772217" w:rsidP="00673008">
      <w:pPr>
        <w:rPr>
          <w:rFonts w:cs="Arial"/>
          <w:b/>
          <w:sz w:val="22"/>
          <w:szCs w:val="22"/>
          <w:lang w:val="en-US"/>
        </w:rPr>
      </w:pPr>
      <w:bookmarkStart w:id="119" w:name="_Ref281820662"/>
      <w:r w:rsidRPr="001C6488">
        <w:rPr>
          <w:rFonts w:cs="Arial"/>
          <w:b/>
          <w:sz w:val="22"/>
          <w:szCs w:val="22"/>
          <w:lang w:val="en-US"/>
        </w:rPr>
        <w:t xml:space="preserve">Table </w:t>
      </w:r>
      <w:r w:rsidRPr="001C6488">
        <w:rPr>
          <w:rFonts w:cs="Arial"/>
          <w:b/>
          <w:sz w:val="22"/>
          <w:szCs w:val="22"/>
          <w:lang w:val="en-US"/>
        </w:rPr>
        <w:fldChar w:fldCharType="begin"/>
      </w:r>
      <w:r w:rsidRPr="001C6488">
        <w:rPr>
          <w:rFonts w:cs="Arial"/>
          <w:b/>
          <w:sz w:val="22"/>
          <w:szCs w:val="22"/>
          <w:lang w:val="en-US"/>
        </w:rPr>
        <w:instrText xml:space="preserve"> SEQ Table \* ARABIC </w:instrText>
      </w:r>
      <w:r w:rsidRPr="001C6488">
        <w:rPr>
          <w:rFonts w:cs="Arial"/>
          <w:b/>
          <w:sz w:val="22"/>
          <w:szCs w:val="22"/>
          <w:lang w:val="en-US"/>
        </w:rPr>
        <w:fldChar w:fldCharType="separate"/>
      </w:r>
      <w:r w:rsidR="00151A1C">
        <w:rPr>
          <w:rFonts w:cs="Arial"/>
          <w:b/>
          <w:noProof/>
          <w:sz w:val="22"/>
          <w:szCs w:val="22"/>
          <w:lang w:val="en-US"/>
        </w:rPr>
        <w:t>25</w:t>
      </w:r>
      <w:r w:rsidRPr="001C6488">
        <w:rPr>
          <w:rFonts w:cs="Arial"/>
          <w:b/>
          <w:sz w:val="22"/>
          <w:szCs w:val="22"/>
          <w:lang w:val="en-US"/>
        </w:rPr>
        <w:fldChar w:fldCharType="end"/>
      </w:r>
      <w:bookmarkEnd w:id="119"/>
      <w:r w:rsidRPr="001C6488">
        <w:rPr>
          <w:rFonts w:cs="Arial"/>
          <w:b/>
          <w:sz w:val="22"/>
          <w:szCs w:val="22"/>
          <w:lang w:val="en-US"/>
        </w:rPr>
        <w:t xml:space="preserve">: </w:t>
      </w:r>
      <w:r w:rsidR="00925952" w:rsidRPr="001C6488">
        <w:rPr>
          <w:rFonts w:cs="Arial"/>
          <w:b/>
          <w:sz w:val="22"/>
          <w:szCs w:val="22"/>
          <w:lang w:val="en-US"/>
        </w:rPr>
        <w:t xml:space="preserve">ESTABLISH-2 </w:t>
      </w:r>
      <w:r w:rsidRPr="001C6488">
        <w:rPr>
          <w:rFonts w:cs="Arial"/>
          <w:b/>
          <w:sz w:val="22"/>
          <w:szCs w:val="22"/>
          <w:lang w:val="en-US"/>
        </w:rPr>
        <w:t>Concordance and discordance of early clinical response at the 48-Hour to 72-Hour Visit and investigator assessment of clinical response at the EOT Visit (ITT population)</w:t>
      </w:r>
    </w:p>
    <w:p w14:paraId="326929C2" w14:textId="77777777" w:rsidR="001C6488" w:rsidRPr="001C6488" w:rsidRDefault="001C6488" w:rsidP="002D1711">
      <w:pPr>
        <w:rPr>
          <w:rFonts w:cs="Arial"/>
          <w:b/>
          <w:sz w:val="22"/>
          <w:szCs w:val="22"/>
        </w:rPr>
      </w:pPr>
    </w:p>
    <w:tbl>
      <w:tblPr>
        <w:tblStyle w:val="Table-HERONplain"/>
        <w:tblW w:w="9000" w:type="dxa"/>
        <w:tblLayout w:type="fixed"/>
        <w:tblLook w:val="04A0" w:firstRow="1" w:lastRow="0" w:firstColumn="1" w:lastColumn="0" w:noHBand="0" w:noVBand="1"/>
      </w:tblPr>
      <w:tblGrid>
        <w:gridCol w:w="1555"/>
        <w:gridCol w:w="1680"/>
        <w:gridCol w:w="960"/>
        <w:gridCol w:w="961"/>
        <w:gridCol w:w="961"/>
        <w:gridCol w:w="961"/>
        <w:gridCol w:w="961"/>
        <w:gridCol w:w="961"/>
      </w:tblGrid>
      <w:tr w:rsidR="00772217" w:rsidRPr="001C6488" w14:paraId="028A8EBD" w14:textId="77777777" w:rsidTr="00856DE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57FA55D6" w14:textId="77777777" w:rsidR="00772217" w:rsidRPr="001C6488" w:rsidRDefault="00772217" w:rsidP="0032349D">
            <w:pPr>
              <w:pStyle w:val="TableBodyText-H54"/>
              <w:rPr>
                <w:rFonts w:ascii="Arial" w:hAnsi="Arial" w:cs="Arial"/>
                <w:sz w:val="20"/>
                <w:lang w:val="en-US"/>
              </w:rPr>
            </w:pPr>
            <w:r w:rsidRPr="001C6488">
              <w:rPr>
                <w:rFonts w:ascii="Arial" w:hAnsi="Arial" w:cs="Arial"/>
                <w:sz w:val="20"/>
                <w:lang w:val="en-US"/>
              </w:rPr>
              <w:t xml:space="preserve">Outcome measure </w:t>
            </w:r>
          </w:p>
        </w:tc>
        <w:tc>
          <w:tcPr>
            <w:tcW w:w="1680" w:type="dxa"/>
            <w:shd w:val="clear" w:color="auto" w:fill="auto"/>
            <w:hideMark/>
          </w:tcPr>
          <w:p w14:paraId="39BBE72E" w14:textId="77777777" w:rsidR="00772217" w:rsidRPr="001C6488" w:rsidRDefault="00772217" w:rsidP="0032349D">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Response</w:t>
            </w:r>
          </w:p>
        </w:tc>
        <w:tc>
          <w:tcPr>
            <w:tcW w:w="2882" w:type="dxa"/>
            <w:gridSpan w:val="3"/>
            <w:shd w:val="clear" w:color="auto" w:fill="auto"/>
            <w:hideMark/>
          </w:tcPr>
          <w:p w14:paraId="78A0B3E3" w14:textId="77777777" w:rsidR="00772217" w:rsidRPr="001C6488"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Tedizolid phosphate</w:t>
            </w:r>
          </w:p>
          <w:p w14:paraId="4822060C" w14:textId="77777777" w:rsidR="00772217" w:rsidRPr="001C6488"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n (%)</w:t>
            </w:r>
          </w:p>
        </w:tc>
        <w:tc>
          <w:tcPr>
            <w:tcW w:w="2883" w:type="dxa"/>
            <w:gridSpan w:val="3"/>
            <w:shd w:val="clear" w:color="auto" w:fill="auto"/>
            <w:hideMark/>
          </w:tcPr>
          <w:p w14:paraId="5C4EDA7E" w14:textId="77777777" w:rsidR="00772217" w:rsidRPr="001C6488"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Linezolid</w:t>
            </w:r>
          </w:p>
          <w:p w14:paraId="5820EF56" w14:textId="77777777" w:rsidR="00772217" w:rsidRPr="001C6488"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n (%)</w:t>
            </w:r>
          </w:p>
        </w:tc>
      </w:tr>
      <w:tr w:rsidR="00772217" w:rsidRPr="001C6488" w14:paraId="30362BAD" w14:textId="77777777" w:rsidTr="00856DE3">
        <w:trPr>
          <w:trHeight w:val="471"/>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hideMark/>
          </w:tcPr>
          <w:p w14:paraId="681E3961" w14:textId="77777777" w:rsidR="00772217" w:rsidRPr="001C6488" w:rsidRDefault="00772217" w:rsidP="0032349D">
            <w:pPr>
              <w:pStyle w:val="TableBodyText-H54"/>
              <w:rPr>
                <w:rFonts w:ascii="Arial" w:hAnsi="Arial" w:cs="Arial"/>
                <w:sz w:val="20"/>
                <w:lang w:val="en-US"/>
              </w:rPr>
            </w:pPr>
            <w:r w:rsidRPr="001C6488">
              <w:rPr>
                <w:rFonts w:ascii="Arial" w:hAnsi="Arial" w:cs="Arial"/>
                <w:sz w:val="20"/>
                <w:lang w:val="en-US"/>
              </w:rPr>
              <w:t>Sustained clinical success at the EOT Visit</w:t>
            </w:r>
          </w:p>
        </w:tc>
        <w:tc>
          <w:tcPr>
            <w:tcW w:w="1680" w:type="dxa"/>
          </w:tcPr>
          <w:p w14:paraId="6A8C3E70" w14:textId="77777777" w:rsidR="00772217" w:rsidRPr="001C6488"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p>
        </w:tc>
        <w:tc>
          <w:tcPr>
            <w:tcW w:w="960" w:type="dxa"/>
            <w:hideMark/>
          </w:tcPr>
          <w:p w14:paraId="214446BA"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hAnsi="Arial" w:cs="Arial"/>
                <w:sz w:val="20"/>
                <w:lang w:val="en-US"/>
              </w:rPr>
              <w:t>Early responder</w:t>
            </w:r>
          </w:p>
        </w:tc>
        <w:tc>
          <w:tcPr>
            <w:tcW w:w="961" w:type="dxa"/>
            <w:hideMark/>
          </w:tcPr>
          <w:p w14:paraId="535A0098"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hAnsi="Arial" w:cs="Arial"/>
                <w:sz w:val="20"/>
                <w:lang w:val="en-US"/>
              </w:rPr>
              <w:t>Early non-responder</w:t>
            </w:r>
          </w:p>
        </w:tc>
        <w:tc>
          <w:tcPr>
            <w:tcW w:w="961" w:type="dxa"/>
            <w:hideMark/>
          </w:tcPr>
          <w:p w14:paraId="3ED5BBCF" w14:textId="5219F4EC" w:rsidR="00772217" w:rsidRPr="001C6488" w:rsidRDefault="001E4B40"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Pr>
                <w:rFonts w:ascii="Arial" w:hAnsi="Arial" w:cs="Arial"/>
                <w:sz w:val="20"/>
                <w:lang w:val="en-US"/>
              </w:rPr>
              <w:t>Early indetermi</w:t>
            </w:r>
            <w:r w:rsidR="00772217" w:rsidRPr="001C6488">
              <w:rPr>
                <w:rFonts w:ascii="Arial" w:hAnsi="Arial" w:cs="Arial"/>
                <w:sz w:val="20"/>
                <w:lang w:val="en-US"/>
              </w:rPr>
              <w:t>nate</w:t>
            </w:r>
          </w:p>
        </w:tc>
        <w:tc>
          <w:tcPr>
            <w:tcW w:w="961" w:type="dxa"/>
            <w:hideMark/>
          </w:tcPr>
          <w:p w14:paraId="2892BFF4"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hAnsi="Arial" w:cs="Arial"/>
                <w:sz w:val="20"/>
                <w:lang w:val="en-US"/>
              </w:rPr>
              <w:t>Early responder</w:t>
            </w:r>
          </w:p>
        </w:tc>
        <w:tc>
          <w:tcPr>
            <w:tcW w:w="961" w:type="dxa"/>
            <w:hideMark/>
          </w:tcPr>
          <w:p w14:paraId="20DABF9F"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hAnsi="Arial" w:cs="Arial"/>
                <w:sz w:val="20"/>
                <w:lang w:val="en-US"/>
              </w:rPr>
              <w:t>Early non-responder</w:t>
            </w:r>
          </w:p>
        </w:tc>
        <w:tc>
          <w:tcPr>
            <w:tcW w:w="961" w:type="dxa"/>
            <w:hideMark/>
          </w:tcPr>
          <w:p w14:paraId="02F5F149" w14:textId="0D7633EC" w:rsidR="00772217" w:rsidRPr="001C6488" w:rsidRDefault="007500E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Pr>
                <w:rFonts w:ascii="Arial" w:hAnsi="Arial" w:cs="Arial"/>
                <w:sz w:val="20"/>
                <w:lang w:val="en-US"/>
              </w:rPr>
              <w:t>Early indetermi</w:t>
            </w:r>
            <w:r w:rsidR="00772217" w:rsidRPr="001C6488">
              <w:rPr>
                <w:rFonts w:ascii="Arial" w:hAnsi="Arial" w:cs="Arial"/>
                <w:sz w:val="20"/>
                <w:lang w:val="en-US"/>
              </w:rPr>
              <w:t>nate</w:t>
            </w:r>
          </w:p>
        </w:tc>
      </w:tr>
      <w:tr w:rsidR="00772217" w:rsidRPr="001C6488" w14:paraId="18B752D4" w14:textId="77777777" w:rsidTr="00856DE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hideMark/>
          </w:tcPr>
          <w:p w14:paraId="2936617F" w14:textId="77777777" w:rsidR="00772217" w:rsidRPr="001C6488" w:rsidRDefault="00772217" w:rsidP="0032349D">
            <w:pPr>
              <w:rPr>
                <w:rFonts w:cs="Arial"/>
                <w:sz w:val="20"/>
                <w:lang w:val="en-US"/>
              </w:rPr>
            </w:pPr>
          </w:p>
        </w:tc>
        <w:tc>
          <w:tcPr>
            <w:tcW w:w="1680" w:type="dxa"/>
            <w:hideMark/>
          </w:tcPr>
          <w:p w14:paraId="264700DB" w14:textId="77777777" w:rsidR="00772217" w:rsidRPr="001C6488"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Clinical success</w:t>
            </w:r>
          </w:p>
        </w:tc>
        <w:tc>
          <w:tcPr>
            <w:tcW w:w="960" w:type="dxa"/>
            <w:hideMark/>
          </w:tcPr>
          <w:p w14:paraId="0CF8A27C"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1C6488">
              <w:rPr>
                <w:rFonts w:ascii="Arial" w:hAnsi="Arial" w:cs="Arial"/>
                <w:b/>
                <w:i/>
                <w:sz w:val="20"/>
                <w:lang w:val="en-US"/>
              </w:rPr>
              <w:t>269/332 (81.0)</w:t>
            </w:r>
          </w:p>
        </w:tc>
        <w:tc>
          <w:tcPr>
            <w:tcW w:w="961" w:type="dxa"/>
            <w:hideMark/>
          </w:tcPr>
          <w:p w14:paraId="397E291E"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34/332 (10.2)</w:t>
            </w:r>
          </w:p>
        </w:tc>
        <w:tc>
          <w:tcPr>
            <w:tcW w:w="961" w:type="dxa"/>
            <w:hideMark/>
          </w:tcPr>
          <w:p w14:paraId="37FC34F9"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 xml:space="preserve">1/332 (0.3) </w:t>
            </w:r>
          </w:p>
        </w:tc>
        <w:tc>
          <w:tcPr>
            <w:tcW w:w="961" w:type="dxa"/>
            <w:hideMark/>
          </w:tcPr>
          <w:p w14:paraId="6188FC76"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1C6488">
              <w:rPr>
                <w:rFonts w:ascii="Arial" w:hAnsi="Arial" w:cs="Arial"/>
                <w:b/>
                <w:i/>
                <w:sz w:val="20"/>
                <w:lang w:val="en-US"/>
              </w:rPr>
              <w:t>266/334 (79.6)</w:t>
            </w:r>
          </w:p>
        </w:tc>
        <w:tc>
          <w:tcPr>
            <w:tcW w:w="961" w:type="dxa"/>
            <w:hideMark/>
          </w:tcPr>
          <w:p w14:paraId="5F4A2A0F"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33/334 (9.9)</w:t>
            </w:r>
          </w:p>
        </w:tc>
        <w:tc>
          <w:tcPr>
            <w:tcW w:w="961" w:type="dxa"/>
            <w:hideMark/>
          </w:tcPr>
          <w:p w14:paraId="3B3C7092"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2/334 (0.6)</w:t>
            </w:r>
          </w:p>
        </w:tc>
      </w:tr>
      <w:tr w:rsidR="00772217" w:rsidRPr="001C6488" w14:paraId="09F2B7F0" w14:textId="77777777" w:rsidTr="00856DE3">
        <w:trPr>
          <w:trHeight w:val="28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hideMark/>
          </w:tcPr>
          <w:p w14:paraId="4BF154EC" w14:textId="77777777" w:rsidR="00772217" w:rsidRPr="001C6488" w:rsidRDefault="00772217" w:rsidP="0032349D">
            <w:pPr>
              <w:rPr>
                <w:rFonts w:cs="Arial"/>
                <w:sz w:val="20"/>
                <w:lang w:val="en-US"/>
              </w:rPr>
            </w:pPr>
          </w:p>
        </w:tc>
        <w:tc>
          <w:tcPr>
            <w:tcW w:w="1680" w:type="dxa"/>
            <w:hideMark/>
          </w:tcPr>
          <w:p w14:paraId="0453CDA3" w14:textId="77777777" w:rsidR="00772217" w:rsidRPr="001C6488"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C6488">
              <w:rPr>
                <w:rFonts w:ascii="Arial" w:hAnsi="Arial" w:cs="Arial"/>
                <w:sz w:val="20"/>
                <w:lang w:val="en-US"/>
              </w:rPr>
              <w:t>Clinical failure</w:t>
            </w:r>
          </w:p>
        </w:tc>
        <w:tc>
          <w:tcPr>
            <w:tcW w:w="960" w:type="dxa"/>
            <w:hideMark/>
          </w:tcPr>
          <w:p w14:paraId="1E0488E9"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6/332 (1.8)</w:t>
            </w:r>
          </w:p>
        </w:tc>
        <w:tc>
          <w:tcPr>
            <w:tcW w:w="961" w:type="dxa"/>
            <w:hideMark/>
          </w:tcPr>
          <w:p w14:paraId="2F0509F1"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1C6488">
              <w:rPr>
                <w:rFonts w:ascii="Arial" w:eastAsia="Tahoma" w:hAnsi="Arial" w:cs="Arial"/>
                <w:b/>
                <w:i/>
                <w:sz w:val="20"/>
                <w:lang w:val="en-US"/>
              </w:rPr>
              <w:t xml:space="preserve">8/332 (2.4) </w:t>
            </w:r>
          </w:p>
        </w:tc>
        <w:tc>
          <w:tcPr>
            <w:tcW w:w="961" w:type="dxa"/>
            <w:hideMark/>
          </w:tcPr>
          <w:p w14:paraId="6F5B3E56"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 xml:space="preserve">1/332 (0.3) </w:t>
            </w:r>
          </w:p>
        </w:tc>
        <w:tc>
          <w:tcPr>
            <w:tcW w:w="961" w:type="dxa"/>
            <w:hideMark/>
          </w:tcPr>
          <w:p w14:paraId="1A7356A4"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 xml:space="preserve">1/334 (0.3) </w:t>
            </w:r>
          </w:p>
        </w:tc>
        <w:tc>
          <w:tcPr>
            <w:tcW w:w="961" w:type="dxa"/>
            <w:hideMark/>
          </w:tcPr>
          <w:p w14:paraId="55CF8C8C"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1C6488">
              <w:rPr>
                <w:rFonts w:ascii="Arial" w:eastAsia="Tahoma" w:hAnsi="Arial" w:cs="Arial"/>
                <w:b/>
                <w:i/>
                <w:sz w:val="20"/>
                <w:lang w:val="en-US"/>
              </w:rPr>
              <w:t xml:space="preserve">8/334 (2.4) </w:t>
            </w:r>
          </w:p>
        </w:tc>
        <w:tc>
          <w:tcPr>
            <w:tcW w:w="961" w:type="dxa"/>
            <w:hideMark/>
          </w:tcPr>
          <w:p w14:paraId="164FAED4" w14:textId="77777777" w:rsidR="00772217" w:rsidRPr="001C6488"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0</w:t>
            </w:r>
          </w:p>
        </w:tc>
      </w:tr>
      <w:tr w:rsidR="00772217" w:rsidRPr="001C6488" w14:paraId="39F4B357" w14:textId="77777777" w:rsidTr="00856DE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hideMark/>
          </w:tcPr>
          <w:p w14:paraId="3F871927" w14:textId="77777777" w:rsidR="00772217" w:rsidRPr="001C6488" w:rsidRDefault="00772217" w:rsidP="0032349D">
            <w:pPr>
              <w:rPr>
                <w:rFonts w:cs="Arial"/>
                <w:sz w:val="20"/>
                <w:lang w:val="en-US"/>
              </w:rPr>
            </w:pPr>
          </w:p>
        </w:tc>
        <w:tc>
          <w:tcPr>
            <w:tcW w:w="1680" w:type="dxa"/>
            <w:hideMark/>
          </w:tcPr>
          <w:p w14:paraId="3CDCB207" w14:textId="77777777" w:rsidR="00772217" w:rsidRPr="001C6488"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C6488">
              <w:rPr>
                <w:rFonts w:ascii="Arial" w:hAnsi="Arial" w:cs="Arial"/>
                <w:sz w:val="20"/>
                <w:lang w:val="en-US"/>
              </w:rPr>
              <w:t>Indeterminate</w:t>
            </w:r>
          </w:p>
        </w:tc>
        <w:tc>
          <w:tcPr>
            <w:tcW w:w="960" w:type="dxa"/>
            <w:hideMark/>
          </w:tcPr>
          <w:p w14:paraId="79A68D9B"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 xml:space="preserve">8/332 (2.4) </w:t>
            </w:r>
          </w:p>
        </w:tc>
        <w:tc>
          <w:tcPr>
            <w:tcW w:w="961" w:type="dxa"/>
            <w:hideMark/>
          </w:tcPr>
          <w:p w14:paraId="05937610"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2/332 (0.6)</w:t>
            </w:r>
          </w:p>
        </w:tc>
        <w:tc>
          <w:tcPr>
            <w:tcW w:w="961" w:type="dxa"/>
            <w:hideMark/>
          </w:tcPr>
          <w:p w14:paraId="0524F5F2"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1C6488">
              <w:rPr>
                <w:rFonts w:ascii="Arial" w:eastAsia="Tahoma" w:hAnsi="Arial" w:cs="Arial"/>
                <w:b/>
                <w:i/>
                <w:sz w:val="20"/>
                <w:lang w:val="en-US"/>
              </w:rPr>
              <w:t>3/332 (0.9)</w:t>
            </w:r>
          </w:p>
        </w:tc>
        <w:tc>
          <w:tcPr>
            <w:tcW w:w="961" w:type="dxa"/>
            <w:hideMark/>
          </w:tcPr>
          <w:p w14:paraId="75FBE5E1"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9/334 (2.7)</w:t>
            </w:r>
          </w:p>
        </w:tc>
        <w:tc>
          <w:tcPr>
            <w:tcW w:w="961" w:type="dxa"/>
            <w:hideMark/>
          </w:tcPr>
          <w:p w14:paraId="5BAEE5F1"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1C6488">
              <w:rPr>
                <w:rFonts w:ascii="Arial" w:eastAsia="Tahoma" w:hAnsi="Arial" w:cs="Arial"/>
                <w:sz w:val="20"/>
                <w:lang w:val="en-US"/>
              </w:rPr>
              <w:t>3/334 (0.9)</w:t>
            </w:r>
          </w:p>
        </w:tc>
        <w:tc>
          <w:tcPr>
            <w:tcW w:w="961" w:type="dxa"/>
            <w:hideMark/>
          </w:tcPr>
          <w:p w14:paraId="5FB83C78" w14:textId="77777777" w:rsidR="00772217" w:rsidRPr="001C6488"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1C6488">
              <w:rPr>
                <w:rFonts w:ascii="Arial" w:eastAsia="Tahoma" w:hAnsi="Arial" w:cs="Arial"/>
                <w:b/>
                <w:i/>
                <w:sz w:val="20"/>
                <w:lang w:val="en-US"/>
              </w:rPr>
              <w:t>12/334 (3.6)</w:t>
            </w:r>
          </w:p>
        </w:tc>
      </w:tr>
    </w:tbl>
    <w:p w14:paraId="6473C144" w14:textId="4DAE2D10" w:rsidR="00772217" w:rsidRPr="007500E7" w:rsidRDefault="00772217" w:rsidP="00772217">
      <w:pPr>
        <w:pStyle w:val="TableNote-H58"/>
        <w:rPr>
          <w:rFonts w:ascii="Arial" w:hAnsi="Arial" w:cs="Arial"/>
          <w:sz w:val="16"/>
          <w:szCs w:val="16"/>
          <w:lang w:val="en-US"/>
        </w:rPr>
      </w:pPr>
      <w:r w:rsidRPr="007500E7">
        <w:rPr>
          <w:rFonts w:ascii="Arial" w:eastAsia="MS PGothic" w:hAnsi="Arial" w:cs="Arial"/>
          <w:sz w:val="16"/>
          <w:szCs w:val="16"/>
          <w:lang w:val="en-US"/>
        </w:rPr>
        <w:t xml:space="preserve">SOURCE: </w:t>
      </w:r>
      <w:r w:rsidRPr="007500E7">
        <w:rPr>
          <w:rFonts w:ascii="Arial" w:hAnsi="Arial" w:cs="Arial"/>
          <w:sz w:val="16"/>
          <w:szCs w:val="16"/>
          <w:lang w:val="en-US"/>
        </w:rPr>
        <w:t>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7500E7">
        <w:rPr>
          <w:rFonts w:ascii="Arial" w:hAnsi="Arial" w:cs="Arial"/>
          <w:sz w:val="16"/>
          <w:szCs w:val="16"/>
          <w:lang w:val="en-US"/>
        </w:rPr>
        <w:t xml:space="preserve">: section </w:t>
      </w:r>
      <w:r w:rsidRPr="007500E7">
        <w:rPr>
          <w:rFonts w:ascii="Arial" w:eastAsia="Tahoma" w:hAnsi="Arial" w:cs="Arial"/>
          <w:sz w:val="16"/>
          <w:szCs w:val="16"/>
          <w:lang w:val="en-US"/>
        </w:rPr>
        <w:t>11.4.1.3</w:t>
      </w:r>
      <w:r w:rsidRPr="007500E7">
        <w:rPr>
          <w:rFonts w:ascii="Arial" w:hAnsi="Arial" w:cs="Arial"/>
          <w:sz w:val="16"/>
          <w:szCs w:val="16"/>
          <w:lang w:val="en-US"/>
        </w:rPr>
        <w:t>, Table 11-43</w:t>
      </w:r>
      <w:r w:rsidR="00925952" w:rsidRPr="007500E7">
        <w:rPr>
          <w:rFonts w:ascii="Arial" w:hAnsi="Arial" w:cs="Arial"/>
          <w:sz w:val="16"/>
          <w:szCs w:val="16"/>
          <w:lang w:val="en-US"/>
        </w:rPr>
        <w:t xml:space="preserve"> </w:t>
      </w:r>
      <w:r w:rsidRPr="007500E7">
        <w:rPr>
          <w:rFonts w:ascii="Arial" w:hAnsi="Arial" w:cs="Arial"/>
          <w:b/>
          <w:sz w:val="16"/>
          <w:szCs w:val="16"/>
          <w:lang w:val="en-US"/>
        </w:rPr>
        <w:t xml:space="preserve">Data in </w:t>
      </w:r>
      <w:r w:rsidR="0099508C">
        <w:rPr>
          <w:rFonts w:ascii="Arial" w:hAnsi="Arial" w:cs="Arial"/>
          <w:b/>
          <w:i/>
          <w:sz w:val="16"/>
          <w:szCs w:val="16"/>
          <w:lang w:val="en-US"/>
        </w:rPr>
        <w:t>bold and italicis</w:t>
      </w:r>
      <w:r w:rsidRPr="007500E7">
        <w:rPr>
          <w:rFonts w:ascii="Arial" w:hAnsi="Arial" w:cs="Arial"/>
          <w:b/>
          <w:i/>
          <w:sz w:val="16"/>
          <w:szCs w:val="16"/>
          <w:lang w:val="en-US"/>
        </w:rPr>
        <w:t>ed</w:t>
      </w:r>
      <w:r w:rsidRPr="007500E7">
        <w:rPr>
          <w:rFonts w:ascii="Arial" w:hAnsi="Arial" w:cs="Arial"/>
          <w:b/>
          <w:sz w:val="16"/>
          <w:szCs w:val="16"/>
          <w:lang w:val="en-US"/>
        </w:rPr>
        <w:t xml:space="preserve"> indicate concordance data</w:t>
      </w:r>
      <w:r w:rsidR="00925952" w:rsidRPr="007500E7">
        <w:rPr>
          <w:rFonts w:ascii="Arial" w:hAnsi="Arial" w:cs="Arial"/>
          <w:sz w:val="16"/>
          <w:szCs w:val="16"/>
          <w:lang w:val="en-US"/>
        </w:rPr>
        <w:t xml:space="preserve"> </w:t>
      </w:r>
      <w:r w:rsidRPr="007500E7">
        <w:rPr>
          <w:rFonts w:ascii="Arial" w:hAnsi="Arial" w:cs="Arial"/>
          <w:sz w:val="16"/>
          <w:szCs w:val="16"/>
          <w:lang w:val="en-US"/>
        </w:rPr>
        <w:t>ITT: Intent-to-treat; EOT: End of Therapy; n: Number of patients in specific category</w:t>
      </w:r>
    </w:p>
    <w:p w14:paraId="76704A7A" w14:textId="77777777" w:rsidR="0032349D" w:rsidRPr="0032349D" w:rsidRDefault="0032349D" w:rsidP="0032349D">
      <w:pPr>
        <w:rPr>
          <w:b/>
        </w:rPr>
      </w:pPr>
    </w:p>
    <w:p w14:paraId="7573BBB8" w14:textId="0FF616A7" w:rsidR="00772217" w:rsidRPr="009C3A8D" w:rsidRDefault="0032349D" w:rsidP="00C35C1F">
      <w:pPr>
        <w:pStyle w:val="ListParagraph"/>
        <w:numPr>
          <w:ilvl w:val="2"/>
          <w:numId w:val="39"/>
        </w:numPr>
        <w:ind w:left="0" w:firstLine="0"/>
        <w:rPr>
          <w:rFonts w:cs="Arial"/>
          <w:b/>
          <w:bCs/>
          <w:sz w:val="22"/>
          <w:szCs w:val="22"/>
        </w:rPr>
      </w:pPr>
      <w:r w:rsidRPr="009C3A8D">
        <w:rPr>
          <w:rFonts w:cs="Arial"/>
          <w:b/>
          <w:sz w:val="22"/>
          <w:szCs w:val="22"/>
          <w:lang w:val="en-US"/>
        </w:rPr>
        <w:t>S</w:t>
      </w:r>
      <w:r w:rsidR="00772217" w:rsidRPr="009C3A8D">
        <w:rPr>
          <w:rFonts w:cs="Arial"/>
          <w:b/>
          <w:sz w:val="22"/>
          <w:szCs w:val="22"/>
          <w:lang w:val="en-US"/>
        </w:rPr>
        <w:t xml:space="preserve">ustained clinical success at the LFU Visit (18 days - 25 days after the EOT Visit) </w:t>
      </w:r>
    </w:p>
    <w:p w14:paraId="2A77101C" w14:textId="1CAA3647" w:rsidR="00772217" w:rsidRPr="009C3A8D" w:rsidRDefault="0032349D" w:rsidP="009C3A8D">
      <w:pPr>
        <w:pStyle w:val="BodyText"/>
        <w:rPr>
          <w:rFonts w:cs="Arial"/>
          <w:sz w:val="22"/>
          <w:szCs w:val="22"/>
        </w:rPr>
      </w:pPr>
      <w:r w:rsidRPr="009C3A8D">
        <w:rPr>
          <w:rFonts w:cs="Arial"/>
          <w:sz w:val="22"/>
          <w:szCs w:val="22"/>
          <w:lang w:val="en-US"/>
        </w:rPr>
        <w:t xml:space="preserve">The proportion of patients achieving sustained clinical success at the LFU Visit after having previously achieved Investigator-assessed clinical success at the PTE Visit in the CE-PTE population was </w:t>
      </w:r>
      <w:r w:rsidR="00772217" w:rsidRPr="009C3A8D">
        <w:rPr>
          <w:rFonts w:cs="Arial"/>
          <w:sz w:val="22"/>
          <w:szCs w:val="22"/>
          <w:lang w:val="en-US"/>
        </w:rPr>
        <w:t xml:space="preserve">comparable </w:t>
      </w:r>
      <w:r w:rsidR="009C3A8D" w:rsidRPr="009C3A8D">
        <w:rPr>
          <w:rFonts w:cs="Arial"/>
          <w:sz w:val="22"/>
          <w:szCs w:val="22"/>
          <w:lang w:val="en-US"/>
        </w:rPr>
        <w:t xml:space="preserve">between the tedizolid phosphate and </w:t>
      </w:r>
      <w:r w:rsidR="00772217" w:rsidRPr="009C3A8D">
        <w:rPr>
          <w:rFonts w:cs="Arial"/>
          <w:sz w:val="22"/>
          <w:szCs w:val="22"/>
          <w:lang w:val="en-US"/>
        </w:rPr>
        <w:t xml:space="preserve">with linezolid </w:t>
      </w:r>
      <w:r w:rsidR="009C3A8D" w:rsidRPr="009C3A8D">
        <w:rPr>
          <w:rFonts w:cs="Arial"/>
          <w:sz w:val="22"/>
          <w:szCs w:val="22"/>
          <w:lang w:val="en-US"/>
        </w:rPr>
        <w:t>groups</w:t>
      </w:r>
      <w:r w:rsidR="00772217" w:rsidRPr="009C3A8D">
        <w:rPr>
          <w:rFonts w:cs="Arial"/>
          <w:sz w:val="22"/>
          <w:szCs w:val="22"/>
          <w:lang w:val="en-US"/>
        </w:rPr>
        <w:t xml:space="preserve"> (</w:t>
      </w:r>
      <w:r w:rsidR="009C3A8D" w:rsidRPr="009C3A8D">
        <w:rPr>
          <w:rFonts w:cs="Arial"/>
          <w:sz w:val="22"/>
          <w:szCs w:val="22"/>
          <w:lang w:val="en-US"/>
        </w:rPr>
        <w:fldChar w:fldCharType="begin"/>
      </w:r>
      <w:r w:rsidR="009C3A8D" w:rsidRPr="009C3A8D">
        <w:rPr>
          <w:rFonts w:cs="Arial"/>
          <w:sz w:val="22"/>
          <w:szCs w:val="22"/>
          <w:lang w:val="en-US"/>
        </w:rPr>
        <w:instrText xml:space="preserve"> REF _Ref281820968 \h </w:instrText>
      </w:r>
      <w:r w:rsidR="009C3A8D" w:rsidRPr="009C3A8D">
        <w:rPr>
          <w:rFonts w:cs="Arial"/>
          <w:sz w:val="22"/>
          <w:szCs w:val="22"/>
          <w:lang w:val="en-US"/>
        </w:rPr>
      </w:r>
      <w:r w:rsidR="009C3A8D" w:rsidRPr="009C3A8D">
        <w:rPr>
          <w:rFonts w:cs="Arial"/>
          <w:sz w:val="22"/>
          <w:szCs w:val="22"/>
          <w:lang w:val="en-US"/>
        </w:rPr>
        <w:fldChar w:fldCharType="separate"/>
      </w:r>
      <w:r w:rsidR="00151A1C" w:rsidRPr="009C3A8D">
        <w:rPr>
          <w:rFonts w:cs="Arial"/>
          <w:sz w:val="22"/>
          <w:szCs w:val="22"/>
        </w:rPr>
        <w:t xml:space="preserve">Table </w:t>
      </w:r>
      <w:r w:rsidR="00151A1C">
        <w:rPr>
          <w:rFonts w:cs="Arial"/>
          <w:noProof/>
          <w:sz w:val="22"/>
          <w:szCs w:val="22"/>
        </w:rPr>
        <w:t>26</w:t>
      </w:r>
      <w:r w:rsidR="009C3A8D" w:rsidRPr="009C3A8D">
        <w:rPr>
          <w:rFonts w:cs="Arial"/>
          <w:sz w:val="22"/>
          <w:szCs w:val="22"/>
          <w:lang w:val="en-US"/>
        </w:rPr>
        <w:fldChar w:fldCharType="end"/>
      </w:r>
      <w:r w:rsidR="00772217" w:rsidRPr="009C3A8D">
        <w:rPr>
          <w:rFonts w:cs="Arial"/>
          <w:sz w:val="22"/>
          <w:szCs w:val="22"/>
          <w:lang w:val="en-US"/>
        </w:rPr>
        <w:t>)</w:t>
      </w:r>
      <w:r w:rsidR="009C3A8D">
        <w:rPr>
          <w:rFonts w:cs="Arial"/>
          <w:sz w:val="22"/>
          <w:szCs w:val="22"/>
          <w:lang w:val="en-US"/>
        </w:rPr>
        <w:t>.</w:t>
      </w:r>
    </w:p>
    <w:p w14:paraId="34B1BE57" w14:textId="76819471" w:rsidR="00772217" w:rsidRPr="009C3A8D" w:rsidRDefault="009C3A8D" w:rsidP="009C3A8D">
      <w:pPr>
        <w:pStyle w:val="Caption"/>
        <w:rPr>
          <w:rFonts w:ascii="Arial" w:hAnsi="Arial" w:cs="Arial"/>
          <w:sz w:val="22"/>
          <w:szCs w:val="22"/>
          <w:lang w:val="en-US"/>
        </w:rPr>
      </w:pPr>
      <w:bookmarkStart w:id="120" w:name="_Ref281820968"/>
      <w:r w:rsidRPr="009C3A8D">
        <w:rPr>
          <w:rFonts w:ascii="Arial" w:hAnsi="Arial" w:cs="Arial"/>
          <w:sz w:val="22"/>
          <w:szCs w:val="22"/>
        </w:rPr>
        <w:lastRenderedPageBreak/>
        <w:t xml:space="preserve">Table </w:t>
      </w:r>
      <w:r w:rsidRPr="009C3A8D">
        <w:rPr>
          <w:rFonts w:ascii="Arial" w:hAnsi="Arial" w:cs="Arial"/>
          <w:sz w:val="22"/>
          <w:szCs w:val="22"/>
        </w:rPr>
        <w:fldChar w:fldCharType="begin"/>
      </w:r>
      <w:r w:rsidRPr="009C3A8D">
        <w:rPr>
          <w:rFonts w:ascii="Arial" w:hAnsi="Arial" w:cs="Arial"/>
          <w:sz w:val="22"/>
          <w:szCs w:val="22"/>
        </w:rPr>
        <w:instrText xml:space="preserve"> SEQ Table \* ARABIC </w:instrText>
      </w:r>
      <w:r w:rsidRPr="009C3A8D">
        <w:rPr>
          <w:rFonts w:ascii="Arial" w:hAnsi="Arial" w:cs="Arial"/>
          <w:sz w:val="22"/>
          <w:szCs w:val="22"/>
        </w:rPr>
        <w:fldChar w:fldCharType="separate"/>
      </w:r>
      <w:r w:rsidR="00151A1C">
        <w:rPr>
          <w:rFonts w:ascii="Arial" w:hAnsi="Arial" w:cs="Arial"/>
          <w:noProof/>
          <w:sz w:val="22"/>
          <w:szCs w:val="22"/>
        </w:rPr>
        <w:t>26</w:t>
      </w:r>
      <w:r w:rsidRPr="009C3A8D">
        <w:rPr>
          <w:rFonts w:ascii="Arial" w:hAnsi="Arial" w:cs="Arial"/>
          <w:sz w:val="22"/>
          <w:szCs w:val="22"/>
        </w:rPr>
        <w:fldChar w:fldCharType="end"/>
      </w:r>
      <w:bookmarkEnd w:id="120"/>
      <w:r w:rsidR="00772217" w:rsidRPr="009C3A8D">
        <w:rPr>
          <w:rFonts w:ascii="Arial" w:hAnsi="Arial" w:cs="Arial"/>
          <w:sz w:val="22"/>
          <w:szCs w:val="22"/>
          <w:lang w:val="en-US"/>
        </w:rPr>
        <w:t xml:space="preserve">: </w:t>
      </w:r>
      <w:r w:rsidRPr="009C3A8D">
        <w:rPr>
          <w:rFonts w:ascii="Arial" w:hAnsi="Arial" w:cs="Arial"/>
          <w:sz w:val="22"/>
          <w:szCs w:val="22"/>
          <w:lang w:val="en-US"/>
        </w:rPr>
        <w:t xml:space="preserve">ESTABLISH-2 </w:t>
      </w:r>
      <w:r w:rsidR="00772217" w:rsidRPr="009C3A8D">
        <w:rPr>
          <w:rFonts w:ascii="Arial" w:hAnsi="Arial" w:cs="Arial"/>
          <w:sz w:val="22"/>
          <w:szCs w:val="22"/>
          <w:lang w:val="en-US"/>
        </w:rPr>
        <w:t>Proportion of patients with sustained clin</w:t>
      </w:r>
      <w:r w:rsidRPr="009C3A8D">
        <w:rPr>
          <w:rFonts w:ascii="Arial" w:hAnsi="Arial" w:cs="Arial"/>
          <w:sz w:val="22"/>
          <w:szCs w:val="22"/>
          <w:lang w:val="en-US"/>
        </w:rPr>
        <w:t xml:space="preserve">ical success at the LFU Visit </w:t>
      </w:r>
      <w:r w:rsidR="00772217" w:rsidRPr="009C3A8D">
        <w:rPr>
          <w:rFonts w:ascii="Arial" w:hAnsi="Arial" w:cs="Arial"/>
          <w:sz w:val="22"/>
          <w:szCs w:val="22"/>
          <w:lang w:val="en-US"/>
        </w:rPr>
        <w:t>(CE-PTE population)</w:t>
      </w:r>
    </w:p>
    <w:tbl>
      <w:tblPr>
        <w:tblStyle w:val="Table-HERONplain"/>
        <w:tblW w:w="9209" w:type="dxa"/>
        <w:tblLayout w:type="fixed"/>
        <w:tblLook w:val="04A0" w:firstRow="1" w:lastRow="0" w:firstColumn="1" w:lastColumn="0" w:noHBand="0" w:noVBand="1"/>
      </w:tblPr>
      <w:tblGrid>
        <w:gridCol w:w="1638"/>
        <w:gridCol w:w="2497"/>
        <w:gridCol w:w="1260"/>
        <w:gridCol w:w="1283"/>
        <w:gridCol w:w="1255"/>
        <w:gridCol w:w="1276"/>
      </w:tblGrid>
      <w:tr w:rsidR="00772217" w:rsidRPr="009C3A8D" w14:paraId="70CA9281" w14:textId="77777777" w:rsidTr="00856DE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21DFE3FA" w14:textId="77777777" w:rsidR="00772217" w:rsidRPr="009C3A8D" w:rsidRDefault="00772217" w:rsidP="0032349D">
            <w:pPr>
              <w:pStyle w:val="TableBodyText-H54"/>
              <w:rPr>
                <w:rFonts w:ascii="Arial" w:hAnsi="Arial" w:cs="Arial"/>
                <w:sz w:val="20"/>
                <w:lang w:val="en-US"/>
              </w:rPr>
            </w:pPr>
            <w:r w:rsidRPr="009C3A8D">
              <w:rPr>
                <w:rFonts w:ascii="Arial" w:hAnsi="Arial" w:cs="Arial"/>
                <w:sz w:val="20"/>
                <w:lang w:val="en-US"/>
              </w:rPr>
              <w:t xml:space="preserve">Outcome measure </w:t>
            </w:r>
          </w:p>
        </w:tc>
        <w:tc>
          <w:tcPr>
            <w:tcW w:w="2497" w:type="dxa"/>
            <w:shd w:val="clear" w:color="auto" w:fill="auto"/>
            <w:hideMark/>
          </w:tcPr>
          <w:p w14:paraId="2539B587" w14:textId="77777777" w:rsidR="00772217" w:rsidRPr="009C3A8D" w:rsidRDefault="00772217" w:rsidP="0032349D">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Response</w:t>
            </w:r>
          </w:p>
        </w:tc>
        <w:tc>
          <w:tcPr>
            <w:tcW w:w="1260" w:type="dxa"/>
            <w:shd w:val="clear" w:color="auto" w:fill="auto"/>
            <w:hideMark/>
          </w:tcPr>
          <w:p w14:paraId="31F5CF5D"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Tedizolid phosphate</w:t>
            </w:r>
          </w:p>
          <w:p w14:paraId="3E20FC06"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n (%)</w:t>
            </w:r>
          </w:p>
        </w:tc>
        <w:tc>
          <w:tcPr>
            <w:tcW w:w="1283" w:type="dxa"/>
            <w:shd w:val="clear" w:color="auto" w:fill="auto"/>
            <w:hideMark/>
          </w:tcPr>
          <w:p w14:paraId="127158D6"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Linezolid</w:t>
            </w:r>
          </w:p>
          <w:p w14:paraId="2169B760"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n (%)</w:t>
            </w:r>
          </w:p>
        </w:tc>
        <w:tc>
          <w:tcPr>
            <w:tcW w:w="1255" w:type="dxa"/>
            <w:shd w:val="clear" w:color="auto" w:fill="auto"/>
            <w:hideMark/>
          </w:tcPr>
          <w:p w14:paraId="6FACA91A"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Difference</w:t>
            </w:r>
          </w:p>
          <w:p w14:paraId="4DE0325F"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w:t>
            </w:r>
          </w:p>
        </w:tc>
        <w:tc>
          <w:tcPr>
            <w:tcW w:w="1276" w:type="dxa"/>
            <w:shd w:val="clear" w:color="auto" w:fill="auto"/>
            <w:hideMark/>
          </w:tcPr>
          <w:p w14:paraId="2CF93DF4" w14:textId="77777777" w:rsidR="00772217" w:rsidRPr="009C3A8D"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95% CI for difference</w:t>
            </w:r>
          </w:p>
        </w:tc>
      </w:tr>
      <w:tr w:rsidR="00772217" w:rsidRPr="009C3A8D" w14:paraId="03C11473" w14:textId="77777777" w:rsidTr="00856DE3">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auto"/>
            <w:hideMark/>
          </w:tcPr>
          <w:p w14:paraId="76891394" w14:textId="77777777" w:rsidR="00772217" w:rsidRPr="009C3A8D" w:rsidRDefault="00772217" w:rsidP="0032349D">
            <w:pPr>
              <w:pStyle w:val="TableBodyText-H54"/>
              <w:rPr>
                <w:rFonts w:ascii="Arial" w:hAnsi="Arial" w:cs="Arial"/>
                <w:sz w:val="20"/>
                <w:lang w:val="en-US"/>
              </w:rPr>
            </w:pPr>
            <w:r w:rsidRPr="009C3A8D">
              <w:rPr>
                <w:rFonts w:ascii="Arial" w:hAnsi="Arial" w:cs="Arial"/>
                <w:sz w:val="20"/>
                <w:lang w:val="en-US"/>
              </w:rPr>
              <w:t>ESTABLISH-2</w:t>
            </w:r>
          </w:p>
        </w:tc>
      </w:tr>
      <w:tr w:rsidR="00772217" w:rsidRPr="009C3A8D" w14:paraId="64D1B349"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213A20AC" w14:textId="77777777" w:rsidR="00772217" w:rsidRPr="009C3A8D" w:rsidRDefault="00772217" w:rsidP="0032349D">
            <w:pPr>
              <w:pStyle w:val="TableBodyText-H54"/>
              <w:rPr>
                <w:rFonts w:ascii="Arial" w:hAnsi="Arial" w:cs="Arial"/>
                <w:sz w:val="20"/>
                <w:lang w:val="en-US"/>
              </w:rPr>
            </w:pPr>
            <w:r w:rsidRPr="009C3A8D">
              <w:rPr>
                <w:rFonts w:ascii="Arial" w:hAnsi="Arial" w:cs="Arial"/>
                <w:sz w:val="20"/>
                <w:lang w:val="en-US"/>
              </w:rPr>
              <w:t>Sustained clinical success at the LFU Visit</w:t>
            </w:r>
          </w:p>
        </w:tc>
        <w:tc>
          <w:tcPr>
            <w:tcW w:w="2497" w:type="dxa"/>
            <w:hideMark/>
          </w:tcPr>
          <w:p w14:paraId="4E04365B" w14:textId="77777777" w:rsidR="00772217" w:rsidRPr="009C3A8D"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N</w:t>
            </w:r>
          </w:p>
        </w:tc>
        <w:tc>
          <w:tcPr>
            <w:tcW w:w="1260" w:type="dxa"/>
            <w:hideMark/>
          </w:tcPr>
          <w:p w14:paraId="12A63307"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268</w:t>
            </w:r>
          </w:p>
        </w:tc>
        <w:tc>
          <w:tcPr>
            <w:tcW w:w="1283" w:type="dxa"/>
            <w:hideMark/>
          </w:tcPr>
          <w:p w14:paraId="0D005196"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269</w:t>
            </w:r>
          </w:p>
        </w:tc>
        <w:tc>
          <w:tcPr>
            <w:tcW w:w="1255" w:type="dxa"/>
            <w:hideMark/>
          </w:tcPr>
          <w:p w14:paraId="6046AA40"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w:t>
            </w:r>
          </w:p>
        </w:tc>
        <w:tc>
          <w:tcPr>
            <w:tcW w:w="1276" w:type="dxa"/>
            <w:hideMark/>
          </w:tcPr>
          <w:p w14:paraId="11FE5363"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w:t>
            </w:r>
          </w:p>
        </w:tc>
      </w:tr>
      <w:tr w:rsidR="00772217" w:rsidRPr="009C3A8D" w14:paraId="4A6A30C1" w14:textId="77777777" w:rsidTr="00856DE3">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5BD7EBCF" w14:textId="77777777" w:rsidR="00772217" w:rsidRPr="009C3A8D" w:rsidRDefault="00772217" w:rsidP="0032349D">
            <w:pPr>
              <w:rPr>
                <w:rFonts w:cs="Arial"/>
                <w:sz w:val="20"/>
                <w:lang w:val="en-US"/>
              </w:rPr>
            </w:pPr>
          </w:p>
        </w:tc>
        <w:tc>
          <w:tcPr>
            <w:tcW w:w="2497" w:type="dxa"/>
            <w:hideMark/>
          </w:tcPr>
          <w:p w14:paraId="057E3A72" w14:textId="77777777" w:rsidR="00772217" w:rsidRPr="009C3A8D"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Sustained success</w:t>
            </w:r>
          </w:p>
        </w:tc>
        <w:tc>
          <w:tcPr>
            <w:tcW w:w="1260" w:type="dxa"/>
            <w:hideMark/>
          </w:tcPr>
          <w:p w14:paraId="5694DD83"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262 (97.8)</w:t>
            </w:r>
          </w:p>
        </w:tc>
        <w:tc>
          <w:tcPr>
            <w:tcW w:w="1283" w:type="dxa"/>
            <w:hideMark/>
          </w:tcPr>
          <w:p w14:paraId="2802C9FA"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266 (98.9)</w:t>
            </w:r>
          </w:p>
        </w:tc>
        <w:tc>
          <w:tcPr>
            <w:tcW w:w="1255" w:type="dxa"/>
            <w:vMerge w:val="restart"/>
            <w:hideMark/>
          </w:tcPr>
          <w:p w14:paraId="0E0B3811"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-1.1</w:t>
            </w:r>
          </w:p>
        </w:tc>
        <w:tc>
          <w:tcPr>
            <w:tcW w:w="1276" w:type="dxa"/>
            <w:vMerge w:val="restart"/>
            <w:hideMark/>
          </w:tcPr>
          <w:p w14:paraId="5F729926"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-0.7, 3.4</w:t>
            </w:r>
          </w:p>
        </w:tc>
      </w:tr>
      <w:tr w:rsidR="00772217" w:rsidRPr="009C3A8D" w14:paraId="7E620068"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66DD2FCE" w14:textId="77777777" w:rsidR="00772217" w:rsidRPr="009C3A8D" w:rsidRDefault="00772217" w:rsidP="0032349D">
            <w:pPr>
              <w:rPr>
                <w:rFonts w:cs="Arial"/>
                <w:sz w:val="20"/>
                <w:lang w:val="en-US"/>
              </w:rPr>
            </w:pPr>
          </w:p>
        </w:tc>
        <w:tc>
          <w:tcPr>
            <w:tcW w:w="2497" w:type="dxa"/>
            <w:hideMark/>
          </w:tcPr>
          <w:p w14:paraId="4E7FEDEB" w14:textId="77777777" w:rsidR="00772217" w:rsidRPr="009C3A8D"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 xml:space="preserve">Clinical failure/relapse </w:t>
            </w:r>
          </w:p>
        </w:tc>
        <w:tc>
          <w:tcPr>
            <w:tcW w:w="1260" w:type="dxa"/>
          </w:tcPr>
          <w:p w14:paraId="1CD7226C"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4 (1.5)</w:t>
            </w:r>
          </w:p>
        </w:tc>
        <w:tc>
          <w:tcPr>
            <w:tcW w:w="1283" w:type="dxa"/>
          </w:tcPr>
          <w:p w14:paraId="045038BE" w14:textId="77777777" w:rsidR="00772217" w:rsidRPr="009C3A8D"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C3A8D">
              <w:rPr>
                <w:rFonts w:ascii="Arial" w:hAnsi="Arial" w:cs="Arial"/>
                <w:sz w:val="20"/>
                <w:lang w:val="en-US"/>
              </w:rPr>
              <w:t>1 (0.4)</w:t>
            </w:r>
          </w:p>
        </w:tc>
        <w:tc>
          <w:tcPr>
            <w:tcW w:w="1255" w:type="dxa"/>
            <w:vMerge/>
            <w:hideMark/>
          </w:tcPr>
          <w:p w14:paraId="149D8AA5" w14:textId="77777777" w:rsidR="00772217" w:rsidRPr="009C3A8D" w:rsidRDefault="00772217" w:rsidP="0032349D">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276" w:type="dxa"/>
            <w:vMerge/>
            <w:hideMark/>
          </w:tcPr>
          <w:p w14:paraId="7ADCA990" w14:textId="77777777" w:rsidR="00772217" w:rsidRPr="009C3A8D" w:rsidRDefault="00772217" w:rsidP="0032349D">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772217" w:rsidRPr="009C3A8D" w14:paraId="1716894C" w14:textId="77777777" w:rsidTr="00856DE3">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0B682CE" w14:textId="77777777" w:rsidR="00772217" w:rsidRPr="009C3A8D" w:rsidRDefault="00772217" w:rsidP="0032349D">
            <w:pPr>
              <w:rPr>
                <w:rFonts w:cs="Arial"/>
                <w:sz w:val="20"/>
                <w:lang w:val="en-US"/>
              </w:rPr>
            </w:pPr>
          </w:p>
        </w:tc>
        <w:tc>
          <w:tcPr>
            <w:tcW w:w="2497" w:type="dxa"/>
            <w:hideMark/>
          </w:tcPr>
          <w:p w14:paraId="44C4D767" w14:textId="77777777" w:rsidR="00772217" w:rsidRPr="009C3A8D"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Indeterminate</w:t>
            </w:r>
          </w:p>
        </w:tc>
        <w:tc>
          <w:tcPr>
            <w:tcW w:w="1260" w:type="dxa"/>
          </w:tcPr>
          <w:p w14:paraId="4E885798"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2 (0.7)</w:t>
            </w:r>
          </w:p>
        </w:tc>
        <w:tc>
          <w:tcPr>
            <w:tcW w:w="1283" w:type="dxa"/>
          </w:tcPr>
          <w:p w14:paraId="5F953F81" w14:textId="77777777" w:rsidR="00772217" w:rsidRPr="009C3A8D"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C3A8D">
              <w:rPr>
                <w:rFonts w:ascii="Arial" w:hAnsi="Arial" w:cs="Arial"/>
                <w:sz w:val="20"/>
                <w:lang w:val="en-US"/>
              </w:rPr>
              <w:t>2 (0.7)</w:t>
            </w:r>
          </w:p>
        </w:tc>
        <w:tc>
          <w:tcPr>
            <w:tcW w:w="1255" w:type="dxa"/>
            <w:vMerge/>
            <w:hideMark/>
          </w:tcPr>
          <w:p w14:paraId="7BB2172B" w14:textId="77777777" w:rsidR="00772217" w:rsidRPr="009C3A8D" w:rsidRDefault="00772217" w:rsidP="0032349D">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276" w:type="dxa"/>
            <w:vMerge/>
            <w:hideMark/>
          </w:tcPr>
          <w:p w14:paraId="7A2FCE9E" w14:textId="77777777" w:rsidR="00772217" w:rsidRPr="009C3A8D" w:rsidRDefault="00772217" w:rsidP="0032349D">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bl>
    <w:p w14:paraId="4A66BF12" w14:textId="6CEE48EC" w:rsidR="00772217" w:rsidRPr="009C3A8D" w:rsidRDefault="00772217" w:rsidP="00772217">
      <w:pPr>
        <w:pStyle w:val="TableNote-H58"/>
        <w:rPr>
          <w:rFonts w:ascii="Arial" w:hAnsi="Arial" w:cs="Arial"/>
          <w:sz w:val="16"/>
          <w:szCs w:val="16"/>
          <w:lang w:val="en-US"/>
        </w:rPr>
      </w:pPr>
      <w:r w:rsidRPr="009C3A8D">
        <w:rPr>
          <w:rFonts w:ascii="Arial" w:hAnsi="Arial" w:cs="Arial"/>
          <w:sz w:val="16"/>
          <w:szCs w:val="16"/>
          <w:lang w:val="en-US"/>
        </w:rPr>
        <w:t>SOURCE: 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9C3A8D">
        <w:rPr>
          <w:rFonts w:ascii="Arial" w:hAnsi="Arial" w:cs="Arial"/>
          <w:sz w:val="16"/>
          <w:szCs w:val="16"/>
          <w:lang w:val="en-US"/>
        </w:rPr>
        <w:t xml:space="preserve">: section </w:t>
      </w:r>
      <w:r w:rsidRPr="009C3A8D">
        <w:rPr>
          <w:rFonts w:ascii="Arial" w:eastAsia="Tahoma" w:hAnsi="Arial" w:cs="Arial"/>
          <w:sz w:val="16"/>
          <w:szCs w:val="16"/>
          <w:lang w:val="en-US"/>
        </w:rPr>
        <w:t>11.4.1.2.3</w:t>
      </w:r>
      <w:r w:rsidR="009C3A8D" w:rsidRPr="009C3A8D">
        <w:rPr>
          <w:rFonts w:ascii="Arial" w:eastAsia="Tahoma" w:hAnsi="Arial" w:cs="Arial"/>
          <w:sz w:val="16"/>
          <w:szCs w:val="16"/>
          <w:lang w:val="en-US"/>
        </w:rPr>
        <w:t xml:space="preserve">. </w:t>
      </w:r>
      <w:r w:rsidR="009C3A8D" w:rsidRPr="009C3A8D">
        <w:rPr>
          <w:rFonts w:ascii="Arial" w:hAnsi="Arial" w:cs="Arial"/>
          <w:sz w:val="16"/>
          <w:szCs w:val="16"/>
          <w:lang w:val="en-US"/>
        </w:rPr>
        <w:t xml:space="preserve"> </w:t>
      </w:r>
      <w:r w:rsidRPr="009C3A8D">
        <w:rPr>
          <w:rFonts w:ascii="Arial" w:hAnsi="Arial" w:cs="Arial"/>
          <w:sz w:val="16"/>
          <w:szCs w:val="16"/>
          <w:lang w:val="en-US"/>
        </w:rPr>
        <w:t>CE-PTE: Clinically evaluable at post therapy evaluation; CI: Confidence interval; LFU: Late follow-up; N: Number of patients with clinical success at PTE Visit; NE: Not estimable; NR: Not reported; n: Number of patients in specific category</w:t>
      </w:r>
    </w:p>
    <w:p w14:paraId="62BD0063" w14:textId="72AD7651" w:rsidR="00772217" w:rsidRPr="00753318" w:rsidRDefault="00753318" w:rsidP="00772217">
      <w:pPr>
        <w:pStyle w:val="Heading3"/>
        <w:keepLines w:val="0"/>
        <w:numPr>
          <w:ilvl w:val="2"/>
          <w:numId w:val="0"/>
        </w:numPr>
        <w:spacing w:before="240" w:after="120"/>
        <w:ind w:left="993" w:hanging="993"/>
        <w:rPr>
          <w:rStyle w:val="BodyText-italic-H12"/>
          <w:rFonts w:ascii="Arial" w:hAnsi="Arial" w:cs="Arial"/>
          <w:i w:val="0"/>
          <w:color w:val="auto"/>
          <w:sz w:val="22"/>
          <w:szCs w:val="22"/>
          <w:lang w:val="en-US"/>
        </w:rPr>
      </w:pPr>
      <w:r w:rsidRPr="00753318">
        <w:rPr>
          <w:rFonts w:ascii="Arial" w:hAnsi="Arial" w:cs="Arial"/>
          <w:color w:val="auto"/>
          <w:sz w:val="22"/>
          <w:szCs w:val="22"/>
          <w:lang w:val="en-US"/>
        </w:rPr>
        <w:t xml:space="preserve">3.4.19 </w:t>
      </w:r>
      <w:r w:rsidR="00772217" w:rsidRPr="00753318">
        <w:rPr>
          <w:rFonts w:ascii="Arial" w:hAnsi="Arial" w:cs="Arial"/>
          <w:color w:val="auto"/>
          <w:sz w:val="22"/>
          <w:szCs w:val="22"/>
          <w:lang w:val="en-US"/>
        </w:rPr>
        <w:t>Microbiological response of Gram-posi</w:t>
      </w:r>
      <w:r w:rsidRPr="00753318">
        <w:rPr>
          <w:rFonts w:ascii="Arial" w:hAnsi="Arial" w:cs="Arial"/>
          <w:color w:val="auto"/>
          <w:sz w:val="22"/>
          <w:szCs w:val="22"/>
          <w:lang w:val="en-US"/>
        </w:rPr>
        <w:t xml:space="preserve">tive pathogens including MRSA </w:t>
      </w:r>
    </w:p>
    <w:p w14:paraId="07C4B08F" w14:textId="4F902180" w:rsidR="00772217" w:rsidRPr="00753318" w:rsidRDefault="00753318" w:rsidP="00772217">
      <w:pPr>
        <w:pStyle w:val="BodyText"/>
        <w:rPr>
          <w:rFonts w:cs="Arial"/>
          <w:sz w:val="22"/>
          <w:szCs w:val="22"/>
          <w:lang w:val="en-US"/>
        </w:rPr>
      </w:pPr>
      <w:r w:rsidRPr="00753318">
        <w:rPr>
          <w:rFonts w:cs="Arial"/>
          <w:sz w:val="22"/>
          <w:szCs w:val="22"/>
          <w:lang w:val="en-US"/>
        </w:rPr>
        <w:t xml:space="preserve">The proportion of patients achieving favourable microbiological response to Gram-positive infections, including </w:t>
      </w:r>
      <w:r w:rsidRPr="00753318">
        <w:rPr>
          <w:rStyle w:val="BodyText-italic-H12"/>
          <w:rFonts w:cs="Arial"/>
          <w:sz w:val="22"/>
          <w:szCs w:val="22"/>
          <w:lang w:val="en-US"/>
        </w:rPr>
        <w:t>S. aureus</w:t>
      </w:r>
      <w:r w:rsidRPr="00753318">
        <w:rPr>
          <w:rFonts w:cs="Arial"/>
          <w:sz w:val="22"/>
          <w:szCs w:val="22"/>
          <w:lang w:val="en-US"/>
        </w:rPr>
        <w:t xml:space="preserve"> and MRSA infections, at the PTE Visit in the MITT population, was comparable between the </w:t>
      </w:r>
      <w:r w:rsidR="00772217" w:rsidRPr="00753318">
        <w:rPr>
          <w:rFonts w:cs="Arial"/>
          <w:sz w:val="22"/>
          <w:szCs w:val="22"/>
          <w:lang w:val="en-US"/>
        </w:rPr>
        <w:t xml:space="preserve">tedizolid phosphate </w:t>
      </w:r>
      <w:r w:rsidRPr="00753318">
        <w:rPr>
          <w:rFonts w:cs="Arial"/>
          <w:sz w:val="22"/>
          <w:szCs w:val="22"/>
          <w:lang w:val="en-US"/>
        </w:rPr>
        <w:t>and</w:t>
      </w:r>
      <w:r w:rsidR="00772217" w:rsidRPr="00753318">
        <w:rPr>
          <w:rFonts w:cs="Arial"/>
          <w:sz w:val="22"/>
          <w:szCs w:val="22"/>
          <w:lang w:val="en-US"/>
        </w:rPr>
        <w:t xml:space="preserve"> linezolid </w:t>
      </w:r>
      <w:r w:rsidRPr="00753318">
        <w:rPr>
          <w:rFonts w:cs="Arial"/>
          <w:sz w:val="22"/>
          <w:szCs w:val="22"/>
          <w:lang w:val="en-US"/>
        </w:rPr>
        <w:t xml:space="preserve">groups </w:t>
      </w:r>
      <w:r w:rsidR="00772217" w:rsidRPr="00753318">
        <w:rPr>
          <w:rFonts w:cs="Arial"/>
          <w:sz w:val="22"/>
          <w:szCs w:val="22"/>
          <w:lang w:val="en-US"/>
        </w:rPr>
        <w:t>(</w:t>
      </w:r>
      <w:r w:rsidRPr="00753318">
        <w:rPr>
          <w:rFonts w:cs="Arial"/>
          <w:sz w:val="22"/>
          <w:szCs w:val="22"/>
          <w:lang w:val="en-US"/>
        </w:rPr>
        <w:fldChar w:fldCharType="begin"/>
      </w:r>
      <w:r w:rsidRPr="00753318">
        <w:rPr>
          <w:rFonts w:cs="Arial"/>
          <w:sz w:val="22"/>
          <w:szCs w:val="22"/>
          <w:lang w:val="en-US"/>
        </w:rPr>
        <w:instrText xml:space="preserve"> REF _Ref382561158 \h </w:instrText>
      </w:r>
      <w:r w:rsidRPr="00753318">
        <w:rPr>
          <w:rFonts w:cs="Arial"/>
          <w:sz w:val="22"/>
          <w:szCs w:val="22"/>
          <w:lang w:val="en-US"/>
        </w:rPr>
      </w:r>
      <w:r w:rsidRPr="00753318">
        <w:rPr>
          <w:rFonts w:cs="Arial"/>
          <w:sz w:val="22"/>
          <w:szCs w:val="22"/>
          <w:lang w:val="en-US"/>
        </w:rPr>
        <w:fldChar w:fldCharType="separate"/>
      </w:r>
      <w:r w:rsidR="00151A1C" w:rsidRPr="00753318">
        <w:rPr>
          <w:rFonts w:cs="Arial"/>
          <w:sz w:val="22"/>
          <w:szCs w:val="22"/>
          <w:lang w:val="en-US"/>
        </w:rPr>
        <w:t xml:space="preserve">Table </w:t>
      </w:r>
      <w:r w:rsidR="00151A1C">
        <w:rPr>
          <w:rFonts w:cs="Arial"/>
          <w:noProof/>
          <w:sz w:val="22"/>
          <w:szCs w:val="22"/>
          <w:lang w:val="en-US"/>
        </w:rPr>
        <w:t>27</w:t>
      </w:r>
      <w:r w:rsidRPr="00753318">
        <w:rPr>
          <w:rFonts w:cs="Arial"/>
          <w:sz w:val="22"/>
          <w:szCs w:val="22"/>
          <w:lang w:val="en-US"/>
        </w:rPr>
        <w:fldChar w:fldCharType="end"/>
      </w:r>
      <w:r w:rsidRPr="00753318">
        <w:rPr>
          <w:rFonts w:cs="Arial"/>
          <w:sz w:val="22"/>
          <w:szCs w:val="22"/>
          <w:lang w:val="en-US"/>
        </w:rPr>
        <w:t>)</w:t>
      </w:r>
      <w:r w:rsidR="00EB4024">
        <w:rPr>
          <w:rFonts w:eastAsia="MS PGothic" w:cs="Arial"/>
          <w:sz w:val="22"/>
          <w:szCs w:val="22"/>
          <w:lang w:val="en-US"/>
        </w:rPr>
        <w:t>.</w:t>
      </w:r>
      <w:r w:rsidR="00772217" w:rsidRPr="00753318">
        <w:rPr>
          <w:rFonts w:eastAsia="MS PGothic" w:cs="Arial"/>
          <w:sz w:val="22"/>
          <w:szCs w:val="22"/>
          <w:lang w:val="en-US"/>
        </w:rPr>
        <w:t xml:space="preserve"> </w:t>
      </w:r>
    </w:p>
    <w:p w14:paraId="1FB60238" w14:textId="57A8DFD7" w:rsidR="00772217" w:rsidRPr="00753318" w:rsidRDefault="00772217" w:rsidP="00772217">
      <w:pPr>
        <w:pStyle w:val="Caption"/>
        <w:rPr>
          <w:rFonts w:ascii="Arial" w:hAnsi="Arial" w:cs="Arial"/>
          <w:sz w:val="22"/>
          <w:szCs w:val="22"/>
          <w:lang w:val="en-US"/>
        </w:rPr>
      </w:pPr>
      <w:bookmarkStart w:id="121" w:name="_Ref382561158"/>
      <w:r w:rsidRPr="00753318">
        <w:rPr>
          <w:rFonts w:ascii="Arial" w:hAnsi="Arial" w:cs="Arial"/>
          <w:sz w:val="22"/>
          <w:szCs w:val="22"/>
          <w:lang w:val="en-US"/>
        </w:rPr>
        <w:t xml:space="preserve">Table </w:t>
      </w:r>
      <w:r w:rsidRPr="00753318">
        <w:rPr>
          <w:rFonts w:ascii="Arial" w:hAnsi="Arial" w:cs="Arial"/>
          <w:sz w:val="22"/>
          <w:szCs w:val="22"/>
          <w:lang w:val="en-US"/>
        </w:rPr>
        <w:fldChar w:fldCharType="begin"/>
      </w:r>
      <w:r w:rsidRPr="00753318">
        <w:rPr>
          <w:rFonts w:ascii="Arial" w:hAnsi="Arial" w:cs="Arial"/>
          <w:sz w:val="22"/>
          <w:szCs w:val="22"/>
          <w:lang w:val="en-US"/>
        </w:rPr>
        <w:instrText xml:space="preserve"> SEQ Table \* ARABIC </w:instrText>
      </w:r>
      <w:r w:rsidRPr="00753318">
        <w:rPr>
          <w:rFonts w:ascii="Arial" w:hAnsi="Arial" w:cs="Arial"/>
          <w:sz w:val="22"/>
          <w:szCs w:val="22"/>
          <w:lang w:val="en-US"/>
        </w:rPr>
        <w:fldChar w:fldCharType="separate"/>
      </w:r>
      <w:r w:rsidR="00151A1C">
        <w:rPr>
          <w:rFonts w:ascii="Arial" w:hAnsi="Arial" w:cs="Arial"/>
          <w:noProof/>
          <w:sz w:val="22"/>
          <w:szCs w:val="22"/>
          <w:lang w:val="en-US"/>
        </w:rPr>
        <w:t>27</w:t>
      </w:r>
      <w:r w:rsidRPr="00753318">
        <w:rPr>
          <w:rFonts w:ascii="Arial" w:hAnsi="Arial" w:cs="Arial"/>
          <w:sz w:val="22"/>
          <w:szCs w:val="22"/>
          <w:lang w:val="en-US"/>
        </w:rPr>
        <w:fldChar w:fldCharType="end"/>
      </w:r>
      <w:bookmarkEnd w:id="121"/>
      <w:r w:rsidRPr="00753318">
        <w:rPr>
          <w:rFonts w:ascii="Arial" w:hAnsi="Arial" w:cs="Arial"/>
          <w:sz w:val="22"/>
          <w:szCs w:val="22"/>
          <w:lang w:val="en-US"/>
        </w:rPr>
        <w:t xml:space="preserve">: </w:t>
      </w:r>
      <w:r w:rsidR="00753318" w:rsidRPr="00753318">
        <w:rPr>
          <w:rFonts w:ascii="Arial" w:hAnsi="Arial" w:cs="Arial"/>
          <w:sz w:val="22"/>
          <w:szCs w:val="22"/>
          <w:lang w:val="en-US"/>
        </w:rPr>
        <w:t xml:space="preserve">ESTABLISH-2 </w:t>
      </w:r>
      <w:r w:rsidRPr="00753318">
        <w:rPr>
          <w:rFonts w:ascii="Arial" w:hAnsi="Arial" w:cs="Arial"/>
          <w:sz w:val="22"/>
          <w:szCs w:val="22"/>
          <w:lang w:val="en-US"/>
        </w:rPr>
        <w:t xml:space="preserve">Proportion of patients with </w:t>
      </w:r>
      <w:r w:rsidR="00381A09" w:rsidRPr="00753318">
        <w:rPr>
          <w:rFonts w:ascii="Arial" w:hAnsi="Arial" w:cs="Arial"/>
          <w:sz w:val="22"/>
          <w:szCs w:val="22"/>
          <w:lang w:val="en-US"/>
        </w:rPr>
        <w:t>favourable</w:t>
      </w:r>
      <w:r w:rsidRPr="00753318">
        <w:rPr>
          <w:rFonts w:ascii="Arial" w:hAnsi="Arial" w:cs="Arial"/>
          <w:sz w:val="22"/>
          <w:szCs w:val="22"/>
          <w:lang w:val="en-US"/>
        </w:rPr>
        <w:t xml:space="preserve"> microbiological response at the PTE Visit by selected baseline pathogen (MITT population)</w:t>
      </w:r>
    </w:p>
    <w:tbl>
      <w:tblPr>
        <w:tblStyle w:val="Table-HERONplain"/>
        <w:tblW w:w="0" w:type="auto"/>
        <w:tblLayout w:type="fixed"/>
        <w:tblLook w:val="04A0" w:firstRow="1" w:lastRow="0" w:firstColumn="1" w:lastColumn="0" w:noHBand="0" w:noVBand="1"/>
      </w:tblPr>
      <w:tblGrid>
        <w:gridCol w:w="2065"/>
        <w:gridCol w:w="2520"/>
        <w:gridCol w:w="1890"/>
        <w:gridCol w:w="2250"/>
      </w:tblGrid>
      <w:tr w:rsidR="00772217" w:rsidRPr="007F6C37" w14:paraId="49521EF5" w14:textId="77777777" w:rsidTr="00856DE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hideMark/>
          </w:tcPr>
          <w:p w14:paraId="247FCE86" w14:textId="77777777" w:rsidR="00772217" w:rsidRPr="007F6C37" w:rsidRDefault="00772217" w:rsidP="0032349D">
            <w:pPr>
              <w:pStyle w:val="TableBodyText-H54"/>
              <w:rPr>
                <w:rFonts w:ascii="Arial" w:hAnsi="Arial" w:cs="Arial"/>
                <w:sz w:val="20"/>
                <w:lang w:val="en-US"/>
              </w:rPr>
            </w:pPr>
            <w:r w:rsidRPr="007F6C37">
              <w:rPr>
                <w:rFonts w:ascii="Arial" w:hAnsi="Arial" w:cs="Arial"/>
                <w:sz w:val="20"/>
                <w:lang w:val="en-US"/>
              </w:rPr>
              <w:t>Per-pathogen microbiological response at the PTE Visit</w:t>
            </w:r>
          </w:p>
        </w:tc>
        <w:tc>
          <w:tcPr>
            <w:tcW w:w="2520" w:type="dxa"/>
            <w:shd w:val="clear" w:color="auto" w:fill="auto"/>
            <w:hideMark/>
          </w:tcPr>
          <w:p w14:paraId="5622BCA6" w14:textId="77777777" w:rsidR="00772217" w:rsidRPr="007F6C37" w:rsidRDefault="00772217" w:rsidP="0032349D">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Response</w:t>
            </w:r>
          </w:p>
        </w:tc>
        <w:tc>
          <w:tcPr>
            <w:tcW w:w="1890" w:type="dxa"/>
            <w:shd w:val="clear" w:color="auto" w:fill="auto"/>
            <w:hideMark/>
          </w:tcPr>
          <w:p w14:paraId="0DAC2192" w14:textId="77777777" w:rsidR="00772217" w:rsidRPr="007F6C37"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Tedizolid phosphate</w:t>
            </w:r>
          </w:p>
          <w:p w14:paraId="1F909BC8" w14:textId="77777777" w:rsidR="00772217" w:rsidRPr="007F6C37"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n (%)</w:t>
            </w:r>
          </w:p>
        </w:tc>
        <w:tc>
          <w:tcPr>
            <w:tcW w:w="2250" w:type="dxa"/>
            <w:shd w:val="clear" w:color="auto" w:fill="auto"/>
            <w:hideMark/>
          </w:tcPr>
          <w:p w14:paraId="09B514E9" w14:textId="77777777" w:rsidR="00772217" w:rsidRPr="007F6C37"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Linezolid</w:t>
            </w:r>
          </w:p>
          <w:p w14:paraId="02EFEC8A" w14:textId="77777777" w:rsidR="00772217" w:rsidRPr="007F6C37" w:rsidRDefault="00772217" w:rsidP="0032349D">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n (%)</w:t>
            </w:r>
          </w:p>
        </w:tc>
      </w:tr>
      <w:tr w:rsidR="00772217" w:rsidRPr="007F6C37" w14:paraId="6E1B12BE"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20538B8F" w14:textId="77777777" w:rsidR="00772217" w:rsidRPr="007F6C37" w:rsidRDefault="00772217" w:rsidP="0032349D">
            <w:pPr>
              <w:pStyle w:val="TableBodyText-H54"/>
              <w:rPr>
                <w:rFonts w:ascii="Arial" w:hAnsi="Arial" w:cs="Arial"/>
                <w:sz w:val="20"/>
                <w:lang w:val="en-US"/>
              </w:rPr>
            </w:pPr>
            <w:r w:rsidRPr="007F6C37">
              <w:rPr>
                <w:rFonts w:ascii="Arial" w:hAnsi="Arial" w:cs="Arial"/>
                <w:sz w:val="20"/>
                <w:lang w:val="en-US"/>
              </w:rPr>
              <w:t>Gram-positive organisms (aerobes)</w:t>
            </w:r>
          </w:p>
        </w:tc>
        <w:tc>
          <w:tcPr>
            <w:tcW w:w="2520" w:type="dxa"/>
            <w:hideMark/>
          </w:tcPr>
          <w:p w14:paraId="401DB10F" w14:textId="77777777" w:rsidR="00772217" w:rsidRPr="007F6C37"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N</w:t>
            </w:r>
          </w:p>
        </w:tc>
        <w:tc>
          <w:tcPr>
            <w:tcW w:w="1890" w:type="dxa"/>
            <w:hideMark/>
          </w:tcPr>
          <w:p w14:paraId="4E1E6A8F"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192</w:t>
            </w:r>
          </w:p>
        </w:tc>
        <w:tc>
          <w:tcPr>
            <w:tcW w:w="2250" w:type="dxa"/>
            <w:hideMark/>
          </w:tcPr>
          <w:p w14:paraId="7FEACF2E"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199</w:t>
            </w:r>
          </w:p>
        </w:tc>
      </w:tr>
      <w:tr w:rsidR="00772217" w:rsidRPr="007F6C37" w14:paraId="6A10A6C6"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FAAE6C1" w14:textId="77777777" w:rsidR="00772217" w:rsidRPr="007F6C37" w:rsidRDefault="00772217" w:rsidP="0032349D">
            <w:pPr>
              <w:rPr>
                <w:rFonts w:cs="Arial"/>
                <w:sz w:val="20"/>
                <w:lang w:val="en-US"/>
              </w:rPr>
            </w:pPr>
          </w:p>
        </w:tc>
        <w:tc>
          <w:tcPr>
            <w:tcW w:w="2520" w:type="dxa"/>
            <w:hideMark/>
          </w:tcPr>
          <w:p w14:paraId="7A634AF5" w14:textId="41A1E477" w:rsidR="00772217" w:rsidRPr="007F6C37" w:rsidRDefault="00381A09"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Favourable</w:t>
            </w:r>
          </w:p>
        </w:tc>
        <w:tc>
          <w:tcPr>
            <w:tcW w:w="1890" w:type="dxa"/>
            <w:hideMark/>
          </w:tcPr>
          <w:p w14:paraId="4E3F98D5"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168 (87.5)</w:t>
            </w:r>
          </w:p>
        </w:tc>
        <w:tc>
          <w:tcPr>
            <w:tcW w:w="2250" w:type="dxa"/>
            <w:hideMark/>
          </w:tcPr>
          <w:p w14:paraId="78D6F8B8"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177 (88.9)</w:t>
            </w:r>
          </w:p>
        </w:tc>
      </w:tr>
      <w:tr w:rsidR="00772217" w:rsidRPr="007F6C37" w14:paraId="090BE830"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BDAE48E" w14:textId="77777777" w:rsidR="00772217" w:rsidRPr="007F6C37" w:rsidRDefault="00772217" w:rsidP="0032349D">
            <w:pPr>
              <w:rPr>
                <w:rFonts w:cs="Arial"/>
                <w:sz w:val="20"/>
                <w:lang w:val="en-US"/>
              </w:rPr>
            </w:pPr>
          </w:p>
        </w:tc>
        <w:tc>
          <w:tcPr>
            <w:tcW w:w="2520" w:type="dxa"/>
            <w:hideMark/>
          </w:tcPr>
          <w:p w14:paraId="377EE145" w14:textId="2E2049E2" w:rsidR="00772217" w:rsidRPr="007F6C37"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Un</w:t>
            </w:r>
            <w:r w:rsidR="00381A09" w:rsidRPr="007F6C37">
              <w:rPr>
                <w:rFonts w:ascii="Arial" w:hAnsi="Arial" w:cs="Arial"/>
                <w:sz w:val="20"/>
                <w:lang w:val="en-US"/>
              </w:rPr>
              <w:t>favourable</w:t>
            </w:r>
            <w:r w:rsidRPr="007F6C37">
              <w:rPr>
                <w:rFonts w:ascii="Arial" w:hAnsi="Arial" w:cs="Arial"/>
                <w:sz w:val="20"/>
                <w:lang w:val="en-US"/>
              </w:rPr>
              <w:t xml:space="preserve"> or indeterminate</w:t>
            </w:r>
          </w:p>
        </w:tc>
        <w:tc>
          <w:tcPr>
            <w:tcW w:w="1890" w:type="dxa"/>
            <w:hideMark/>
          </w:tcPr>
          <w:p w14:paraId="1994EB10"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24 (12.5)</w:t>
            </w:r>
          </w:p>
        </w:tc>
        <w:tc>
          <w:tcPr>
            <w:tcW w:w="2250" w:type="dxa"/>
            <w:hideMark/>
          </w:tcPr>
          <w:p w14:paraId="010A73DF"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22 (11.1)</w:t>
            </w:r>
          </w:p>
        </w:tc>
      </w:tr>
      <w:tr w:rsidR="00772217" w:rsidRPr="007F6C37" w14:paraId="1A7F458D"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28D7396E" w14:textId="77777777" w:rsidR="00772217" w:rsidRPr="007F6C37" w:rsidRDefault="00772217" w:rsidP="0032349D">
            <w:pPr>
              <w:pStyle w:val="TableBodyText-H54"/>
              <w:ind w:left="313"/>
              <w:rPr>
                <w:rStyle w:val="BodyText-italic-H12"/>
                <w:rFonts w:ascii="Arial" w:hAnsi="Arial" w:cs="Arial"/>
                <w:sz w:val="20"/>
                <w:lang w:val="en-US"/>
              </w:rPr>
            </w:pPr>
            <w:r w:rsidRPr="007F6C37">
              <w:rPr>
                <w:rStyle w:val="BodyText-italic-H12"/>
                <w:rFonts w:ascii="Arial" w:hAnsi="Arial" w:cs="Arial"/>
                <w:sz w:val="20"/>
                <w:lang w:val="en-US"/>
              </w:rPr>
              <w:lastRenderedPageBreak/>
              <w:t>S. aureus</w:t>
            </w:r>
          </w:p>
        </w:tc>
        <w:tc>
          <w:tcPr>
            <w:tcW w:w="2520" w:type="dxa"/>
            <w:hideMark/>
          </w:tcPr>
          <w:p w14:paraId="63C2F495" w14:textId="77777777" w:rsidR="00772217" w:rsidRPr="007F6C37"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N</w:t>
            </w:r>
          </w:p>
        </w:tc>
        <w:tc>
          <w:tcPr>
            <w:tcW w:w="1890" w:type="dxa"/>
            <w:hideMark/>
          </w:tcPr>
          <w:p w14:paraId="492DE27D"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158</w:t>
            </w:r>
          </w:p>
        </w:tc>
        <w:tc>
          <w:tcPr>
            <w:tcW w:w="2250" w:type="dxa"/>
            <w:hideMark/>
          </w:tcPr>
          <w:p w14:paraId="0056BC37"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167</w:t>
            </w:r>
          </w:p>
        </w:tc>
      </w:tr>
      <w:tr w:rsidR="00772217" w:rsidRPr="007F6C37" w14:paraId="4FEEAD92"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F9BF536" w14:textId="77777777" w:rsidR="00772217" w:rsidRPr="007F6C37" w:rsidRDefault="00772217" w:rsidP="0032349D">
            <w:pPr>
              <w:rPr>
                <w:rStyle w:val="BodyText-italic-H12"/>
                <w:rFonts w:cs="Arial"/>
                <w:sz w:val="20"/>
                <w:lang w:val="en-US"/>
              </w:rPr>
            </w:pPr>
          </w:p>
        </w:tc>
        <w:tc>
          <w:tcPr>
            <w:tcW w:w="2520" w:type="dxa"/>
            <w:hideMark/>
          </w:tcPr>
          <w:p w14:paraId="3D1AE94C" w14:textId="6C3BD61F" w:rsidR="00772217" w:rsidRPr="007F6C37" w:rsidRDefault="00381A09"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Favourable</w:t>
            </w:r>
          </w:p>
        </w:tc>
        <w:tc>
          <w:tcPr>
            <w:tcW w:w="1890" w:type="dxa"/>
            <w:hideMark/>
          </w:tcPr>
          <w:p w14:paraId="4C74DC01"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143 (90.5)</w:t>
            </w:r>
          </w:p>
        </w:tc>
        <w:tc>
          <w:tcPr>
            <w:tcW w:w="2250" w:type="dxa"/>
            <w:hideMark/>
          </w:tcPr>
          <w:p w14:paraId="3A28F292"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147 (88.0)</w:t>
            </w:r>
          </w:p>
        </w:tc>
      </w:tr>
      <w:tr w:rsidR="00772217" w:rsidRPr="007F6C37" w14:paraId="1EA42674"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2858E69" w14:textId="77777777" w:rsidR="00772217" w:rsidRPr="007F6C37" w:rsidRDefault="00772217" w:rsidP="0032349D">
            <w:pPr>
              <w:rPr>
                <w:rStyle w:val="BodyText-italic-H12"/>
                <w:rFonts w:cs="Arial"/>
                <w:sz w:val="20"/>
                <w:lang w:val="en-US"/>
              </w:rPr>
            </w:pPr>
          </w:p>
        </w:tc>
        <w:tc>
          <w:tcPr>
            <w:tcW w:w="2520" w:type="dxa"/>
            <w:hideMark/>
          </w:tcPr>
          <w:p w14:paraId="28B519DA" w14:textId="5D278A35" w:rsidR="00772217" w:rsidRPr="007F6C37"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Un</w:t>
            </w:r>
            <w:r w:rsidR="00381A09" w:rsidRPr="007F6C37">
              <w:rPr>
                <w:rFonts w:ascii="Arial" w:hAnsi="Arial" w:cs="Arial"/>
                <w:sz w:val="20"/>
                <w:lang w:val="en-US"/>
              </w:rPr>
              <w:t>favourable</w:t>
            </w:r>
            <w:r w:rsidRPr="007F6C37">
              <w:rPr>
                <w:rFonts w:ascii="Arial" w:hAnsi="Arial" w:cs="Arial"/>
                <w:sz w:val="20"/>
                <w:lang w:val="en-US"/>
              </w:rPr>
              <w:t xml:space="preserve"> or indeterminate</w:t>
            </w:r>
          </w:p>
        </w:tc>
        <w:tc>
          <w:tcPr>
            <w:tcW w:w="1890" w:type="dxa"/>
            <w:hideMark/>
          </w:tcPr>
          <w:p w14:paraId="46AD9384"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15 (9.5)</w:t>
            </w:r>
          </w:p>
        </w:tc>
        <w:tc>
          <w:tcPr>
            <w:tcW w:w="2250" w:type="dxa"/>
            <w:hideMark/>
          </w:tcPr>
          <w:p w14:paraId="0C010832"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20 (12.0)</w:t>
            </w:r>
          </w:p>
        </w:tc>
      </w:tr>
      <w:tr w:rsidR="00772217" w:rsidRPr="007F6C37" w14:paraId="2BE2D2D6"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1A640423" w14:textId="77777777" w:rsidR="00772217" w:rsidRPr="007F6C37" w:rsidRDefault="00772217" w:rsidP="0032349D">
            <w:pPr>
              <w:pStyle w:val="TableBodyText-H54"/>
              <w:ind w:left="313"/>
              <w:rPr>
                <w:rFonts w:ascii="Arial" w:hAnsi="Arial" w:cs="Arial"/>
                <w:sz w:val="20"/>
                <w:lang w:val="en-US"/>
              </w:rPr>
            </w:pPr>
            <w:r w:rsidRPr="007F6C37">
              <w:rPr>
                <w:rFonts w:ascii="Arial" w:hAnsi="Arial" w:cs="Arial"/>
                <w:sz w:val="20"/>
                <w:lang w:val="en-US"/>
              </w:rPr>
              <w:t>MRSA</w:t>
            </w:r>
          </w:p>
        </w:tc>
        <w:tc>
          <w:tcPr>
            <w:tcW w:w="2520" w:type="dxa"/>
            <w:hideMark/>
          </w:tcPr>
          <w:p w14:paraId="09FF7DF2" w14:textId="77777777" w:rsidR="00772217" w:rsidRPr="007F6C37"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N</w:t>
            </w:r>
          </w:p>
        </w:tc>
        <w:tc>
          <w:tcPr>
            <w:tcW w:w="1890" w:type="dxa"/>
            <w:hideMark/>
          </w:tcPr>
          <w:p w14:paraId="298F6E7A"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53</w:t>
            </w:r>
          </w:p>
        </w:tc>
        <w:tc>
          <w:tcPr>
            <w:tcW w:w="2250" w:type="dxa"/>
            <w:hideMark/>
          </w:tcPr>
          <w:p w14:paraId="7E8E15AF"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56</w:t>
            </w:r>
          </w:p>
        </w:tc>
      </w:tr>
      <w:tr w:rsidR="00772217" w:rsidRPr="007F6C37" w14:paraId="5D95C685"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37BF23C0" w14:textId="77777777" w:rsidR="00772217" w:rsidRPr="007F6C37" w:rsidRDefault="00772217" w:rsidP="0032349D">
            <w:pPr>
              <w:rPr>
                <w:rFonts w:cs="Arial"/>
                <w:sz w:val="20"/>
                <w:lang w:val="en-US"/>
              </w:rPr>
            </w:pPr>
          </w:p>
        </w:tc>
        <w:tc>
          <w:tcPr>
            <w:tcW w:w="2520" w:type="dxa"/>
            <w:hideMark/>
          </w:tcPr>
          <w:p w14:paraId="3ACB4595" w14:textId="52266978" w:rsidR="00772217" w:rsidRPr="007F6C37" w:rsidRDefault="00381A09"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Favourable</w:t>
            </w:r>
          </w:p>
        </w:tc>
        <w:tc>
          <w:tcPr>
            <w:tcW w:w="1890" w:type="dxa"/>
            <w:hideMark/>
          </w:tcPr>
          <w:p w14:paraId="23392DE3"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43 (81.1)</w:t>
            </w:r>
          </w:p>
        </w:tc>
        <w:tc>
          <w:tcPr>
            <w:tcW w:w="2250" w:type="dxa"/>
            <w:hideMark/>
          </w:tcPr>
          <w:p w14:paraId="63A21F40"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43 (76.8)</w:t>
            </w:r>
          </w:p>
        </w:tc>
      </w:tr>
      <w:tr w:rsidR="00772217" w:rsidRPr="007F6C37" w14:paraId="421ADD48"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5EDC836" w14:textId="77777777" w:rsidR="00772217" w:rsidRPr="007F6C37" w:rsidRDefault="00772217" w:rsidP="0032349D">
            <w:pPr>
              <w:rPr>
                <w:rFonts w:cs="Arial"/>
                <w:sz w:val="20"/>
                <w:lang w:val="en-US"/>
              </w:rPr>
            </w:pPr>
          </w:p>
        </w:tc>
        <w:tc>
          <w:tcPr>
            <w:tcW w:w="2520" w:type="dxa"/>
            <w:hideMark/>
          </w:tcPr>
          <w:p w14:paraId="1E26AF0A" w14:textId="3BD2E38A" w:rsidR="00772217" w:rsidRPr="007F6C37" w:rsidRDefault="00772217"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Un</w:t>
            </w:r>
            <w:r w:rsidR="00381A09" w:rsidRPr="007F6C37">
              <w:rPr>
                <w:rFonts w:ascii="Arial" w:hAnsi="Arial" w:cs="Arial"/>
                <w:sz w:val="20"/>
                <w:lang w:val="en-US"/>
              </w:rPr>
              <w:t>favourable</w:t>
            </w:r>
            <w:r w:rsidRPr="007F6C37">
              <w:rPr>
                <w:rFonts w:ascii="Arial" w:hAnsi="Arial" w:cs="Arial"/>
                <w:sz w:val="20"/>
                <w:lang w:val="en-US"/>
              </w:rPr>
              <w:t xml:space="preserve"> or indeterminate</w:t>
            </w:r>
          </w:p>
        </w:tc>
        <w:tc>
          <w:tcPr>
            <w:tcW w:w="1890" w:type="dxa"/>
            <w:hideMark/>
          </w:tcPr>
          <w:p w14:paraId="4D15C9EE"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10 (18.9)</w:t>
            </w:r>
          </w:p>
        </w:tc>
        <w:tc>
          <w:tcPr>
            <w:tcW w:w="2250" w:type="dxa"/>
            <w:hideMark/>
          </w:tcPr>
          <w:p w14:paraId="57F08B3F"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13 (23.2)</w:t>
            </w:r>
          </w:p>
        </w:tc>
      </w:tr>
      <w:tr w:rsidR="00772217" w:rsidRPr="007F6C37" w14:paraId="62FB84C7"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1BA7F47E" w14:textId="77777777" w:rsidR="00772217" w:rsidRPr="007F6C37" w:rsidRDefault="00772217" w:rsidP="0032349D">
            <w:pPr>
              <w:pStyle w:val="TableBodyText-H54"/>
              <w:ind w:left="313"/>
              <w:rPr>
                <w:rFonts w:ascii="Arial" w:hAnsi="Arial" w:cs="Arial"/>
                <w:sz w:val="20"/>
                <w:lang w:val="en-US"/>
              </w:rPr>
            </w:pPr>
            <w:r w:rsidRPr="007F6C37">
              <w:rPr>
                <w:rFonts w:ascii="Arial" w:hAnsi="Arial" w:cs="Arial"/>
                <w:sz w:val="20"/>
                <w:lang w:val="en-US"/>
              </w:rPr>
              <w:t>MSSA</w:t>
            </w:r>
          </w:p>
        </w:tc>
        <w:tc>
          <w:tcPr>
            <w:tcW w:w="2520" w:type="dxa"/>
            <w:hideMark/>
          </w:tcPr>
          <w:p w14:paraId="155B3761" w14:textId="77777777" w:rsidR="00772217" w:rsidRPr="007F6C37"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N</w:t>
            </w:r>
          </w:p>
        </w:tc>
        <w:tc>
          <w:tcPr>
            <w:tcW w:w="1890" w:type="dxa"/>
            <w:hideMark/>
          </w:tcPr>
          <w:p w14:paraId="67684127"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105</w:t>
            </w:r>
          </w:p>
        </w:tc>
        <w:tc>
          <w:tcPr>
            <w:tcW w:w="2250" w:type="dxa"/>
            <w:hideMark/>
          </w:tcPr>
          <w:p w14:paraId="259868DC"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111</w:t>
            </w:r>
          </w:p>
        </w:tc>
      </w:tr>
      <w:tr w:rsidR="00772217" w:rsidRPr="007F6C37" w14:paraId="1AE554BB" w14:textId="77777777" w:rsidTr="00856DE3">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6621C3B9" w14:textId="77777777" w:rsidR="00772217" w:rsidRPr="007F6C37" w:rsidRDefault="00772217" w:rsidP="0032349D">
            <w:pPr>
              <w:rPr>
                <w:rFonts w:cs="Arial"/>
                <w:sz w:val="20"/>
                <w:lang w:val="en-US"/>
              </w:rPr>
            </w:pPr>
          </w:p>
        </w:tc>
        <w:tc>
          <w:tcPr>
            <w:tcW w:w="2520" w:type="dxa"/>
            <w:hideMark/>
          </w:tcPr>
          <w:p w14:paraId="385E6C98" w14:textId="7747CB9E" w:rsidR="00772217" w:rsidRPr="007F6C37" w:rsidRDefault="00381A09" w:rsidP="0032349D">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Favourable</w:t>
            </w:r>
          </w:p>
        </w:tc>
        <w:tc>
          <w:tcPr>
            <w:tcW w:w="1890" w:type="dxa"/>
            <w:hideMark/>
          </w:tcPr>
          <w:p w14:paraId="1978DBA3"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100 (95.2)</w:t>
            </w:r>
          </w:p>
        </w:tc>
        <w:tc>
          <w:tcPr>
            <w:tcW w:w="2250" w:type="dxa"/>
            <w:hideMark/>
          </w:tcPr>
          <w:p w14:paraId="4C8EBC94" w14:textId="77777777" w:rsidR="00772217" w:rsidRPr="007F6C37" w:rsidRDefault="00772217" w:rsidP="0032349D">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7F6C37">
              <w:rPr>
                <w:rFonts w:ascii="Arial" w:hAnsi="Arial" w:cs="Arial"/>
                <w:sz w:val="20"/>
                <w:lang w:val="en-US"/>
              </w:rPr>
              <w:t>104 (93.7)</w:t>
            </w:r>
          </w:p>
        </w:tc>
      </w:tr>
      <w:tr w:rsidR="00772217" w:rsidRPr="007F6C37" w14:paraId="19681B1A" w14:textId="77777777" w:rsidTr="00856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6AF0510A" w14:textId="77777777" w:rsidR="00772217" w:rsidRPr="007F6C37" w:rsidRDefault="00772217" w:rsidP="0032349D">
            <w:pPr>
              <w:rPr>
                <w:rFonts w:cs="Arial"/>
                <w:sz w:val="20"/>
                <w:lang w:val="en-US"/>
              </w:rPr>
            </w:pPr>
          </w:p>
        </w:tc>
        <w:tc>
          <w:tcPr>
            <w:tcW w:w="2520" w:type="dxa"/>
            <w:vAlign w:val="top"/>
            <w:hideMark/>
          </w:tcPr>
          <w:p w14:paraId="2061D4EF" w14:textId="05BE4924" w:rsidR="00772217" w:rsidRPr="007F6C37" w:rsidRDefault="00772217" w:rsidP="0032349D">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Un</w:t>
            </w:r>
            <w:r w:rsidR="00381A09" w:rsidRPr="007F6C37">
              <w:rPr>
                <w:rFonts w:ascii="Arial" w:hAnsi="Arial" w:cs="Arial"/>
                <w:sz w:val="20"/>
                <w:lang w:val="en-US"/>
              </w:rPr>
              <w:t>favourable</w:t>
            </w:r>
            <w:r w:rsidRPr="007F6C37">
              <w:rPr>
                <w:rFonts w:ascii="Arial" w:hAnsi="Arial" w:cs="Arial"/>
                <w:sz w:val="20"/>
                <w:lang w:val="en-US"/>
              </w:rPr>
              <w:t xml:space="preserve"> or indeterminate</w:t>
            </w:r>
          </w:p>
        </w:tc>
        <w:tc>
          <w:tcPr>
            <w:tcW w:w="1890" w:type="dxa"/>
            <w:hideMark/>
          </w:tcPr>
          <w:p w14:paraId="6432A8AB"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5 (4.8)</w:t>
            </w:r>
          </w:p>
        </w:tc>
        <w:tc>
          <w:tcPr>
            <w:tcW w:w="2250" w:type="dxa"/>
            <w:hideMark/>
          </w:tcPr>
          <w:p w14:paraId="067D8BC8" w14:textId="77777777" w:rsidR="00772217" w:rsidRPr="007F6C37" w:rsidRDefault="00772217" w:rsidP="0032349D">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7F6C37">
              <w:rPr>
                <w:rFonts w:ascii="Arial" w:hAnsi="Arial" w:cs="Arial"/>
                <w:sz w:val="20"/>
                <w:lang w:val="en-US"/>
              </w:rPr>
              <w:t>7 (6.3)</w:t>
            </w:r>
          </w:p>
        </w:tc>
      </w:tr>
    </w:tbl>
    <w:p w14:paraId="7B610587" w14:textId="16C67D9E" w:rsidR="00772217" w:rsidRPr="007F6C37" w:rsidRDefault="00772217" w:rsidP="00772217">
      <w:pPr>
        <w:pStyle w:val="TableNote-H58"/>
        <w:rPr>
          <w:rFonts w:ascii="Arial" w:hAnsi="Arial" w:cs="Arial"/>
          <w:sz w:val="16"/>
          <w:szCs w:val="16"/>
          <w:lang w:val="en-US"/>
        </w:rPr>
      </w:pPr>
      <w:r w:rsidRPr="007F6C37">
        <w:rPr>
          <w:rFonts w:ascii="Arial" w:eastAsia="MS PGothic" w:hAnsi="Arial" w:cs="Arial"/>
          <w:sz w:val="16"/>
          <w:szCs w:val="16"/>
          <w:lang w:val="en-US"/>
        </w:rPr>
        <w:t xml:space="preserve">SOURCE: </w:t>
      </w:r>
      <w:r w:rsidRPr="007F6C37">
        <w:rPr>
          <w:rFonts w:ascii="Arial" w:hAnsi="Arial" w:cs="Arial"/>
          <w:sz w:val="16"/>
          <w:szCs w:val="16"/>
          <w:lang w:val="en-US"/>
        </w:rPr>
        <w:t>ESTABLISH-2 CSR</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_Ref284171394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42</w:t>
      </w:r>
      <w:r w:rsidR="00CA0F83">
        <w:rPr>
          <w:rFonts w:ascii="Arial" w:hAnsi="Arial" w:cs="Arial"/>
          <w:sz w:val="16"/>
          <w:szCs w:val="16"/>
          <w:lang w:val="en-US"/>
        </w:rPr>
        <w:fldChar w:fldCharType="end"/>
      </w:r>
      <w:r w:rsidRPr="007F6C37">
        <w:rPr>
          <w:rFonts w:ascii="Arial" w:hAnsi="Arial" w:cs="Arial"/>
          <w:sz w:val="16"/>
          <w:szCs w:val="16"/>
          <w:lang w:val="en-US"/>
        </w:rPr>
        <w:t xml:space="preserve">: section </w:t>
      </w:r>
      <w:r w:rsidRPr="007F6C37">
        <w:rPr>
          <w:rFonts w:ascii="Arial" w:eastAsia="Tahoma" w:hAnsi="Arial" w:cs="Arial"/>
          <w:sz w:val="16"/>
          <w:szCs w:val="16"/>
          <w:lang w:val="en-US"/>
        </w:rPr>
        <w:t>11.4.1.4.4, Table 11-59</w:t>
      </w:r>
      <w:r w:rsidR="007F6C37" w:rsidRPr="007F6C37">
        <w:rPr>
          <w:rFonts w:ascii="Arial" w:eastAsia="Tahoma" w:hAnsi="Arial" w:cs="Arial"/>
          <w:sz w:val="16"/>
          <w:szCs w:val="16"/>
          <w:lang w:val="en-US"/>
        </w:rPr>
        <w:t xml:space="preserve">. </w:t>
      </w:r>
      <w:r w:rsidR="007F6C37" w:rsidRPr="007F6C37">
        <w:rPr>
          <w:rFonts w:ascii="Arial" w:hAnsi="Arial" w:cs="Arial"/>
          <w:sz w:val="16"/>
          <w:szCs w:val="16"/>
          <w:lang w:val="en-US"/>
        </w:rPr>
        <w:t xml:space="preserve"> </w:t>
      </w:r>
      <w:r w:rsidRPr="007F6C37">
        <w:rPr>
          <w:rFonts w:ascii="Arial" w:hAnsi="Arial" w:cs="Arial"/>
          <w:sz w:val="16"/>
          <w:szCs w:val="16"/>
          <w:lang w:val="en-US"/>
        </w:rPr>
        <w:t xml:space="preserve">MITT: Microbiological intent-to-treat; MSSA: Methicillin-susceptible </w:t>
      </w:r>
      <w:r w:rsidRPr="007F6C37">
        <w:rPr>
          <w:rStyle w:val="BodyText-italic-H12"/>
          <w:rFonts w:ascii="Arial" w:hAnsi="Arial" w:cs="Arial"/>
          <w:bCs w:val="0"/>
          <w:sz w:val="16"/>
          <w:szCs w:val="16"/>
          <w:lang w:val="en-US"/>
        </w:rPr>
        <w:t>S. aureus</w:t>
      </w:r>
      <w:r w:rsidRPr="007F6C37">
        <w:rPr>
          <w:rFonts w:ascii="Arial" w:hAnsi="Arial" w:cs="Arial"/>
          <w:sz w:val="16"/>
          <w:szCs w:val="16"/>
          <w:lang w:val="en-US"/>
        </w:rPr>
        <w:t xml:space="preserve">; MRSA: Methicillin-resistant </w:t>
      </w:r>
      <w:r w:rsidRPr="007F6C37">
        <w:rPr>
          <w:rStyle w:val="BodyText-italic-H12"/>
          <w:rFonts w:ascii="Arial" w:hAnsi="Arial" w:cs="Arial"/>
          <w:bCs w:val="0"/>
          <w:sz w:val="16"/>
          <w:szCs w:val="16"/>
          <w:lang w:val="en-US"/>
        </w:rPr>
        <w:t>S. aureus</w:t>
      </w:r>
      <w:r w:rsidRPr="007F6C37">
        <w:rPr>
          <w:rFonts w:ascii="Arial" w:hAnsi="Arial" w:cs="Arial"/>
          <w:sz w:val="16"/>
          <w:szCs w:val="16"/>
          <w:lang w:val="en-US"/>
        </w:rPr>
        <w:t>; PTE: Post-therapy evaluation; N: Number of patients in population; n: Number of patients in specific category</w:t>
      </w:r>
    </w:p>
    <w:p w14:paraId="6F9E397A" w14:textId="77777777" w:rsidR="002031D9" w:rsidRDefault="002031D9" w:rsidP="002821B5">
      <w:pPr>
        <w:autoSpaceDE w:val="0"/>
        <w:autoSpaceDN w:val="0"/>
        <w:adjustRightInd w:val="0"/>
        <w:rPr>
          <w:rFonts w:eastAsia="ScalaLancetPro-Bold" w:cs="Arial"/>
          <w:b/>
          <w:bCs/>
          <w:sz w:val="22"/>
          <w:szCs w:val="22"/>
          <w:lang w:eastAsia="ja-JP"/>
        </w:rPr>
      </w:pPr>
    </w:p>
    <w:p w14:paraId="6BFCC4BE" w14:textId="4E42278B" w:rsidR="00897319" w:rsidRPr="00E87187" w:rsidRDefault="007D4E22" w:rsidP="002821B5">
      <w:pPr>
        <w:autoSpaceDE w:val="0"/>
        <w:autoSpaceDN w:val="0"/>
        <w:adjustRightInd w:val="0"/>
        <w:rPr>
          <w:rFonts w:eastAsia="ScalaLancetPro-Bold" w:cs="Arial"/>
          <w:bCs/>
          <w:sz w:val="22"/>
          <w:szCs w:val="22"/>
          <w:lang w:eastAsia="ja-JP"/>
        </w:rPr>
      </w:pPr>
      <w:r>
        <w:rPr>
          <w:rFonts w:eastAsia="ScalaLancetPro-Bold" w:cs="Arial"/>
          <w:b/>
          <w:bCs/>
          <w:sz w:val="22"/>
          <w:szCs w:val="22"/>
          <w:lang w:eastAsia="ja-JP"/>
        </w:rPr>
        <w:t>3.4.20</w:t>
      </w:r>
      <w:r w:rsidR="00897319" w:rsidRPr="00E87187">
        <w:rPr>
          <w:rFonts w:eastAsia="ScalaLancetPro-Bold" w:cs="Arial"/>
          <w:b/>
          <w:bCs/>
          <w:sz w:val="22"/>
          <w:szCs w:val="22"/>
          <w:lang w:eastAsia="ja-JP"/>
        </w:rPr>
        <w:t xml:space="preserve"> Conclusions and relevance</w:t>
      </w:r>
      <w:r w:rsidR="00897319" w:rsidRPr="00E87187">
        <w:rPr>
          <w:rFonts w:eastAsia="ScalaLancetPro-Bold" w:cs="Arial"/>
          <w:bCs/>
          <w:sz w:val="22"/>
          <w:szCs w:val="22"/>
          <w:lang w:eastAsia="ja-JP"/>
        </w:rPr>
        <w:t xml:space="preserve">: </w:t>
      </w:r>
      <w:r w:rsidR="00897319" w:rsidRPr="00E87187">
        <w:rPr>
          <w:sz w:val="22"/>
          <w:szCs w:val="22"/>
          <w:lang w:val="en-US"/>
        </w:rPr>
        <w:t>Six days of tedizolid phosphate demonstrated similar efficacy to 10 days of linezolid on all primary and secondary efficacy endpoints in the overall population and CE-PTE population, successfully limiting antibiotic exposure without compromising clinical outcomes.</w:t>
      </w:r>
      <w:r w:rsidR="001E4B40">
        <w:rPr>
          <w:sz w:val="22"/>
          <w:szCs w:val="22"/>
          <w:lang w:val="en-US"/>
        </w:rPr>
        <w:t xml:space="preserve"> </w:t>
      </w:r>
      <w:r w:rsidR="00897319" w:rsidRPr="00E87187">
        <w:rPr>
          <w:rFonts w:eastAsia="ScalaLancetPro-Bold" w:cs="Arial"/>
          <w:bCs/>
          <w:sz w:val="22"/>
          <w:szCs w:val="22"/>
          <w:lang w:eastAsia="ja-JP"/>
        </w:rPr>
        <w:t xml:space="preserve">The study authors concluded that tedizolid </w:t>
      </w:r>
      <w:r w:rsidR="00CF4756">
        <w:rPr>
          <w:rFonts w:eastAsia="ScalaLancetPro-Bold" w:cs="Arial"/>
          <w:bCs/>
          <w:sz w:val="22"/>
          <w:szCs w:val="22"/>
          <w:lang w:eastAsia="ja-JP"/>
        </w:rPr>
        <w:t xml:space="preserve">phosphate </w:t>
      </w:r>
      <w:r w:rsidR="00897319" w:rsidRPr="00E87187">
        <w:rPr>
          <w:rFonts w:eastAsia="ScalaLancetPro-Bold" w:cs="Arial"/>
          <w:bCs/>
          <w:sz w:val="22"/>
          <w:szCs w:val="22"/>
          <w:lang w:eastAsia="ja-JP"/>
        </w:rPr>
        <w:t xml:space="preserve">could become a useful option for the treatment of </w:t>
      </w:r>
      <w:r w:rsidR="00E87187" w:rsidRPr="00E87187">
        <w:rPr>
          <w:rFonts w:eastAsia="ScalaLancetPro-Bold" w:cs="Arial"/>
          <w:bCs/>
          <w:sz w:val="22"/>
          <w:szCs w:val="22"/>
          <w:lang w:eastAsia="ja-JP"/>
        </w:rPr>
        <w:t>ABSSSIs</w:t>
      </w:r>
      <w:r w:rsidR="00897319" w:rsidRPr="00E87187">
        <w:rPr>
          <w:rFonts w:eastAsia="ScalaLancetPro-Bold" w:cs="Arial"/>
          <w:bCs/>
          <w:sz w:val="22"/>
          <w:szCs w:val="22"/>
          <w:lang w:eastAsia="ja-JP"/>
        </w:rPr>
        <w:t xml:space="preserve"> in the hospital and outpatient settings</w:t>
      </w:r>
      <w:r>
        <w:rPr>
          <w:rFonts w:eastAsia="ScalaLancetPro-Bold" w:cs="Arial"/>
          <w:bCs/>
          <w:sz w:val="22"/>
          <w:szCs w:val="22"/>
          <w:lang w:eastAsia="ja-JP"/>
        </w:rPr>
        <w:t xml:space="preserve"> (</w:t>
      </w:r>
      <w:r w:rsidR="00CA0F83">
        <w:rPr>
          <w:rFonts w:eastAsia="ScalaLancetPro-Bold" w:cs="Arial"/>
          <w:bCs/>
          <w:sz w:val="22"/>
          <w:szCs w:val="22"/>
          <w:lang w:eastAsia="ja-JP"/>
        </w:rPr>
        <w:fldChar w:fldCharType="begin"/>
      </w:r>
      <w:r w:rsidR="00CA0F83">
        <w:rPr>
          <w:rFonts w:eastAsia="ScalaLancetPro-Bold" w:cs="Arial"/>
          <w:bCs/>
          <w:sz w:val="22"/>
          <w:szCs w:val="22"/>
          <w:lang w:eastAsia="ja-JP"/>
        </w:rPr>
        <w:instrText xml:space="preserve"> REF _Ref284170919 \r \h </w:instrText>
      </w:r>
      <w:r w:rsidR="00CA0F83">
        <w:rPr>
          <w:rFonts w:eastAsia="ScalaLancetPro-Bold" w:cs="Arial"/>
          <w:bCs/>
          <w:sz w:val="22"/>
          <w:szCs w:val="22"/>
          <w:lang w:eastAsia="ja-JP"/>
        </w:rPr>
      </w:r>
      <w:r w:rsidR="00CA0F83">
        <w:rPr>
          <w:rFonts w:eastAsia="ScalaLancetPro-Bold" w:cs="Arial"/>
          <w:bCs/>
          <w:sz w:val="22"/>
          <w:szCs w:val="22"/>
          <w:lang w:eastAsia="ja-JP"/>
        </w:rPr>
        <w:fldChar w:fldCharType="separate"/>
      </w:r>
      <w:r w:rsidR="00151A1C">
        <w:rPr>
          <w:rFonts w:eastAsia="ScalaLancetPro-Bold" w:cs="Arial"/>
          <w:bCs/>
          <w:sz w:val="22"/>
          <w:szCs w:val="22"/>
          <w:lang w:eastAsia="ja-JP"/>
        </w:rPr>
        <w:t>40</w:t>
      </w:r>
      <w:r w:rsidR="00CA0F83">
        <w:rPr>
          <w:rFonts w:eastAsia="ScalaLancetPro-Bold" w:cs="Arial"/>
          <w:bCs/>
          <w:sz w:val="22"/>
          <w:szCs w:val="22"/>
          <w:lang w:eastAsia="ja-JP"/>
        </w:rPr>
        <w:fldChar w:fldCharType="end"/>
      </w:r>
      <w:r>
        <w:rPr>
          <w:rFonts w:eastAsia="ScalaLancetPro-Bold" w:cs="Arial"/>
          <w:bCs/>
          <w:sz w:val="22"/>
          <w:szCs w:val="22"/>
          <w:lang w:eastAsia="ja-JP"/>
        </w:rPr>
        <w:t>)</w:t>
      </w:r>
      <w:r w:rsidR="00897319" w:rsidRPr="00E87187">
        <w:rPr>
          <w:rFonts w:eastAsia="ScalaLancetPro-Bold" w:cs="Arial"/>
          <w:bCs/>
          <w:sz w:val="22"/>
          <w:szCs w:val="22"/>
          <w:lang w:eastAsia="ja-JP"/>
        </w:rPr>
        <w:t>.</w:t>
      </w:r>
    </w:p>
    <w:p w14:paraId="5B14A056" w14:textId="77777777" w:rsidR="00897319" w:rsidRDefault="00897319" w:rsidP="00B172B5">
      <w:pPr>
        <w:rPr>
          <w:rFonts w:cs="Arial"/>
          <w:b/>
          <w:sz w:val="22"/>
          <w:szCs w:val="22"/>
          <w:lang w:val="en-US"/>
        </w:rPr>
      </w:pPr>
    </w:p>
    <w:p w14:paraId="3142C77A" w14:textId="05B303B7" w:rsidR="00B172B5" w:rsidRPr="00331346" w:rsidRDefault="00331346" w:rsidP="00B172B5">
      <w:pPr>
        <w:rPr>
          <w:rFonts w:cs="Arial"/>
          <w:b/>
          <w:sz w:val="22"/>
          <w:szCs w:val="22"/>
          <w:lang w:val="en-US"/>
        </w:rPr>
      </w:pPr>
      <w:r w:rsidRPr="00331346">
        <w:rPr>
          <w:rFonts w:cs="Arial"/>
          <w:b/>
          <w:sz w:val="22"/>
          <w:szCs w:val="22"/>
          <w:lang w:val="en-US"/>
        </w:rPr>
        <w:t>3.5</w:t>
      </w:r>
      <w:r w:rsidR="00C54F94" w:rsidRPr="00331346">
        <w:rPr>
          <w:rFonts w:cs="Arial"/>
          <w:b/>
          <w:sz w:val="22"/>
          <w:szCs w:val="22"/>
          <w:lang w:val="en-US"/>
        </w:rPr>
        <w:t xml:space="preserve"> </w:t>
      </w:r>
      <w:r w:rsidR="00DD606E" w:rsidRPr="00331346">
        <w:rPr>
          <w:rFonts w:cs="Arial"/>
          <w:b/>
          <w:sz w:val="22"/>
          <w:szCs w:val="22"/>
          <w:lang w:val="en-US"/>
        </w:rPr>
        <w:t xml:space="preserve">Pooled Phase 3 </w:t>
      </w:r>
      <w:r w:rsidR="00237547" w:rsidRPr="00331346">
        <w:rPr>
          <w:rFonts w:cs="Arial"/>
          <w:b/>
          <w:sz w:val="22"/>
          <w:szCs w:val="22"/>
          <w:lang w:val="en-US"/>
        </w:rPr>
        <w:t>data</w:t>
      </w:r>
      <w:r w:rsidR="00DD606E" w:rsidRPr="00331346">
        <w:rPr>
          <w:rFonts w:cs="Arial"/>
          <w:b/>
          <w:sz w:val="22"/>
          <w:szCs w:val="22"/>
          <w:lang w:val="en-US"/>
        </w:rPr>
        <w:t xml:space="preserve"> </w:t>
      </w:r>
    </w:p>
    <w:p w14:paraId="0906F82E" w14:textId="4E149BD0" w:rsidR="00100BE6" w:rsidRPr="00331346" w:rsidRDefault="00237547" w:rsidP="00237547">
      <w:pPr>
        <w:pStyle w:val="Heading3"/>
        <w:keepLines w:val="0"/>
        <w:spacing w:before="240" w:after="120"/>
        <w:rPr>
          <w:rFonts w:ascii="Arial" w:hAnsi="Arial" w:cs="Arial"/>
          <w:b w:val="0"/>
          <w:color w:val="auto"/>
          <w:sz w:val="22"/>
          <w:szCs w:val="22"/>
          <w:lang w:val="en-US"/>
        </w:rPr>
      </w:pPr>
      <w:bookmarkStart w:id="122" w:name="_Toc396058826"/>
      <w:r w:rsidRPr="00331346">
        <w:rPr>
          <w:rFonts w:ascii="Arial" w:hAnsi="Arial" w:cs="Arial"/>
          <w:b w:val="0"/>
          <w:color w:val="auto"/>
          <w:sz w:val="22"/>
          <w:szCs w:val="22"/>
          <w:lang w:val="en-US"/>
        </w:rPr>
        <w:lastRenderedPageBreak/>
        <w:t xml:space="preserve">The data and results from ESTABLISH-1 and ESTABLISH-2 </w:t>
      </w:r>
      <w:bookmarkEnd w:id="122"/>
      <w:r w:rsidR="00700E38">
        <w:rPr>
          <w:rFonts w:ascii="Arial" w:hAnsi="Arial" w:cs="Arial"/>
          <w:b w:val="0"/>
          <w:color w:val="auto"/>
          <w:sz w:val="22"/>
          <w:szCs w:val="22"/>
          <w:lang w:val="en-US"/>
        </w:rPr>
        <w:t>were</w:t>
      </w:r>
      <w:r w:rsidRPr="00331346">
        <w:rPr>
          <w:rFonts w:ascii="Arial" w:hAnsi="Arial" w:cs="Arial"/>
          <w:b w:val="0"/>
          <w:color w:val="auto"/>
          <w:sz w:val="22"/>
          <w:szCs w:val="22"/>
          <w:lang w:val="en-US"/>
        </w:rPr>
        <w:t xml:space="preserve"> pooled</w:t>
      </w:r>
      <w:r w:rsidR="00874DFC">
        <w:rPr>
          <w:rFonts w:ascii="Arial" w:hAnsi="Arial" w:cs="Arial"/>
          <w:b w:val="0"/>
          <w:color w:val="auto"/>
          <w:sz w:val="22"/>
          <w:szCs w:val="22"/>
          <w:lang w:val="en-US"/>
        </w:rPr>
        <w:t xml:space="preserve"> in a pre-specified analysis</w:t>
      </w:r>
      <w:r w:rsidRPr="00331346">
        <w:rPr>
          <w:rFonts w:ascii="Arial" w:hAnsi="Arial" w:cs="Arial"/>
          <w:b w:val="0"/>
          <w:color w:val="auto"/>
          <w:sz w:val="22"/>
          <w:szCs w:val="22"/>
          <w:lang w:val="en-US"/>
        </w:rPr>
        <w:t xml:space="preserve">. </w:t>
      </w:r>
      <w:r w:rsidR="00331346">
        <w:rPr>
          <w:rFonts w:ascii="Arial" w:hAnsi="Arial" w:cs="Arial"/>
          <w:b w:val="0"/>
          <w:color w:val="auto"/>
          <w:sz w:val="22"/>
          <w:szCs w:val="22"/>
          <w:lang w:val="en-US"/>
        </w:rPr>
        <w:t>This section 3.5 presents the efficacy outcomes and results from the pooled Phase 3 studies only.</w:t>
      </w:r>
    </w:p>
    <w:p w14:paraId="5AE13EF7" w14:textId="463377A8" w:rsidR="00C54F94" w:rsidRPr="00331346" w:rsidRDefault="00331346" w:rsidP="00331346">
      <w:pPr>
        <w:pStyle w:val="BodyText"/>
        <w:rPr>
          <w:rFonts w:cs="Arial"/>
          <w:sz w:val="22"/>
          <w:szCs w:val="22"/>
          <w:lang w:val="en-US"/>
        </w:rPr>
      </w:pPr>
      <w:r>
        <w:rPr>
          <w:rFonts w:cs="Arial"/>
          <w:sz w:val="22"/>
          <w:szCs w:val="22"/>
          <w:lang w:val="en-US"/>
        </w:rPr>
        <w:t xml:space="preserve">The </w:t>
      </w:r>
      <w:r w:rsidR="00897319">
        <w:rPr>
          <w:rFonts w:cs="Arial"/>
          <w:sz w:val="22"/>
          <w:szCs w:val="22"/>
          <w:lang w:val="en-US"/>
        </w:rPr>
        <w:t>b</w:t>
      </w:r>
      <w:r w:rsidR="00100BE6" w:rsidRPr="00331346">
        <w:rPr>
          <w:rFonts w:cs="Arial"/>
          <w:sz w:val="22"/>
          <w:szCs w:val="22"/>
          <w:lang w:val="en-US"/>
        </w:rPr>
        <w:t>aseline demographics and characteristics of patients with ABSSSI</w:t>
      </w:r>
      <w:r w:rsidR="00237547" w:rsidRPr="00331346">
        <w:rPr>
          <w:rFonts w:cs="Arial"/>
          <w:sz w:val="22"/>
          <w:szCs w:val="22"/>
          <w:lang w:val="en-US"/>
        </w:rPr>
        <w:t xml:space="preserve">, baseline disease characteristics and types and location of infections in the </w:t>
      </w:r>
      <w:r w:rsidR="00100BE6" w:rsidRPr="00331346">
        <w:rPr>
          <w:rFonts w:cs="Arial"/>
          <w:sz w:val="22"/>
          <w:szCs w:val="22"/>
          <w:lang w:val="en-US"/>
        </w:rPr>
        <w:t xml:space="preserve">pooled analysis are </w:t>
      </w:r>
      <w:r w:rsidR="00350BE0" w:rsidRPr="00331346">
        <w:rPr>
          <w:rFonts w:cs="Arial"/>
          <w:sz w:val="22"/>
          <w:szCs w:val="22"/>
          <w:lang w:val="en-US"/>
        </w:rPr>
        <w:t>summarise</w:t>
      </w:r>
      <w:r w:rsidR="00100BE6" w:rsidRPr="00331346">
        <w:rPr>
          <w:rFonts w:cs="Arial"/>
          <w:sz w:val="22"/>
          <w:szCs w:val="22"/>
          <w:lang w:val="en-US"/>
        </w:rPr>
        <w:t>d in</w:t>
      </w:r>
      <w:r w:rsidR="00700E38">
        <w:rPr>
          <w:rFonts w:cs="Arial"/>
          <w:sz w:val="22"/>
          <w:szCs w:val="22"/>
          <w:lang w:val="en-US"/>
        </w:rPr>
        <w:t xml:space="preserve"> Appendix B</w:t>
      </w:r>
      <w:r>
        <w:rPr>
          <w:rFonts w:cs="Arial"/>
          <w:sz w:val="22"/>
          <w:szCs w:val="22"/>
          <w:lang w:val="en-US"/>
        </w:rPr>
        <w:t>.</w:t>
      </w:r>
    </w:p>
    <w:p w14:paraId="360BCB30" w14:textId="578C5114" w:rsidR="00462384" w:rsidRPr="002E5AA1" w:rsidRDefault="00462384" w:rsidP="00462384">
      <w:pPr>
        <w:pStyle w:val="Heading4"/>
        <w:keepLines w:val="0"/>
        <w:spacing w:before="240" w:after="120"/>
        <w:rPr>
          <w:rFonts w:ascii="Arial" w:hAnsi="Arial" w:cs="Arial"/>
          <w:i w:val="0"/>
          <w:color w:val="auto"/>
          <w:sz w:val="22"/>
          <w:szCs w:val="22"/>
          <w:lang w:val="en-US"/>
        </w:rPr>
      </w:pPr>
      <w:bookmarkStart w:id="123" w:name="_Ref382408911"/>
      <w:r w:rsidRPr="002E5AA1">
        <w:rPr>
          <w:rFonts w:ascii="Arial" w:hAnsi="Arial" w:cs="Arial"/>
          <w:i w:val="0"/>
          <w:color w:val="auto"/>
          <w:sz w:val="22"/>
          <w:szCs w:val="22"/>
          <w:lang w:val="en-US"/>
        </w:rPr>
        <w:t xml:space="preserve">3.5.1 Primary </w:t>
      </w:r>
      <w:r w:rsidR="0081509F" w:rsidRPr="002E5AA1">
        <w:rPr>
          <w:rFonts w:ascii="Arial" w:hAnsi="Arial" w:cs="Arial"/>
          <w:i w:val="0"/>
          <w:color w:val="auto"/>
          <w:sz w:val="22"/>
          <w:szCs w:val="22"/>
          <w:lang w:val="en-US"/>
        </w:rPr>
        <w:t>outcome</w:t>
      </w:r>
      <w:r w:rsidRPr="002E5AA1">
        <w:rPr>
          <w:rFonts w:ascii="Arial" w:hAnsi="Arial" w:cs="Arial"/>
          <w:i w:val="0"/>
          <w:color w:val="auto"/>
          <w:sz w:val="22"/>
          <w:szCs w:val="22"/>
          <w:lang w:val="en-US"/>
        </w:rPr>
        <w:t xml:space="preserve"> – pooled analysis</w:t>
      </w:r>
    </w:p>
    <w:bookmarkEnd w:id="123"/>
    <w:p w14:paraId="0CB3081A" w14:textId="39E344B4" w:rsidR="00374269" w:rsidRPr="00462384" w:rsidRDefault="00374269" w:rsidP="00CB002A">
      <w:pPr>
        <w:pStyle w:val="BodyText"/>
        <w:rPr>
          <w:rFonts w:cs="Arial"/>
          <w:sz w:val="22"/>
          <w:szCs w:val="22"/>
          <w:lang w:val="en-US"/>
        </w:rPr>
      </w:pPr>
      <w:r w:rsidRPr="00462384">
        <w:rPr>
          <w:rFonts w:cs="Arial"/>
          <w:sz w:val="22"/>
          <w:szCs w:val="22"/>
          <w:lang w:val="en-US"/>
        </w:rPr>
        <w:t>In each ESTABLISH-1 and ESTABLISH-2 trial analysis, the proportion of patients achieving early clinical response (when defined as ≥20% decrease in baseline lesion area at the 48-Hour to 72-Hour Visit</w:t>
      </w:r>
      <w:r w:rsidR="00462384" w:rsidRPr="00462384">
        <w:rPr>
          <w:rFonts w:cs="Arial"/>
          <w:sz w:val="22"/>
          <w:szCs w:val="22"/>
          <w:lang w:val="en-US"/>
        </w:rPr>
        <w:t>, FDA definition</w:t>
      </w:r>
      <w:r w:rsidRPr="00462384">
        <w:rPr>
          <w:rFonts w:cs="Arial"/>
          <w:sz w:val="22"/>
          <w:szCs w:val="22"/>
          <w:lang w:val="en-US"/>
        </w:rPr>
        <w:t>) was comparable between tedizolid phosphate and linezolid</w:t>
      </w:r>
      <w:r w:rsidR="00462384" w:rsidRPr="00462384">
        <w:rPr>
          <w:rFonts w:cs="Arial"/>
          <w:sz w:val="22"/>
          <w:szCs w:val="22"/>
          <w:lang w:val="en-US"/>
        </w:rPr>
        <w:t>.</w:t>
      </w:r>
      <w:r w:rsidRPr="00462384">
        <w:rPr>
          <w:rFonts w:cs="Arial"/>
          <w:sz w:val="22"/>
          <w:szCs w:val="22"/>
          <w:lang w:val="en-US"/>
        </w:rPr>
        <w:t xml:space="preserve"> Similar results were seen in the pooled analysis of ESTABLISH-1 and ESTABLISH-2 (</w:t>
      </w:r>
      <w:r w:rsidR="00462384" w:rsidRPr="00462384">
        <w:rPr>
          <w:rFonts w:cs="Arial"/>
          <w:sz w:val="22"/>
          <w:szCs w:val="22"/>
          <w:lang w:val="en-US"/>
        </w:rPr>
        <w:t>see</w:t>
      </w:r>
      <w:r w:rsidR="00462384">
        <w:rPr>
          <w:rFonts w:cs="Arial"/>
          <w:sz w:val="22"/>
          <w:szCs w:val="22"/>
          <w:lang w:val="en-US"/>
        </w:rPr>
        <w:t xml:space="preserve"> </w:t>
      </w:r>
      <w:r w:rsidR="00462384">
        <w:rPr>
          <w:rFonts w:cs="Arial"/>
          <w:sz w:val="22"/>
          <w:szCs w:val="22"/>
          <w:lang w:val="en-US"/>
        </w:rPr>
        <w:fldChar w:fldCharType="begin"/>
      </w:r>
      <w:r w:rsidR="00462384">
        <w:rPr>
          <w:rFonts w:cs="Arial"/>
          <w:sz w:val="22"/>
          <w:szCs w:val="22"/>
          <w:lang w:val="en-US"/>
        </w:rPr>
        <w:instrText xml:space="preserve"> REF _Ref281822084 \h </w:instrText>
      </w:r>
      <w:r w:rsidR="00462384">
        <w:rPr>
          <w:rFonts w:cs="Arial"/>
          <w:sz w:val="22"/>
          <w:szCs w:val="22"/>
          <w:lang w:val="en-US"/>
        </w:rPr>
      </w:r>
      <w:r w:rsidR="00462384">
        <w:rPr>
          <w:rFonts w:cs="Arial"/>
          <w:sz w:val="22"/>
          <w:szCs w:val="22"/>
          <w:lang w:val="en-US"/>
        </w:rPr>
        <w:fldChar w:fldCharType="separate"/>
      </w:r>
      <w:r w:rsidR="00151A1C" w:rsidRPr="00462384">
        <w:rPr>
          <w:rFonts w:cs="Arial"/>
          <w:sz w:val="22"/>
          <w:szCs w:val="22"/>
        </w:rPr>
        <w:t xml:space="preserve">Table </w:t>
      </w:r>
      <w:r w:rsidR="00151A1C">
        <w:rPr>
          <w:rFonts w:cs="Arial"/>
          <w:noProof/>
          <w:sz w:val="22"/>
          <w:szCs w:val="22"/>
        </w:rPr>
        <w:t>28</w:t>
      </w:r>
      <w:r w:rsidR="00462384">
        <w:rPr>
          <w:rFonts w:cs="Arial"/>
          <w:sz w:val="22"/>
          <w:szCs w:val="22"/>
          <w:lang w:val="en-US"/>
        </w:rPr>
        <w:fldChar w:fldCharType="end"/>
      </w:r>
      <w:r w:rsidR="00462384">
        <w:rPr>
          <w:rFonts w:cs="Arial"/>
          <w:sz w:val="22"/>
          <w:szCs w:val="22"/>
          <w:lang w:val="en-US"/>
        </w:rPr>
        <w:t xml:space="preserve"> and</w:t>
      </w:r>
      <w:r w:rsidRPr="00462384">
        <w:rPr>
          <w:rFonts w:cs="Arial"/>
          <w:sz w:val="22"/>
          <w:szCs w:val="22"/>
          <w:lang w:val="en-US"/>
        </w:rPr>
        <w:t xml:space="preserve"> </w:t>
      </w:r>
      <w:r w:rsidR="00CB002A">
        <w:rPr>
          <w:rFonts w:cs="Arial"/>
          <w:sz w:val="22"/>
          <w:szCs w:val="22"/>
          <w:lang w:val="en-US"/>
        </w:rPr>
        <w:fldChar w:fldCharType="begin"/>
      </w:r>
      <w:r w:rsidR="00CB002A">
        <w:rPr>
          <w:rFonts w:cs="Arial"/>
          <w:sz w:val="22"/>
          <w:szCs w:val="22"/>
          <w:lang w:val="en-US"/>
        </w:rPr>
        <w:instrText xml:space="preserve"> REF _Ref283279605 \h </w:instrText>
      </w:r>
      <w:r w:rsidR="00CB002A">
        <w:rPr>
          <w:rFonts w:cs="Arial"/>
          <w:sz w:val="22"/>
          <w:szCs w:val="22"/>
          <w:lang w:val="en-US"/>
        </w:rPr>
      </w:r>
      <w:r w:rsidR="00CB002A">
        <w:rPr>
          <w:rFonts w:cs="Arial"/>
          <w:sz w:val="22"/>
          <w:szCs w:val="22"/>
          <w:lang w:val="en-US"/>
        </w:rPr>
        <w:fldChar w:fldCharType="separate"/>
      </w:r>
      <w:r w:rsidR="00151A1C" w:rsidRPr="00E34779">
        <w:rPr>
          <w:rFonts w:cs="Arial"/>
          <w:sz w:val="22"/>
          <w:szCs w:val="22"/>
        </w:rPr>
        <w:t xml:space="preserve">Figure </w:t>
      </w:r>
      <w:r w:rsidR="00151A1C">
        <w:rPr>
          <w:rFonts w:cs="Arial"/>
          <w:noProof/>
          <w:sz w:val="22"/>
          <w:szCs w:val="22"/>
        </w:rPr>
        <w:t>5</w:t>
      </w:r>
      <w:r w:rsidR="00CB002A">
        <w:rPr>
          <w:rFonts w:cs="Arial"/>
          <w:sz w:val="22"/>
          <w:szCs w:val="22"/>
          <w:lang w:val="en-US"/>
        </w:rPr>
        <w:fldChar w:fldCharType="end"/>
      </w:r>
      <w:r w:rsidR="00CB002A">
        <w:rPr>
          <w:rFonts w:cs="Arial"/>
          <w:sz w:val="22"/>
          <w:szCs w:val="22"/>
          <w:lang w:val="en-US"/>
        </w:rPr>
        <w:t xml:space="preserve">). </w:t>
      </w:r>
    </w:p>
    <w:p w14:paraId="31C4BE8A" w14:textId="5EC8A2A9" w:rsidR="00462384" w:rsidRPr="00462384" w:rsidRDefault="00462384" w:rsidP="00462384">
      <w:pPr>
        <w:pStyle w:val="Caption"/>
        <w:rPr>
          <w:rFonts w:ascii="Arial" w:hAnsi="Arial" w:cs="Arial"/>
          <w:sz w:val="22"/>
          <w:szCs w:val="22"/>
          <w:lang w:val="en-US"/>
        </w:rPr>
      </w:pPr>
      <w:bookmarkStart w:id="124" w:name="_Ref281822084"/>
      <w:bookmarkStart w:id="125" w:name="_Ref382402707"/>
      <w:bookmarkStart w:id="126" w:name="_Toc396058368"/>
      <w:r w:rsidRPr="00462384">
        <w:rPr>
          <w:rFonts w:ascii="Arial" w:hAnsi="Arial" w:cs="Arial"/>
          <w:sz w:val="22"/>
          <w:szCs w:val="22"/>
        </w:rPr>
        <w:t xml:space="preserve">Table </w:t>
      </w:r>
      <w:r w:rsidRPr="00462384">
        <w:rPr>
          <w:rFonts w:ascii="Arial" w:hAnsi="Arial" w:cs="Arial"/>
          <w:sz w:val="22"/>
          <w:szCs w:val="22"/>
        </w:rPr>
        <w:fldChar w:fldCharType="begin"/>
      </w:r>
      <w:r w:rsidRPr="00462384">
        <w:rPr>
          <w:rFonts w:ascii="Arial" w:hAnsi="Arial" w:cs="Arial"/>
          <w:sz w:val="22"/>
          <w:szCs w:val="22"/>
        </w:rPr>
        <w:instrText xml:space="preserve"> SEQ Table \* ARABIC </w:instrText>
      </w:r>
      <w:r w:rsidRPr="00462384">
        <w:rPr>
          <w:rFonts w:ascii="Arial" w:hAnsi="Arial" w:cs="Arial"/>
          <w:sz w:val="22"/>
          <w:szCs w:val="22"/>
        </w:rPr>
        <w:fldChar w:fldCharType="separate"/>
      </w:r>
      <w:r w:rsidR="00151A1C">
        <w:rPr>
          <w:rFonts w:ascii="Arial" w:hAnsi="Arial" w:cs="Arial"/>
          <w:noProof/>
          <w:sz w:val="22"/>
          <w:szCs w:val="22"/>
        </w:rPr>
        <w:t>28</w:t>
      </w:r>
      <w:r w:rsidRPr="00462384">
        <w:rPr>
          <w:rFonts w:ascii="Arial" w:hAnsi="Arial" w:cs="Arial"/>
          <w:sz w:val="22"/>
          <w:szCs w:val="22"/>
        </w:rPr>
        <w:fldChar w:fldCharType="end"/>
      </w:r>
      <w:bookmarkEnd w:id="124"/>
      <w:r w:rsidRPr="00462384">
        <w:rPr>
          <w:rFonts w:ascii="Arial" w:hAnsi="Arial" w:cs="Arial"/>
          <w:sz w:val="22"/>
          <w:szCs w:val="22"/>
          <w:lang w:val="en-US"/>
        </w:rPr>
        <w:t>: Proportion of clinical responders, defined as ≥20% decrease in lesion area - pooled analysis of Phase 3 trial data (ITT population)</w:t>
      </w:r>
    </w:p>
    <w:tbl>
      <w:tblPr>
        <w:tblStyle w:val="Table-HERONplain9"/>
        <w:tblW w:w="0" w:type="auto"/>
        <w:tblLayout w:type="fixed"/>
        <w:tblLook w:val="04A0" w:firstRow="1" w:lastRow="0" w:firstColumn="1" w:lastColumn="0" w:noHBand="0" w:noVBand="1"/>
      </w:tblPr>
      <w:tblGrid>
        <w:gridCol w:w="1638"/>
        <w:gridCol w:w="2497"/>
        <w:gridCol w:w="1260"/>
        <w:gridCol w:w="1283"/>
        <w:gridCol w:w="1080"/>
        <w:gridCol w:w="1080"/>
      </w:tblGrid>
      <w:tr w:rsidR="00462384" w:rsidRPr="00462384" w14:paraId="56DDD7CB" w14:textId="77777777" w:rsidTr="002E1997">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63CE71CC" w14:textId="77777777" w:rsidR="00462384" w:rsidRPr="00462384" w:rsidRDefault="00462384" w:rsidP="00E34779">
            <w:pPr>
              <w:pStyle w:val="TableBodyText-H54"/>
              <w:rPr>
                <w:rFonts w:ascii="Arial" w:hAnsi="Arial" w:cs="Arial"/>
                <w:sz w:val="20"/>
                <w:lang w:val="en-US" w:eastAsia="en-GB"/>
              </w:rPr>
            </w:pPr>
            <w:r w:rsidRPr="00462384">
              <w:rPr>
                <w:rFonts w:ascii="Arial" w:hAnsi="Arial" w:cs="Arial"/>
                <w:sz w:val="20"/>
                <w:lang w:val="en-US" w:eastAsia="en-GB"/>
              </w:rPr>
              <w:t xml:space="preserve">Outcome measure </w:t>
            </w:r>
          </w:p>
        </w:tc>
        <w:tc>
          <w:tcPr>
            <w:tcW w:w="2497" w:type="dxa"/>
            <w:shd w:val="clear" w:color="auto" w:fill="auto"/>
            <w:hideMark/>
          </w:tcPr>
          <w:p w14:paraId="01F08BC2" w14:textId="77777777" w:rsidR="00462384" w:rsidRPr="00462384" w:rsidRDefault="00462384" w:rsidP="00E34779">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Response</w:t>
            </w:r>
          </w:p>
        </w:tc>
        <w:tc>
          <w:tcPr>
            <w:tcW w:w="1260" w:type="dxa"/>
            <w:shd w:val="clear" w:color="auto" w:fill="auto"/>
            <w:hideMark/>
          </w:tcPr>
          <w:p w14:paraId="042E537E"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Tedizolid phosphate</w:t>
            </w:r>
          </w:p>
          <w:p w14:paraId="0045BD3B"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n (%)</w:t>
            </w:r>
          </w:p>
        </w:tc>
        <w:tc>
          <w:tcPr>
            <w:tcW w:w="1283" w:type="dxa"/>
            <w:shd w:val="clear" w:color="auto" w:fill="auto"/>
            <w:hideMark/>
          </w:tcPr>
          <w:p w14:paraId="0E792A3D"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Linezolid</w:t>
            </w:r>
          </w:p>
          <w:p w14:paraId="59561804"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n (%)</w:t>
            </w:r>
          </w:p>
        </w:tc>
        <w:tc>
          <w:tcPr>
            <w:tcW w:w="1080" w:type="dxa"/>
            <w:shd w:val="clear" w:color="auto" w:fill="auto"/>
            <w:hideMark/>
          </w:tcPr>
          <w:p w14:paraId="56E4390F"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Difference</w:t>
            </w:r>
          </w:p>
          <w:p w14:paraId="0C6DDE2D"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w:t>
            </w:r>
          </w:p>
        </w:tc>
        <w:tc>
          <w:tcPr>
            <w:tcW w:w="1080" w:type="dxa"/>
            <w:shd w:val="clear" w:color="auto" w:fill="auto"/>
            <w:hideMark/>
          </w:tcPr>
          <w:p w14:paraId="6DF12323" w14:textId="77777777" w:rsidR="00462384" w:rsidRPr="00462384" w:rsidRDefault="00462384"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95% CI for difference</w:t>
            </w:r>
          </w:p>
        </w:tc>
      </w:tr>
      <w:tr w:rsidR="00462384" w:rsidRPr="00462384" w14:paraId="2E0013C0" w14:textId="77777777" w:rsidTr="002E1997">
        <w:trPr>
          <w:trHeight w:val="274"/>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17AC7E1C" w14:textId="77777777" w:rsidR="00462384" w:rsidRPr="00462384" w:rsidRDefault="00462384" w:rsidP="00E34779">
            <w:pPr>
              <w:pStyle w:val="TableBodyText-H54"/>
              <w:rPr>
                <w:rFonts w:ascii="Arial" w:hAnsi="Arial" w:cs="Arial"/>
                <w:sz w:val="20"/>
                <w:lang w:val="en-US" w:eastAsia="en-GB"/>
              </w:rPr>
            </w:pPr>
            <w:r w:rsidRPr="00462384">
              <w:rPr>
                <w:rFonts w:ascii="Arial" w:hAnsi="Arial" w:cs="Arial"/>
                <w:sz w:val="20"/>
                <w:lang w:val="en-US" w:eastAsia="en-GB"/>
              </w:rPr>
              <w:t>≥20% decrease from baseline in lesion area at the 48 Hour to 72 Hour Visit</w:t>
            </w:r>
          </w:p>
        </w:tc>
        <w:tc>
          <w:tcPr>
            <w:tcW w:w="2497" w:type="dxa"/>
            <w:hideMark/>
          </w:tcPr>
          <w:p w14:paraId="4F6EB936" w14:textId="77777777" w:rsidR="00462384" w:rsidRPr="00462384" w:rsidRDefault="00462384"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N</w:t>
            </w:r>
          </w:p>
        </w:tc>
        <w:tc>
          <w:tcPr>
            <w:tcW w:w="1260" w:type="dxa"/>
            <w:hideMark/>
          </w:tcPr>
          <w:p w14:paraId="65C41991"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664</w:t>
            </w:r>
          </w:p>
        </w:tc>
        <w:tc>
          <w:tcPr>
            <w:tcW w:w="1283" w:type="dxa"/>
            <w:hideMark/>
          </w:tcPr>
          <w:p w14:paraId="2F15BE6C"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669</w:t>
            </w:r>
          </w:p>
        </w:tc>
        <w:tc>
          <w:tcPr>
            <w:tcW w:w="1080" w:type="dxa"/>
            <w:hideMark/>
          </w:tcPr>
          <w:p w14:paraId="7036FA8A"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w:t>
            </w:r>
          </w:p>
        </w:tc>
        <w:tc>
          <w:tcPr>
            <w:tcW w:w="1080" w:type="dxa"/>
            <w:hideMark/>
          </w:tcPr>
          <w:p w14:paraId="08368103"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w:t>
            </w:r>
          </w:p>
        </w:tc>
      </w:tr>
      <w:tr w:rsidR="00462384" w:rsidRPr="00462384" w14:paraId="5DD366CA" w14:textId="77777777" w:rsidTr="002E199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5402876A" w14:textId="77777777" w:rsidR="00462384" w:rsidRPr="00462384" w:rsidRDefault="00462384" w:rsidP="00E34779">
            <w:pPr>
              <w:pStyle w:val="TableBodyText-H54"/>
              <w:rPr>
                <w:rFonts w:ascii="Arial" w:hAnsi="Arial" w:cs="Arial"/>
                <w:b w:val="0"/>
                <w:sz w:val="20"/>
                <w:lang w:val="en-US" w:eastAsia="en-GB"/>
              </w:rPr>
            </w:pPr>
          </w:p>
        </w:tc>
        <w:tc>
          <w:tcPr>
            <w:tcW w:w="2497" w:type="dxa"/>
            <w:hideMark/>
          </w:tcPr>
          <w:p w14:paraId="0011BF1C" w14:textId="77777777" w:rsidR="00462384" w:rsidRPr="00462384" w:rsidRDefault="00462384"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Responder</w:t>
            </w:r>
          </w:p>
        </w:tc>
        <w:tc>
          <w:tcPr>
            <w:tcW w:w="1260" w:type="dxa"/>
            <w:hideMark/>
          </w:tcPr>
          <w:p w14:paraId="43DD413B"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542 (81.6)</w:t>
            </w:r>
          </w:p>
        </w:tc>
        <w:tc>
          <w:tcPr>
            <w:tcW w:w="1283" w:type="dxa"/>
            <w:hideMark/>
          </w:tcPr>
          <w:p w14:paraId="1A1C46C9"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531 (79.4)</w:t>
            </w:r>
          </w:p>
        </w:tc>
        <w:tc>
          <w:tcPr>
            <w:tcW w:w="1080" w:type="dxa"/>
            <w:vMerge w:val="restart"/>
            <w:hideMark/>
          </w:tcPr>
          <w:p w14:paraId="49D43FAC"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2.2</w:t>
            </w:r>
          </w:p>
        </w:tc>
        <w:tc>
          <w:tcPr>
            <w:tcW w:w="1080" w:type="dxa"/>
            <w:vMerge w:val="restart"/>
            <w:hideMark/>
          </w:tcPr>
          <w:p w14:paraId="6E9B7B3B"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(-2.0, 6.5)</w:t>
            </w:r>
          </w:p>
        </w:tc>
      </w:tr>
      <w:tr w:rsidR="00462384" w:rsidRPr="00462384" w14:paraId="1879F1C5" w14:textId="77777777" w:rsidTr="002E1997">
        <w:trPr>
          <w:trHeight w:val="274"/>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21B4401" w14:textId="77777777" w:rsidR="00462384" w:rsidRPr="00462384" w:rsidRDefault="00462384" w:rsidP="00E34779">
            <w:pPr>
              <w:pStyle w:val="TableBodyText-H54"/>
              <w:rPr>
                <w:rFonts w:ascii="Arial" w:hAnsi="Arial" w:cs="Arial"/>
                <w:b w:val="0"/>
                <w:sz w:val="20"/>
                <w:lang w:val="en-US" w:eastAsia="en-GB"/>
              </w:rPr>
            </w:pPr>
          </w:p>
        </w:tc>
        <w:tc>
          <w:tcPr>
            <w:tcW w:w="2497" w:type="dxa"/>
            <w:hideMark/>
          </w:tcPr>
          <w:p w14:paraId="3B0C8E10" w14:textId="77777777" w:rsidR="00462384" w:rsidRPr="00462384" w:rsidRDefault="00462384"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Non-responder or indeterminate</w:t>
            </w:r>
          </w:p>
        </w:tc>
        <w:tc>
          <w:tcPr>
            <w:tcW w:w="1260" w:type="dxa"/>
            <w:hideMark/>
          </w:tcPr>
          <w:p w14:paraId="6BB2E263"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122 (18.4)</w:t>
            </w:r>
          </w:p>
        </w:tc>
        <w:tc>
          <w:tcPr>
            <w:tcW w:w="1283" w:type="dxa"/>
            <w:hideMark/>
          </w:tcPr>
          <w:p w14:paraId="48A3E35B"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138 (20.6)</w:t>
            </w:r>
          </w:p>
        </w:tc>
        <w:tc>
          <w:tcPr>
            <w:tcW w:w="1080" w:type="dxa"/>
            <w:vMerge/>
            <w:hideMark/>
          </w:tcPr>
          <w:p w14:paraId="5255E968" w14:textId="77777777" w:rsidR="00462384" w:rsidRPr="00462384" w:rsidRDefault="00462384" w:rsidP="00E34779">
            <w:pPr>
              <w:cnfStyle w:val="000000000000" w:firstRow="0" w:lastRow="0" w:firstColumn="0" w:lastColumn="0" w:oddVBand="0" w:evenVBand="0" w:oddHBand="0" w:evenHBand="0" w:firstRowFirstColumn="0" w:firstRowLastColumn="0" w:lastRowFirstColumn="0" w:lastRowLastColumn="0"/>
              <w:rPr>
                <w:rFonts w:cs="Arial"/>
                <w:sz w:val="20"/>
                <w:lang w:val="en-US" w:eastAsia="en-GB"/>
              </w:rPr>
            </w:pPr>
          </w:p>
        </w:tc>
        <w:tc>
          <w:tcPr>
            <w:tcW w:w="1080" w:type="dxa"/>
            <w:vMerge/>
            <w:hideMark/>
          </w:tcPr>
          <w:p w14:paraId="44E82255" w14:textId="77777777" w:rsidR="00462384" w:rsidRPr="00462384" w:rsidRDefault="00462384" w:rsidP="00E34779">
            <w:pPr>
              <w:cnfStyle w:val="000000000000" w:firstRow="0" w:lastRow="0" w:firstColumn="0" w:lastColumn="0" w:oddVBand="0" w:evenVBand="0" w:oddHBand="0" w:evenHBand="0" w:firstRowFirstColumn="0" w:firstRowLastColumn="0" w:lastRowFirstColumn="0" w:lastRowLastColumn="0"/>
              <w:rPr>
                <w:rFonts w:cs="Arial"/>
                <w:sz w:val="20"/>
                <w:lang w:val="en-US" w:eastAsia="en-GB"/>
              </w:rPr>
            </w:pPr>
          </w:p>
        </w:tc>
      </w:tr>
      <w:tr w:rsidR="00462384" w:rsidRPr="00462384" w14:paraId="6C15296C" w14:textId="77777777" w:rsidTr="002E199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193CD2B5" w14:textId="77777777" w:rsidR="00462384" w:rsidRPr="00462384" w:rsidRDefault="00462384" w:rsidP="00E34779">
            <w:pPr>
              <w:pStyle w:val="TableBodyText-H54"/>
              <w:rPr>
                <w:rFonts w:ascii="Arial" w:hAnsi="Arial" w:cs="Arial"/>
                <w:b w:val="0"/>
                <w:sz w:val="20"/>
                <w:lang w:val="en-US" w:eastAsia="en-GB"/>
              </w:rPr>
            </w:pPr>
          </w:p>
        </w:tc>
        <w:tc>
          <w:tcPr>
            <w:tcW w:w="2497" w:type="dxa"/>
            <w:hideMark/>
          </w:tcPr>
          <w:p w14:paraId="4D6C2FD0" w14:textId="77777777" w:rsidR="00462384" w:rsidRPr="00462384" w:rsidRDefault="00462384"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Non-responder</w:t>
            </w:r>
          </w:p>
        </w:tc>
        <w:tc>
          <w:tcPr>
            <w:tcW w:w="1260" w:type="dxa"/>
            <w:hideMark/>
          </w:tcPr>
          <w:p w14:paraId="4A731208"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94 (14.2)</w:t>
            </w:r>
          </w:p>
        </w:tc>
        <w:tc>
          <w:tcPr>
            <w:tcW w:w="1283" w:type="dxa"/>
            <w:hideMark/>
          </w:tcPr>
          <w:p w14:paraId="3B87A415"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100 (14.9)</w:t>
            </w:r>
          </w:p>
        </w:tc>
        <w:tc>
          <w:tcPr>
            <w:tcW w:w="1080" w:type="dxa"/>
            <w:vMerge/>
            <w:hideMark/>
          </w:tcPr>
          <w:p w14:paraId="5DAE9809" w14:textId="77777777" w:rsidR="00462384" w:rsidRPr="00462384" w:rsidRDefault="00462384" w:rsidP="00E34779">
            <w:pPr>
              <w:cnfStyle w:val="000000010000" w:firstRow="0" w:lastRow="0" w:firstColumn="0" w:lastColumn="0" w:oddVBand="0" w:evenVBand="0" w:oddHBand="0" w:evenHBand="1" w:firstRowFirstColumn="0" w:firstRowLastColumn="0" w:lastRowFirstColumn="0" w:lastRowLastColumn="0"/>
              <w:rPr>
                <w:rFonts w:cs="Arial"/>
                <w:sz w:val="20"/>
                <w:lang w:val="en-US" w:eastAsia="en-GB"/>
              </w:rPr>
            </w:pPr>
          </w:p>
        </w:tc>
        <w:tc>
          <w:tcPr>
            <w:tcW w:w="1080" w:type="dxa"/>
            <w:vMerge/>
            <w:hideMark/>
          </w:tcPr>
          <w:p w14:paraId="0E0B8C61" w14:textId="77777777" w:rsidR="00462384" w:rsidRPr="00462384" w:rsidRDefault="00462384" w:rsidP="00E34779">
            <w:pPr>
              <w:cnfStyle w:val="000000010000" w:firstRow="0" w:lastRow="0" w:firstColumn="0" w:lastColumn="0" w:oddVBand="0" w:evenVBand="0" w:oddHBand="0" w:evenHBand="1" w:firstRowFirstColumn="0" w:firstRowLastColumn="0" w:lastRowFirstColumn="0" w:lastRowLastColumn="0"/>
              <w:rPr>
                <w:rFonts w:cs="Arial"/>
                <w:sz w:val="20"/>
                <w:lang w:val="en-US" w:eastAsia="en-GB"/>
              </w:rPr>
            </w:pPr>
          </w:p>
        </w:tc>
      </w:tr>
      <w:tr w:rsidR="00462384" w:rsidRPr="00462384" w14:paraId="045DC06E" w14:textId="77777777" w:rsidTr="002E1997">
        <w:trPr>
          <w:trHeight w:val="274"/>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02E2F951" w14:textId="77777777" w:rsidR="00462384" w:rsidRPr="00462384" w:rsidRDefault="00462384" w:rsidP="00E34779">
            <w:pPr>
              <w:pStyle w:val="TableBodyText-H54"/>
              <w:rPr>
                <w:rFonts w:ascii="Arial" w:hAnsi="Arial" w:cs="Arial"/>
                <w:b w:val="0"/>
                <w:sz w:val="20"/>
                <w:lang w:val="en-US" w:eastAsia="en-GB"/>
              </w:rPr>
            </w:pPr>
          </w:p>
        </w:tc>
        <w:tc>
          <w:tcPr>
            <w:tcW w:w="2497" w:type="dxa"/>
            <w:hideMark/>
          </w:tcPr>
          <w:p w14:paraId="58834D40" w14:textId="77777777" w:rsidR="00462384" w:rsidRPr="00462384" w:rsidRDefault="00462384"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Indeterminate</w:t>
            </w:r>
          </w:p>
        </w:tc>
        <w:tc>
          <w:tcPr>
            <w:tcW w:w="1260" w:type="dxa"/>
            <w:hideMark/>
          </w:tcPr>
          <w:p w14:paraId="40376C44"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28 (4.2)</w:t>
            </w:r>
          </w:p>
        </w:tc>
        <w:tc>
          <w:tcPr>
            <w:tcW w:w="1283" w:type="dxa"/>
            <w:hideMark/>
          </w:tcPr>
          <w:p w14:paraId="29413948" w14:textId="77777777" w:rsidR="00462384" w:rsidRPr="00462384" w:rsidRDefault="004623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38 (5.7)</w:t>
            </w:r>
          </w:p>
        </w:tc>
        <w:tc>
          <w:tcPr>
            <w:tcW w:w="1080" w:type="dxa"/>
            <w:vMerge/>
            <w:hideMark/>
          </w:tcPr>
          <w:p w14:paraId="463F4B0F" w14:textId="77777777" w:rsidR="00462384" w:rsidRPr="00462384" w:rsidRDefault="00462384" w:rsidP="00E34779">
            <w:pPr>
              <w:cnfStyle w:val="000000000000" w:firstRow="0" w:lastRow="0" w:firstColumn="0" w:lastColumn="0" w:oddVBand="0" w:evenVBand="0" w:oddHBand="0" w:evenHBand="0" w:firstRowFirstColumn="0" w:firstRowLastColumn="0" w:lastRowFirstColumn="0" w:lastRowLastColumn="0"/>
              <w:rPr>
                <w:rFonts w:cs="Arial"/>
                <w:sz w:val="20"/>
                <w:lang w:val="en-US" w:eastAsia="en-GB"/>
              </w:rPr>
            </w:pPr>
          </w:p>
        </w:tc>
        <w:tc>
          <w:tcPr>
            <w:tcW w:w="1080" w:type="dxa"/>
            <w:vMerge/>
            <w:hideMark/>
          </w:tcPr>
          <w:p w14:paraId="052F585E" w14:textId="77777777" w:rsidR="00462384" w:rsidRPr="00462384" w:rsidRDefault="00462384" w:rsidP="00E34779">
            <w:pPr>
              <w:cnfStyle w:val="000000000000" w:firstRow="0" w:lastRow="0" w:firstColumn="0" w:lastColumn="0" w:oddVBand="0" w:evenVBand="0" w:oddHBand="0" w:evenHBand="0" w:firstRowFirstColumn="0" w:firstRowLastColumn="0" w:lastRowFirstColumn="0" w:lastRowLastColumn="0"/>
              <w:rPr>
                <w:rFonts w:cs="Arial"/>
                <w:sz w:val="20"/>
                <w:lang w:val="en-US" w:eastAsia="en-GB"/>
              </w:rPr>
            </w:pPr>
          </w:p>
        </w:tc>
      </w:tr>
      <w:tr w:rsidR="00462384" w:rsidRPr="00462384" w14:paraId="6366A0D6" w14:textId="77777777" w:rsidTr="002E199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tcPr>
          <w:p w14:paraId="1BABEADE" w14:textId="77777777" w:rsidR="00462384" w:rsidRPr="00462384" w:rsidRDefault="00462384" w:rsidP="00E34779">
            <w:pPr>
              <w:pStyle w:val="TableBodyText-H54"/>
              <w:rPr>
                <w:rFonts w:ascii="Arial" w:hAnsi="Arial" w:cs="Arial"/>
                <w:b w:val="0"/>
                <w:sz w:val="20"/>
                <w:lang w:val="en-US" w:eastAsia="en-GB"/>
              </w:rPr>
            </w:pPr>
          </w:p>
        </w:tc>
        <w:tc>
          <w:tcPr>
            <w:tcW w:w="2497" w:type="dxa"/>
          </w:tcPr>
          <w:p w14:paraId="2D5E1540" w14:textId="77777777" w:rsidR="00462384" w:rsidRPr="00462384" w:rsidRDefault="00462384"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Clinical failure or indeterminate</w:t>
            </w:r>
          </w:p>
        </w:tc>
        <w:tc>
          <w:tcPr>
            <w:tcW w:w="1260" w:type="dxa"/>
          </w:tcPr>
          <w:p w14:paraId="0D62007C"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88 (13.3)</w:t>
            </w:r>
          </w:p>
        </w:tc>
        <w:tc>
          <w:tcPr>
            <w:tcW w:w="1283" w:type="dxa"/>
          </w:tcPr>
          <w:p w14:paraId="03B94C6C" w14:textId="77777777" w:rsidR="00462384" w:rsidRPr="00462384" w:rsidRDefault="004623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462384">
              <w:rPr>
                <w:rFonts w:ascii="Arial" w:hAnsi="Arial" w:cs="Arial"/>
                <w:sz w:val="20"/>
                <w:lang w:val="en-US" w:eastAsia="en-GB"/>
              </w:rPr>
              <w:t>88 (13.2)</w:t>
            </w:r>
          </w:p>
        </w:tc>
        <w:tc>
          <w:tcPr>
            <w:tcW w:w="1080" w:type="dxa"/>
            <w:vMerge/>
          </w:tcPr>
          <w:p w14:paraId="76B587A0" w14:textId="77777777" w:rsidR="00462384" w:rsidRPr="00462384" w:rsidRDefault="00462384" w:rsidP="00E34779">
            <w:pPr>
              <w:cnfStyle w:val="000000010000" w:firstRow="0" w:lastRow="0" w:firstColumn="0" w:lastColumn="0" w:oddVBand="0" w:evenVBand="0" w:oddHBand="0" w:evenHBand="1" w:firstRowFirstColumn="0" w:firstRowLastColumn="0" w:lastRowFirstColumn="0" w:lastRowLastColumn="0"/>
              <w:rPr>
                <w:rFonts w:cs="Arial"/>
                <w:sz w:val="20"/>
                <w:lang w:val="en-US" w:eastAsia="en-GB"/>
              </w:rPr>
            </w:pPr>
          </w:p>
        </w:tc>
        <w:tc>
          <w:tcPr>
            <w:tcW w:w="1080" w:type="dxa"/>
            <w:vMerge/>
          </w:tcPr>
          <w:p w14:paraId="2D20EE67" w14:textId="77777777" w:rsidR="00462384" w:rsidRPr="00462384" w:rsidRDefault="00462384" w:rsidP="00E34779">
            <w:pPr>
              <w:cnfStyle w:val="000000010000" w:firstRow="0" w:lastRow="0" w:firstColumn="0" w:lastColumn="0" w:oddVBand="0" w:evenVBand="0" w:oddHBand="0" w:evenHBand="1" w:firstRowFirstColumn="0" w:firstRowLastColumn="0" w:lastRowFirstColumn="0" w:lastRowLastColumn="0"/>
              <w:rPr>
                <w:rFonts w:cs="Arial"/>
                <w:sz w:val="20"/>
                <w:lang w:val="en-US" w:eastAsia="en-GB"/>
              </w:rPr>
            </w:pPr>
          </w:p>
        </w:tc>
      </w:tr>
    </w:tbl>
    <w:p w14:paraId="73350D27" w14:textId="4B6D2562" w:rsidR="00462384" w:rsidRPr="0081509F" w:rsidRDefault="00462384" w:rsidP="00462384">
      <w:pPr>
        <w:pStyle w:val="TableNote-H58"/>
        <w:rPr>
          <w:rFonts w:ascii="Arial" w:hAnsi="Arial" w:cs="Arial"/>
          <w:sz w:val="16"/>
          <w:szCs w:val="16"/>
          <w:lang w:val="en-US"/>
        </w:rPr>
      </w:pPr>
      <w:r w:rsidRPr="0081509F">
        <w:rPr>
          <w:rFonts w:ascii="Arial" w:hAnsi="Arial" w:cs="Arial"/>
          <w:sz w:val="16"/>
          <w:szCs w:val="16"/>
          <w:lang w:val="en-US"/>
        </w:rPr>
        <w:t>SOURCE: ISE 2013</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_Ref284183626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51</w:t>
      </w:r>
      <w:r w:rsidR="00CA0F83">
        <w:rPr>
          <w:rFonts w:ascii="Arial" w:hAnsi="Arial" w:cs="Arial"/>
          <w:sz w:val="16"/>
          <w:szCs w:val="16"/>
          <w:lang w:val="en-US"/>
        </w:rPr>
        <w:fldChar w:fldCharType="end"/>
      </w:r>
      <w:r w:rsidRPr="0081509F">
        <w:rPr>
          <w:rFonts w:ascii="Arial" w:hAnsi="Arial" w:cs="Arial"/>
          <w:sz w:val="16"/>
          <w:szCs w:val="16"/>
          <w:lang w:val="en-US"/>
        </w:rPr>
        <w:t>: section 3.6, Table 63 CI: Confidence interval; ITT: Intent-to-treat; N: Number of patients in population; n: Number of patients in specific category</w:t>
      </w:r>
    </w:p>
    <w:p w14:paraId="4B4A7622" w14:textId="3D0F51B8" w:rsidR="00374269" w:rsidRPr="00462384" w:rsidRDefault="00E34779" w:rsidP="00E34779">
      <w:pPr>
        <w:pStyle w:val="Caption"/>
        <w:rPr>
          <w:rFonts w:ascii="Arial" w:hAnsi="Arial" w:cs="Arial"/>
          <w:sz w:val="22"/>
          <w:szCs w:val="22"/>
          <w:lang w:val="en-US"/>
        </w:rPr>
      </w:pPr>
      <w:bookmarkStart w:id="127" w:name="_Ref283279605"/>
      <w:bookmarkEnd w:id="125"/>
      <w:r w:rsidRPr="00E34779">
        <w:rPr>
          <w:rFonts w:ascii="Arial" w:hAnsi="Arial" w:cs="Arial"/>
          <w:sz w:val="22"/>
          <w:szCs w:val="22"/>
        </w:rPr>
        <w:lastRenderedPageBreak/>
        <w:t xml:space="preserve">Figure </w:t>
      </w:r>
      <w:r w:rsidRPr="00E34779">
        <w:rPr>
          <w:rFonts w:ascii="Arial" w:hAnsi="Arial" w:cs="Arial"/>
          <w:sz w:val="22"/>
          <w:szCs w:val="22"/>
        </w:rPr>
        <w:fldChar w:fldCharType="begin"/>
      </w:r>
      <w:r w:rsidRPr="00E34779">
        <w:rPr>
          <w:rFonts w:ascii="Arial" w:hAnsi="Arial" w:cs="Arial"/>
          <w:sz w:val="22"/>
          <w:szCs w:val="22"/>
        </w:rPr>
        <w:instrText xml:space="preserve"> SEQ Figure \* ARABIC </w:instrText>
      </w:r>
      <w:r w:rsidRPr="00E34779">
        <w:rPr>
          <w:rFonts w:ascii="Arial" w:hAnsi="Arial" w:cs="Arial"/>
          <w:sz w:val="22"/>
          <w:szCs w:val="22"/>
        </w:rPr>
        <w:fldChar w:fldCharType="separate"/>
      </w:r>
      <w:r w:rsidR="00151A1C">
        <w:rPr>
          <w:rFonts w:ascii="Arial" w:hAnsi="Arial" w:cs="Arial"/>
          <w:noProof/>
          <w:sz w:val="22"/>
          <w:szCs w:val="22"/>
        </w:rPr>
        <w:t>5</w:t>
      </w:r>
      <w:r w:rsidRPr="00E34779">
        <w:rPr>
          <w:rFonts w:ascii="Arial" w:hAnsi="Arial" w:cs="Arial"/>
          <w:sz w:val="22"/>
          <w:szCs w:val="22"/>
        </w:rPr>
        <w:fldChar w:fldCharType="end"/>
      </w:r>
      <w:bookmarkEnd w:id="127"/>
      <w:r w:rsidRPr="00E34779">
        <w:rPr>
          <w:rFonts w:ascii="Arial" w:hAnsi="Arial" w:cs="Arial"/>
          <w:sz w:val="22"/>
          <w:szCs w:val="22"/>
          <w:lang w:val="en-US"/>
        </w:rPr>
        <w:t>:</w:t>
      </w:r>
      <w:r w:rsidR="0081509F">
        <w:rPr>
          <w:rFonts w:ascii="Arial" w:hAnsi="Arial" w:cs="Arial"/>
          <w:sz w:val="22"/>
          <w:szCs w:val="22"/>
          <w:lang w:val="en-US"/>
        </w:rPr>
        <w:t xml:space="preserve"> </w:t>
      </w:r>
      <w:r w:rsidR="00374269" w:rsidRPr="00462384">
        <w:rPr>
          <w:rFonts w:ascii="Arial" w:hAnsi="Arial" w:cs="Arial"/>
          <w:sz w:val="22"/>
          <w:szCs w:val="22"/>
          <w:lang w:val="en-US"/>
        </w:rPr>
        <w:t>Proportion of clinical responders, defined as ≥20% decrease in lesion area, at the 48-Hour to 72 Hour Visit in the pooled analysis of Phase 3 trial data (ITT population)</w:t>
      </w:r>
      <w:bookmarkEnd w:id="126"/>
    </w:p>
    <w:p w14:paraId="7AF10303" w14:textId="78D62A1D" w:rsidR="00374269" w:rsidRPr="0081509F" w:rsidRDefault="00374269" w:rsidP="0081509F">
      <w:r w:rsidRPr="00D95C15">
        <w:rPr>
          <w:noProof/>
          <w:lang w:eastAsia="en-GB"/>
        </w:rPr>
        <w:drawing>
          <wp:inline distT="0" distB="0" distL="0" distR="0" wp14:anchorId="13B7309B" wp14:editId="75D077C8">
            <wp:extent cx="5571490" cy="2774950"/>
            <wp:effectExtent l="0" t="0" r="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62384">
        <w:rPr>
          <w:rFonts w:cs="Arial"/>
          <w:sz w:val="16"/>
          <w:lang w:val="en-US"/>
        </w:rPr>
        <w:t>SOURCE: ISE 2013</w:t>
      </w:r>
      <w:r w:rsidR="00CA0F83">
        <w:rPr>
          <w:rFonts w:cs="Arial"/>
          <w:sz w:val="16"/>
          <w:lang w:val="en-US"/>
        </w:rPr>
        <w:t xml:space="preserve"> </w:t>
      </w:r>
      <w:r w:rsidR="00CA0F83">
        <w:rPr>
          <w:rFonts w:cs="Arial"/>
          <w:sz w:val="16"/>
          <w:lang w:val="en-US"/>
        </w:rPr>
        <w:fldChar w:fldCharType="begin"/>
      </w:r>
      <w:r w:rsidR="00CA0F83">
        <w:rPr>
          <w:rFonts w:cs="Arial"/>
          <w:sz w:val="16"/>
          <w:lang w:val="en-US"/>
        </w:rPr>
        <w:instrText xml:space="preserve"> REF _Ref284183626 \r \h </w:instrText>
      </w:r>
      <w:r w:rsidR="00CA0F83">
        <w:rPr>
          <w:rFonts w:cs="Arial"/>
          <w:sz w:val="16"/>
          <w:lang w:val="en-US"/>
        </w:rPr>
      </w:r>
      <w:r w:rsidR="00CA0F83">
        <w:rPr>
          <w:rFonts w:cs="Arial"/>
          <w:sz w:val="16"/>
          <w:lang w:val="en-US"/>
        </w:rPr>
        <w:fldChar w:fldCharType="separate"/>
      </w:r>
      <w:r w:rsidR="00151A1C">
        <w:rPr>
          <w:rFonts w:cs="Arial"/>
          <w:sz w:val="16"/>
          <w:lang w:val="en-US"/>
        </w:rPr>
        <w:t>51</w:t>
      </w:r>
      <w:r w:rsidR="00CA0F83">
        <w:rPr>
          <w:rFonts w:cs="Arial"/>
          <w:sz w:val="16"/>
          <w:lang w:val="en-US"/>
        </w:rPr>
        <w:fldChar w:fldCharType="end"/>
      </w:r>
      <w:r w:rsidRPr="00462384">
        <w:rPr>
          <w:rFonts w:cs="Arial"/>
          <w:sz w:val="16"/>
          <w:lang w:val="en-US"/>
        </w:rPr>
        <w:t>: section 3.6, Table 63 ITT: Intent-to-treat; N: Number of patients in population</w:t>
      </w:r>
    </w:p>
    <w:p w14:paraId="16CBD048" w14:textId="77777777" w:rsidR="00462384" w:rsidRDefault="00462384" w:rsidP="00374269">
      <w:pPr>
        <w:pStyle w:val="BodyText"/>
        <w:rPr>
          <w:lang w:val="en-US"/>
        </w:rPr>
      </w:pPr>
    </w:p>
    <w:p w14:paraId="1E577569" w14:textId="776708D1" w:rsidR="00374269" w:rsidRPr="002E5AA1" w:rsidRDefault="0081509F" w:rsidP="00374269">
      <w:pPr>
        <w:pStyle w:val="BodyText"/>
        <w:rPr>
          <w:b/>
          <w:sz w:val="22"/>
          <w:szCs w:val="22"/>
          <w:lang w:val="en-US"/>
        </w:rPr>
      </w:pPr>
      <w:r w:rsidRPr="002E5AA1">
        <w:rPr>
          <w:b/>
          <w:sz w:val="22"/>
          <w:szCs w:val="22"/>
          <w:lang w:val="en-US"/>
        </w:rPr>
        <w:t xml:space="preserve">3.5.2 Secondary outcomes – pooled analysis </w:t>
      </w:r>
    </w:p>
    <w:p w14:paraId="533A1C93" w14:textId="77777777" w:rsidR="0081509F" w:rsidRPr="003A33C8" w:rsidRDefault="0081509F" w:rsidP="00374269">
      <w:pPr>
        <w:pStyle w:val="BodyText"/>
        <w:rPr>
          <w:sz w:val="22"/>
          <w:szCs w:val="22"/>
          <w:lang w:val="en-US"/>
        </w:rPr>
      </w:pPr>
    </w:p>
    <w:p w14:paraId="506E3563" w14:textId="49D7908A" w:rsidR="00E1437B" w:rsidRDefault="00E1437B" w:rsidP="00374269">
      <w:pPr>
        <w:pStyle w:val="BodyText"/>
        <w:rPr>
          <w:sz w:val="22"/>
          <w:szCs w:val="22"/>
        </w:rPr>
      </w:pPr>
      <w:r w:rsidRPr="003A33C8">
        <w:rPr>
          <w:sz w:val="22"/>
          <w:szCs w:val="22"/>
        </w:rPr>
        <w:t xml:space="preserve">In common with </w:t>
      </w:r>
      <w:r w:rsidR="00374269" w:rsidRPr="003A33C8">
        <w:rPr>
          <w:sz w:val="22"/>
          <w:szCs w:val="22"/>
        </w:rPr>
        <w:t>ESTABLISH-1 and ESTABLISH-2 independently</w:t>
      </w:r>
      <w:r w:rsidRPr="003A33C8">
        <w:rPr>
          <w:sz w:val="22"/>
          <w:szCs w:val="22"/>
        </w:rPr>
        <w:t>, the pooled analysis</w:t>
      </w:r>
      <w:r w:rsidR="00374269" w:rsidRPr="003A33C8">
        <w:rPr>
          <w:sz w:val="22"/>
          <w:szCs w:val="22"/>
        </w:rPr>
        <w:t xml:space="preserve"> demonstrated that tedizolid phosphate was comparable to linezolid with regards to the proportion of patients achieving </w:t>
      </w:r>
      <w:r w:rsidRPr="003A33C8">
        <w:rPr>
          <w:sz w:val="22"/>
          <w:szCs w:val="22"/>
        </w:rPr>
        <w:t>the following outcomes:</w:t>
      </w:r>
    </w:p>
    <w:p w14:paraId="580F3735" w14:textId="77777777" w:rsidR="002E5AA1" w:rsidRDefault="002E5AA1" w:rsidP="00374269">
      <w:pPr>
        <w:pStyle w:val="BodyText"/>
        <w:rPr>
          <w:sz w:val="22"/>
          <w:szCs w:val="22"/>
        </w:rPr>
      </w:pPr>
    </w:p>
    <w:p w14:paraId="2318F97D" w14:textId="18E226A9" w:rsidR="0014405A" w:rsidRPr="00516445" w:rsidRDefault="00E1437B" w:rsidP="0014405A">
      <w:pPr>
        <w:pStyle w:val="TableNote-H58"/>
        <w:numPr>
          <w:ilvl w:val="0"/>
          <w:numId w:val="37"/>
        </w:numPr>
        <w:rPr>
          <w:rFonts w:ascii="Arial" w:hAnsi="Arial" w:cs="Arial"/>
          <w:sz w:val="22"/>
          <w:szCs w:val="22"/>
        </w:rPr>
      </w:pPr>
      <w:r w:rsidRPr="00516445">
        <w:rPr>
          <w:rFonts w:ascii="Arial" w:hAnsi="Arial" w:cs="Arial"/>
          <w:sz w:val="22"/>
          <w:szCs w:val="22"/>
        </w:rPr>
        <w:t>C</w:t>
      </w:r>
      <w:r w:rsidR="00374269" w:rsidRPr="00516445">
        <w:rPr>
          <w:rFonts w:ascii="Arial" w:hAnsi="Arial" w:cs="Arial"/>
          <w:sz w:val="22"/>
          <w:szCs w:val="22"/>
        </w:rPr>
        <w:t>linical success at the EOT Visit in the ITT population</w:t>
      </w:r>
      <w:r w:rsidR="0014405A">
        <w:rPr>
          <w:rFonts w:ascii="Arial" w:hAnsi="Arial" w:cs="Arial"/>
          <w:sz w:val="22"/>
          <w:szCs w:val="22"/>
        </w:rPr>
        <w:t xml:space="preserve"> (Table 29 and figure 6);</w:t>
      </w:r>
    </w:p>
    <w:p w14:paraId="574572C3" w14:textId="7B2A363B" w:rsidR="0014405A" w:rsidRPr="00516445" w:rsidRDefault="00E1437B" w:rsidP="0014405A">
      <w:pPr>
        <w:pStyle w:val="TableNote-H58"/>
        <w:numPr>
          <w:ilvl w:val="0"/>
          <w:numId w:val="37"/>
        </w:numPr>
        <w:rPr>
          <w:rFonts w:ascii="Arial" w:hAnsi="Arial" w:cs="Arial"/>
          <w:sz w:val="22"/>
          <w:szCs w:val="22"/>
        </w:rPr>
      </w:pPr>
      <w:r w:rsidRPr="00516445">
        <w:rPr>
          <w:rFonts w:ascii="Arial" w:hAnsi="Arial" w:cs="Arial"/>
          <w:sz w:val="22"/>
          <w:szCs w:val="22"/>
        </w:rPr>
        <w:t xml:space="preserve">Clinical success at the EOT Visit in the </w:t>
      </w:r>
      <w:r w:rsidR="00374269" w:rsidRPr="00516445">
        <w:rPr>
          <w:rFonts w:ascii="Arial" w:hAnsi="Arial" w:cs="Arial"/>
          <w:sz w:val="22"/>
          <w:szCs w:val="22"/>
        </w:rPr>
        <w:t xml:space="preserve">CE-EOT population </w:t>
      </w:r>
      <w:r w:rsidR="00C873FB" w:rsidRPr="00516445">
        <w:rPr>
          <w:rFonts w:ascii="Arial" w:hAnsi="Arial" w:cs="Arial"/>
          <w:sz w:val="22"/>
          <w:szCs w:val="22"/>
        </w:rPr>
        <w:t>(</w:t>
      </w:r>
      <w:r w:rsidR="0014405A">
        <w:rPr>
          <w:rFonts w:ascii="Arial" w:hAnsi="Arial" w:cs="Arial"/>
          <w:sz w:val="22"/>
          <w:szCs w:val="22"/>
        </w:rPr>
        <w:t>Table 29 and Figure 6);</w:t>
      </w:r>
    </w:p>
    <w:p w14:paraId="29E8A122" w14:textId="4ABFAB1F" w:rsidR="00516445" w:rsidRPr="00516445" w:rsidRDefault="003A33C8" w:rsidP="0014405A">
      <w:pPr>
        <w:pStyle w:val="TableNote-H58"/>
        <w:numPr>
          <w:ilvl w:val="0"/>
          <w:numId w:val="37"/>
        </w:numPr>
        <w:rPr>
          <w:rFonts w:ascii="Arial" w:hAnsi="Arial" w:cs="Arial"/>
          <w:sz w:val="22"/>
          <w:szCs w:val="22"/>
          <w:lang w:val="en-US"/>
        </w:rPr>
      </w:pPr>
      <w:r w:rsidRPr="00516445">
        <w:rPr>
          <w:rFonts w:ascii="Arial" w:hAnsi="Arial" w:cs="Arial"/>
          <w:sz w:val="22"/>
          <w:szCs w:val="22"/>
          <w:lang w:val="en-US"/>
        </w:rPr>
        <w:t>C</w:t>
      </w:r>
      <w:r w:rsidR="00F92B5C" w:rsidRPr="00516445">
        <w:rPr>
          <w:rFonts w:ascii="Arial" w:hAnsi="Arial" w:cs="Arial"/>
          <w:sz w:val="22"/>
          <w:szCs w:val="22"/>
          <w:lang w:val="en-US"/>
        </w:rPr>
        <w:t xml:space="preserve">linical success at the PTE Visit (EMA-preferred outcome) in the ITT population </w:t>
      </w:r>
      <w:r w:rsidR="0014405A">
        <w:rPr>
          <w:rFonts w:ascii="Arial" w:hAnsi="Arial" w:cs="Arial"/>
          <w:sz w:val="22"/>
          <w:szCs w:val="22"/>
          <w:lang w:val="en-US"/>
        </w:rPr>
        <w:t>(Table 29 and Figure 7);</w:t>
      </w:r>
    </w:p>
    <w:p w14:paraId="5779978B" w14:textId="77777777" w:rsidR="0014405A" w:rsidRDefault="003A33C8" w:rsidP="0014405A">
      <w:pPr>
        <w:pStyle w:val="TableNote-H58"/>
        <w:numPr>
          <w:ilvl w:val="0"/>
          <w:numId w:val="37"/>
        </w:numPr>
        <w:jc w:val="left"/>
        <w:rPr>
          <w:rFonts w:ascii="Arial" w:hAnsi="Arial" w:cs="Arial"/>
          <w:sz w:val="22"/>
          <w:szCs w:val="22"/>
          <w:lang w:val="en-US"/>
        </w:rPr>
      </w:pPr>
      <w:r w:rsidRPr="00516445">
        <w:rPr>
          <w:rFonts w:ascii="Arial" w:hAnsi="Arial" w:cs="Arial"/>
          <w:sz w:val="22"/>
          <w:szCs w:val="22"/>
          <w:lang w:val="en-US"/>
        </w:rPr>
        <w:lastRenderedPageBreak/>
        <w:t>C</w:t>
      </w:r>
      <w:r w:rsidR="00F92B5C" w:rsidRPr="00516445">
        <w:rPr>
          <w:rFonts w:ascii="Arial" w:hAnsi="Arial" w:cs="Arial"/>
          <w:sz w:val="22"/>
          <w:szCs w:val="22"/>
          <w:lang w:val="en-US"/>
        </w:rPr>
        <w:t xml:space="preserve">linical success at the PTE Visit (EMA-preferred outcome) in the CE-PTE population </w:t>
      </w:r>
      <w:r w:rsidR="0014405A">
        <w:rPr>
          <w:rFonts w:ascii="Arial" w:hAnsi="Arial" w:cs="Arial"/>
          <w:sz w:val="22"/>
          <w:szCs w:val="22"/>
          <w:lang w:val="en-US"/>
        </w:rPr>
        <w:t>(Table 29 and Figure 7);</w:t>
      </w:r>
    </w:p>
    <w:p w14:paraId="04D5ECA5" w14:textId="7317BB82" w:rsidR="00D17917" w:rsidRPr="00516445" w:rsidRDefault="00D17917" w:rsidP="0014405A">
      <w:pPr>
        <w:pStyle w:val="TableNote-H58"/>
        <w:numPr>
          <w:ilvl w:val="0"/>
          <w:numId w:val="37"/>
        </w:numPr>
        <w:jc w:val="left"/>
        <w:rPr>
          <w:rFonts w:ascii="Arial" w:hAnsi="Arial" w:cs="Arial"/>
          <w:sz w:val="22"/>
          <w:szCs w:val="22"/>
          <w:lang w:val="en-US"/>
        </w:rPr>
      </w:pPr>
      <w:r w:rsidRPr="00516445">
        <w:rPr>
          <w:rFonts w:ascii="Arial" w:hAnsi="Arial" w:cs="Arial"/>
          <w:sz w:val="22"/>
          <w:szCs w:val="22"/>
          <w:lang w:val="en-US"/>
        </w:rPr>
        <w:t>Sustained clinical success at the LFU Visit (18 days - 25 days after the EOT Visit</w:t>
      </w:r>
      <w:r w:rsidR="00AA63F5">
        <w:rPr>
          <w:rFonts w:ascii="Arial" w:hAnsi="Arial" w:cs="Arial"/>
          <w:sz w:val="22"/>
          <w:szCs w:val="22"/>
          <w:lang w:val="en-US"/>
        </w:rPr>
        <w:t xml:space="preserve"> (</w:t>
      </w:r>
      <w:r w:rsidR="0014405A">
        <w:rPr>
          <w:rFonts w:ascii="Arial" w:hAnsi="Arial" w:cs="Arial"/>
          <w:sz w:val="22"/>
          <w:szCs w:val="22"/>
          <w:lang w:val="en-US"/>
        </w:rPr>
        <w:t>Table 29).</w:t>
      </w:r>
    </w:p>
    <w:p w14:paraId="4FF29CA5" w14:textId="7AC01625" w:rsidR="00374269" w:rsidRPr="00BF14FD" w:rsidRDefault="00374269" w:rsidP="00374269">
      <w:pPr>
        <w:pStyle w:val="Caption"/>
        <w:rPr>
          <w:rFonts w:ascii="Arial" w:eastAsia="MS PGothic" w:hAnsi="Arial" w:cs="Arial"/>
          <w:sz w:val="22"/>
          <w:szCs w:val="22"/>
          <w:lang w:val="en-US"/>
        </w:rPr>
      </w:pPr>
      <w:bookmarkStart w:id="128" w:name="_Ref382405844"/>
      <w:bookmarkStart w:id="129" w:name="_Toc396058454"/>
      <w:r w:rsidRPr="00BF14FD">
        <w:rPr>
          <w:rFonts w:ascii="Arial" w:hAnsi="Arial" w:cs="Arial"/>
          <w:sz w:val="22"/>
          <w:szCs w:val="22"/>
          <w:lang w:val="en-US"/>
        </w:rPr>
        <w:t xml:space="preserve">Table </w:t>
      </w:r>
      <w:r w:rsidRPr="00BF14FD">
        <w:rPr>
          <w:rFonts w:ascii="Arial" w:hAnsi="Arial" w:cs="Arial"/>
          <w:sz w:val="22"/>
          <w:szCs w:val="22"/>
          <w:lang w:val="en-US"/>
        </w:rPr>
        <w:fldChar w:fldCharType="begin"/>
      </w:r>
      <w:r w:rsidRPr="00BF14FD">
        <w:rPr>
          <w:rFonts w:ascii="Arial" w:hAnsi="Arial" w:cs="Arial"/>
          <w:sz w:val="22"/>
          <w:szCs w:val="22"/>
          <w:lang w:val="en-US"/>
        </w:rPr>
        <w:instrText xml:space="preserve"> SEQ Table \* ARABIC </w:instrText>
      </w:r>
      <w:r w:rsidRPr="00BF14FD">
        <w:rPr>
          <w:rFonts w:ascii="Arial" w:hAnsi="Arial" w:cs="Arial"/>
          <w:sz w:val="22"/>
          <w:szCs w:val="22"/>
          <w:lang w:val="en-US"/>
        </w:rPr>
        <w:fldChar w:fldCharType="separate"/>
      </w:r>
      <w:r w:rsidR="00151A1C">
        <w:rPr>
          <w:rFonts w:ascii="Arial" w:hAnsi="Arial" w:cs="Arial"/>
          <w:noProof/>
          <w:sz w:val="22"/>
          <w:szCs w:val="22"/>
          <w:lang w:val="en-US"/>
        </w:rPr>
        <w:t>29</w:t>
      </w:r>
      <w:r w:rsidRPr="00BF14FD">
        <w:rPr>
          <w:rFonts w:ascii="Arial" w:hAnsi="Arial" w:cs="Arial"/>
          <w:sz w:val="22"/>
          <w:szCs w:val="22"/>
          <w:lang w:val="en-US"/>
        </w:rPr>
        <w:fldChar w:fldCharType="end"/>
      </w:r>
      <w:bookmarkEnd w:id="128"/>
      <w:r w:rsidRPr="00BF14FD">
        <w:rPr>
          <w:rFonts w:ascii="Arial" w:hAnsi="Arial" w:cs="Arial"/>
          <w:sz w:val="22"/>
          <w:szCs w:val="22"/>
          <w:lang w:val="en-US"/>
        </w:rPr>
        <w:t xml:space="preserve">: </w:t>
      </w:r>
      <w:r w:rsidR="0081509F" w:rsidRPr="00BF14FD">
        <w:rPr>
          <w:rFonts w:ascii="Arial" w:hAnsi="Arial" w:cs="Arial"/>
          <w:sz w:val="22"/>
          <w:szCs w:val="22"/>
          <w:lang w:val="en-US"/>
        </w:rPr>
        <w:t>Secondary outcomes -</w:t>
      </w:r>
      <w:r w:rsidRPr="00BF14FD">
        <w:rPr>
          <w:rFonts w:ascii="Arial" w:hAnsi="Arial" w:cs="Arial"/>
          <w:sz w:val="22"/>
          <w:szCs w:val="22"/>
          <w:lang w:val="en-US"/>
        </w:rPr>
        <w:t xml:space="preserve"> pooled analysis of Phase 3 trial data</w:t>
      </w:r>
      <w:bookmarkEnd w:id="129"/>
    </w:p>
    <w:tbl>
      <w:tblPr>
        <w:tblStyle w:val="Table-HERONplain"/>
        <w:tblW w:w="0" w:type="auto"/>
        <w:tblLayout w:type="fixed"/>
        <w:tblLook w:val="04A0" w:firstRow="1" w:lastRow="0" w:firstColumn="1" w:lastColumn="0" w:noHBand="0" w:noVBand="1"/>
      </w:tblPr>
      <w:tblGrid>
        <w:gridCol w:w="2263"/>
        <w:gridCol w:w="1872"/>
        <w:gridCol w:w="1260"/>
        <w:gridCol w:w="1283"/>
        <w:gridCol w:w="1080"/>
        <w:gridCol w:w="1080"/>
      </w:tblGrid>
      <w:tr w:rsidR="00374269" w:rsidRPr="001B7900" w14:paraId="1FACC684" w14:textId="77777777" w:rsidTr="00A01AB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29704E78" w14:textId="77777777" w:rsidR="00374269" w:rsidRPr="001B7900" w:rsidRDefault="00374269" w:rsidP="00E34779">
            <w:pPr>
              <w:pStyle w:val="TableBodyText-H54"/>
              <w:rPr>
                <w:rFonts w:ascii="Arial" w:hAnsi="Arial" w:cs="Arial"/>
                <w:sz w:val="20"/>
                <w:lang w:val="en-US"/>
              </w:rPr>
            </w:pPr>
            <w:r w:rsidRPr="001B7900">
              <w:rPr>
                <w:rFonts w:ascii="Arial" w:hAnsi="Arial" w:cs="Arial"/>
                <w:sz w:val="20"/>
                <w:lang w:val="en-US"/>
              </w:rPr>
              <w:t xml:space="preserve">Outcome measure </w:t>
            </w:r>
          </w:p>
        </w:tc>
        <w:tc>
          <w:tcPr>
            <w:tcW w:w="1872" w:type="dxa"/>
            <w:shd w:val="clear" w:color="auto" w:fill="auto"/>
            <w:hideMark/>
          </w:tcPr>
          <w:p w14:paraId="547F13FB" w14:textId="77777777" w:rsidR="00374269" w:rsidRPr="001B7900" w:rsidRDefault="00374269" w:rsidP="00E34779">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Response</w:t>
            </w:r>
          </w:p>
        </w:tc>
        <w:tc>
          <w:tcPr>
            <w:tcW w:w="1260" w:type="dxa"/>
            <w:shd w:val="clear" w:color="auto" w:fill="auto"/>
            <w:hideMark/>
          </w:tcPr>
          <w:p w14:paraId="2A2E5B7A"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Tedizolid phosphate</w:t>
            </w:r>
          </w:p>
          <w:p w14:paraId="4F78223F"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n (%)</w:t>
            </w:r>
          </w:p>
        </w:tc>
        <w:tc>
          <w:tcPr>
            <w:tcW w:w="1283" w:type="dxa"/>
            <w:shd w:val="clear" w:color="auto" w:fill="auto"/>
            <w:hideMark/>
          </w:tcPr>
          <w:p w14:paraId="4EC6BD4D"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Linezolid</w:t>
            </w:r>
          </w:p>
          <w:p w14:paraId="39591AD3"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n (%)</w:t>
            </w:r>
          </w:p>
        </w:tc>
        <w:tc>
          <w:tcPr>
            <w:tcW w:w="1080" w:type="dxa"/>
            <w:shd w:val="clear" w:color="auto" w:fill="auto"/>
            <w:hideMark/>
          </w:tcPr>
          <w:p w14:paraId="2A66E10D"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Difference</w:t>
            </w:r>
          </w:p>
          <w:p w14:paraId="47D485BD"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c>
          <w:tcPr>
            <w:tcW w:w="1080" w:type="dxa"/>
            <w:shd w:val="clear" w:color="auto" w:fill="auto"/>
            <w:hideMark/>
          </w:tcPr>
          <w:p w14:paraId="3F1B9195" w14:textId="77777777" w:rsidR="00374269" w:rsidRPr="001B7900" w:rsidRDefault="00374269" w:rsidP="00E347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95% CI for difference</w:t>
            </w:r>
          </w:p>
        </w:tc>
      </w:tr>
      <w:tr w:rsidR="000A1F8A" w:rsidRPr="001B7900" w14:paraId="2D31B4F7"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15A5BB17" w14:textId="57F2EA0F" w:rsidR="000A1F8A" w:rsidRPr="001B7900" w:rsidRDefault="000A1F8A" w:rsidP="00E34779">
            <w:pPr>
              <w:pStyle w:val="TableBodyText-H54"/>
              <w:rPr>
                <w:rFonts w:ascii="Arial" w:hAnsi="Arial" w:cs="Arial"/>
                <w:sz w:val="20"/>
                <w:lang w:val="en-US"/>
              </w:rPr>
            </w:pPr>
            <w:r w:rsidRPr="001B7900">
              <w:rPr>
                <w:rFonts w:ascii="Arial" w:hAnsi="Arial" w:cs="Arial"/>
                <w:sz w:val="20"/>
                <w:lang w:val="en-US"/>
              </w:rPr>
              <w:t>Clinical success at the EOT Visit (ITT population)</w:t>
            </w:r>
          </w:p>
        </w:tc>
        <w:tc>
          <w:tcPr>
            <w:tcW w:w="1872" w:type="dxa"/>
            <w:hideMark/>
          </w:tcPr>
          <w:p w14:paraId="12072F82" w14:textId="77777777" w:rsidR="000A1F8A" w:rsidRPr="001B7900" w:rsidRDefault="000A1F8A"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N</w:t>
            </w:r>
          </w:p>
        </w:tc>
        <w:tc>
          <w:tcPr>
            <w:tcW w:w="1260" w:type="dxa"/>
          </w:tcPr>
          <w:p w14:paraId="38B65303" w14:textId="5E2D754C"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664</w:t>
            </w:r>
          </w:p>
        </w:tc>
        <w:tc>
          <w:tcPr>
            <w:tcW w:w="1283" w:type="dxa"/>
          </w:tcPr>
          <w:p w14:paraId="459B6A30" w14:textId="10F9C6FE"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669</w:t>
            </w:r>
          </w:p>
        </w:tc>
        <w:tc>
          <w:tcPr>
            <w:tcW w:w="1080" w:type="dxa"/>
          </w:tcPr>
          <w:p w14:paraId="764593F1" w14:textId="3AFA037D"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c>
          <w:tcPr>
            <w:tcW w:w="1080" w:type="dxa"/>
          </w:tcPr>
          <w:p w14:paraId="664982F4" w14:textId="24649A45"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r>
      <w:tr w:rsidR="000A1F8A" w:rsidRPr="001B7900" w14:paraId="52BD3B94"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66F837E7" w14:textId="77777777" w:rsidR="000A1F8A" w:rsidRPr="001B7900" w:rsidRDefault="000A1F8A" w:rsidP="00E34779">
            <w:pPr>
              <w:rPr>
                <w:rFonts w:cs="Arial"/>
                <w:sz w:val="20"/>
                <w:lang w:val="en-US"/>
              </w:rPr>
            </w:pPr>
          </w:p>
        </w:tc>
        <w:tc>
          <w:tcPr>
            <w:tcW w:w="1872" w:type="dxa"/>
            <w:hideMark/>
          </w:tcPr>
          <w:p w14:paraId="5B858065" w14:textId="77777777" w:rsidR="000A1F8A" w:rsidRPr="001B7900" w:rsidRDefault="000A1F8A"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Clinical success</w:t>
            </w:r>
          </w:p>
        </w:tc>
        <w:tc>
          <w:tcPr>
            <w:tcW w:w="1260" w:type="dxa"/>
          </w:tcPr>
          <w:p w14:paraId="2B9B769D" w14:textId="5953C4B4" w:rsidR="000A1F8A" w:rsidRPr="001B7900" w:rsidRDefault="000A1F8A"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578 (87.0)</w:t>
            </w:r>
          </w:p>
        </w:tc>
        <w:tc>
          <w:tcPr>
            <w:tcW w:w="1283" w:type="dxa"/>
          </w:tcPr>
          <w:p w14:paraId="0622294C" w14:textId="7DAE23B3" w:rsidR="000A1F8A" w:rsidRPr="001B7900" w:rsidRDefault="000A1F8A"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588 (87.9)</w:t>
            </w:r>
          </w:p>
        </w:tc>
        <w:tc>
          <w:tcPr>
            <w:tcW w:w="1080" w:type="dxa"/>
            <w:vMerge w:val="restart"/>
          </w:tcPr>
          <w:p w14:paraId="67970E4A" w14:textId="427F03F6" w:rsidR="000A1F8A" w:rsidRPr="001B7900" w:rsidRDefault="000A1F8A"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-0.8</w:t>
            </w:r>
          </w:p>
        </w:tc>
        <w:tc>
          <w:tcPr>
            <w:tcW w:w="1080" w:type="dxa"/>
            <w:vMerge w:val="restart"/>
          </w:tcPr>
          <w:p w14:paraId="290C2A3D" w14:textId="1DC7C55E" w:rsidR="000A1F8A" w:rsidRPr="001B7900" w:rsidRDefault="000A1F8A"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(-4.4, 2.7)</w:t>
            </w:r>
          </w:p>
        </w:tc>
      </w:tr>
      <w:tr w:rsidR="000A1F8A" w:rsidRPr="001B7900" w14:paraId="3D9992F1"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40A3794D" w14:textId="77777777" w:rsidR="000A1F8A" w:rsidRPr="001B7900" w:rsidRDefault="000A1F8A" w:rsidP="00E34779">
            <w:pPr>
              <w:rPr>
                <w:rFonts w:cs="Arial"/>
                <w:sz w:val="20"/>
                <w:lang w:val="en-US"/>
              </w:rPr>
            </w:pPr>
          </w:p>
        </w:tc>
        <w:tc>
          <w:tcPr>
            <w:tcW w:w="1872" w:type="dxa"/>
            <w:hideMark/>
          </w:tcPr>
          <w:p w14:paraId="5A716553" w14:textId="77777777" w:rsidR="000A1F8A" w:rsidRPr="001B7900" w:rsidRDefault="000A1F8A"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Clinical failure or indeterminate</w:t>
            </w:r>
          </w:p>
        </w:tc>
        <w:tc>
          <w:tcPr>
            <w:tcW w:w="1260" w:type="dxa"/>
          </w:tcPr>
          <w:p w14:paraId="4B48FFA3" w14:textId="1C9C82F7"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86 (13.0)</w:t>
            </w:r>
          </w:p>
        </w:tc>
        <w:tc>
          <w:tcPr>
            <w:tcW w:w="1283" w:type="dxa"/>
          </w:tcPr>
          <w:p w14:paraId="4A83EBED" w14:textId="3B58F7CD" w:rsidR="000A1F8A" w:rsidRPr="001B7900" w:rsidRDefault="000A1F8A"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81 (12.1)</w:t>
            </w:r>
          </w:p>
        </w:tc>
        <w:tc>
          <w:tcPr>
            <w:tcW w:w="1080" w:type="dxa"/>
            <w:vMerge/>
          </w:tcPr>
          <w:p w14:paraId="41FEC986" w14:textId="77777777" w:rsidR="000A1F8A" w:rsidRPr="001B7900" w:rsidRDefault="000A1F8A"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80" w:type="dxa"/>
            <w:vMerge/>
          </w:tcPr>
          <w:p w14:paraId="6685FF21" w14:textId="77777777" w:rsidR="000A1F8A" w:rsidRPr="001B7900" w:rsidRDefault="000A1F8A"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505E38" w:rsidRPr="001B7900" w14:paraId="0696D53B"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672D0779" w14:textId="0A5121EA" w:rsidR="00505E38" w:rsidRPr="001B7900" w:rsidRDefault="00713476" w:rsidP="00E34779">
            <w:pPr>
              <w:pStyle w:val="TableBodyText-H54"/>
              <w:rPr>
                <w:rFonts w:ascii="Arial" w:hAnsi="Arial" w:cs="Arial"/>
                <w:sz w:val="20"/>
                <w:lang w:val="en-US"/>
              </w:rPr>
            </w:pPr>
            <w:r w:rsidRPr="001B7900">
              <w:rPr>
                <w:rFonts w:ascii="Arial" w:hAnsi="Arial" w:cs="Arial"/>
                <w:sz w:val="20"/>
                <w:lang w:val="en-US"/>
              </w:rPr>
              <w:t xml:space="preserve">Clinical success at the EOT Visit </w:t>
            </w:r>
            <w:r w:rsidR="00505E38" w:rsidRPr="001B7900">
              <w:rPr>
                <w:rFonts w:ascii="Arial" w:hAnsi="Arial" w:cs="Arial"/>
                <w:sz w:val="20"/>
                <w:lang w:val="en-US"/>
              </w:rPr>
              <w:t>(CE-EOT population)</w:t>
            </w:r>
          </w:p>
        </w:tc>
        <w:tc>
          <w:tcPr>
            <w:tcW w:w="1872" w:type="dxa"/>
          </w:tcPr>
          <w:p w14:paraId="458495C8" w14:textId="2D1550E0" w:rsidR="00505E38" w:rsidRPr="001B7900" w:rsidRDefault="00505E38"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N</w:t>
            </w:r>
          </w:p>
        </w:tc>
        <w:tc>
          <w:tcPr>
            <w:tcW w:w="1260" w:type="dxa"/>
          </w:tcPr>
          <w:p w14:paraId="0A72F7EB" w14:textId="25CC67A9"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597</w:t>
            </w:r>
          </w:p>
        </w:tc>
        <w:tc>
          <w:tcPr>
            <w:tcW w:w="1283" w:type="dxa"/>
          </w:tcPr>
          <w:p w14:paraId="779DB92D" w14:textId="2DB18068"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598</w:t>
            </w:r>
          </w:p>
        </w:tc>
        <w:tc>
          <w:tcPr>
            <w:tcW w:w="1080" w:type="dxa"/>
          </w:tcPr>
          <w:p w14:paraId="78D5E622" w14:textId="3C4A35F4"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c>
          <w:tcPr>
            <w:tcW w:w="1080" w:type="dxa"/>
          </w:tcPr>
          <w:p w14:paraId="40EAB10B" w14:textId="060495E7"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r>
      <w:tr w:rsidR="00505E38" w:rsidRPr="001B7900" w14:paraId="7560AC6C"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637EF0ED" w14:textId="77777777" w:rsidR="00505E38" w:rsidRPr="001B7900" w:rsidRDefault="00505E38" w:rsidP="00E34779">
            <w:pPr>
              <w:rPr>
                <w:rFonts w:cs="Arial"/>
                <w:sz w:val="20"/>
                <w:lang w:val="en-US"/>
              </w:rPr>
            </w:pPr>
          </w:p>
        </w:tc>
        <w:tc>
          <w:tcPr>
            <w:tcW w:w="1872" w:type="dxa"/>
          </w:tcPr>
          <w:p w14:paraId="17EDB2A8" w14:textId="0D97F099" w:rsidR="00505E38" w:rsidRPr="001B7900" w:rsidRDefault="00505E38"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Clinical success</w:t>
            </w:r>
          </w:p>
        </w:tc>
        <w:tc>
          <w:tcPr>
            <w:tcW w:w="1260" w:type="dxa"/>
          </w:tcPr>
          <w:p w14:paraId="14EB827E" w14:textId="18F5D6C1" w:rsidR="00505E38" w:rsidRPr="001B7900" w:rsidRDefault="00505E3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547 (91.6)</w:t>
            </w:r>
          </w:p>
        </w:tc>
        <w:tc>
          <w:tcPr>
            <w:tcW w:w="1283" w:type="dxa"/>
          </w:tcPr>
          <w:p w14:paraId="29F9DCBD" w14:textId="2A3C744B" w:rsidR="00505E38" w:rsidRPr="001B7900" w:rsidRDefault="00505E3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562 (94.0)</w:t>
            </w:r>
          </w:p>
        </w:tc>
        <w:tc>
          <w:tcPr>
            <w:tcW w:w="1080" w:type="dxa"/>
            <w:vMerge w:val="restart"/>
          </w:tcPr>
          <w:p w14:paraId="719604A4" w14:textId="78F78499" w:rsidR="00505E38" w:rsidRPr="001B7900" w:rsidRDefault="00505E3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-2.4</w:t>
            </w:r>
          </w:p>
        </w:tc>
        <w:tc>
          <w:tcPr>
            <w:tcW w:w="1080" w:type="dxa"/>
            <w:vMerge w:val="restart"/>
          </w:tcPr>
          <w:p w14:paraId="233CFA72" w14:textId="4AA6DEF0" w:rsidR="00505E38" w:rsidRPr="001B7900" w:rsidRDefault="00505E3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(-5.4, 0.6)</w:t>
            </w:r>
          </w:p>
        </w:tc>
      </w:tr>
      <w:tr w:rsidR="00505E38" w:rsidRPr="001B7900" w14:paraId="4B43B801"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8C3903E" w14:textId="77777777" w:rsidR="00505E38" w:rsidRPr="001B7900" w:rsidRDefault="00505E38" w:rsidP="00E34779">
            <w:pPr>
              <w:rPr>
                <w:rFonts w:cs="Arial"/>
                <w:sz w:val="20"/>
                <w:lang w:val="en-US"/>
              </w:rPr>
            </w:pPr>
          </w:p>
        </w:tc>
        <w:tc>
          <w:tcPr>
            <w:tcW w:w="1872" w:type="dxa"/>
          </w:tcPr>
          <w:p w14:paraId="2181484F" w14:textId="6C463457" w:rsidR="00505E38" w:rsidRPr="001B7900" w:rsidRDefault="00505E38"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Clinical failure or indeterminate</w:t>
            </w:r>
          </w:p>
        </w:tc>
        <w:tc>
          <w:tcPr>
            <w:tcW w:w="1260" w:type="dxa"/>
          </w:tcPr>
          <w:p w14:paraId="77BFB17F" w14:textId="5C52D84D"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50 (8.4)</w:t>
            </w:r>
          </w:p>
        </w:tc>
        <w:tc>
          <w:tcPr>
            <w:tcW w:w="1283" w:type="dxa"/>
          </w:tcPr>
          <w:p w14:paraId="10095B30" w14:textId="7140F4FC" w:rsidR="00505E38" w:rsidRPr="001B7900" w:rsidRDefault="00505E3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36 (6.0)</w:t>
            </w:r>
          </w:p>
        </w:tc>
        <w:tc>
          <w:tcPr>
            <w:tcW w:w="1080" w:type="dxa"/>
            <w:vMerge/>
            <w:hideMark/>
          </w:tcPr>
          <w:p w14:paraId="51FBF244" w14:textId="77777777" w:rsidR="00505E38" w:rsidRPr="001B7900" w:rsidRDefault="00505E38"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80" w:type="dxa"/>
            <w:vMerge/>
            <w:hideMark/>
          </w:tcPr>
          <w:p w14:paraId="4989EC86" w14:textId="77777777" w:rsidR="00505E38" w:rsidRPr="001B7900" w:rsidRDefault="00505E38"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9F1921" w:rsidRPr="001B7900" w14:paraId="564E805A"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hideMark/>
          </w:tcPr>
          <w:p w14:paraId="44FEDCC5" w14:textId="547E307C" w:rsidR="009F1921" w:rsidRPr="001B7900" w:rsidRDefault="009F1921" w:rsidP="00E34779">
            <w:pPr>
              <w:pStyle w:val="TableBodyText-H54"/>
              <w:rPr>
                <w:rFonts w:ascii="Arial" w:hAnsi="Arial" w:cs="Arial"/>
                <w:sz w:val="20"/>
                <w:lang w:val="en-US"/>
              </w:rPr>
            </w:pPr>
            <w:r w:rsidRPr="001B7900">
              <w:rPr>
                <w:rFonts w:ascii="Arial" w:hAnsi="Arial" w:cs="Arial"/>
                <w:sz w:val="20"/>
                <w:lang w:val="en-US"/>
              </w:rPr>
              <w:t>Investigator's assessment of clinical response at the PTE Visit (ITT population)</w:t>
            </w:r>
          </w:p>
        </w:tc>
        <w:tc>
          <w:tcPr>
            <w:tcW w:w="1872" w:type="dxa"/>
          </w:tcPr>
          <w:p w14:paraId="00685693" w14:textId="27D92C15" w:rsidR="009F1921" w:rsidRPr="001B7900" w:rsidRDefault="009F1921"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N</w:t>
            </w:r>
          </w:p>
        </w:tc>
        <w:tc>
          <w:tcPr>
            <w:tcW w:w="1260" w:type="dxa"/>
          </w:tcPr>
          <w:p w14:paraId="3DCDF32F" w14:textId="517CF89F"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664</w:t>
            </w:r>
          </w:p>
        </w:tc>
        <w:tc>
          <w:tcPr>
            <w:tcW w:w="1283" w:type="dxa"/>
          </w:tcPr>
          <w:p w14:paraId="20F72B3E" w14:textId="425AC12E"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669</w:t>
            </w:r>
          </w:p>
        </w:tc>
        <w:tc>
          <w:tcPr>
            <w:tcW w:w="1080" w:type="dxa"/>
          </w:tcPr>
          <w:p w14:paraId="4542B13B" w14:textId="0A319516"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c>
          <w:tcPr>
            <w:tcW w:w="1080" w:type="dxa"/>
          </w:tcPr>
          <w:p w14:paraId="2A95F7C1" w14:textId="2B312EEE"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w:t>
            </w:r>
          </w:p>
        </w:tc>
      </w:tr>
      <w:tr w:rsidR="009F1921" w:rsidRPr="001B7900" w14:paraId="4BF7EFCC"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1C9EE359" w14:textId="77777777" w:rsidR="009F1921" w:rsidRPr="001B7900" w:rsidRDefault="009F1921" w:rsidP="00E34779">
            <w:pPr>
              <w:rPr>
                <w:rFonts w:cs="Arial"/>
                <w:sz w:val="20"/>
                <w:lang w:val="en-US"/>
              </w:rPr>
            </w:pPr>
          </w:p>
        </w:tc>
        <w:tc>
          <w:tcPr>
            <w:tcW w:w="1872" w:type="dxa"/>
          </w:tcPr>
          <w:p w14:paraId="1684A154" w14:textId="2EB1DE40" w:rsidR="009F1921" w:rsidRPr="001B7900" w:rsidRDefault="009F1921"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Clinical success</w:t>
            </w:r>
          </w:p>
        </w:tc>
        <w:tc>
          <w:tcPr>
            <w:tcW w:w="1260" w:type="dxa"/>
          </w:tcPr>
          <w:p w14:paraId="792DDEBE" w14:textId="78A7FD3C" w:rsidR="009F1921" w:rsidRPr="001B7900" w:rsidRDefault="009F1921"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576 (86.7)</w:t>
            </w:r>
          </w:p>
        </w:tc>
        <w:tc>
          <w:tcPr>
            <w:tcW w:w="1283" w:type="dxa"/>
          </w:tcPr>
          <w:p w14:paraId="6FC706F2" w14:textId="5FAAEBA5" w:rsidR="009F1921" w:rsidRPr="001B7900" w:rsidRDefault="009F1921"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581 (86.8)</w:t>
            </w:r>
          </w:p>
        </w:tc>
        <w:tc>
          <w:tcPr>
            <w:tcW w:w="1080" w:type="dxa"/>
            <w:vMerge w:val="restart"/>
          </w:tcPr>
          <w:p w14:paraId="41626FB8" w14:textId="18E2344F" w:rsidR="009F1921" w:rsidRPr="001B7900" w:rsidRDefault="009F1921"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-0.1</w:t>
            </w:r>
          </w:p>
        </w:tc>
        <w:tc>
          <w:tcPr>
            <w:tcW w:w="1080" w:type="dxa"/>
            <w:vMerge w:val="restart"/>
          </w:tcPr>
          <w:p w14:paraId="7864BEC8" w14:textId="38FD77FE" w:rsidR="009F1921" w:rsidRPr="001B7900" w:rsidRDefault="009F1921"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(-3.8, 3.6)</w:t>
            </w:r>
          </w:p>
        </w:tc>
      </w:tr>
      <w:tr w:rsidR="009F1921" w:rsidRPr="001B7900" w14:paraId="424CE278"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hideMark/>
          </w:tcPr>
          <w:p w14:paraId="01B749BE" w14:textId="77777777" w:rsidR="009F1921" w:rsidRPr="001B7900" w:rsidRDefault="009F1921" w:rsidP="00E34779">
            <w:pPr>
              <w:rPr>
                <w:rFonts w:cs="Arial"/>
                <w:sz w:val="20"/>
                <w:lang w:val="en-US"/>
              </w:rPr>
            </w:pPr>
          </w:p>
        </w:tc>
        <w:tc>
          <w:tcPr>
            <w:tcW w:w="1872" w:type="dxa"/>
          </w:tcPr>
          <w:p w14:paraId="6F94AF53" w14:textId="3B1EF4BB" w:rsidR="009F1921" w:rsidRPr="001B7900" w:rsidRDefault="009F1921"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Clinical failure or indeterminate</w:t>
            </w:r>
          </w:p>
        </w:tc>
        <w:tc>
          <w:tcPr>
            <w:tcW w:w="1260" w:type="dxa"/>
          </w:tcPr>
          <w:p w14:paraId="3616F0ED" w14:textId="2D9F70F8"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88 (13.3)</w:t>
            </w:r>
          </w:p>
        </w:tc>
        <w:tc>
          <w:tcPr>
            <w:tcW w:w="1283" w:type="dxa"/>
          </w:tcPr>
          <w:p w14:paraId="2925828D" w14:textId="58BD9510" w:rsidR="009F1921" w:rsidRPr="001B7900" w:rsidRDefault="009F1921"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88 (13.2)</w:t>
            </w:r>
          </w:p>
        </w:tc>
        <w:tc>
          <w:tcPr>
            <w:tcW w:w="1080" w:type="dxa"/>
            <w:vMerge/>
          </w:tcPr>
          <w:p w14:paraId="1F0E1585" w14:textId="77777777" w:rsidR="009F1921" w:rsidRPr="001B7900" w:rsidRDefault="009F1921"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80" w:type="dxa"/>
            <w:vMerge/>
          </w:tcPr>
          <w:p w14:paraId="7A5C4EED" w14:textId="77777777" w:rsidR="009F1921" w:rsidRPr="001B7900" w:rsidRDefault="009F1921"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6247F8" w:rsidRPr="001B7900" w14:paraId="229E6EB8"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tcPr>
          <w:p w14:paraId="179B82DB" w14:textId="0816D500" w:rsidR="006247F8" w:rsidRPr="001B7900" w:rsidRDefault="006247F8" w:rsidP="00E34779">
            <w:pPr>
              <w:rPr>
                <w:rFonts w:cs="Arial"/>
                <w:sz w:val="20"/>
                <w:lang w:val="en-US"/>
              </w:rPr>
            </w:pPr>
            <w:r w:rsidRPr="001B7900">
              <w:rPr>
                <w:rFonts w:cs="Arial"/>
                <w:sz w:val="20"/>
                <w:lang w:val="en-US"/>
              </w:rPr>
              <w:t>Investigator's assessment of clinical response at the PTE Visit (CE-PTE population)</w:t>
            </w:r>
          </w:p>
        </w:tc>
        <w:tc>
          <w:tcPr>
            <w:tcW w:w="1872" w:type="dxa"/>
          </w:tcPr>
          <w:p w14:paraId="43F7CDF2" w14:textId="0769A51C" w:rsidR="006247F8" w:rsidRPr="001B7900" w:rsidRDefault="006247F8"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N</w:t>
            </w:r>
          </w:p>
        </w:tc>
        <w:tc>
          <w:tcPr>
            <w:tcW w:w="1260" w:type="dxa"/>
          </w:tcPr>
          <w:p w14:paraId="14A49435" w14:textId="7AEFE3AF" w:rsidR="006247F8" w:rsidRPr="001B7900" w:rsidRDefault="006247F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569</w:t>
            </w:r>
          </w:p>
        </w:tc>
        <w:tc>
          <w:tcPr>
            <w:tcW w:w="1283" w:type="dxa"/>
          </w:tcPr>
          <w:p w14:paraId="08D68030" w14:textId="5FFE9979" w:rsidR="006247F8" w:rsidRPr="001B7900" w:rsidRDefault="006247F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560</w:t>
            </w:r>
          </w:p>
        </w:tc>
        <w:tc>
          <w:tcPr>
            <w:tcW w:w="1080" w:type="dxa"/>
          </w:tcPr>
          <w:p w14:paraId="28005721" w14:textId="2927113C" w:rsidR="006247F8" w:rsidRPr="001B7900" w:rsidRDefault="006247F8" w:rsidP="006247F8">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r w:rsidRPr="001B7900">
              <w:rPr>
                <w:rFonts w:cs="Arial"/>
                <w:sz w:val="20"/>
                <w:lang w:val="en-US"/>
              </w:rPr>
              <w:t>-</w:t>
            </w:r>
          </w:p>
        </w:tc>
        <w:tc>
          <w:tcPr>
            <w:tcW w:w="1080" w:type="dxa"/>
          </w:tcPr>
          <w:p w14:paraId="301B4E7A" w14:textId="5ACCF9C5" w:rsidR="006247F8" w:rsidRPr="001B7900" w:rsidRDefault="006247F8" w:rsidP="006247F8">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r w:rsidRPr="001B7900">
              <w:rPr>
                <w:rFonts w:cs="Arial"/>
                <w:sz w:val="20"/>
                <w:lang w:val="en-US"/>
              </w:rPr>
              <w:t>-</w:t>
            </w:r>
          </w:p>
        </w:tc>
      </w:tr>
      <w:tr w:rsidR="006247F8" w:rsidRPr="001B7900" w14:paraId="148A3459"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083ADCC3" w14:textId="77777777" w:rsidR="006247F8" w:rsidRPr="001B7900" w:rsidRDefault="006247F8" w:rsidP="00E34779">
            <w:pPr>
              <w:rPr>
                <w:rFonts w:cs="Arial"/>
                <w:sz w:val="20"/>
                <w:lang w:val="en-US"/>
              </w:rPr>
            </w:pPr>
          </w:p>
        </w:tc>
        <w:tc>
          <w:tcPr>
            <w:tcW w:w="1872" w:type="dxa"/>
          </w:tcPr>
          <w:p w14:paraId="5533CE6D" w14:textId="45529C2F" w:rsidR="006247F8" w:rsidRPr="001B7900" w:rsidRDefault="006247F8"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Clinical success</w:t>
            </w:r>
          </w:p>
        </w:tc>
        <w:tc>
          <w:tcPr>
            <w:tcW w:w="1260" w:type="dxa"/>
          </w:tcPr>
          <w:p w14:paraId="3F82FE2B" w14:textId="0D3EA021" w:rsidR="006247F8" w:rsidRPr="001B7900" w:rsidRDefault="006247F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532 (93.5)</w:t>
            </w:r>
          </w:p>
        </w:tc>
        <w:tc>
          <w:tcPr>
            <w:tcW w:w="1283" w:type="dxa"/>
          </w:tcPr>
          <w:p w14:paraId="1F5D97E8" w14:textId="3691B86D" w:rsidR="006247F8" w:rsidRPr="001B7900" w:rsidRDefault="006247F8"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B7900">
              <w:rPr>
                <w:rFonts w:ascii="Arial" w:hAnsi="Arial" w:cs="Arial"/>
                <w:sz w:val="20"/>
                <w:lang w:val="en-US"/>
              </w:rPr>
              <w:t>536 (95.7)</w:t>
            </w:r>
          </w:p>
        </w:tc>
        <w:tc>
          <w:tcPr>
            <w:tcW w:w="1080" w:type="dxa"/>
            <w:vMerge w:val="restart"/>
          </w:tcPr>
          <w:p w14:paraId="6499626A" w14:textId="0496E5A5" w:rsidR="006247F8" w:rsidRPr="001B7900" w:rsidRDefault="006247F8" w:rsidP="006247F8">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1B7900">
              <w:rPr>
                <w:rFonts w:cs="Arial"/>
                <w:sz w:val="20"/>
                <w:lang w:val="en-US"/>
              </w:rPr>
              <w:t>-2.2</w:t>
            </w:r>
          </w:p>
        </w:tc>
        <w:tc>
          <w:tcPr>
            <w:tcW w:w="1080" w:type="dxa"/>
            <w:vMerge w:val="restart"/>
          </w:tcPr>
          <w:p w14:paraId="6B61731E" w14:textId="2BF48DB6" w:rsidR="006247F8" w:rsidRPr="001B7900" w:rsidRDefault="006247F8" w:rsidP="006247F8">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1B7900">
              <w:rPr>
                <w:rFonts w:cs="Arial"/>
                <w:sz w:val="20"/>
                <w:lang w:val="en-US"/>
              </w:rPr>
              <w:t>(-5.0, 0.5)</w:t>
            </w:r>
          </w:p>
        </w:tc>
      </w:tr>
      <w:tr w:rsidR="006247F8" w:rsidRPr="001B7900" w14:paraId="3B6F7674"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4BCD9375" w14:textId="77777777" w:rsidR="006247F8" w:rsidRPr="001B7900" w:rsidRDefault="006247F8" w:rsidP="00E34779">
            <w:pPr>
              <w:rPr>
                <w:rFonts w:cs="Arial"/>
                <w:sz w:val="20"/>
                <w:lang w:val="en-US"/>
              </w:rPr>
            </w:pPr>
          </w:p>
        </w:tc>
        <w:tc>
          <w:tcPr>
            <w:tcW w:w="1872" w:type="dxa"/>
          </w:tcPr>
          <w:p w14:paraId="289ED3AF" w14:textId="0F5D0E69" w:rsidR="006247F8" w:rsidRPr="001B7900" w:rsidRDefault="006247F8"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Clinical failure</w:t>
            </w:r>
          </w:p>
        </w:tc>
        <w:tc>
          <w:tcPr>
            <w:tcW w:w="1260" w:type="dxa"/>
          </w:tcPr>
          <w:p w14:paraId="702BB4CA" w14:textId="7FFE7954" w:rsidR="006247F8" w:rsidRPr="001B7900" w:rsidRDefault="006247F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37 (6.5)</w:t>
            </w:r>
          </w:p>
        </w:tc>
        <w:tc>
          <w:tcPr>
            <w:tcW w:w="1283" w:type="dxa"/>
          </w:tcPr>
          <w:p w14:paraId="57C3AFE1" w14:textId="60818BA4" w:rsidR="006247F8" w:rsidRPr="001B7900" w:rsidRDefault="006247F8"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B7900">
              <w:rPr>
                <w:rFonts w:ascii="Arial" w:hAnsi="Arial" w:cs="Arial"/>
                <w:sz w:val="20"/>
                <w:lang w:val="en-US"/>
              </w:rPr>
              <w:t>24 (4.3)</w:t>
            </w:r>
          </w:p>
        </w:tc>
        <w:tc>
          <w:tcPr>
            <w:tcW w:w="1080" w:type="dxa"/>
            <w:vMerge/>
          </w:tcPr>
          <w:p w14:paraId="093F2661" w14:textId="77777777" w:rsidR="006247F8" w:rsidRPr="001B7900" w:rsidRDefault="006247F8"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80" w:type="dxa"/>
            <w:vMerge/>
          </w:tcPr>
          <w:p w14:paraId="56B01055" w14:textId="77777777" w:rsidR="006247F8" w:rsidRPr="001B7900" w:rsidRDefault="006247F8"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r w:rsidR="005D7B84" w:rsidRPr="001B7900" w14:paraId="3FC19AD4"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auto"/>
          </w:tcPr>
          <w:p w14:paraId="13840E07" w14:textId="09484D4B" w:rsidR="005D7B84" w:rsidRPr="000A1D22" w:rsidRDefault="005D7B84" w:rsidP="00E34779">
            <w:pPr>
              <w:rPr>
                <w:rFonts w:cs="Arial"/>
                <w:sz w:val="20"/>
                <w:lang w:val="en-US"/>
              </w:rPr>
            </w:pPr>
            <w:r w:rsidRPr="000A1D22">
              <w:rPr>
                <w:rFonts w:cs="Arial"/>
                <w:sz w:val="20"/>
                <w:lang w:val="en-US"/>
              </w:rPr>
              <w:t>Sustained clinical success at the LFU Visit</w:t>
            </w:r>
          </w:p>
        </w:tc>
        <w:tc>
          <w:tcPr>
            <w:tcW w:w="1872" w:type="dxa"/>
          </w:tcPr>
          <w:p w14:paraId="4C1AD844" w14:textId="35C9E706" w:rsidR="005D7B84" w:rsidRPr="000A1D22" w:rsidRDefault="005D7B84"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N</w:t>
            </w:r>
          </w:p>
        </w:tc>
        <w:tc>
          <w:tcPr>
            <w:tcW w:w="1260" w:type="dxa"/>
            <w:vAlign w:val="top"/>
          </w:tcPr>
          <w:p w14:paraId="3CE78B9C" w14:textId="1DB0B489" w:rsidR="005D7B84" w:rsidRPr="000A1D22" w:rsidRDefault="005D7B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532 </w:t>
            </w:r>
          </w:p>
        </w:tc>
        <w:tc>
          <w:tcPr>
            <w:tcW w:w="1283" w:type="dxa"/>
            <w:vAlign w:val="top"/>
          </w:tcPr>
          <w:p w14:paraId="19E3B086" w14:textId="1F0AC011" w:rsidR="005D7B84" w:rsidRPr="000A1D22" w:rsidRDefault="005D7B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536 </w:t>
            </w:r>
          </w:p>
        </w:tc>
        <w:tc>
          <w:tcPr>
            <w:tcW w:w="1080" w:type="dxa"/>
          </w:tcPr>
          <w:p w14:paraId="4EF7B7C8" w14:textId="77777777" w:rsidR="005D7B84" w:rsidRPr="000A1D22" w:rsidRDefault="005D7B84"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80" w:type="dxa"/>
          </w:tcPr>
          <w:p w14:paraId="105248DA" w14:textId="77777777" w:rsidR="005D7B84" w:rsidRPr="000A1D22" w:rsidRDefault="005D7B84" w:rsidP="00E34779">
            <w:pPr>
              <w:cnfStyle w:val="000000000000" w:firstRow="0" w:lastRow="0" w:firstColumn="0" w:lastColumn="0" w:oddVBand="0" w:evenVBand="0" w:oddHBand="0" w:evenHBand="0" w:firstRowFirstColumn="0" w:firstRowLastColumn="0" w:lastRowFirstColumn="0" w:lastRowLastColumn="0"/>
              <w:rPr>
                <w:rFonts w:cs="Arial"/>
                <w:sz w:val="20"/>
                <w:lang w:val="en-US"/>
              </w:rPr>
            </w:pPr>
          </w:p>
        </w:tc>
      </w:tr>
      <w:tr w:rsidR="005D7B84" w:rsidRPr="001B7900" w14:paraId="587E6412"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6C71B55B" w14:textId="77777777" w:rsidR="005D7B84" w:rsidRPr="000A1D22" w:rsidRDefault="005D7B84" w:rsidP="00E34779">
            <w:pPr>
              <w:rPr>
                <w:rFonts w:cs="Arial"/>
                <w:sz w:val="20"/>
                <w:lang w:val="en-US"/>
              </w:rPr>
            </w:pPr>
          </w:p>
        </w:tc>
        <w:tc>
          <w:tcPr>
            <w:tcW w:w="1872" w:type="dxa"/>
          </w:tcPr>
          <w:p w14:paraId="61475E1D" w14:textId="7A770CE9" w:rsidR="005D7B84" w:rsidRPr="000A1D22" w:rsidRDefault="005D7B84"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Sustained clinical success</w:t>
            </w:r>
          </w:p>
        </w:tc>
        <w:tc>
          <w:tcPr>
            <w:tcW w:w="1260" w:type="dxa"/>
            <w:vAlign w:val="top"/>
          </w:tcPr>
          <w:p w14:paraId="09F27AB2" w14:textId="44374473" w:rsidR="005D7B84" w:rsidRPr="000A1D22" w:rsidRDefault="005D7B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521 (97.9) </w:t>
            </w:r>
          </w:p>
        </w:tc>
        <w:tc>
          <w:tcPr>
            <w:tcW w:w="1283" w:type="dxa"/>
            <w:vAlign w:val="top"/>
          </w:tcPr>
          <w:p w14:paraId="3659B151" w14:textId="1749C8B8" w:rsidR="005D7B84" w:rsidRPr="000A1D22" w:rsidRDefault="005D7B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533 (99.4) </w:t>
            </w:r>
          </w:p>
        </w:tc>
        <w:tc>
          <w:tcPr>
            <w:tcW w:w="1080" w:type="dxa"/>
          </w:tcPr>
          <w:p w14:paraId="29F4422D" w14:textId="1940DA2A" w:rsidR="005D7B84" w:rsidRPr="000A1D22" w:rsidRDefault="005D7B84" w:rsidP="000A1D22">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r w:rsidRPr="000A1D22">
              <w:rPr>
                <w:rFonts w:cs="Arial"/>
                <w:sz w:val="20"/>
                <w:lang w:val="en-US"/>
              </w:rPr>
              <w:t>-</w:t>
            </w:r>
          </w:p>
        </w:tc>
        <w:tc>
          <w:tcPr>
            <w:tcW w:w="1080" w:type="dxa"/>
          </w:tcPr>
          <w:p w14:paraId="1A9B7258" w14:textId="67FE415E" w:rsidR="005D7B84" w:rsidRPr="000A1D22" w:rsidRDefault="005D7B84" w:rsidP="000A1D22">
            <w:pPr>
              <w:jc w:val="center"/>
              <w:cnfStyle w:val="000000010000" w:firstRow="0" w:lastRow="0" w:firstColumn="0" w:lastColumn="0" w:oddVBand="0" w:evenVBand="0" w:oddHBand="0" w:evenHBand="1" w:firstRowFirstColumn="0" w:firstRowLastColumn="0" w:lastRowFirstColumn="0" w:lastRowLastColumn="0"/>
              <w:rPr>
                <w:rFonts w:cs="Arial"/>
                <w:sz w:val="20"/>
                <w:lang w:val="en-US"/>
              </w:rPr>
            </w:pPr>
            <w:r w:rsidRPr="000A1D22">
              <w:rPr>
                <w:rFonts w:cs="Arial"/>
                <w:sz w:val="20"/>
                <w:lang w:val="en-US"/>
              </w:rPr>
              <w:t>-</w:t>
            </w:r>
          </w:p>
        </w:tc>
      </w:tr>
      <w:tr w:rsidR="005D7B84" w:rsidRPr="001B7900" w14:paraId="3004A439" w14:textId="77777777" w:rsidTr="00A01ABB">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56816AF2" w14:textId="77777777" w:rsidR="005D7B84" w:rsidRPr="000A1D22" w:rsidRDefault="005D7B84" w:rsidP="00E34779">
            <w:pPr>
              <w:rPr>
                <w:rFonts w:cs="Arial"/>
                <w:sz w:val="20"/>
                <w:lang w:val="en-US"/>
              </w:rPr>
            </w:pPr>
          </w:p>
        </w:tc>
        <w:tc>
          <w:tcPr>
            <w:tcW w:w="1872" w:type="dxa"/>
          </w:tcPr>
          <w:p w14:paraId="3DF0BC27" w14:textId="04A605A0" w:rsidR="005D7B84" w:rsidRPr="000A1D22" w:rsidRDefault="005D7B84" w:rsidP="00E34779">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Clinical failure/relapse </w:t>
            </w:r>
          </w:p>
        </w:tc>
        <w:tc>
          <w:tcPr>
            <w:tcW w:w="1260" w:type="dxa"/>
            <w:vAlign w:val="top"/>
          </w:tcPr>
          <w:p w14:paraId="576EEFC5" w14:textId="7032893D" w:rsidR="005D7B84" w:rsidRPr="000A1D22" w:rsidRDefault="005D7B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7 (1.3) </w:t>
            </w:r>
          </w:p>
        </w:tc>
        <w:tc>
          <w:tcPr>
            <w:tcW w:w="1283" w:type="dxa"/>
            <w:vAlign w:val="top"/>
          </w:tcPr>
          <w:p w14:paraId="55F13CF8" w14:textId="5DC7D940" w:rsidR="005D7B84" w:rsidRPr="000A1D22" w:rsidRDefault="005D7B84" w:rsidP="00E347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1 (0.2) </w:t>
            </w:r>
          </w:p>
        </w:tc>
        <w:tc>
          <w:tcPr>
            <w:tcW w:w="1080" w:type="dxa"/>
          </w:tcPr>
          <w:p w14:paraId="22BCDF38" w14:textId="201E9CC3" w:rsidR="005D7B84" w:rsidRPr="000A1D22" w:rsidRDefault="005D7B84" w:rsidP="000A1D22">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0A1D22">
              <w:rPr>
                <w:rFonts w:cs="Arial"/>
                <w:sz w:val="20"/>
                <w:lang w:val="en-US"/>
              </w:rPr>
              <w:t>NR</w:t>
            </w:r>
          </w:p>
        </w:tc>
        <w:tc>
          <w:tcPr>
            <w:tcW w:w="1080" w:type="dxa"/>
          </w:tcPr>
          <w:p w14:paraId="42CC3B1D" w14:textId="5170AC52" w:rsidR="005D7B84" w:rsidRPr="000A1D22" w:rsidRDefault="005D7B84" w:rsidP="000A1D22">
            <w:pPr>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0A1D22">
              <w:rPr>
                <w:rFonts w:cs="Arial"/>
                <w:sz w:val="20"/>
                <w:lang w:val="en-US"/>
              </w:rPr>
              <w:t>NR</w:t>
            </w:r>
          </w:p>
        </w:tc>
      </w:tr>
      <w:tr w:rsidR="005D7B84" w:rsidRPr="001B7900" w14:paraId="59F6E5B5"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auto"/>
          </w:tcPr>
          <w:p w14:paraId="51D7950B" w14:textId="77777777" w:rsidR="005D7B84" w:rsidRPr="000A1D22" w:rsidRDefault="005D7B84" w:rsidP="00E34779">
            <w:pPr>
              <w:rPr>
                <w:rFonts w:cs="Arial"/>
                <w:sz w:val="20"/>
                <w:lang w:val="en-US"/>
              </w:rPr>
            </w:pPr>
          </w:p>
        </w:tc>
        <w:tc>
          <w:tcPr>
            <w:tcW w:w="1872" w:type="dxa"/>
          </w:tcPr>
          <w:p w14:paraId="567DA9FA" w14:textId="56E66243" w:rsidR="005D7B84" w:rsidRPr="000A1D22" w:rsidRDefault="005D7B84" w:rsidP="00E34779">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Indeterminate</w:t>
            </w:r>
          </w:p>
        </w:tc>
        <w:tc>
          <w:tcPr>
            <w:tcW w:w="1260" w:type="dxa"/>
            <w:vAlign w:val="top"/>
          </w:tcPr>
          <w:p w14:paraId="2DEEB3A3" w14:textId="5F548166" w:rsidR="005D7B84" w:rsidRPr="000A1D22" w:rsidRDefault="005D7B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4 (0.8) </w:t>
            </w:r>
          </w:p>
        </w:tc>
        <w:tc>
          <w:tcPr>
            <w:tcW w:w="1283" w:type="dxa"/>
            <w:vAlign w:val="top"/>
          </w:tcPr>
          <w:p w14:paraId="396E498F" w14:textId="47F516D2" w:rsidR="005D7B84" w:rsidRPr="000A1D22" w:rsidRDefault="005D7B84" w:rsidP="00E347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0A1D22">
              <w:rPr>
                <w:rFonts w:ascii="Arial" w:hAnsi="Arial" w:cs="Arial"/>
                <w:sz w:val="20"/>
                <w:lang w:val="en-US"/>
              </w:rPr>
              <w:t xml:space="preserve">2 (0.4) </w:t>
            </w:r>
          </w:p>
        </w:tc>
        <w:tc>
          <w:tcPr>
            <w:tcW w:w="1080" w:type="dxa"/>
          </w:tcPr>
          <w:p w14:paraId="5708C884" w14:textId="77777777" w:rsidR="005D7B84" w:rsidRPr="000A1D22" w:rsidRDefault="005D7B84"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80" w:type="dxa"/>
          </w:tcPr>
          <w:p w14:paraId="07015A6E" w14:textId="77777777" w:rsidR="005D7B84" w:rsidRPr="000A1D22" w:rsidRDefault="005D7B84" w:rsidP="00E34779">
            <w:pPr>
              <w:cnfStyle w:val="000000010000" w:firstRow="0" w:lastRow="0" w:firstColumn="0" w:lastColumn="0" w:oddVBand="0" w:evenVBand="0" w:oddHBand="0" w:evenHBand="1" w:firstRowFirstColumn="0" w:firstRowLastColumn="0" w:lastRowFirstColumn="0" w:lastRowLastColumn="0"/>
              <w:rPr>
                <w:rFonts w:cs="Arial"/>
                <w:sz w:val="20"/>
                <w:lang w:val="en-US"/>
              </w:rPr>
            </w:pPr>
          </w:p>
        </w:tc>
      </w:tr>
    </w:tbl>
    <w:p w14:paraId="3617D50B" w14:textId="6BF3D3AF" w:rsidR="001B7900" w:rsidRPr="001B7900" w:rsidRDefault="00374269" w:rsidP="001B7900">
      <w:pPr>
        <w:pStyle w:val="TableNote-H58"/>
        <w:rPr>
          <w:rFonts w:ascii="Arial" w:hAnsi="Arial" w:cs="Arial"/>
          <w:sz w:val="16"/>
          <w:szCs w:val="16"/>
          <w:lang w:val="en-US"/>
        </w:rPr>
      </w:pPr>
      <w:r w:rsidRPr="001B7900">
        <w:rPr>
          <w:rFonts w:ascii="Arial" w:eastAsia="MS PGothic" w:hAnsi="Arial" w:cs="Arial"/>
          <w:sz w:val="16"/>
          <w:szCs w:val="16"/>
          <w:lang w:val="en-US"/>
        </w:rPr>
        <w:t xml:space="preserve">SOURCE: </w:t>
      </w:r>
      <w:r w:rsidRPr="001B7900">
        <w:rPr>
          <w:rFonts w:ascii="Arial" w:hAnsi="Arial" w:cs="Arial"/>
          <w:sz w:val="16"/>
          <w:szCs w:val="16"/>
          <w:lang w:val="en-US"/>
        </w:rPr>
        <w:t>ISE 2013</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_Ref284183626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51</w:t>
      </w:r>
      <w:r w:rsidR="00CA0F83">
        <w:rPr>
          <w:rFonts w:ascii="Arial" w:hAnsi="Arial" w:cs="Arial"/>
          <w:sz w:val="16"/>
          <w:szCs w:val="16"/>
          <w:lang w:val="en-US"/>
        </w:rPr>
        <w:fldChar w:fldCharType="end"/>
      </w:r>
      <w:r w:rsidRPr="001B7900">
        <w:rPr>
          <w:rFonts w:ascii="Arial" w:hAnsi="Arial" w:cs="Arial"/>
          <w:sz w:val="16"/>
          <w:szCs w:val="16"/>
          <w:lang w:val="en-US"/>
        </w:rPr>
        <w:t>: section</w:t>
      </w:r>
      <w:r w:rsidR="006247F8" w:rsidRPr="001B7900">
        <w:rPr>
          <w:rFonts w:ascii="Arial" w:hAnsi="Arial" w:cs="Arial"/>
          <w:sz w:val="16"/>
          <w:szCs w:val="16"/>
          <w:lang w:val="en-US"/>
        </w:rPr>
        <w:t xml:space="preserve"> 3.7.1 Table 79;</w:t>
      </w:r>
      <w:r w:rsidRPr="001B7900">
        <w:rPr>
          <w:rFonts w:ascii="Arial" w:hAnsi="Arial" w:cs="Arial"/>
          <w:sz w:val="16"/>
          <w:szCs w:val="16"/>
          <w:lang w:val="en-US"/>
        </w:rPr>
        <w:t xml:space="preserve"> </w:t>
      </w:r>
      <w:r w:rsidR="006247F8" w:rsidRPr="001B7900">
        <w:rPr>
          <w:rFonts w:ascii="Arial" w:hAnsi="Arial" w:cs="Arial"/>
          <w:sz w:val="16"/>
          <w:szCs w:val="16"/>
          <w:lang w:val="en-US"/>
        </w:rPr>
        <w:t xml:space="preserve">section </w:t>
      </w:r>
      <w:r w:rsidRPr="001B7900">
        <w:rPr>
          <w:rFonts w:ascii="Arial" w:eastAsia="Tahoma" w:hAnsi="Arial" w:cs="Arial"/>
          <w:sz w:val="16"/>
          <w:szCs w:val="16"/>
          <w:lang w:val="en-US"/>
        </w:rPr>
        <w:t>3.7.2</w:t>
      </w:r>
      <w:r w:rsidRPr="001B7900">
        <w:rPr>
          <w:rFonts w:ascii="Arial" w:hAnsi="Arial" w:cs="Arial"/>
          <w:sz w:val="16"/>
          <w:szCs w:val="16"/>
          <w:lang w:val="en-US"/>
        </w:rPr>
        <w:t>, Table 80</w:t>
      </w:r>
      <w:r w:rsidR="00E66132">
        <w:rPr>
          <w:rFonts w:ascii="Arial" w:hAnsi="Arial" w:cs="Arial"/>
          <w:sz w:val="16"/>
          <w:szCs w:val="16"/>
          <w:lang w:val="en-US"/>
        </w:rPr>
        <w:t xml:space="preserve">; section 3.8.1.4 Table 97; </w:t>
      </w:r>
      <w:r w:rsidRPr="001B7900">
        <w:rPr>
          <w:rFonts w:ascii="Arial" w:hAnsi="Arial" w:cs="Arial"/>
          <w:sz w:val="16"/>
          <w:szCs w:val="16"/>
          <w:lang w:val="en-US"/>
        </w:rPr>
        <w:t>CI: Confidence interval; EOT: End of therapy; ITT: Intent-to-treat; N: Number of patients in</w:t>
      </w:r>
      <w:bookmarkStart w:id="130" w:name="_Ref281823012"/>
      <w:bookmarkStart w:id="131" w:name="_Toc396058373"/>
      <w:r w:rsidR="00967682">
        <w:rPr>
          <w:rFonts w:ascii="Arial" w:hAnsi="Arial" w:cs="Arial"/>
          <w:sz w:val="16"/>
          <w:szCs w:val="16"/>
        </w:rPr>
        <w:t xml:space="preserve"> populatio</w:t>
      </w:r>
      <w:r w:rsidR="00BA604A">
        <w:rPr>
          <w:rFonts w:ascii="Arial" w:hAnsi="Arial" w:cs="Arial"/>
          <w:sz w:val="16"/>
          <w:szCs w:val="16"/>
          <w:lang w:val="en-US"/>
        </w:rPr>
        <w:t>; n: Numberof patients in specific categor</w:t>
      </w:r>
      <w:r w:rsidR="00A63CF5">
        <w:rPr>
          <w:rFonts w:ascii="Arial" w:hAnsi="Arial" w:cs="Arial"/>
          <w:sz w:val="16"/>
          <w:szCs w:val="16"/>
          <w:lang w:val="en-US"/>
        </w:rPr>
        <w:t>y</w:t>
      </w:r>
    </w:p>
    <w:p w14:paraId="278EC205" w14:textId="77777777" w:rsidR="000A1D22" w:rsidRDefault="000A1D22" w:rsidP="001B7900">
      <w:pPr>
        <w:pStyle w:val="TableNote-H58"/>
        <w:rPr>
          <w:rFonts w:ascii="Arial" w:hAnsi="Arial" w:cs="Arial"/>
          <w:b/>
          <w:sz w:val="22"/>
          <w:szCs w:val="22"/>
        </w:rPr>
      </w:pPr>
    </w:p>
    <w:p w14:paraId="012EB215" w14:textId="77777777" w:rsidR="00516445" w:rsidRDefault="00516445" w:rsidP="001B7900">
      <w:pPr>
        <w:pStyle w:val="TableNote-H58"/>
        <w:rPr>
          <w:rFonts w:ascii="Arial" w:hAnsi="Arial" w:cs="Arial"/>
          <w:b/>
          <w:sz w:val="22"/>
          <w:szCs w:val="22"/>
        </w:rPr>
      </w:pPr>
    </w:p>
    <w:p w14:paraId="77728DBE" w14:textId="77777777" w:rsidR="00516445" w:rsidRDefault="00516445" w:rsidP="001B7900">
      <w:pPr>
        <w:pStyle w:val="TableNote-H58"/>
        <w:rPr>
          <w:rFonts w:ascii="Arial" w:hAnsi="Arial" w:cs="Arial"/>
          <w:b/>
          <w:sz w:val="22"/>
          <w:szCs w:val="22"/>
        </w:rPr>
      </w:pPr>
    </w:p>
    <w:p w14:paraId="3605931D" w14:textId="4B54E794" w:rsidR="00374269" w:rsidRPr="001B7900" w:rsidRDefault="00C873FB" w:rsidP="001B7900">
      <w:pPr>
        <w:pStyle w:val="TableNote-H58"/>
        <w:rPr>
          <w:b/>
          <w:lang w:val="en-US"/>
        </w:rPr>
      </w:pPr>
      <w:r w:rsidRPr="001B7900">
        <w:rPr>
          <w:rFonts w:ascii="Arial" w:hAnsi="Arial" w:cs="Arial"/>
          <w:b/>
          <w:sz w:val="22"/>
          <w:szCs w:val="22"/>
        </w:rPr>
        <w:t xml:space="preserve">Figure </w:t>
      </w:r>
      <w:r w:rsidRPr="001B7900">
        <w:rPr>
          <w:rFonts w:ascii="Arial" w:hAnsi="Arial" w:cs="Arial"/>
          <w:b/>
          <w:sz w:val="22"/>
          <w:szCs w:val="22"/>
        </w:rPr>
        <w:fldChar w:fldCharType="begin"/>
      </w:r>
      <w:r w:rsidRPr="001B7900">
        <w:rPr>
          <w:rFonts w:ascii="Arial" w:hAnsi="Arial" w:cs="Arial"/>
          <w:b/>
          <w:sz w:val="22"/>
          <w:szCs w:val="22"/>
        </w:rPr>
        <w:instrText xml:space="preserve"> SEQ Figure \* ARABIC </w:instrText>
      </w:r>
      <w:r w:rsidRPr="001B7900">
        <w:rPr>
          <w:rFonts w:ascii="Arial" w:hAnsi="Arial" w:cs="Arial"/>
          <w:b/>
          <w:sz w:val="22"/>
          <w:szCs w:val="22"/>
        </w:rPr>
        <w:fldChar w:fldCharType="separate"/>
      </w:r>
      <w:r w:rsidR="00151A1C">
        <w:rPr>
          <w:rFonts w:ascii="Arial" w:hAnsi="Arial" w:cs="Arial"/>
          <w:b/>
          <w:noProof/>
          <w:sz w:val="22"/>
          <w:szCs w:val="22"/>
        </w:rPr>
        <w:t>6</w:t>
      </w:r>
      <w:r w:rsidRPr="001B7900">
        <w:rPr>
          <w:rFonts w:ascii="Arial" w:hAnsi="Arial" w:cs="Arial"/>
          <w:b/>
          <w:sz w:val="22"/>
          <w:szCs w:val="22"/>
        </w:rPr>
        <w:fldChar w:fldCharType="end"/>
      </w:r>
      <w:bookmarkEnd w:id="130"/>
      <w:r w:rsidR="00374269" w:rsidRPr="001B7900">
        <w:rPr>
          <w:rFonts w:ascii="Arial" w:hAnsi="Arial" w:cs="Arial"/>
          <w:b/>
          <w:sz w:val="22"/>
          <w:szCs w:val="22"/>
          <w:lang w:val="en-US"/>
        </w:rPr>
        <w:t>: Proportion of patients with clinical success at the EOT Visit in the pooled analysis of Phase 3 trial data (ITT and CE-EOT population</w:t>
      </w:r>
      <w:r w:rsidR="00EF7A39" w:rsidRPr="001B7900">
        <w:rPr>
          <w:rFonts w:ascii="Arial" w:hAnsi="Arial" w:cs="Arial"/>
          <w:b/>
          <w:sz w:val="22"/>
          <w:szCs w:val="22"/>
          <w:lang w:val="en-US"/>
        </w:rPr>
        <w:t>s</w:t>
      </w:r>
      <w:r w:rsidR="00374269" w:rsidRPr="001B7900">
        <w:rPr>
          <w:rFonts w:ascii="Arial" w:hAnsi="Arial" w:cs="Arial"/>
          <w:b/>
          <w:sz w:val="22"/>
          <w:szCs w:val="22"/>
          <w:lang w:val="en-US"/>
        </w:rPr>
        <w:t>)</w:t>
      </w:r>
      <w:bookmarkEnd w:id="131"/>
    </w:p>
    <w:p w14:paraId="0EE995EE" w14:textId="77777777" w:rsidR="00374269" w:rsidRPr="00D95C15" w:rsidRDefault="00374269" w:rsidP="00374269">
      <w:pPr>
        <w:pStyle w:val="BodyText"/>
        <w:rPr>
          <w:lang w:val="en-US"/>
        </w:rPr>
      </w:pPr>
      <w:r w:rsidRPr="00D95C15">
        <w:rPr>
          <w:noProof/>
          <w:lang w:eastAsia="en-GB"/>
        </w:rPr>
        <w:drawing>
          <wp:inline distT="0" distB="0" distL="0" distR="0" wp14:anchorId="59902CD0" wp14:editId="0B141CD4">
            <wp:extent cx="5347970" cy="2743200"/>
            <wp:effectExtent l="0" t="0" r="508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B60CFD" w14:textId="4C6A35CE" w:rsidR="000A1D22" w:rsidRPr="00A01ABB" w:rsidRDefault="00374269" w:rsidP="00A01ABB">
      <w:pPr>
        <w:pStyle w:val="TableNote-H58"/>
        <w:jc w:val="left"/>
        <w:rPr>
          <w:rFonts w:ascii="Arial" w:hAnsi="Arial" w:cs="Arial"/>
          <w:sz w:val="16"/>
          <w:szCs w:val="16"/>
          <w:lang w:val="en-US"/>
        </w:rPr>
      </w:pPr>
      <w:r w:rsidRPr="001E4B40">
        <w:rPr>
          <w:rFonts w:ascii="Arial" w:hAnsi="Arial" w:cs="Arial"/>
          <w:sz w:val="16"/>
          <w:szCs w:val="16"/>
          <w:lang w:val="en-US"/>
        </w:rPr>
        <w:lastRenderedPageBreak/>
        <w:t>SOURCE: ISE 2013</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_Ref284183626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51</w:t>
      </w:r>
      <w:r w:rsidR="00CA0F83">
        <w:rPr>
          <w:rFonts w:ascii="Arial" w:hAnsi="Arial" w:cs="Arial"/>
          <w:sz w:val="16"/>
          <w:szCs w:val="16"/>
          <w:lang w:val="en-US"/>
        </w:rPr>
        <w:fldChar w:fldCharType="end"/>
      </w:r>
      <w:r w:rsidRPr="001E4B40">
        <w:rPr>
          <w:rFonts w:ascii="Arial" w:hAnsi="Arial" w:cs="Arial"/>
          <w:sz w:val="16"/>
          <w:szCs w:val="16"/>
          <w:lang w:val="en-US"/>
        </w:rPr>
        <w:t xml:space="preserve">: section </w:t>
      </w:r>
      <w:r w:rsidRPr="001E4B40">
        <w:rPr>
          <w:rFonts w:ascii="Arial" w:eastAsia="Tahoma" w:hAnsi="Arial" w:cs="Arial"/>
          <w:sz w:val="16"/>
          <w:szCs w:val="16"/>
          <w:lang w:val="en-US"/>
        </w:rPr>
        <w:t>3.7.2</w:t>
      </w:r>
      <w:r w:rsidRPr="001E4B40">
        <w:rPr>
          <w:rFonts w:ascii="Arial" w:hAnsi="Arial" w:cs="Arial"/>
          <w:sz w:val="16"/>
          <w:szCs w:val="16"/>
          <w:lang w:val="en-US"/>
        </w:rPr>
        <w:t>, Table 80 Note: ITT population: tedizolid phosphate N=664, linezolid N=669; CE-EOT population: tedizolid phosphate N=597, linezolid N=598</w:t>
      </w:r>
      <w:r w:rsidR="001E4B40">
        <w:rPr>
          <w:rFonts w:ascii="Arial" w:hAnsi="Arial" w:cs="Arial"/>
          <w:sz w:val="16"/>
          <w:szCs w:val="16"/>
          <w:lang w:val="en-US"/>
        </w:rPr>
        <w:t xml:space="preserve"> </w:t>
      </w:r>
      <w:r w:rsidRPr="001E4B40">
        <w:rPr>
          <w:rFonts w:ascii="Arial" w:hAnsi="Arial" w:cs="Arial"/>
          <w:sz w:val="16"/>
          <w:szCs w:val="16"/>
          <w:lang w:val="en-US"/>
        </w:rPr>
        <w:t>CE-EOT: Clinically evaluable at end of therapy; EOT: End of therapy; ITT: Intent-to-treat; N: Number of patients in population</w:t>
      </w:r>
      <w:bookmarkStart w:id="132" w:name="_Ref382412171"/>
      <w:bookmarkStart w:id="133" w:name="_Ref281823683"/>
      <w:bookmarkStart w:id="134" w:name="_Toc396058376"/>
    </w:p>
    <w:p w14:paraId="251D1137" w14:textId="77777777" w:rsidR="000A1D22" w:rsidRDefault="000A1D22" w:rsidP="003A33C8">
      <w:pPr>
        <w:pStyle w:val="TableNote-H58"/>
        <w:rPr>
          <w:rFonts w:ascii="Arial" w:hAnsi="Arial" w:cs="Arial"/>
          <w:b/>
          <w:sz w:val="22"/>
          <w:szCs w:val="22"/>
          <w:lang w:val="en-US"/>
        </w:rPr>
      </w:pPr>
    </w:p>
    <w:p w14:paraId="1DF550CF" w14:textId="7776AAC5" w:rsidR="00374269" w:rsidRPr="003A33C8" w:rsidRDefault="00374269" w:rsidP="003A33C8">
      <w:pPr>
        <w:pStyle w:val="TableNote-H58"/>
        <w:rPr>
          <w:rFonts w:ascii="Arial" w:hAnsi="Arial" w:cs="Arial"/>
          <w:b/>
          <w:sz w:val="22"/>
          <w:szCs w:val="22"/>
          <w:lang w:val="en-US"/>
        </w:rPr>
      </w:pPr>
      <w:bookmarkStart w:id="135" w:name="_Ref284425219"/>
      <w:r w:rsidRPr="003A33C8">
        <w:rPr>
          <w:rFonts w:ascii="Arial" w:hAnsi="Arial" w:cs="Arial"/>
          <w:b/>
          <w:sz w:val="22"/>
          <w:szCs w:val="22"/>
          <w:lang w:val="en-US"/>
        </w:rPr>
        <w:t xml:space="preserve">Figure </w:t>
      </w:r>
      <w:r w:rsidRPr="003A33C8">
        <w:rPr>
          <w:rFonts w:ascii="Arial" w:hAnsi="Arial" w:cs="Arial"/>
          <w:b/>
          <w:sz w:val="22"/>
          <w:szCs w:val="22"/>
          <w:lang w:val="en-US"/>
        </w:rPr>
        <w:fldChar w:fldCharType="begin"/>
      </w:r>
      <w:r w:rsidRPr="003A33C8">
        <w:rPr>
          <w:rFonts w:ascii="Arial" w:hAnsi="Arial" w:cs="Arial"/>
          <w:b/>
          <w:sz w:val="22"/>
          <w:szCs w:val="22"/>
          <w:lang w:val="en-US"/>
        </w:rPr>
        <w:instrText xml:space="preserve"> SEQ Figure \* ARABIC </w:instrText>
      </w:r>
      <w:r w:rsidRPr="003A33C8">
        <w:rPr>
          <w:rFonts w:ascii="Arial" w:hAnsi="Arial" w:cs="Arial"/>
          <w:b/>
          <w:sz w:val="22"/>
          <w:szCs w:val="22"/>
          <w:lang w:val="en-US"/>
        </w:rPr>
        <w:fldChar w:fldCharType="separate"/>
      </w:r>
      <w:r w:rsidR="00151A1C">
        <w:rPr>
          <w:rFonts w:ascii="Arial" w:hAnsi="Arial" w:cs="Arial"/>
          <w:b/>
          <w:noProof/>
          <w:sz w:val="22"/>
          <w:szCs w:val="22"/>
          <w:lang w:val="en-US"/>
        </w:rPr>
        <w:t>7</w:t>
      </w:r>
      <w:r w:rsidRPr="003A33C8">
        <w:rPr>
          <w:rFonts w:ascii="Arial" w:hAnsi="Arial" w:cs="Arial"/>
          <w:b/>
          <w:sz w:val="22"/>
          <w:szCs w:val="22"/>
          <w:lang w:val="en-US"/>
        </w:rPr>
        <w:fldChar w:fldCharType="end"/>
      </w:r>
      <w:bookmarkEnd w:id="132"/>
      <w:bookmarkEnd w:id="133"/>
      <w:bookmarkEnd w:id="135"/>
      <w:r w:rsidRPr="003A33C8">
        <w:rPr>
          <w:rFonts w:ascii="Arial" w:hAnsi="Arial" w:cs="Arial"/>
          <w:b/>
          <w:sz w:val="22"/>
          <w:szCs w:val="22"/>
          <w:lang w:val="en-US"/>
        </w:rPr>
        <w:t>: Proportion of patients with clinical success at the PTE Visit in the pooled analysis of Phase 3 trial data (ITT and CE-PTE populations)</w:t>
      </w:r>
      <w:bookmarkEnd w:id="134"/>
    </w:p>
    <w:p w14:paraId="6729C693" w14:textId="77777777" w:rsidR="00374269" w:rsidRPr="00D95C15" w:rsidRDefault="00374269" w:rsidP="00374269">
      <w:pPr>
        <w:pStyle w:val="BodyText"/>
        <w:rPr>
          <w:lang w:val="en-US"/>
        </w:rPr>
      </w:pPr>
      <w:r w:rsidRPr="00D95C15">
        <w:rPr>
          <w:noProof/>
          <w:lang w:eastAsia="en-GB"/>
        </w:rPr>
        <w:drawing>
          <wp:inline distT="0" distB="0" distL="0" distR="0" wp14:anchorId="1DA2AEC2" wp14:editId="3A32F715">
            <wp:extent cx="4679950" cy="2852420"/>
            <wp:effectExtent l="0" t="0" r="0" b="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03894E" w14:textId="285D2443" w:rsidR="00374269" w:rsidRPr="000A1D22" w:rsidRDefault="00374269" w:rsidP="001B7900">
      <w:pPr>
        <w:pStyle w:val="FigureNote-H23"/>
        <w:rPr>
          <w:rFonts w:ascii="Arial" w:hAnsi="Arial" w:cs="Arial"/>
          <w:sz w:val="16"/>
          <w:lang w:val="en-US"/>
        </w:rPr>
      </w:pPr>
      <w:r w:rsidRPr="000A1D22">
        <w:rPr>
          <w:rFonts w:ascii="Arial" w:hAnsi="Arial" w:cs="Arial"/>
          <w:sz w:val="16"/>
          <w:lang w:val="en-US"/>
        </w:rPr>
        <w:t>SOURCE: ISE 2013</w:t>
      </w:r>
      <w:r w:rsidR="00CA0F83">
        <w:rPr>
          <w:rFonts w:ascii="Arial" w:hAnsi="Arial" w:cs="Arial"/>
          <w:sz w:val="16"/>
          <w:lang w:val="en-US"/>
        </w:rPr>
        <w:t xml:space="preserve"> </w:t>
      </w:r>
      <w:r w:rsidR="00CA0F83">
        <w:rPr>
          <w:rFonts w:ascii="Arial" w:hAnsi="Arial" w:cs="Arial"/>
          <w:sz w:val="16"/>
          <w:lang w:val="en-US"/>
        </w:rPr>
        <w:fldChar w:fldCharType="begin"/>
      </w:r>
      <w:r w:rsidR="00CA0F83">
        <w:rPr>
          <w:rFonts w:ascii="Arial" w:hAnsi="Arial" w:cs="Arial"/>
          <w:sz w:val="16"/>
          <w:lang w:val="en-US"/>
        </w:rPr>
        <w:instrText xml:space="preserve"> REF _Ref284183626 \r \h </w:instrText>
      </w:r>
      <w:r w:rsidR="00CA0F83">
        <w:rPr>
          <w:rFonts w:ascii="Arial" w:hAnsi="Arial" w:cs="Arial"/>
          <w:sz w:val="16"/>
          <w:lang w:val="en-US"/>
        </w:rPr>
      </w:r>
      <w:r w:rsidR="00CA0F83">
        <w:rPr>
          <w:rFonts w:ascii="Arial" w:hAnsi="Arial" w:cs="Arial"/>
          <w:sz w:val="16"/>
          <w:lang w:val="en-US"/>
        </w:rPr>
        <w:fldChar w:fldCharType="separate"/>
      </w:r>
      <w:r w:rsidR="00151A1C">
        <w:rPr>
          <w:rFonts w:ascii="Arial" w:hAnsi="Arial" w:cs="Arial"/>
          <w:sz w:val="16"/>
          <w:lang w:val="en-US"/>
        </w:rPr>
        <w:t>51</w:t>
      </w:r>
      <w:r w:rsidR="00CA0F83">
        <w:rPr>
          <w:rFonts w:ascii="Arial" w:hAnsi="Arial" w:cs="Arial"/>
          <w:sz w:val="16"/>
          <w:lang w:val="en-US"/>
        </w:rPr>
        <w:fldChar w:fldCharType="end"/>
      </w:r>
      <w:r w:rsidRPr="000A1D22">
        <w:rPr>
          <w:rFonts w:ascii="Arial" w:hAnsi="Arial" w:cs="Arial"/>
          <w:sz w:val="16"/>
          <w:lang w:val="en-US"/>
        </w:rPr>
        <w:t xml:space="preserve">: section </w:t>
      </w:r>
      <w:r w:rsidRPr="000A1D22">
        <w:rPr>
          <w:rFonts w:ascii="Arial" w:eastAsia="Tahoma" w:hAnsi="Arial" w:cs="Arial"/>
          <w:sz w:val="16"/>
          <w:lang w:val="en-US"/>
        </w:rPr>
        <w:t>3.7.1</w:t>
      </w:r>
      <w:r w:rsidRPr="000A1D22">
        <w:rPr>
          <w:rFonts w:ascii="Arial" w:hAnsi="Arial" w:cs="Arial"/>
          <w:sz w:val="16"/>
          <w:lang w:val="en-US"/>
        </w:rPr>
        <w:t>, Table 79</w:t>
      </w:r>
      <w:r w:rsidR="001B7900" w:rsidRPr="000A1D22">
        <w:rPr>
          <w:rFonts w:ascii="Arial" w:hAnsi="Arial" w:cs="Arial"/>
          <w:sz w:val="16"/>
          <w:lang w:val="en-US"/>
        </w:rPr>
        <w:t xml:space="preserve"> </w:t>
      </w:r>
      <w:r w:rsidRPr="000A1D22">
        <w:rPr>
          <w:rFonts w:ascii="Arial" w:hAnsi="Arial" w:cs="Arial"/>
          <w:sz w:val="16"/>
          <w:lang w:val="en-US"/>
        </w:rPr>
        <w:t>Note: ITT population: tedizolid phosphate N=664, linezolid N=669; CE-PTE population: tedizolid phosphate N=569, linezolid N=560</w:t>
      </w:r>
      <w:r w:rsidR="001B7900" w:rsidRPr="000A1D22">
        <w:rPr>
          <w:rFonts w:ascii="Arial" w:hAnsi="Arial" w:cs="Arial"/>
          <w:sz w:val="16"/>
          <w:lang w:val="en-US"/>
        </w:rPr>
        <w:t xml:space="preserve"> </w:t>
      </w:r>
      <w:r w:rsidRPr="000A1D22">
        <w:rPr>
          <w:rFonts w:ascii="Arial" w:hAnsi="Arial" w:cs="Arial"/>
          <w:sz w:val="16"/>
          <w:lang w:val="en-US"/>
        </w:rPr>
        <w:t>CE-PTE: Clinically evaluable at post therapy evaluation; PTE: Post therapy evaluation; ITT: Intent-to-treat; N: Number of patients in the population</w:t>
      </w:r>
    </w:p>
    <w:p w14:paraId="29918687" w14:textId="6A8387C8" w:rsidR="00374269" w:rsidRPr="008B68E0" w:rsidRDefault="002720D0" w:rsidP="00ED31B2">
      <w:pPr>
        <w:pStyle w:val="Caption"/>
        <w:jc w:val="left"/>
        <w:rPr>
          <w:rFonts w:ascii="Arial" w:hAnsi="Arial"/>
          <w:sz w:val="22"/>
          <w:szCs w:val="22"/>
          <w:lang w:val="en-US"/>
        </w:rPr>
      </w:pPr>
      <w:r w:rsidRPr="008B68E0">
        <w:rPr>
          <w:rFonts w:ascii="Arial" w:hAnsi="Arial"/>
          <w:sz w:val="22"/>
          <w:szCs w:val="22"/>
          <w:lang w:val="en-US"/>
        </w:rPr>
        <w:t>3.5.3 Concordance between early clinical assessments and later timepoints – pooled analysis</w:t>
      </w:r>
    </w:p>
    <w:p w14:paraId="5CA1B99A" w14:textId="202F2830" w:rsidR="00FB1A7C" w:rsidRPr="006851DE" w:rsidRDefault="00FB1A7C" w:rsidP="00244E29">
      <w:pPr>
        <w:rPr>
          <w:b/>
          <w:sz w:val="22"/>
          <w:szCs w:val="22"/>
          <w:lang w:val="en-US"/>
        </w:rPr>
      </w:pPr>
      <w:r w:rsidRPr="008B68E0">
        <w:rPr>
          <w:sz w:val="22"/>
          <w:szCs w:val="22"/>
          <w:lang w:val="en-US"/>
        </w:rPr>
        <w:t>In c</w:t>
      </w:r>
      <w:r w:rsidR="00C304C7">
        <w:rPr>
          <w:sz w:val="22"/>
          <w:szCs w:val="22"/>
          <w:lang w:val="en-US"/>
        </w:rPr>
        <w:t>ommon with ESTABLISH-1 and ESTA</w:t>
      </w:r>
      <w:r w:rsidRPr="008B68E0">
        <w:rPr>
          <w:sz w:val="22"/>
          <w:szCs w:val="22"/>
          <w:lang w:val="en-US"/>
        </w:rPr>
        <w:t>B</w:t>
      </w:r>
      <w:r w:rsidR="00C304C7">
        <w:rPr>
          <w:sz w:val="22"/>
          <w:szCs w:val="22"/>
          <w:lang w:val="en-US"/>
        </w:rPr>
        <w:t>L</w:t>
      </w:r>
      <w:r w:rsidRPr="008B68E0">
        <w:rPr>
          <w:sz w:val="22"/>
          <w:szCs w:val="22"/>
          <w:lang w:val="en-US"/>
        </w:rPr>
        <w:t xml:space="preserve">ISH-2 independently, analysis of the pooled trial </w:t>
      </w:r>
      <w:r w:rsidRPr="006851DE">
        <w:rPr>
          <w:sz w:val="22"/>
          <w:szCs w:val="22"/>
          <w:lang w:val="en-US"/>
        </w:rPr>
        <w:t>data indicates good concordance at the EOT and P</w:t>
      </w:r>
      <w:r w:rsidR="009E6E43" w:rsidRPr="006851DE">
        <w:rPr>
          <w:sz w:val="22"/>
          <w:szCs w:val="22"/>
          <w:lang w:val="en-US"/>
        </w:rPr>
        <w:t xml:space="preserve">TE Visits in the ITT population </w:t>
      </w:r>
      <w:r w:rsidRPr="006851DE">
        <w:rPr>
          <w:sz w:val="22"/>
          <w:szCs w:val="22"/>
          <w:lang w:val="en-US"/>
        </w:rPr>
        <w:t>(</w:t>
      </w:r>
      <w:r w:rsidRPr="002E5AA1">
        <w:rPr>
          <w:sz w:val="22"/>
          <w:szCs w:val="22"/>
          <w:lang w:val="en-US"/>
        </w:rPr>
        <w:t xml:space="preserve"> </w:t>
      </w:r>
      <w:r w:rsidR="00244E29">
        <w:rPr>
          <w:sz w:val="22"/>
          <w:szCs w:val="22"/>
          <w:lang w:val="en-US"/>
        </w:rPr>
        <w:t>Table 30).</w:t>
      </w:r>
    </w:p>
    <w:p w14:paraId="2D1553EE" w14:textId="435A409B" w:rsidR="00FB1A7C" w:rsidRPr="00FB1A7C" w:rsidRDefault="00FB1A7C" w:rsidP="00FB1A7C">
      <w:pPr>
        <w:pStyle w:val="BodyText"/>
        <w:rPr>
          <w:sz w:val="22"/>
          <w:szCs w:val="22"/>
          <w:lang w:val="en-US"/>
        </w:rPr>
      </w:pPr>
      <w:r w:rsidRPr="00FB1A7C">
        <w:rPr>
          <w:sz w:val="22"/>
          <w:szCs w:val="22"/>
          <w:lang w:val="en-US"/>
        </w:rPr>
        <w:lastRenderedPageBreak/>
        <w:t xml:space="preserve"> </w:t>
      </w:r>
    </w:p>
    <w:p w14:paraId="6C562563" w14:textId="77777777" w:rsidR="00A01ABB" w:rsidRDefault="00A01ABB" w:rsidP="00FB1A7C">
      <w:pPr>
        <w:rPr>
          <w:b/>
          <w:sz w:val="22"/>
          <w:szCs w:val="22"/>
          <w:lang w:val="en-US"/>
        </w:rPr>
      </w:pPr>
      <w:bookmarkStart w:id="136" w:name="_Ref281824251"/>
    </w:p>
    <w:p w14:paraId="3DDD1719" w14:textId="6AECE8E8" w:rsidR="00FB1A7C" w:rsidRPr="00FB1A7C" w:rsidRDefault="00FB1A7C" w:rsidP="00FB1A7C">
      <w:pPr>
        <w:rPr>
          <w:b/>
          <w:sz w:val="22"/>
          <w:szCs w:val="22"/>
        </w:rPr>
      </w:pPr>
      <w:r w:rsidRPr="00FB1A7C">
        <w:rPr>
          <w:b/>
          <w:sz w:val="22"/>
          <w:szCs w:val="22"/>
          <w:lang w:val="en-US"/>
        </w:rPr>
        <w:t xml:space="preserve">Table </w:t>
      </w:r>
      <w:r w:rsidRPr="00FB1A7C">
        <w:rPr>
          <w:b/>
          <w:sz w:val="22"/>
          <w:szCs w:val="22"/>
          <w:lang w:val="en-US"/>
        </w:rPr>
        <w:fldChar w:fldCharType="begin"/>
      </w:r>
      <w:r w:rsidRPr="00FB1A7C">
        <w:rPr>
          <w:b/>
          <w:sz w:val="22"/>
          <w:szCs w:val="22"/>
          <w:lang w:val="en-US"/>
        </w:rPr>
        <w:instrText xml:space="preserve"> SEQ Table \* ARABIC </w:instrText>
      </w:r>
      <w:r w:rsidRPr="00FB1A7C">
        <w:rPr>
          <w:b/>
          <w:sz w:val="22"/>
          <w:szCs w:val="22"/>
          <w:lang w:val="en-US"/>
        </w:rPr>
        <w:fldChar w:fldCharType="separate"/>
      </w:r>
      <w:r w:rsidR="00151A1C">
        <w:rPr>
          <w:b/>
          <w:noProof/>
          <w:sz w:val="22"/>
          <w:szCs w:val="22"/>
          <w:lang w:val="en-US"/>
        </w:rPr>
        <w:t>30</w:t>
      </w:r>
      <w:r w:rsidRPr="00FB1A7C">
        <w:rPr>
          <w:b/>
          <w:sz w:val="22"/>
          <w:szCs w:val="22"/>
          <w:lang w:val="en-US"/>
        </w:rPr>
        <w:fldChar w:fldCharType="end"/>
      </w:r>
      <w:bookmarkEnd w:id="136"/>
      <w:r w:rsidRPr="00FB1A7C">
        <w:rPr>
          <w:b/>
          <w:sz w:val="22"/>
          <w:szCs w:val="22"/>
          <w:lang w:val="en-US"/>
        </w:rPr>
        <w:t xml:space="preserve">: Concordance and discordance of early clinical response at the 48-Hour to 72-Hour Visit and investigator assessment of clinical response at the EOT and PTE Visits </w:t>
      </w:r>
      <w:r w:rsidR="009E6E43">
        <w:rPr>
          <w:b/>
          <w:sz w:val="22"/>
          <w:szCs w:val="22"/>
          <w:lang w:val="en-US"/>
        </w:rPr>
        <w:t xml:space="preserve">– pooled analysis </w:t>
      </w:r>
      <w:r w:rsidRPr="00FB1A7C">
        <w:rPr>
          <w:b/>
          <w:sz w:val="22"/>
          <w:szCs w:val="22"/>
          <w:lang w:val="en-US"/>
        </w:rPr>
        <w:t>(ITT population)</w:t>
      </w:r>
    </w:p>
    <w:tbl>
      <w:tblPr>
        <w:tblStyle w:val="Table-HERONplain"/>
        <w:tblW w:w="9000" w:type="dxa"/>
        <w:tblLayout w:type="fixed"/>
        <w:tblLook w:val="04A0" w:firstRow="1" w:lastRow="0" w:firstColumn="1" w:lastColumn="0" w:noHBand="0" w:noVBand="1"/>
      </w:tblPr>
      <w:tblGrid>
        <w:gridCol w:w="1413"/>
        <w:gridCol w:w="1559"/>
        <w:gridCol w:w="1134"/>
        <w:gridCol w:w="1050"/>
        <w:gridCol w:w="961"/>
        <w:gridCol w:w="961"/>
        <w:gridCol w:w="961"/>
        <w:gridCol w:w="961"/>
      </w:tblGrid>
      <w:tr w:rsidR="00FB1A7C" w:rsidRPr="00FB1A7C" w14:paraId="56CFFC54" w14:textId="77777777" w:rsidTr="00A01AB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hideMark/>
          </w:tcPr>
          <w:p w14:paraId="65CBE562" w14:textId="77777777" w:rsidR="00FB1A7C" w:rsidRPr="00FB1A7C" w:rsidRDefault="00FB1A7C" w:rsidP="00004AA5">
            <w:pPr>
              <w:pStyle w:val="TableBodyText-H54"/>
              <w:rPr>
                <w:rFonts w:ascii="Arial" w:hAnsi="Arial" w:cs="Arial"/>
                <w:sz w:val="20"/>
                <w:lang w:val="en-US"/>
              </w:rPr>
            </w:pPr>
            <w:r w:rsidRPr="00FB1A7C">
              <w:rPr>
                <w:rFonts w:ascii="Arial" w:hAnsi="Arial" w:cs="Arial"/>
                <w:sz w:val="20"/>
                <w:lang w:val="en-US"/>
              </w:rPr>
              <w:t xml:space="preserve">Outcome measure </w:t>
            </w:r>
          </w:p>
        </w:tc>
        <w:tc>
          <w:tcPr>
            <w:tcW w:w="1559" w:type="dxa"/>
            <w:shd w:val="clear" w:color="auto" w:fill="auto"/>
            <w:vAlign w:val="top"/>
            <w:hideMark/>
          </w:tcPr>
          <w:p w14:paraId="5A2BCF7F" w14:textId="77777777" w:rsidR="00FB1A7C" w:rsidRPr="00FB1A7C" w:rsidRDefault="00FB1A7C" w:rsidP="00004AA5">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Response</w:t>
            </w:r>
          </w:p>
        </w:tc>
        <w:tc>
          <w:tcPr>
            <w:tcW w:w="3145" w:type="dxa"/>
            <w:gridSpan w:val="3"/>
            <w:shd w:val="clear" w:color="auto" w:fill="auto"/>
            <w:vAlign w:val="top"/>
            <w:hideMark/>
          </w:tcPr>
          <w:p w14:paraId="5DC40E61" w14:textId="77777777" w:rsidR="00FB1A7C" w:rsidRPr="00FB1A7C" w:rsidRDefault="00FB1A7C" w:rsidP="00004AA5">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Tedizolid phosphate</w:t>
            </w:r>
          </w:p>
          <w:p w14:paraId="456897DF" w14:textId="77777777" w:rsidR="00FB1A7C" w:rsidRPr="00FB1A7C" w:rsidRDefault="00FB1A7C" w:rsidP="00004AA5">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n (%)</w:t>
            </w:r>
          </w:p>
        </w:tc>
        <w:tc>
          <w:tcPr>
            <w:tcW w:w="2883" w:type="dxa"/>
            <w:gridSpan w:val="3"/>
            <w:shd w:val="clear" w:color="auto" w:fill="auto"/>
            <w:vAlign w:val="top"/>
            <w:hideMark/>
          </w:tcPr>
          <w:p w14:paraId="589730C9" w14:textId="77777777" w:rsidR="00FB1A7C" w:rsidRPr="00FB1A7C" w:rsidRDefault="00FB1A7C" w:rsidP="00004AA5">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Linezolid</w:t>
            </w:r>
          </w:p>
          <w:p w14:paraId="3B3762A4" w14:textId="77777777" w:rsidR="00FB1A7C" w:rsidRPr="00FB1A7C" w:rsidRDefault="00FB1A7C" w:rsidP="00004AA5">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n (%)</w:t>
            </w:r>
          </w:p>
        </w:tc>
      </w:tr>
      <w:tr w:rsidR="00FB1A7C" w:rsidRPr="00FB1A7C" w14:paraId="0FE04590" w14:textId="77777777" w:rsidTr="00A01ABB">
        <w:trPr>
          <w:trHeight w:val="765"/>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hideMark/>
          </w:tcPr>
          <w:p w14:paraId="040FF8B0" w14:textId="77777777" w:rsidR="00FB1A7C" w:rsidRPr="00FB1A7C" w:rsidRDefault="00FB1A7C" w:rsidP="00004AA5">
            <w:pPr>
              <w:pStyle w:val="TableBodyText-H54"/>
              <w:rPr>
                <w:rFonts w:ascii="Arial" w:hAnsi="Arial" w:cs="Arial"/>
                <w:sz w:val="20"/>
                <w:lang w:val="en-US"/>
              </w:rPr>
            </w:pPr>
            <w:r w:rsidRPr="00FB1A7C">
              <w:rPr>
                <w:rFonts w:ascii="Arial" w:hAnsi="Arial" w:cs="Arial"/>
                <w:sz w:val="20"/>
                <w:lang w:val="en-US"/>
              </w:rPr>
              <w:t>Sustained clinical success at the EOT Visit</w:t>
            </w:r>
          </w:p>
        </w:tc>
        <w:tc>
          <w:tcPr>
            <w:tcW w:w="1559" w:type="dxa"/>
            <w:vAlign w:val="top"/>
          </w:tcPr>
          <w:p w14:paraId="73C42711" w14:textId="77777777" w:rsidR="00FB1A7C" w:rsidRPr="00FB1A7C" w:rsidRDefault="00FB1A7C" w:rsidP="00004AA5">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p>
        </w:tc>
        <w:tc>
          <w:tcPr>
            <w:tcW w:w="1134" w:type="dxa"/>
            <w:vAlign w:val="top"/>
            <w:hideMark/>
          </w:tcPr>
          <w:p w14:paraId="471B9AAE"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responder</w:t>
            </w:r>
          </w:p>
        </w:tc>
        <w:tc>
          <w:tcPr>
            <w:tcW w:w="1050" w:type="dxa"/>
            <w:vAlign w:val="top"/>
            <w:hideMark/>
          </w:tcPr>
          <w:p w14:paraId="0909E772"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non-responder</w:t>
            </w:r>
          </w:p>
        </w:tc>
        <w:tc>
          <w:tcPr>
            <w:tcW w:w="961" w:type="dxa"/>
            <w:vAlign w:val="top"/>
            <w:hideMark/>
          </w:tcPr>
          <w:p w14:paraId="5C00B8E9" w14:textId="577123A4" w:rsidR="00FB1A7C" w:rsidRPr="00FB1A7C" w:rsidRDefault="00E60394"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Pr>
                <w:rFonts w:ascii="Arial" w:hAnsi="Arial" w:cs="Arial"/>
                <w:sz w:val="20"/>
                <w:lang w:val="en-US"/>
              </w:rPr>
              <w:t>Early indetermi</w:t>
            </w:r>
            <w:r w:rsidR="00FB1A7C" w:rsidRPr="00FB1A7C">
              <w:rPr>
                <w:rFonts w:ascii="Arial" w:hAnsi="Arial" w:cs="Arial"/>
                <w:sz w:val="20"/>
                <w:lang w:val="en-US"/>
              </w:rPr>
              <w:t>nate</w:t>
            </w:r>
          </w:p>
        </w:tc>
        <w:tc>
          <w:tcPr>
            <w:tcW w:w="961" w:type="dxa"/>
            <w:vAlign w:val="top"/>
            <w:hideMark/>
          </w:tcPr>
          <w:p w14:paraId="22C29AD6"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responder</w:t>
            </w:r>
          </w:p>
        </w:tc>
        <w:tc>
          <w:tcPr>
            <w:tcW w:w="961" w:type="dxa"/>
            <w:vAlign w:val="top"/>
            <w:hideMark/>
          </w:tcPr>
          <w:p w14:paraId="1EBAD591"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non-responder</w:t>
            </w:r>
          </w:p>
        </w:tc>
        <w:tc>
          <w:tcPr>
            <w:tcW w:w="961" w:type="dxa"/>
            <w:vAlign w:val="top"/>
            <w:hideMark/>
          </w:tcPr>
          <w:p w14:paraId="009FDCA5" w14:textId="531B9CB2" w:rsidR="00FB1A7C" w:rsidRPr="00FB1A7C" w:rsidRDefault="00E60394"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Pr>
                <w:rFonts w:ascii="Arial" w:hAnsi="Arial" w:cs="Arial"/>
                <w:sz w:val="20"/>
                <w:lang w:val="en-US"/>
              </w:rPr>
              <w:t>Early indetermi</w:t>
            </w:r>
            <w:r w:rsidR="00FB1A7C" w:rsidRPr="00FB1A7C">
              <w:rPr>
                <w:rFonts w:ascii="Arial" w:hAnsi="Arial" w:cs="Arial"/>
                <w:sz w:val="20"/>
                <w:lang w:val="en-US"/>
              </w:rPr>
              <w:t>nate</w:t>
            </w:r>
          </w:p>
        </w:tc>
      </w:tr>
      <w:tr w:rsidR="00FB1A7C" w:rsidRPr="00FB1A7C" w14:paraId="7EA99FF2" w14:textId="77777777" w:rsidTr="00A01A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9D971D1" w14:textId="77777777" w:rsidR="00FB1A7C" w:rsidRPr="00FB1A7C" w:rsidRDefault="00FB1A7C" w:rsidP="00004AA5">
            <w:pPr>
              <w:rPr>
                <w:rFonts w:cs="Arial"/>
                <w:sz w:val="20"/>
                <w:lang w:val="en-US"/>
              </w:rPr>
            </w:pPr>
          </w:p>
        </w:tc>
        <w:tc>
          <w:tcPr>
            <w:tcW w:w="1559" w:type="dxa"/>
            <w:vAlign w:val="top"/>
            <w:hideMark/>
          </w:tcPr>
          <w:p w14:paraId="15F02F5D" w14:textId="77777777" w:rsidR="00FB1A7C" w:rsidRPr="00FB1A7C" w:rsidRDefault="00FB1A7C" w:rsidP="00004AA5">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Clinical success</w:t>
            </w:r>
          </w:p>
        </w:tc>
        <w:tc>
          <w:tcPr>
            <w:tcW w:w="1134" w:type="dxa"/>
            <w:vAlign w:val="top"/>
            <w:hideMark/>
          </w:tcPr>
          <w:p w14:paraId="3A55C91B"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FB1A7C">
              <w:rPr>
                <w:rFonts w:ascii="Arial" w:hAnsi="Arial" w:cs="Arial"/>
                <w:b/>
                <w:i/>
                <w:sz w:val="20"/>
                <w:lang w:val="en-US"/>
              </w:rPr>
              <w:t>516/664 (77.7)</w:t>
            </w:r>
          </w:p>
        </w:tc>
        <w:tc>
          <w:tcPr>
            <w:tcW w:w="1050" w:type="dxa"/>
            <w:vAlign w:val="top"/>
            <w:hideMark/>
          </w:tcPr>
          <w:p w14:paraId="0810E97D"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74/664 (11.1)</w:t>
            </w:r>
          </w:p>
        </w:tc>
        <w:tc>
          <w:tcPr>
            <w:tcW w:w="961" w:type="dxa"/>
            <w:vAlign w:val="top"/>
            <w:hideMark/>
          </w:tcPr>
          <w:p w14:paraId="0BDA25F2"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 xml:space="preserve">9/664 (1.4) </w:t>
            </w:r>
          </w:p>
        </w:tc>
        <w:tc>
          <w:tcPr>
            <w:tcW w:w="961" w:type="dxa"/>
            <w:vAlign w:val="top"/>
            <w:hideMark/>
          </w:tcPr>
          <w:p w14:paraId="4AEE7DF8"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b/>
                <w:i/>
                <w:sz w:val="20"/>
                <w:lang w:val="en-US"/>
              </w:rPr>
            </w:pPr>
            <w:r w:rsidRPr="00FB1A7C">
              <w:rPr>
                <w:rFonts w:ascii="Arial" w:hAnsi="Arial" w:cs="Arial"/>
                <w:b/>
                <w:i/>
                <w:sz w:val="20"/>
                <w:lang w:val="en-US"/>
              </w:rPr>
              <w:t>510/669 (76.2)</w:t>
            </w:r>
          </w:p>
        </w:tc>
        <w:tc>
          <w:tcPr>
            <w:tcW w:w="961" w:type="dxa"/>
            <w:vAlign w:val="top"/>
            <w:hideMark/>
          </w:tcPr>
          <w:p w14:paraId="3A6370C1"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79/669 (11.8)</w:t>
            </w:r>
          </w:p>
        </w:tc>
        <w:tc>
          <w:tcPr>
            <w:tcW w:w="961" w:type="dxa"/>
            <w:vAlign w:val="top"/>
            <w:hideMark/>
          </w:tcPr>
          <w:p w14:paraId="13E977E7"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10/669 (1.5)</w:t>
            </w:r>
          </w:p>
        </w:tc>
      </w:tr>
      <w:tr w:rsidR="00FB1A7C" w:rsidRPr="00FB1A7C" w14:paraId="5D81FEFF" w14:textId="77777777" w:rsidTr="00A01ABB">
        <w:trPr>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C6A0E9C" w14:textId="77777777" w:rsidR="00FB1A7C" w:rsidRPr="00FB1A7C" w:rsidRDefault="00FB1A7C" w:rsidP="00004AA5">
            <w:pPr>
              <w:rPr>
                <w:rFonts w:cs="Arial"/>
                <w:sz w:val="20"/>
                <w:lang w:val="en-US"/>
              </w:rPr>
            </w:pPr>
          </w:p>
        </w:tc>
        <w:tc>
          <w:tcPr>
            <w:tcW w:w="1559" w:type="dxa"/>
            <w:vAlign w:val="top"/>
            <w:hideMark/>
          </w:tcPr>
          <w:p w14:paraId="1BBF4EB7" w14:textId="77777777" w:rsidR="00FB1A7C" w:rsidRPr="00FB1A7C" w:rsidRDefault="00FB1A7C" w:rsidP="00004AA5">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Clinical failure</w:t>
            </w:r>
          </w:p>
        </w:tc>
        <w:tc>
          <w:tcPr>
            <w:tcW w:w="1134" w:type="dxa"/>
            <w:vAlign w:val="top"/>
            <w:hideMark/>
          </w:tcPr>
          <w:p w14:paraId="153B865E"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 xml:space="preserve">9/664 (1.4) </w:t>
            </w:r>
          </w:p>
        </w:tc>
        <w:tc>
          <w:tcPr>
            <w:tcW w:w="1050" w:type="dxa"/>
            <w:vAlign w:val="top"/>
            <w:hideMark/>
          </w:tcPr>
          <w:p w14:paraId="279E8D5B"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16/664 (2.4)</w:t>
            </w:r>
          </w:p>
        </w:tc>
        <w:tc>
          <w:tcPr>
            <w:tcW w:w="961" w:type="dxa"/>
            <w:vAlign w:val="top"/>
            <w:hideMark/>
          </w:tcPr>
          <w:p w14:paraId="08A1A14C"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 xml:space="preserve">2/664 (0.3) </w:t>
            </w:r>
          </w:p>
        </w:tc>
        <w:tc>
          <w:tcPr>
            <w:tcW w:w="961" w:type="dxa"/>
            <w:vAlign w:val="top"/>
            <w:hideMark/>
          </w:tcPr>
          <w:p w14:paraId="3BB58DCB"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5/669 (0.7)</w:t>
            </w:r>
          </w:p>
        </w:tc>
        <w:tc>
          <w:tcPr>
            <w:tcW w:w="961" w:type="dxa"/>
            <w:vAlign w:val="top"/>
            <w:hideMark/>
          </w:tcPr>
          <w:p w14:paraId="3F0D6C87"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15/669 (2.2)</w:t>
            </w:r>
          </w:p>
        </w:tc>
        <w:tc>
          <w:tcPr>
            <w:tcW w:w="961" w:type="dxa"/>
            <w:vAlign w:val="top"/>
            <w:hideMark/>
          </w:tcPr>
          <w:p w14:paraId="01095156"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1/669 (0.1)</w:t>
            </w:r>
          </w:p>
        </w:tc>
      </w:tr>
      <w:tr w:rsidR="00FB1A7C" w:rsidRPr="00FB1A7C" w14:paraId="0DCAF29F" w14:textId="77777777" w:rsidTr="00A01A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5F2063AA" w14:textId="77777777" w:rsidR="00FB1A7C" w:rsidRPr="00FB1A7C" w:rsidRDefault="00FB1A7C" w:rsidP="00004AA5">
            <w:pPr>
              <w:rPr>
                <w:rFonts w:cs="Arial"/>
                <w:sz w:val="20"/>
                <w:lang w:val="en-US"/>
              </w:rPr>
            </w:pPr>
          </w:p>
        </w:tc>
        <w:tc>
          <w:tcPr>
            <w:tcW w:w="1559" w:type="dxa"/>
            <w:vAlign w:val="top"/>
            <w:hideMark/>
          </w:tcPr>
          <w:p w14:paraId="789C4CB1" w14:textId="77777777" w:rsidR="00FB1A7C" w:rsidRPr="00FB1A7C" w:rsidRDefault="00FB1A7C" w:rsidP="00004AA5">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Indeterminate</w:t>
            </w:r>
          </w:p>
        </w:tc>
        <w:tc>
          <w:tcPr>
            <w:tcW w:w="1134" w:type="dxa"/>
            <w:vAlign w:val="top"/>
            <w:hideMark/>
          </w:tcPr>
          <w:p w14:paraId="1F371DA3"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17/664 (2.6)</w:t>
            </w:r>
          </w:p>
        </w:tc>
        <w:tc>
          <w:tcPr>
            <w:tcW w:w="1050" w:type="dxa"/>
            <w:vAlign w:val="top"/>
            <w:hideMark/>
          </w:tcPr>
          <w:p w14:paraId="2078A918"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5/664 (0.8)</w:t>
            </w:r>
          </w:p>
        </w:tc>
        <w:tc>
          <w:tcPr>
            <w:tcW w:w="961" w:type="dxa"/>
            <w:vAlign w:val="top"/>
            <w:hideMark/>
          </w:tcPr>
          <w:p w14:paraId="4FFBBE02"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18/664 (2.7)</w:t>
            </w:r>
          </w:p>
        </w:tc>
        <w:tc>
          <w:tcPr>
            <w:tcW w:w="961" w:type="dxa"/>
            <w:vAlign w:val="top"/>
            <w:hideMark/>
          </w:tcPr>
          <w:p w14:paraId="07B526BA"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16/669 (2.4)</w:t>
            </w:r>
          </w:p>
        </w:tc>
        <w:tc>
          <w:tcPr>
            <w:tcW w:w="961" w:type="dxa"/>
            <w:vAlign w:val="top"/>
            <w:hideMark/>
          </w:tcPr>
          <w:p w14:paraId="4B9B526F"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6/669 (0.9)</w:t>
            </w:r>
          </w:p>
        </w:tc>
        <w:tc>
          <w:tcPr>
            <w:tcW w:w="961" w:type="dxa"/>
            <w:vAlign w:val="top"/>
            <w:hideMark/>
          </w:tcPr>
          <w:p w14:paraId="20B65441"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27/669 (4.0)</w:t>
            </w:r>
          </w:p>
        </w:tc>
      </w:tr>
      <w:tr w:rsidR="00FB1A7C" w:rsidRPr="00FB1A7C" w14:paraId="44A54D38" w14:textId="77777777" w:rsidTr="00A01ABB">
        <w:trPr>
          <w:trHeight w:val="284"/>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tcPr>
          <w:p w14:paraId="3DCA694C" w14:textId="77777777" w:rsidR="00FB1A7C" w:rsidRPr="00FB1A7C" w:rsidRDefault="00FB1A7C" w:rsidP="00004AA5">
            <w:pPr>
              <w:rPr>
                <w:rFonts w:cs="Arial"/>
                <w:sz w:val="20"/>
              </w:rPr>
            </w:pPr>
            <w:r w:rsidRPr="00FB1A7C">
              <w:rPr>
                <w:rFonts w:cs="Arial"/>
                <w:sz w:val="20"/>
                <w:lang w:val="en-US"/>
              </w:rPr>
              <w:t>Sustained clinical success at the PTE Visit</w:t>
            </w:r>
          </w:p>
        </w:tc>
        <w:tc>
          <w:tcPr>
            <w:tcW w:w="1559" w:type="dxa"/>
            <w:vAlign w:val="top"/>
          </w:tcPr>
          <w:p w14:paraId="1936508B" w14:textId="77777777" w:rsidR="00FB1A7C" w:rsidRPr="00FB1A7C" w:rsidRDefault="00FB1A7C" w:rsidP="00004AA5">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p>
        </w:tc>
        <w:tc>
          <w:tcPr>
            <w:tcW w:w="1134" w:type="dxa"/>
            <w:vAlign w:val="top"/>
          </w:tcPr>
          <w:p w14:paraId="53BCA65B"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responder</w:t>
            </w:r>
          </w:p>
        </w:tc>
        <w:tc>
          <w:tcPr>
            <w:tcW w:w="1050" w:type="dxa"/>
            <w:vAlign w:val="top"/>
          </w:tcPr>
          <w:p w14:paraId="0746E44D"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non-responder</w:t>
            </w:r>
          </w:p>
        </w:tc>
        <w:tc>
          <w:tcPr>
            <w:tcW w:w="961" w:type="dxa"/>
            <w:vAlign w:val="top"/>
          </w:tcPr>
          <w:p w14:paraId="45B11F63" w14:textId="784B5C91" w:rsidR="00FB1A7C" w:rsidRPr="00FB1A7C" w:rsidRDefault="00E60394"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Pr>
                <w:rFonts w:ascii="Arial" w:hAnsi="Arial" w:cs="Arial"/>
                <w:sz w:val="20"/>
                <w:lang w:val="en-US"/>
              </w:rPr>
              <w:t>Early indetermi</w:t>
            </w:r>
            <w:r w:rsidR="00FB1A7C" w:rsidRPr="00FB1A7C">
              <w:rPr>
                <w:rFonts w:ascii="Arial" w:hAnsi="Arial" w:cs="Arial"/>
                <w:sz w:val="20"/>
                <w:lang w:val="en-US"/>
              </w:rPr>
              <w:t>nate</w:t>
            </w:r>
          </w:p>
        </w:tc>
        <w:tc>
          <w:tcPr>
            <w:tcW w:w="961" w:type="dxa"/>
            <w:vAlign w:val="top"/>
          </w:tcPr>
          <w:p w14:paraId="370DE265"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responder</w:t>
            </w:r>
          </w:p>
        </w:tc>
        <w:tc>
          <w:tcPr>
            <w:tcW w:w="961" w:type="dxa"/>
            <w:vAlign w:val="top"/>
          </w:tcPr>
          <w:p w14:paraId="2AB316D5"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Early non-responder</w:t>
            </w:r>
          </w:p>
        </w:tc>
        <w:tc>
          <w:tcPr>
            <w:tcW w:w="961" w:type="dxa"/>
            <w:vAlign w:val="top"/>
          </w:tcPr>
          <w:p w14:paraId="337FB090" w14:textId="176CF84F" w:rsidR="00FB1A7C" w:rsidRPr="00FB1A7C" w:rsidRDefault="00E60394"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Pr>
                <w:rFonts w:ascii="Arial" w:hAnsi="Arial" w:cs="Arial"/>
                <w:sz w:val="20"/>
                <w:lang w:val="en-US"/>
              </w:rPr>
              <w:t>Early indetermi</w:t>
            </w:r>
            <w:r w:rsidR="00FB1A7C" w:rsidRPr="00FB1A7C">
              <w:rPr>
                <w:rFonts w:ascii="Arial" w:hAnsi="Arial" w:cs="Arial"/>
                <w:sz w:val="20"/>
                <w:lang w:val="en-US"/>
              </w:rPr>
              <w:t>nate</w:t>
            </w:r>
          </w:p>
        </w:tc>
      </w:tr>
      <w:tr w:rsidR="00FB1A7C" w:rsidRPr="00FB1A7C" w14:paraId="23737817" w14:textId="77777777" w:rsidTr="00A01A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top"/>
          </w:tcPr>
          <w:p w14:paraId="14902D12" w14:textId="77777777" w:rsidR="00FB1A7C" w:rsidRPr="00FB1A7C" w:rsidRDefault="00FB1A7C" w:rsidP="00004AA5">
            <w:pPr>
              <w:rPr>
                <w:rFonts w:cs="Arial"/>
                <w:sz w:val="20"/>
              </w:rPr>
            </w:pPr>
          </w:p>
        </w:tc>
        <w:tc>
          <w:tcPr>
            <w:tcW w:w="1559" w:type="dxa"/>
            <w:vAlign w:val="top"/>
          </w:tcPr>
          <w:p w14:paraId="7A1DC934" w14:textId="77777777" w:rsidR="00FB1A7C" w:rsidRPr="00FB1A7C" w:rsidRDefault="00FB1A7C" w:rsidP="00004AA5">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Clinical success</w:t>
            </w:r>
          </w:p>
        </w:tc>
        <w:tc>
          <w:tcPr>
            <w:tcW w:w="1134" w:type="dxa"/>
            <w:vAlign w:val="top"/>
          </w:tcPr>
          <w:p w14:paraId="63BCBC89"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hAnsi="Arial" w:cs="Arial"/>
                <w:b/>
                <w:i/>
                <w:sz w:val="20"/>
                <w:lang w:val="en-US"/>
              </w:rPr>
              <w:t>497/664 (74.8)</w:t>
            </w:r>
          </w:p>
        </w:tc>
        <w:tc>
          <w:tcPr>
            <w:tcW w:w="1050" w:type="dxa"/>
            <w:vAlign w:val="top"/>
          </w:tcPr>
          <w:p w14:paraId="5A99BC4B"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71/664 (10.7)</w:t>
            </w:r>
          </w:p>
        </w:tc>
        <w:tc>
          <w:tcPr>
            <w:tcW w:w="961" w:type="dxa"/>
            <w:vAlign w:val="top"/>
          </w:tcPr>
          <w:p w14:paraId="56D971FF"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hAnsi="Arial" w:cs="Arial"/>
                <w:sz w:val="20"/>
                <w:lang w:val="en-US"/>
              </w:rPr>
              <w:t xml:space="preserve">8/664 (1.2) </w:t>
            </w:r>
          </w:p>
        </w:tc>
        <w:tc>
          <w:tcPr>
            <w:tcW w:w="961" w:type="dxa"/>
            <w:vAlign w:val="top"/>
          </w:tcPr>
          <w:p w14:paraId="6EF71AED"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hAnsi="Arial" w:cs="Arial"/>
                <w:b/>
                <w:i/>
                <w:sz w:val="20"/>
                <w:lang w:val="en-US"/>
              </w:rPr>
              <w:t>496/669 (74.1)</w:t>
            </w:r>
          </w:p>
        </w:tc>
        <w:tc>
          <w:tcPr>
            <w:tcW w:w="961" w:type="dxa"/>
            <w:vAlign w:val="top"/>
          </w:tcPr>
          <w:p w14:paraId="18D0E764"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hAnsi="Arial" w:cs="Arial"/>
                <w:sz w:val="20"/>
                <w:lang w:val="en-US"/>
              </w:rPr>
              <w:t xml:space="preserve">75/669 (11.2) </w:t>
            </w:r>
          </w:p>
        </w:tc>
        <w:tc>
          <w:tcPr>
            <w:tcW w:w="961" w:type="dxa"/>
            <w:vAlign w:val="top"/>
          </w:tcPr>
          <w:p w14:paraId="2149B362"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hAnsi="Arial" w:cs="Arial"/>
                <w:sz w:val="20"/>
                <w:lang w:val="en-US"/>
              </w:rPr>
              <w:t>10/669 (1.5)</w:t>
            </w:r>
          </w:p>
        </w:tc>
      </w:tr>
      <w:tr w:rsidR="00FB1A7C" w:rsidRPr="00FB1A7C" w14:paraId="189E43D6" w14:textId="77777777" w:rsidTr="00A01ABB">
        <w:trPr>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top"/>
          </w:tcPr>
          <w:p w14:paraId="1FD2DAC1" w14:textId="77777777" w:rsidR="00FB1A7C" w:rsidRPr="00FB1A7C" w:rsidRDefault="00FB1A7C" w:rsidP="00004AA5">
            <w:pPr>
              <w:rPr>
                <w:rFonts w:cs="Arial"/>
                <w:sz w:val="20"/>
              </w:rPr>
            </w:pPr>
          </w:p>
        </w:tc>
        <w:tc>
          <w:tcPr>
            <w:tcW w:w="1559" w:type="dxa"/>
            <w:vAlign w:val="top"/>
          </w:tcPr>
          <w:p w14:paraId="771EF421" w14:textId="77777777" w:rsidR="00FB1A7C" w:rsidRPr="00FB1A7C" w:rsidRDefault="00FB1A7C" w:rsidP="00004AA5">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FB1A7C">
              <w:rPr>
                <w:rFonts w:ascii="Arial" w:hAnsi="Arial" w:cs="Arial"/>
                <w:sz w:val="20"/>
                <w:lang w:val="en-US"/>
              </w:rPr>
              <w:t>Clinical failure</w:t>
            </w:r>
          </w:p>
        </w:tc>
        <w:tc>
          <w:tcPr>
            <w:tcW w:w="1134" w:type="dxa"/>
            <w:vAlign w:val="top"/>
          </w:tcPr>
          <w:p w14:paraId="798883E8"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17/664 (2.6)</w:t>
            </w:r>
          </w:p>
        </w:tc>
        <w:tc>
          <w:tcPr>
            <w:tcW w:w="1050" w:type="dxa"/>
            <w:vAlign w:val="top"/>
          </w:tcPr>
          <w:p w14:paraId="0539471B"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b/>
                <w:i/>
                <w:sz w:val="20"/>
                <w:lang w:val="en-US"/>
              </w:rPr>
              <w:t>18/664 (2.7)</w:t>
            </w:r>
          </w:p>
        </w:tc>
        <w:tc>
          <w:tcPr>
            <w:tcW w:w="961" w:type="dxa"/>
            <w:vAlign w:val="top"/>
          </w:tcPr>
          <w:p w14:paraId="016998F9"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FB1A7C">
              <w:rPr>
                <w:rFonts w:ascii="Arial" w:eastAsia="Tahoma" w:hAnsi="Arial" w:cs="Arial"/>
                <w:sz w:val="20"/>
                <w:lang w:val="en-US"/>
              </w:rPr>
              <w:t>2/664 (0.3)</w:t>
            </w:r>
          </w:p>
        </w:tc>
        <w:tc>
          <w:tcPr>
            <w:tcW w:w="961" w:type="dxa"/>
            <w:vAlign w:val="top"/>
          </w:tcPr>
          <w:p w14:paraId="4B1E4AD8"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 xml:space="preserve">7/669 (1.0) </w:t>
            </w:r>
          </w:p>
        </w:tc>
        <w:tc>
          <w:tcPr>
            <w:tcW w:w="961" w:type="dxa"/>
            <w:vAlign w:val="top"/>
          </w:tcPr>
          <w:p w14:paraId="642A17C2"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FB1A7C">
              <w:rPr>
                <w:rFonts w:ascii="Arial" w:eastAsia="Tahoma" w:hAnsi="Arial" w:cs="Arial"/>
                <w:b/>
                <w:i/>
                <w:sz w:val="20"/>
                <w:lang w:val="en-US"/>
              </w:rPr>
              <w:t>17/669 (2.5)</w:t>
            </w:r>
          </w:p>
        </w:tc>
        <w:tc>
          <w:tcPr>
            <w:tcW w:w="961" w:type="dxa"/>
            <w:vAlign w:val="top"/>
          </w:tcPr>
          <w:p w14:paraId="3DDE6A3C" w14:textId="77777777" w:rsidR="00FB1A7C" w:rsidRPr="00FB1A7C" w:rsidRDefault="00FB1A7C" w:rsidP="00004AA5">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b/>
                <w:i/>
                <w:sz w:val="20"/>
                <w:lang w:val="en-US"/>
              </w:rPr>
            </w:pPr>
            <w:r w:rsidRPr="00FB1A7C">
              <w:rPr>
                <w:rFonts w:ascii="Arial" w:eastAsia="Tahoma" w:hAnsi="Arial" w:cs="Arial"/>
                <w:sz w:val="20"/>
                <w:lang w:val="en-US"/>
              </w:rPr>
              <w:t xml:space="preserve">1/669 (0.1) </w:t>
            </w:r>
          </w:p>
        </w:tc>
      </w:tr>
      <w:tr w:rsidR="00FB1A7C" w:rsidRPr="00FB1A7C" w14:paraId="319D46B4" w14:textId="77777777" w:rsidTr="00A01A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top"/>
          </w:tcPr>
          <w:p w14:paraId="0A9D1986" w14:textId="77777777" w:rsidR="00FB1A7C" w:rsidRPr="00FB1A7C" w:rsidRDefault="00FB1A7C" w:rsidP="00004AA5">
            <w:pPr>
              <w:rPr>
                <w:rFonts w:cs="Arial"/>
                <w:sz w:val="20"/>
              </w:rPr>
            </w:pPr>
          </w:p>
        </w:tc>
        <w:tc>
          <w:tcPr>
            <w:tcW w:w="1559" w:type="dxa"/>
            <w:vAlign w:val="top"/>
          </w:tcPr>
          <w:p w14:paraId="47E8E6AC" w14:textId="77777777" w:rsidR="00FB1A7C" w:rsidRPr="00FB1A7C" w:rsidRDefault="00FB1A7C" w:rsidP="00004AA5">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FB1A7C">
              <w:rPr>
                <w:rFonts w:ascii="Arial" w:hAnsi="Arial" w:cs="Arial"/>
                <w:sz w:val="20"/>
                <w:lang w:val="en-US"/>
              </w:rPr>
              <w:t>Indeterminate</w:t>
            </w:r>
          </w:p>
        </w:tc>
        <w:tc>
          <w:tcPr>
            <w:tcW w:w="1134" w:type="dxa"/>
            <w:vAlign w:val="top"/>
          </w:tcPr>
          <w:p w14:paraId="4CE628C7"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 xml:space="preserve">28/664 (4.2) </w:t>
            </w:r>
          </w:p>
        </w:tc>
        <w:tc>
          <w:tcPr>
            <w:tcW w:w="1050" w:type="dxa"/>
            <w:vAlign w:val="top"/>
          </w:tcPr>
          <w:p w14:paraId="34B74165"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 xml:space="preserve">5/664 (0.8) </w:t>
            </w:r>
          </w:p>
        </w:tc>
        <w:tc>
          <w:tcPr>
            <w:tcW w:w="961" w:type="dxa"/>
            <w:vAlign w:val="top"/>
          </w:tcPr>
          <w:p w14:paraId="75549721"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18/664 (2.7)</w:t>
            </w:r>
          </w:p>
        </w:tc>
        <w:tc>
          <w:tcPr>
            <w:tcW w:w="961" w:type="dxa"/>
            <w:vAlign w:val="top"/>
          </w:tcPr>
          <w:p w14:paraId="4936CC37"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28/669 (4.2)</w:t>
            </w:r>
          </w:p>
        </w:tc>
        <w:tc>
          <w:tcPr>
            <w:tcW w:w="961" w:type="dxa"/>
            <w:vAlign w:val="top"/>
          </w:tcPr>
          <w:p w14:paraId="5645444D"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FB1A7C">
              <w:rPr>
                <w:rFonts w:ascii="Arial" w:eastAsia="Tahoma" w:hAnsi="Arial" w:cs="Arial"/>
                <w:sz w:val="20"/>
                <w:lang w:val="en-US"/>
              </w:rPr>
              <w:t>8/669 (1.2)</w:t>
            </w:r>
          </w:p>
        </w:tc>
        <w:tc>
          <w:tcPr>
            <w:tcW w:w="961" w:type="dxa"/>
            <w:vAlign w:val="top"/>
          </w:tcPr>
          <w:p w14:paraId="3A5A3483" w14:textId="77777777" w:rsidR="00FB1A7C" w:rsidRPr="00FB1A7C" w:rsidRDefault="00FB1A7C" w:rsidP="00004AA5">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b/>
                <w:i/>
                <w:sz w:val="20"/>
                <w:lang w:val="en-US"/>
              </w:rPr>
            </w:pPr>
            <w:r w:rsidRPr="00FB1A7C">
              <w:rPr>
                <w:rFonts w:ascii="Arial" w:eastAsia="Tahoma" w:hAnsi="Arial" w:cs="Arial"/>
                <w:b/>
                <w:i/>
                <w:sz w:val="20"/>
                <w:lang w:val="en-US"/>
              </w:rPr>
              <w:t>27/669 (4.0)</w:t>
            </w:r>
          </w:p>
        </w:tc>
      </w:tr>
    </w:tbl>
    <w:p w14:paraId="79AE3B4F" w14:textId="6F5CAF55" w:rsidR="00FB1A7C" w:rsidRPr="009E6E43" w:rsidRDefault="00FB1A7C" w:rsidP="00FB1A7C">
      <w:pPr>
        <w:pStyle w:val="TableNote-H58"/>
        <w:rPr>
          <w:rFonts w:ascii="Arial" w:hAnsi="Arial" w:cs="Arial"/>
          <w:sz w:val="16"/>
          <w:szCs w:val="16"/>
          <w:lang w:val="en-US"/>
        </w:rPr>
      </w:pPr>
      <w:r w:rsidRPr="009E6E43">
        <w:rPr>
          <w:rFonts w:ascii="Arial" w:eastAsia="MS PGothic" w:hAnsi="Arial" w:cs="Arial"/>
          <w:sz w:val="16"/>
          <w:szCs w:val="16"/>
          <w:lang w:val="en-US"/>
        </w:rPr>
        <w:t xml:space="preserve">SOURCE: </w:t>
      </w:r>
      <w:r w:rsidRPr="009E6E43">
        <w:rPr>
          <w:rFonts w:ascii="Arial" w:hAnsi="Arial" w:cs="Arial"/>
          <w:sz w:val="16"/>
          <w:szCs w:val="16"/>
          <w:lang w:val="en-US"/>
        </w:rPr>
        <w:t>ISE 2013</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_Ref284183626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51</w:t>
      </w:r>
      <w:r w:rsidR="00CA0F83">
        <w:rPr>
          <w:rFonts w:ascii="Arial" w:hAnsi="Arial" w:cs="Arial"/>
          <w:sz w:val="16"/>
          <w:szCs w:val="16"/>
          <w:lang w:val="en-US"/>
        </w:rPr>
        <w:fldChar w:fldCharType="end"/>
      </w:r>
      <w:r w:rsidRPr="009E6E43">
        <w:rPr>
          <w:rFonts w:ascii="Arial" w:hAnsi="Arial" w:cs="Arial"/>
          <w:sz w:val="16"/>
          <w:szCs w:val="16"/>
          <w:lang w:val="en-US"/>
        </w:rPr>
        <w:t xml:space="preserve">: section 5.3.5.3, Table 86 </w:t>
      </w:r>
      <w:r w:rsidRPr="009E6E43">
        <w:rPr>
          <w:rFonts w:ascii="Arial" w:hAnsi="Arial" w:cs="Arial"/>
          <w:b/>
          <w:sz w:val="16"/>
          <w:szCs w:val="16"/>
          <w:lang w:val="en-US"/>
        </w:rPr>
        <w:t xml:space="preserve">Data in </w:t>
      </w:r>
      <w:r w:rsidRPr="009E6E43">
        <w:rPr>
          <w:rFonts w:ascii="Arial" w:hAnsi="Arial" w:cs="Arial"/>
          <w:b/>
          <w:i/>
          <w:sz w:val="16"/>
          <w:szCs w:val="16"/>
          <w:lang w:val="en-US"/>
        </w:rPr>
        <w:t>bold and italicized</w:t>
      </w:r>
      <w:r w:rsidRPr="009E6E43">
        <w:rPr>
          <w:rFonts w:ascii="Arial" w:hAnsi="Arial" w:cs="Arial"/>
          <w:b/>
          <w:sz w:val="16"/>
          <w:szCs w:val="16"/>
          <w:lang w:val="en-US"/>
        </w:rPr>
        <w:t xml:space="preserve"> indicate concordance data</w:t>
      </w:r>
      <w:r w:rsidRPr="009E6E43">
        <w:rPr>
          <w:rFonts w:ascii="Arial" w:hAnsi="Arial" w:cs="Arial"/>
          <w:sz w:val="16"/>
          <w:szCs w:val="16"/>
          <w:lang w:val="en-US"/>
        </w:rPr>
        <w:t xml:space="preserve"> ITT: Intent-to-treat; EOT: End of Therapy; n: Number of patients in specific category</w:t>
      </w:r>
    </w:p>
    <w:p w14:paraId="067AA717" w14:textId="357EB711" w:rsidR="000A1D22" w:rsidRPr="0022330D" w:rsidRDefault="002720D0" w:rsidP="000A1D22">
      <w:pPr>
        <w:pStyle w:val="Heading3"/>
        <w:keepLines w:val="0"/>
        <w:numPr>
          <w:ilvl w:val="2"/>
          <w:numId w:val="0"/>
        </w:numPr>
        <w:spacing w:before="240" w:after="120"/>
        <w:ind w:left="993" w:hanging="993"/>
        <w:rPr>
          <w:rStyle w:val="BodyText-italic-H12"/>
          <w:rFonts w:ascii="Arial" w:hAnsi="Arial" w:cs="Arial"/>
          <w:i w:val="0"/>
          <w:color w:val="auto"/>
          <w:sz w:val="22"/>
          <w:szCs w:val="22"/>
          <w:lang w:val="en-US"/>
        </w:rPr>
      </w:pPr>
      <w:r w:rsidRPr="0022330D">
        <w:rPr>
          <w:rFonts w:ascii="Arial" w:hAnsi="Arial" w:cs="Arial"/>
          <w:color w:val="auto"/>
          <w:sz w:val="22"/>
          <w:szCs w:val="22"/>
        </w:rPr>
        <w:t xml:space="preserve">3.5.4 </w:t>
      </w:r>
      <w:r w:rsidR="000A1D22" w:rsidRPr="0022330D">
        <w:rPr>
          <w:rFonts w:ascii="Arial" w:hAnsi="Arial" w:cs="Arial"/>
          <w:color w:val="auto"/>
          <w:sz w:val="22"/>
          <w:szCs w:val="22"/>
          <w:lang w:val="en-US"/>
        </w:rPr>
        <w:t xml:space="preserve">Microbiological response of Gram-positive pathogens including MRSA </w:t>
      </w:r>
    </w:p>
    <w:p w14:paraId="2A68DC5F" w14:textId="5F474F5C" w:rsidR="000A1D22" w:rsidRPr="0022330D" w:rsidRDefault="000A1D22" w:rsidP="000A1D22">
      <w:pPr>
        <w:pStyle w:val="BodyText"/>
        <w:rPr>
          <w:rFonts w:cs="Arial"/>
          <w:sz w:val="22"/>
          <w:szCs w:val="22"/>
          <w:lang w:val="en-US"/>
        </w:rPr>
      </w:pPr>
      <w:r w:rsidRPr="0022330D">
        <w:rPr>
          <w:rFonts w:cs="Arial"/>
          <w:sz w:val="22"/>
          <w:szCs w:val="22"/>
          <w:lang w:val="en-US"/>
        </w:rPr>
        <w:t xml:space="preserve">ESTABLISH-1 and ESTABLISH-2 both demonstrated that tedizolid phosphate was comparable with linezolid with regards to the proportion of patients achieving </w:t>
      </w:r>
      <w:r w:rsidR="009047E2">
        <w:rPr>
          <w:rFonts w:cs="Arial"/>
          <w:sz w:val="22"/>
          <w:szCs w:val="22"/>
          <w:lang w:val="en-US"/>
        </w:rPr>
        <w:t>favourable</w:t>
      </w:r>
      <w:r w:rsidRPr="0022330D">
        <w:rPr>
          <w:rFonts w:cs="Arial"/>
          <w:sz w:val="22"/>
          <w:szCs w:val="22"/>
          <w:lang w:val="en-US"/>
        </w:rPr>
        <w:t xml:space="preserve"> mi</w:t>
      </w:r>
      <w:r w:rsidRPr="0022330D">
        <w:rPr>
          <w:rFonts w:cs="Arial"/>
          <w:sz w:val="22"/>
          <w:szCs w:val="22"/>
          <w:lang w:val="en-US"/>
        </w:rPr>
        <w:lastRenderedPageBreak/>
        <w:t xml:space="preserve">crobiological response to Gram-positive infections, including </w:t>
      </w:r>
      <w:r w:rsidRPr="0022330D">
        <w:rPr>
          <w:rStyle w:val="BodyText-italic-H12"/>
          <w:rFonts w:cs="Arial"/>
          <w:sz w:val="22"/>
          <w:szCs w:val="22"/>
          <w:lang w:val="en-US"/>
        </w:rPr>
        <w:t>S. aureus</w:t>
      </w:r>
      <w:r w:rsidRPr="0022330D">
        <w:rPr>
          <w:rFonts w:cs="Arial"/>
          <w:sz w:val="22"/>
          <w:szCs w:val="22"/>
          <w:lang w:val="en-US"/>
        </w:rPr>
        <w:t xml:space="preserve"> and MRSA infections, at the PTE Visit in the MITT population</w:t>
      </w:r>
      <w:r w:rsidR="0022330D" w:rsidRPr="0022330D">
        <w:rPr>
          <w:rFonts w:cs="Arial"/>
          <w:sz w:val="22"/>
          <w:szCs w:val="22"/>
          <w:lang w:val="en-US"/>
        </w:rPr>
        <w:t>. S</w:t>
      </w:r>
      <w:r w:rsidRPr="0022330D">
        <w:rPr>
          <w:rFonts w:cs="Arial"/>
          <w:sz w:val="22"/>
          <w:szCs w:val="22"/>
          <w:lang w:val="en-US"/>
        </w:rPr>
        <w:t>imilar results were seen in the pooled analysis (</w:t>
      </w:r>
      <w:r w:rsidR="0022330D" w:rsidRPr="0022330D">
        <w:rPr>
          <w:rFonts w:cs="Arial"/>
          <w:sz w:val="22"/>
          <w:szCs w:val="22"/>
          <w:lang w:val="en-US"/>
        </w:rPr>
        <w:fldChar w:fldCharType="begin"/>
      </w:r>
      <w:r w:rsidR="0022330D" w:rsidRPr="0022330D">
        <w:rPr>
          <w:rFonts w:cs="Arial"/>
          <w:sz w:val="22"/>
          <w:szCs w:val="22"/>
          <w:lang w:val="en-US"/>
        </w:rPr>
        <w:instrText xml:space="preserve"> REF _Ref281825085 \h </w:instrText>
      </w:r>
      <w:r w:rsidR="0022330D" w:rsidRPr="0022330D">
        <w:rPr>
          <w:rFonts w:cs="Arial"/>
          <w:sz w:val="22"/>
          <w:szCs w:val="22"/>
          <w:lang w:val="en-US"/>
        </w:rPr>
      </w:r>
      <w:r w:rsidR="0022330D" w:rsidRPr="0022330D">
        <w:rPr>
          <w:rFonts w:cs="Arial"/>
          <w:sz w:val="22"/>
          <w:szCs w:val="22"/>
          <w:lang w:val="en-US"/>
        </w:rPr>
        <w:fldChar w:fldCharType="separate"/>
      </w:r>
      <w:r w:rsidR="00151A1C" w:rsidRPr="0022330D">
        <w:rPr>
          <w:rFonts w:cs="Arial"/>
          <w:sz w:val="22"/>
          <w:szCs w:val="22"/>
        </w:rPr>
        <w:t xml:space="preserve">Table </w:t>
      </w:r>
      <w:r w:rsidR="00151A1C">
        <w:rPr>
          <w:rFonts w:cs="Arial"/>
          <w:noProof/>
          <w:sz w:val="22"/>
          <w:szCs w:val="22"/>
        </w:rPr>
        <w:t>31</w:t>
      </w:r>
      <w:r w:rsidR="0022330D" w:rsidRPr="0022330D">
        <w:rPr>
          <w:rFonts w:cs="Arial"/>
          <w:sz w:val="22"/>
          <w:szCs w:val="22"/>
          <w:lang w:val="en-US"/>
        </w:rPr>
        <w:fldChar w:fldCharType="end"/>
      </w:r>
      <w:r w:rsidRPr="0022330D">
        <w:rPr>
          <w:rFonts w:eastAsia="MS PGothic" w:cs="Arial"/>
          <w:sz w:val="22"/>
          <w:szCs w:val="22"/>
          <w:lang w:val="en-US"/>
        </w:rPr>
        <w:t xml:space="preserve"> and </w:t>
      </w:r>
      <w:r w:rsidR="00AB2E76">
        <w:rPr>
          <w:rFonts w:eastAsia="MS PGothic" w:cs="Arial"/>
          <w:sz w:val="22"/>
          <w:szCs w:val="22"/>
          <w:lang w:val="en-US"/>
        </w:rPr>
        <w:fldChar w:fldCharType="begin"/>
      </w:r>
      <w:r w:rsidR="00AB2E76">
        <w:rPr>
          <w:rFonts w:eastAsia="MS PGothic" w:cs="Arial"/>
          <w:sz w:val="22"/>
          <w:szCs w:val="22"/>
          <w:lang w:val="en-US"/>
        </w:rPr>
        <w:instrText xml:space="preserve"> REF _Ref281825330 \h </w:instrText>
      </w:r>
      <w:r w:rsidR="00AB2E76">
        <w:rPr>
          <w:rFonts w:eastAsia="MS PGothic" w:cs="Arial"/>
          <w:sz w:val="22"/>
          <w:szCs w:val="22"/>
          <w:lang w:val="en-US"/>
        </w:rPr>
      </w:r>
      <w:r w:rsidR="00AB2E76">
        <w:rPr>
          <w:rFonts w:eastAsia="MS PGothic" w:cs="Arial"/>
          <w:sz w:val="22"/>
          <w:szCs w:val="22"/>
          <w:lang w:val="en-US"/>
        </w:rPr>
        <w:fldChar w:fldCharType="separate"/>
      </w:r>
      <w:r w:rsidR="00151A1C" w:rsidRPr="00533076">
        <w:rPr>
          <w:rFonts w:cs="Arial"/>
          <w:sz w:val="22"/>
          <w:szCs w:val="22"/>
          <w:lang w:val="en-US"/>
        </w:rPr>
        <w:t xml:space="preserve">Figure </w:t>
      </w:r>
      <w:r w:rsidR="00151A1C">
        <w:rPr>
          <w:rFonts w:cs="Arial"/>
          <w:noProof/>
          <w:sz w:val="22"/>
          <w:szCs w:val="22"/>
          <w:lang w:val="en-US"/>
        </w:rPr>
        <w:t>8</w:t>
      </w:r>
      <w:r w:rsidR="00AB2E76">
        <w:rPr>
          <w:rFonts w:eastAsia="MS PGothic" w:cs="Arial"/>
          <w:sz w:val="22"/>
          <w:szCs w:val="22"/>
          <w:lang w:val="en-US"/>
        </w:rPr>
        <w:fldChar w:fldCharType="end"/>
      </w:r>
      <w:r w:rsidR="00AB2E76">
        <w:rPr>
          <w:rFonts w:eastAsia="MS PGothic" w:cs="Arial"/>
          <w:sz w:val="22"/>
          <w:szCs w:val="22"/>
          <w:lang w:val="en-US"/>
        </w:rPr>
        <w:t>).</w:t>
      </w:r>
    </w:p>
    <w:p w14:paraId="13DAF923" w14:textId="34911EB5" w:rsidR="000A1D22" w:rsidRPr="0022330D" w:rsidRDefault="0022330D" w:rsidP="0022330D">
      <w:pPr>
        <w:pStyle w:val="Caption"/>
        <w:rPr>
          <w:rFonts w:ascii="Arial" w:hAnsi="Arial" w:cs="Arial"/>
          <w:sz w:val="22"/>
          <w:szCs w:val="22"/>
          <w:lang w:val="en-US"/>
        </w:rPr>
      </w:pPr>
      <w:bookmarkStart w:id="137" w:name="_Ref281825085"/>
      <w:r w:rsidRPr="0022330D">
        <w:rPr>
          <w:rFonts w:ascii="Arial" w:hAnsi="Arial" w:cs="Arial"/>
          <w:sz w:val="22"/>
          <w:szCs w:val="22"/>
        </w:rPr>
        <w:t xml:space="preserve">Table </w:t>
      </w:r>
      <w:r w:rsidRPr="0022330D">
        <w:rPr>
          <w:rFonts w:ascii="Arial" w:hAnsi="Arial" w:cs="Arial"/>
          <w:sz w:val="22"/>
          <w:szCs w:val="22"/>
        </w:rPr>
        <w:fldChar w:fldCharType="begin"/>
      </w:r>
      <w:r w:rsidRPr="0022330D">
        <w:rPr>
          <w:rFonts w:ascii="Arial" w:hAnsi="Arial" w:cs="Arial"/>
          <w:sz w:val="22"/>
          <w:szCs w:val="22"/>
        </w:rPr>
        <w:instrText xml:space="preserve"> SEQ Table \* ARABIC </w:instrText>
      </w:r>
      <w:r w:rsidRPr="0022330D">
        <w:rPr>
          <w:rFonts w:ascii="Arial" w:hAnsi="Arial" w:cs="Arial"/>
          <w:sz w:val="22"/>
          <w:szCs w:val="22"/>
        </w:rPr>
        <w:fldChar w:fldCharType="separate"/>
      </w:r>
      <w:r w:rsidR="00151A1C">
        <w:rPr>
          <w:rFonts w:ascii="Arial" w:hAnsi="Arial" w:cs="Arial"/>
          <w:noProof/>
          <w:sz w:val="22"/>
          <w:szCs w:val="22"/>
        </w:rPr>
        <w:t>31</w:t>
      </w:r>
      <w:r w:rsidRPr="0022330D">
        <w:rPr>
          <w:rFonts w:ascii="Arial" w:hAnsi="Arial" w:cs="Arial"/>
          <w:sz w:val="22"/>
          <w:szCs w:val="22"/>
        </w:rPr>
        <w:fldChar w:fldCharType="end"/>
      </w:r>
      <w:bookmarkEnd w:id="137"/>
      <w:r w:rsidR="000A1D22" w:rsidRPr="0022330D">
        <w:rPr>
          <w:rFonts w:ascii="Arial" w:hAnsi="Arial" w:cs="Arial"/>
          <w:sz w:val="22"/>
          <w:szCs w:val="22"/>
          <w:lang w:val="en-US"/>
        </w:rPr>
        <w:t xml:space="preserve">: Proportion of patients with </w:t>
      </w:r>
      <w:r w:rsidR="009047E2">
        <w:rPr>
          <w:rFonts w:ascii="Arial" w:hAnsi="Arial" w:cs="Arial"/>
          <w:sz w:val="22"/>
          <w:szCs w:val="22"/>
          <w:lang w:val="en-US"/>
        </w:rPr>
        <w:t>favourable</w:t>
      </w:r>
      <w:r w:rsidR="000A1D22" w:rsidRPr="0022330D">
        <w:rPr>
          <w:rFonts w:ascii="Arial" w:hAnsi="Arial" w:cs="Arial"/>
          <w:sz w:val="22"/>
          <w:szCs w:val="22"/>
          <w:lang w:val="en-US"/>
        </w:rPr>
        <w:t xml:space="preserve"> microbiological response at the PTE Visit by selected baseline pathogen in the pooled analysis of Phase 3 trial data (MITT population)</w:t>
      </w:r>
    </w:p>
    <w:tbl>
      <w:tblPr>
        <w:tblStyle w:val="Table-HERONplain"/>
        <w:tblW w:w="8725" w:type="dxa"/>
        <w:tblLayout w:type="fixed"/>
        <w:tblLook w:val="04A0" w:firstRow="1" w:lastRow="0" w:firstColumn="1" w:lastColumn="0" w:noHBand="0" w:noVBand="1"/>
      </w:tblPr>
      <w:tblGrid>
        <w:gridCol w:w="2065"/>
        <w:gridCol w:w="2520"/>
        <w:gridCol w:w="1890"/>
        <w:gridCol w:w="2250"/>
      </w:tblGrid>
      <w:tr w:rsidR="000A1D22" w:rsidRPr="0022330D" w14:paraId="17190F40" w14:textId="77777777" w:rsidTr="00A01AB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hideMark/>
          </w:tcPr>
          <w:p w14:paraId="52947846" w14:textId="77777777" w:rsidR="000A1D22" w:rsidRPr="0022330D" w:rsidRDefault="000A1D22" w:rsidP="009047E2">
            <w:pPr>
              <w:pStyle w:val="TableBodyText-H54"/>
              <w:rPr>
                <w:rFonts w:ascii="Arial" w:hAnsi="Arial" w:cs="Arial"/>
                <w:sz w:val="20"/>
                <w:lang w:val="en-US"/>
              </w:rPr>
            </w:pPr>
            <w:r w:rsidRPr="0022330D">
              <w:rPr>
                <w:rFonts w:ascii="Arial" w:hAnsi="Arial" w:cs="Arial"/>
                <w:sz w:val="20"/>
                <w:lang w:val="en-US"/>
              </w:rPr>
              <w:t>Per-pathogen microbiological response at the PTE Visit</w:t>
            </w:r>
          </w:p>
        </w:tc>
        <w:tc>
          <w:tcPr>
            <w:tcW w:w="2520" w:type="dxa"/>
            <w:shd w:val="clear" w:color="auto" w:fill="auto"/>
            <w:hideMark/>
          </w:tcPr>
          <w:p w14:paraId="24D6F6FD" w14:textId="77777777" w:rsidR="000A1D22" w:rsidRPr="0022330D" w:rsidRDefault="000A1D22" w:rsidP="009047E2">
            <w:pPr>
              <w:pStyle w:val="TableBodyText-H54"/>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Response</w:t>
            </w:r>
          </w:p>
        </w:tc>
        <w:tc>
          <w:tcPr>
            <w:tcW w:w="1890" w:type="dxa"/>
            <w:shd w:val="clear" w:color="auto" w:fill="auto"/>
            <w:hideMark/>
          </w:tcPr>
          <w:p w14:paraId="65CE0E6A" w14:textId="77777777" w:rsidR="000A1D22" w:rsidRPr="0022330D" w:rsidRDefault="000A1D22" w:rsidP="009047E2">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Tedizolid phosphate</w:t>
            </w:r>
          </w:p>
          <w:p w14:paraId="2D0BF5CA" w14:textId="77777777" w:rsidR="000A1D22" w:rsidRPr="0022330D" w:rsidRDefault="000A1D22" w:rsidP="009047E2">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n (%)</w:t>
            </w:r>
          </w:p>
        </w:tc>
        <w:tc>
          <w:tcPr>
            <w:tcW w:w="2250" w:type="dxa"/>
            <w:shd w:val="clear" w:color="auto" w:fill="auto"/>
            <w:hideMark/>
          </w:tcPr>
          <w:p w14:paraId="3EE114D5" w14:textId="77777777" w:rsidR="000A1D22" w:rsidRPr="0022330D" w:rsidRDefault="000A1D22" w:rsidP="009047E2">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Linezolid</w:t>
            </w:r>
          </w:p>
          <w:p w14:paraId="5BE91009" w14:textId="77777777" w:rsidR="000A1D22" w:rsidRPr="0022330D" w:rsidRDefault="000A1D22" w:rsidP="009047E2">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n (%)</w:t>
            </w:r>
          </w:p>
        </w:tc>
      </w:tr>
      <w:tr w:rsidR="000A1D22" w:rsidRPr="0022330D" w14:paraId="2FB6D995" w14:textId="77777777" w:rsidTr="00A01ABB">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7954477E" w14:textId="77777777" w:rsidR="000A1D22" w:rsidRPr="0022330D" w:rsidRDefault="000A1D22" w:rsidP="009047E2">
            <w:pPr>
              <w:pStyle w:val="TableBodyText-H54"/>
              <w:ind w:left="313"/>
              <w:rPr>
                <w:rFonts w:ascii="Arial" w:hAnsi="Arial" w:cs="Arial"/>
                <w:sz w:val="20"/>
                <w:lang w:val="en-US"/>
              </w:rPr>
            </w:pPr>
            <w:r w:rsidRPr="0022330D">
              <w:rPr>
                <w:rStyle w:val="BodyText-italic-H12"/>
                <w:rFonts w:ascii="Arial" w:hAnsi="Arial" w:cs="Arial"/>
                <w:sz w:val="20"/>
                <w:lang w:val="en-US"/>
              </w:rPr>
              <w:t>S. aureus</w:t>
            </w:r>
          </w:p>
        </w:tc>
        <w:tc>
          <w:tcPr>
            <w:tcW w:w="2520" w:type="dxa"/>
            <w:vAlign w:val="top"/>
            <w:hideMark/>
          </w:tcPr>
          <w:p w14:paraId="3147A256" w14:textId="77777777" w:rsidR="000A1D22" w:rsidRPr="0022330D" w:rsidRDefault="000A1D22" w:rsidP="009047E2">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N</w:t>
            </w:r>
          </w:p>
        </w:tc>
        <w:tc>
          <w:tcPr>
            <w:tcW w:w="1890" w:type="dxa"/>
            <w:hideMark/>
          </w:tcPr>
          <w:p w14:paraId="242B96EF"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329</w:t>
            </w:r>
          </w:p>
        </w:tc>
        <w:tc>
          <w:tcPr>
            <w:tcW w:w="2250" w:type="dxa"/>
            <w:hideMark/>
          </w:tcPr>
          <w:p w14:paraId="374A128F"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342</w:t>
            </w:r>
          </w:p>
        </w:tc>
      </w:tr>
      <w:tr w:rsidR="000A1D22" w:rsidRPr="0022330D" w14:paraId="1683B349"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14C5F69C" w14:textId="77777777" w:rsidR="000A1D22" w:rsidRPr="0022330D" w:rsidRDefault="000A1D22" w:rsidP="009047E2">
            <w:pPr>
              <w:rPr>
                <w:rFonts w:cs="Arial"/>
                <w:sz w:val="20"/>
                <w:lang w:val="en-US"/>
              </w:rPr>
            </w:pPr>
          </w:p>
        </w:tc>
        <w:tc>
          <w:tcPr>
            <w:tcW w:w="2520" w:type="dxa"/>
            <w:vAlign w:val="top"/>
            <w:hideMark/>
          </w:tcPr>
          <w:p w14:paraId="09926B1C" w14:textId="0003E3D2" w:rsidR="000A1D22" w:rsidRPr="0022330D" w:rsidRDefault="009047E2" w:rsidP="009047E2">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5123B9A2"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292 (88.8)</w:t>
            </w:r>
          </w:p>
        </w:tc>
        <w:tc>
          <w:tcPr>
            <w:tcW w:w="2250" w:type="dxa"/>
            <w:hideMark/>
          </w:tcPr>
          <w:p w14:paraId="629558FC"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304 (88.9)</w:t>
            </w:r>
          </w:p>
        </w:tc>
      </w:tr>
      <w:tr w:rsidR="000A1D22" w:rsidRPr="0022330D" w14:paraId="5A911D45" w14:textId="77777777" w:rsidTr="00A01ABB">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5581B509" w14:textId="77777777" w:rsidR="000A1D22" w:rsidRPr="0022330D" w:rsidRDefault="000A1D22" w:rsidP="009047E2">
            <w:pPr>
              <w:rPr>
                <w:rFonts w:cs="Arial"/>
                <w:sz w:val="20"/>
                <w:lang w:val="en-US"/>
              </w:rPr>
            </w:pPr>
          </w:p>
        </w:tc>
        <w:tc>
          <w:tcPr>
            <w:tcW w:w="2520" w:type="dxa"/>
            <w:vAlign w:val="top"/>
            <w:hideMark/>
          </w:tcPr>
          <w:p w14:paraId="6C0AF8FA" w14:textId="480B0191" w:rsidR="000A1D22" w:rsidRPr="0022330D" w:rsidRDefault="000A1D22" w:rsidP="009047E2">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Un</w:t>
            </w:r>
            <w:r w:rsidR="009047E2">
              <w:rPr>
                <w:rFonts w:ascii="Arial" w:hAnsi="Arial" w:cs="Arial"/>
                <w:sz w:val="20"/>
                <w:lang w:val="en-US"/>
              </w:rPr>
              <w:t>favourable</w:t>
            </w:r>
            <w:r w:rsidRPr="0022330D">
              <w:rPr>
                <w:rFonts w:ascii="Arial" w:hAnsi="Arial" w:cs="Arial"/>
                <w:sz w:val="20"/>
                <w:lang w:val="en-US"/>
              </w:rPr>
              <w:t xml:space="preserve"> or indeterminate</w:t>
            </w:r>
          </w:p>
        </w:tc>
        <w:tc>
          <w:tcPr>
            <w:tcW w:w="1890" w:type="dxa"/>
            <w:hideMark/>
          </w:tcPr>
          <w:p w14:paraId="7BFE7F6F"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37 (11.2)</w:t>
            </w:r>
          </w:p>
        </w:tc>
        <w:tc>
          <w:tcPr>
            <w:tcW w:w="2250" w:type="dxa"/>
            <w:hideMark/>
          </w:tcPr>
          <w:p w14:paraId="6D6BC5D3"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38 (11.1)</w:t>
            </w:r>
          </w:p>
        </w:tc>
      </w:tr>
      <w:tr w:rsidR="000A1D22" w:rsidRPr="0022330D" w14:paraId="5A541D52"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0C1CD662" w14:textId="77777777" w:rsidR="000A1D22" w:rsidRPr="0022330D" w:rsidRDefault="000A1D22" w:rsidP="009047E2">
            <w:pPr>
              <w:pStyle w:val="TableBodyText-H54"/>
              <w:ind w:left="313"/>
              <w:rPr>
                <w:rFonts w:ascii="Arial" w:hAnsi="Arial" w:cs="Arial"/>
                <w:sz w:val="20"/>
                <w:lang w:val="en-US"/>
              </w:rPr>
            </w:pPr>
            <w:r w:rsidRPr="0022330D">
              <w:rPr>
                <w:rFonts w:ascii="Arial" w:hAnsi="Arial" w:cs="Arial"/>
                <w:sz w:val="20"/>
                <w:lang w:val="en-US"/>
              </w:rPr>
              <w:t>MRSA</w:t>
            </w:r>
          </w:p>
        </w:tc>
        <w:tc>
          <w:tcPr>
            <w:tcW w:w="2520" w:type="dxa"/>
            <w:vAlign w:val="top"/>
            <w:hideMark/>
          </w:tcPr>
          <w:p w14:paraId="495919CF" w14:textId="77777777" w:rsidR="000A1D22" w:rsidRPr="0022330D" w:rsidRDefault="000A1D22" w:rsidP="009047E2">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N</w:t>
            </w:r>
          </w:p>
        </w:tc>
        <w:tc>
          <w:tcPr>
            <w:tcW w:w="1890" w:type="dxa"/>
            <w:hideMark/>
          </w:tcPr>
          <w:p w14:paraId="7A3FFA7B"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141</w:t>
            </w:r>
          </w:p>
        </w:tc>
        <w:tc>
          <w:tcPr>
            <w:tcW w:w="2250" w:type="dxa"/>
            <w:hideMark/>
          </w:tcPr>
          <w:p w14:paraId="03792A30"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146</w:t>
            </w:r>
          </w:p>
        </w:tc>
      </w:tr>
      <w:tr w:rsidR="000A1D22" w:rsidRPr="0022330D" w14:paraId="73C25F9C" w14:textId="77777777" w:rsidTr="00A01ABB">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67F5C13B" w14:textId="77777777" w:rsidR="000A1D22" w:rsidRPr="0022330D" w:rsidRDefault="000A1D22" w:rsidP="009047E2">
            <w:pPr>
              <w:rPr>
                <w:rFonts w:cs="Arial"/>
                <w:sz w:val="20"/>
                <w:lang w:val="en-US"/>
              </w:rPr>
            </w:pPr>
          </w:p>
        </w:tc>
        <w:tc>
          <w:tcPr>
            <w:tcW w:w="2520" w:type="dxa"/>
            <w:vAlign w:val="top"/>
            <w:hideMark/>
          </w:tcPr>
          <w:p w14:paraId="5A02EA98" w14:textId="05D17022" w:rsidR="000A1D22" w:rsidRPr="0022330D" w:rsidRDefault="009047E2" w:rsidP="009047E2">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3CEEB438"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119 (84.4)</w:t>
            </w:r>
          </w:p>
        </w:tc>
        <w:tc>
          <w:tcPr>
            <w:tcW w:w="2250" w:type="dxa"/>
            <w:hideMark/>
          </w:tcPr>
          <w:p w14:paraId="2C848A82"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120 (82.2)</w:t>
            </w:r>
          </w:p>
        </w:tc>
      </w:tr>
      <w:tr w:rsidR="000A1D22" w:rsidRPr="0022330D" w14:paraId="1819A6AE"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02DAE155" w14:textId="77777777" w:rsidR="000A1D22" w:rsidRPr="0022330D" w:rsidRDefault="000A1D22" w:rsidP="009047E2">
            <w:pPr>
              <w:rPr>
                <w:rFonts w:cs="Arial"/>
                <w:sz w:val="20"/>
                <w:lang w:val="en-US"/>
              </w:rPr>
            </w:pPr>
          </w:p>
        </w:tc>
        <w:tc>
          <w:tcPr>
            <w:tcW w:w="2520" w:type="dxa"/>
            <w:vAlign w:val="top"/>
            <w:hideMark/>
          </w:tcPr>
          <w:p w14:paraId="22031E85" w14:textId="568CFE2F" w:rsidR="000A1D22" w:rsidRPr="0022330D" w:rsidRDefault="000A1D22" w:rsidP="009047E2">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Un</w:t>
            </w:r>
            <w:r w:rsidR="009047E2">
              <w:rPr>
                <w:rFonts w:ascii="Arial" w:hAnsi="Arial" w:cs="Arial"/>
                <w:sz w:val="20"/>
                <w:lang w:val="en-US"/>
              </w:rPr>
              <w:t>favourable</w:t>
            </w:r>
            <w:r w:rsidRPr="0022330D">
              <w:rPr>
                <w:rFonts w:ascii="Arial" w:hAnsi="Arial" w:cs="Arial"/>
                <w:sz w:val="20"/>
                <w:lang w:val="en-US"/>
              </w:rPr>
              <w:t xml:space="preserve"> or indeterminate</w:t>
            </w:r>
          </w:p>
        </w:tc>
        <w:tc>
          <w:tcPr>
            <w:tcW w:w="1890" w:type="dxa"/>
            <w:hideMark/>
          </w:tcPr>
          <w:p w14:paraId="6CB6A756"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22 (15.6)</w:t>
            </w:r>
          </w:p>
        </w:tc>
        <w:tc>
          <w:tcPr>
            <w:tcW w:w="2250" w:type="dxa"/>
            <w:hideMark/>
          </w:tcPr>
          <w:p w14:paraId="363E88FA"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26 (17.8)</w:t>
            </w:r>
          </w:p>
        </w:tc>
      </w:tr>
      <w:tr w:rsidR="000A1D22" w:rsidRPr="0022330D" w14:paraId="1CC74BFE" w14:textId="77777777" w:rsidTr="00A01ABB">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auto"/>
            <w:hideMark/>
          </w:tcPr>
          <w:p w14:paraId="2B1C1C1B" w14:textId="77777777" w:rsidR="000A1D22" w:rsidRPr="0022330D" w:rsidRDefault="000A1D22" w:rsidP="009047E2">
            <w:pPr>
              <w:pStyle w:val="TableBodyText-H54"/>
              <w:ind w:left="313"/>
              <w:rPr>
                <w:rFonts w:ascii="Arial" w:hAnsi="Arial" w:cs="Arial"/>
                <w:sz w:val="20"/>
                <w:lang w:val="en-US"/>
              </w:rPr>
            </w:pPr>
            <w:r w:rsidRPr="0022330D">
              <w:rPr>
                <w:rFonts w:ascii="Arial" w:hAnsi="Arial" w:cs="Arial"/>
                <w:sz w:val="20"/>
                <w:lang w:val="en-US"/>
              </w:rPr>
              <w:t>MSSA</w:t>
            </w:r>
          </w:p>
        </w:tc>
        <w:tc>
          <w:tcPr>
            <w:tcW w:w="2520" w:type="dxa"/>
            <w:vAlign w:val="top"/>
            <w:hideMark/>
          </w:tcPr>
          <w:p w14:paraId="706F08CE" w14:textId="77777777" w:rsidR="000A1D22" w:rsidRPr="0022330D" w:rsidRDefault="000A1D22" w:rsidP="009047E2">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N</w:t>
            </w:r>
          </w:p>
        </w:tc>
        <w:tc>
          <w:tcPr>
            <w:tcW w:w="1890" w:type="dxa"/>
            <w:hideMark/>
          </w:tcPr>
          <w:p w14:paraId="6EB1AE3C"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188</w:t>
            </w:r>
          </w:p>
        </w:tc>
        <w:tc>
          <w:tcPr>
            <w:tcW w:w="2250" w:type="dxa"/>
            <w:hideMark/>
          </w:tcPr>
          <w:p w14:paraId="3176271D"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198</w:t>
            </w:r>
          </w:p>
        </w:tc>
      </w:tr>
      <w:tr w:rsidR="000A1D22" w:rsidRPr="0022330D" w14:paraId="25134496" w14:textId="77777777" w:rsidTr="00A01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24BB1B8D" w14:textId="77777777" w:rsidR="000A1D22" w:rsidRPr="0022330D" w:rsidRDefault="000A1D22" w:rsidP="009047E2">
            <w:pPr>
              <w:rPr>
                <w:rFonts w:cs="Arial"/>
                <w:sz w:val="20"/>
                <w:lang w:val="en-US"/>
              </w:rPr>
            </w:pPr>
          </w:p>
        </w:tc>
        <w:tc>
          <w:tcPr>
            <w:tcW w:w="2520" w:type="dxa"/>
            <w:vAlign w:val="top"/>
            <w:hideMark/>
          </w:tcPr>
          <w:p w14:paraId="391CC69E" w14:textId="77D67280" w:rsidR="000A1D22" w:rsidRPr="0022330D" w:rsidRDefault="009047E2" w:rsidP="009047E2">
            <w:pPr>
              <w:pStyle w:val="TableBodyText-H54"/>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Pr>
                <w:rFonts w:ascii="Arial" w:hAnsi="Arial" w:cs="Arial"/>
                <w:sz w:val="20"/>
                <w:lang w:val="en-US"/>
              </w:rPr>
              <w:t>Favourable</w:t>
            </w:r>
          </w:p>
        </w:tc>
        <w:tc>
          <w:tcPr>
            <w:tcW w:w="1890" w:type="dxa"/>
            <w:hideMark/>
          </w:tcPr>
          <w:p w14:paraId="1FFC5F70"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173 (92.0)</w:t>
            </w:r>
          </w:p>
        </w:tc>
        <w:tc>
          <w:tcPr>
            <w:tcW w:w="2250" w:type="dxa"/>
            <w:hideMark/>
          </w:tcPr>
          <w:p w14:paraId="2FE5FC78" w14:textId="77777777" w:rsidR="000A1D22" w:rsidRPr="0022330D" w:rsidRDefault="000A1D22" w:rsidP="009047E2">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22330D">
              <w:rPr>
                <w:rFonts w:ascii="Arial" w:hAnsi="Arial" w:cs="Arial"/>
                <w:sz w:val="20"/>
                <w:lang w:val="en-US"/>
              </w:rPr>
              <w:t>186 (93.9)</w:t>
            </w:r>
          </w:p>
        </w:tc>
      </w:tr>
      <w:tr w:rsidR="000A1D22" w:rsidRPr="0022330D" w14:paraId="72820DC9" w14:textId="77777777" w:rsidTr="00A01ABB">
        <w:trPr>
          <w:trHeight w:val="6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auto"/>
            <w:hideMark/>
          </w:tcPr>
          <w:p w14:paraId="6F3B02C9" w14:textId="77777777" w:rsidR="000A1D22" w:rsidRPr="0022330D" w:rsidRDefault="000A1D22" w:rsidP="009047E2">
            <w:pPr>
              <w:rPr>
                <w:rFonts w:cs="Arial"/>
                <w:sz w:val="20"/>
                <w:lang w:val="en-US"/>
              </w:rPr>
            </w:pPr>
          </w:p>
        </w:tc>
        <w:tc>
          <w:tcPr>
            <w:tcW w:w="2520" w:type="dxa"/>
            <w:vAlign w:val="top"/>
            <w:hideMark/>
          </w:tcPr>
          <w:p w14:paraId="45E6C01F" w14:textId="304230A9" w:rsidR="000A1D22" w:rsidRPr="0022330D" w:rsidRDefault="000A1D22" w:rsidP="009047E2">
            <w:pPr>
              <w:pStyle w:val="TableBodyText-H54"/>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Un</w:t>
            </w:r>
            <w:r w:rsidR="009047E2">
              <w:rPr>
                <w:rFonts w:ascii="Arial" w:hAnsi="Arial" w:cs="Arial"/>
                <w:sz w:val="20"/>
                <w:lang w:val="en-US"/>
              </w:rPr>
              <w:t>favourable</w:t>
            </w:r>
            <w:r w:rsidRPr="0022330D">
              <w:rPr>
                <w:rFonts w:ascii="Arial" w:hAnsi="Arial" w:cs="Arial"/>
                <w:sz w:val="20"/>
                <w:lang w:val="en-US"/>
              </w:rPr>
              <w:t xml:space="preserve"> or indeterminate</w:t>
            </w:r>
          </w:p>
        </w:tc>
        <w:tc>
          <w:tcPr>
            <w:tcW w:w="1890" w:type="dxa"/>
            <w:hideMark/>
          </w:tcPr>
          <w:p w14:paraId="40653CB4"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15 (8.0)</w:t>
            </w:r>
          </w:p>
        </w:tc>
        <w:tc>
          <w:tcPr>
            <w:tcW w:w="2250" w:type="dxa"/>
            <w:hideMark/>
          </w:tcPr>
          <w:p w14:paraId="06D69E42" w14:textId="77777777" w:rsidR="000A1D22" w:rsidRPr="0022330D" w:rsidRDefault="000A1D22" w:rsidP="009047E2">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2330D">
              <w:rPr>
                <w:rFonts w:ascii="Arial" w:hAnsi="Arial" w:cs="Arial"/>
                <w:sz w:val="20"/>
                <w:lang w:val="en-US"/>
              </w:rPr>
              <w:t>12 (6.1)</w:t>
            </w:r>
          </w:p>
        </w:tc>
      </w:tr>
    </w:tbl>
    <w:p w14:paraId="7B855D1D" w14:textId="6DB4FC5E" w:rsidR="000A1D22" w:rsidRPr="001E4B40" w:rsidRDefault="000A1D22" w:rsidP="000A1D22">
      <w:pPr>
        <w:pStyle w:val="TableNote-H58"/>
        <w:rPr>
          <w:rFonts w:ascii="Arial" w:hAnsi="Arial" w:cs="Arial"/>
          <w:sz w:val="16"/>
          <w:szCs w:val="16"/>
          <w:lang w:val="en-US"/>
        </w:rPr>
      </w:pPr>
      <w:r w:rsidRPr="001E4B40">
        <w:rPr>
          <w:rFonts w:ascii="Arial" w:eastAsia="MS PGothic" w:hAnsi="Arial" w:cs="Arial"/>
          <w:sz w:val="16"/>
          <w:szCs w:val="16"/>
          <w:lang w:val="en-US"/>
        </w:rPr>
        <w:t xml:space="preserve">SOURCE: </w:t>
      </w:r>
      <w:r w:rsidRPr="001E4B40">
        <w:rPr>
          <w:rFonts w:ascii="Arial" w:hAnsi="Arial" w:cs="Arial"/>
          <w:sz w:val="16"/>
          <w:szCs w:val="16"/>
          <w:lang w:val="en-US"/>
        </w:rPr>
        <w:t>ISE 2013</w:t>
      </w:r>
      <w:r w:rsidR="00CA0F83">
        <w:rPr>
          <w:rFonts w:ascii="Arial" w:hAnsi="Arial" w:cs="Arial"/>
          <w:sz w:val="16"/>
          <w:szCs w:val="16"/>
          <w:lang w:val="en-US"/>
        </w:rPr>
        <w:t xml:space="preserve"> </w:t>
      </w:r>
      <w:r w:rsidR="00CA0F83">
        <w:rPr>
          <w:rFonts w:ascii="Arial" w:hAnsi="Arial" w:cs="Arial"/>
          <w:sz w:val="16"/>
          <w:szCs w:val="16"/>
          <w:lang w:val="en-US"/>
        </w:rPr>
        <w:fldChar w:fldCharType="begin"/>
      </w:r>
      <w:r w:rsidR="00CA0F83">
        <w:rPr>
          <w:rFonts w:ascii="Arial" w:hAnsi="Arial" w:cs="Arial"/>
          <w:sz w:val="16"/>
          <w:szCs w:val="16"/>
          <w:lang w:val="en-US"/>
        </w:rPr>
        <w:instrText xml:space="preserve"> REF _Ref284183626 \r \h </w:instrText>
      </w:r>
      <w:r w:rsidR="00CA0F83">
        <w:rPr>
          <w:rFonts w:ascii="Arial" w:hAnsi="Arial" w:cs="Arial"/>
          <w:sz w:val="16"/>
          <w:szCs w:val="16"/>
          <w:lang w:val="en-US"/>
        </w:rPr>
      </w:r>
      <w:r w:rsidR="00CA0F83">
        <w:rPr>
          <w:rFonts w:ascii="Arial" w:hAnsi="Arial" w:cs="Arial"/>
          <w:sz w:val="16"/>
          <w:szCs w:val="16"/>
          <w:lang w:val="en-US"/>
        </w:rPr>
        <w:fldChar w:fldCharType="separate"/>
      </w:r>
      <w:r w:rsidR="00151A1C">
        <w:rPr>
          <w:rFonts w:ascii="Arial" w:hAnsi="Arial" w:cs="Arial"/>
          <w:sz w:val="16"/>
          <w:szCs w:val="16"/>
          <w:lang w:val="en-US"/>
        </w:rPr>
        <w:t>51</w:t>
      </w:r>
      <w:r w:rsidR="00CA0F83">
        <w:rPr>
          <w:rFonts w:ascii="Arial" w:hAnsi="Arial" w:cs="Arial"/>
          <w:sz w:val="16"/>
          <w:szCs w:val="16"/>
          <w:lang w:val="en-US"/>
        </w:rPr>
        <w:fldChar w:fldCharType="end"/>
      </w:r>
      <w:r w:rsidRPr="001E4B40">
        <w:rPr>
          <w:rFonts w:ascii="Arial" w:hAnsi="Arial" w:cs="Arial"/>
          <w:sz w:val="16"/>
          <w:szCs w:val="16"/>
          <w:lang w:val="en-US"/>
        </w:rPr>
        <w:t>: section 3.10.1.1, Table 115</w:t>
      </w:r>
      <w:r w:rsidR="0022330D" w:rsidRPr="001E4B40">
        <w:rPr>
          <w:rFonts w:ascii="Arial" w:hAnsi="Arial" w:cs="Arial"/>
          <w:sz w:val="16"/>
          <w:szCs w:val="16"/>
          <w:lang w:val="en-US"/>
        </w:rPr>
        <w:t xml:space="preserve"> </w:t>
      </w:r>
      <w:r w:rsidRPr="001E4B40">
        <w:rPr>
          <w:rFonts w:ascii="Arial" w:hAnsi="Arial" w:cs="Arial"/>
          <w:sz w:val="16"/>
          <w:szCs w:val="16"/>
          <w:lang w:val="en-US"/>
        </w:rPr>
        <w:t xml:space="preserve">MITT: Microbiological intent-to-treat; MSSA: Methicillin-susceptible </w:t>
      </w:r>
      <w:r w:rsidRPr="001E4B40">
        <w:rPr>
          <w:rStyle w:val="BodyText-italic-H12"/>
          <w:rFonts w:ascii="Arial" w:hAnsi="Arial" w:cs="Arial"/>
          <w:bCs w:val="0"/>
          <w:sz w:val="16"/>
          <w:szCs w:val="16"/>
          <w:lang w:val="en-US"/>
        </w:rPr>
        <w:t>S. aureus</w:t>
      </w:r>
      <w:r w:rsidRPr="001E4B40">
        <w:rPr>
          <w:rFonts w:ascii="Arial" w:hAnsi="Arial" w:cs="Arial"/>
          <w:sz w:val="16"/>
          <w:szCs w:val="16"/>
          <w:lang w:val="en-US"/>
        </w:rPr>
        <w:t xml:space="preserve">; MRSA: Methicillin-resistant </w:t>
      </w:r>
      <w:r w:rsidRPr="001E4B40">
        <w:rPr>
          <w:rStyle w:val="BodyText-italic-H12"/>
          <w:rFonts w:ascii="Arial" w:hAnsi="Arial" w:cs="Arial"/>
          <w:bCs w:val="0"/>
          <w:sz w:val="16"/>
          <w:szCs w:val="16"/>
          <w:lang w:val="en-US"/>
        </w:rPr>
        <w:t>S. aureus</w:t>
      </w:r>
      <w:r w:rsidRPr="001E4B40">
        <w:rPr>
          <w:rFonts w:ascii="Arial" w:hAnsi="Arial" w:cs="Arial"/>
          <w:sz w:val="16"/>
          <w:szCs w:val="16"/>
          <w:lang w:val="en-US"/>
        </w:rPr>
        <w:t>; PTE: Post-therapy evaluation; N: Number of patients in population; n: Number of patients in specific category</w:t>
      </w:r>
    </w:p>
    <w:p w14:paraId="46521B12" w14:textId="33F2D981" w:rsidR="000A1D22" w:rsidRPr="00533076" w:rsidRDefault="000A1D22" w:rsidP="00533076">
      <w:pPr>
        <w:pStyle w:val="Caption"/>
        <w:jc w:val="left"/>
        <w:rPr>
          <w:rFonts w:ascii="Arial" w:hAnsi="Arial" w:cs="Arial"/>
          <w:sz w:val="22"/>
          <w:szCs w:val="22"/>
          <w:lang w:val="en-US"/>
        </w:rPr>
      </w:pPr>
      <w:bookmarkStart w:id="138" w:name="_Ref281825330"/>
      <w:r w:rsidRPr="00533076">
        <w:rPr>
          <w:rFonts w:ascii="Arial" w:hAnsi="Arial" w:cs="Arial"/>
          <w:sz w:val="22"/>
          <w:szCs w:val="22"/>
          <w:lang w:val="en-US"/>
        </w:rPr>
        <w:lastRenderedPageBreak/>
        <w:t xml:space="preserve">Figure </w:t>
      </w:r>
      <w:r w:rsidRPr="00533076">
        <w:rPr>
          <w:rFonts w:ascii="Arial" w:hAnsi="Arial" w:cs="Arial"/>
          <w:sz w:val="22"/>
          <w:szCs w:val="22"/>
          <w:lang w:val="en-US"/>
        </w:rPr>
        <w:fldChar w:fldCharType="begin"/>
      </w:r>
      <w:r w:rsidRPr="00533076">
        <w:rPr>
          <w:rFonts w:ascii="Arial" w:hAnsi="Arial" w:cs="Arial"/>
          <w:sz w:val="22"/>
          <w:szCs w:val="22"/>
          <w:lang w:val="en-US"/>
        </w:rPr>
        <w:instrText xml:space="preserve"> SEQ Figure \* ARABIC </w:instrText>
      </w:r>
      <w:r w:rsidRPr="00533076">
        <w:rPr>
          <w:rFonts w:ascii="Arial" w:hAnsi="Arial" w:cs="Arial"/>
          <w:sz w:val="22"/>
          <w:szCs w:val="22"/>
          <w:lang w:val="en-US"/>
        </w:rPr>
        <w:fldChar w:fldCharType="separate"/>
      </w:r>
      <w:r w:rsidR="00151A1C">
        <w:rPr>
          <w:rFonts w:ascii="Arial" w:hAnsi="Arial" w:cs="Arial"/>
          <w:noProof/>
          <w:sz w:val="22"/>
          <w:szCs w:val="22"/>
          <w:lang w:val="en-US"/>
        </w:rPr>
        <w:t>8</w:t>
      </w:r>
      <w:r w:rsidRPr="00533076">
        <w:rPr>
          <w:rFonts w:ascii="Arial" w:hAnsi="Arial" w:cs="Arial"/>
          <w:sz w:val="22"/>
          <w:szCs w:val="22"/>
          <w:lang w:val="en-US"/>
        </w:rPr>
        <w:fldChar w:fldCharType="end"/>
      </w:r>
      <w:bookmarkEnd w:id="138"/>
      <w:r w:rsidRPr="00533076">
        <w:rPr>
          <w:rFonts w:ascii="Arial" w:hAnsi="Arial" w:cs="Arial"/>
          <w:sz w:val="22"/>
          <w:szCs w:val="22"/>
          <w:lang w:val="en-US"/>
        </w:rPr>
        <w:t xml:space="preserve">: Proportion of patients with </w:t>
      </w:r>
      <w:r w:rsidR="009047E2" w:rsidRPr="00533076">
        <w:rPr>
          <w:rFonts w:ascii="Arial" w:hAnsi="Arial" w:cs="Arial"/>
          <w:sz w:val="22"/>
          <w:szCs w:val="22"/>
          <w:lang w:val="en-US"/>
        </w:rPr>
        <w:t>favourable</w:t>
      </w:r>
      <w:r w:rsidRPr="00533076">
        <w:rPr>
          <w:rFonts w:ascii="Arial" w:hAnsi="Arial" w:cs="Arial"/>
          <w:sz w:val="22"/>
          <w:szCs w:val="22"/>
          <w:lang w:val="en-US"/>
        </w:rPr>
        <w:t xml:space="preserve"> microbiological response for </w:t>
      </w:r>
      <w:r w:rsidRPr="00533076">
        <w:rPr>
          <w:rStyle w:val="BodyText-italic-H12"/>
          <w:rFonts w:ascii="Arial" w:hAnsi="Arial" w:cs="Arial"/>
          <w:sz w:val="22"/>
          <w:szCs w:val="22"/>
          <w:lang w:val="en-US"/>
        </w:rPr>
        <w:t>S. aureus</w:t>
      </w:r>
      <w:r w:rsidRPr="00533076">
        <w:rPr>
          <w:rFonts w:ascii="Arial" w:hAnsi="Arial" w:cs="Arial"/>
          <w:sz w:val="22"/>
          <w:szCs w:val="22"/>
          <w:lang w:val="en-US"/>
        </w:rPr>
        <w:t xml:space="preserve"> and MRSA at the PTE Visit in the pooled analysis of Phase 3 trial data (MITT population)</w:t>
      </w:r>
    </w:p>
    <w:p w14:paraId="0CFA839D" w14:textId="3498D240" w:rsidR="000A1D22" w:rsidRPr="00533076" w:rsidRDefault="000A1D22" w:rsidP="00533076">
      <w:pPr>
        <w:pStyle w:val="BodyText"/>
        <w:rPr>
          <w:lang w:val="en-US"/>
        </w:rPr>
      </w:pPr>
      <w:r w:rsidRPr="00D95C15">
        <w:rPr>
          <w:noProof/>
          <w:lang w:eastAsia="en-GB"/>
        </w:rPr>
        <w:drawing>
          <wp:inline distT="0" distB="0" distL="0" distR="0" wp14:anchorId="0197D7F5" wp14:editId="6B28B103">
            <wp:extent cx="5378450" cy="2870200"/>
            <wp:effectExtent l="0" t="0" r="0" b="0"/>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33076">
        <w:rPr>
          <w:rFonts w:eastAsia="MS PGothic" w:cs="Arial"/>
          <w:sz w:val="16"/>
          <w:szCs w:val="16"/>
          <w:lang w:val="en-US"/>
        </w:rPr>
        <w:t xml:space="preserve">SOURCE: </w:t>
      </w:r>
      <w:r w:rsidRPr="00533076">
        <w:rPr>
          <w:rFonts w:cs="Arial"/>
          <w:sz w:val="16"/>
          <w:szCs w:val="16"/>
          <w:lang w:val="en-US"/>
        </w:rPr>
        <w:t>ISE 2013</w:t>
      </w:r>
      <w:r w:rsidR="00CA0F83">
        <w:rPr>
          <w:rFonts w:cs="Arial"/>
          <w:sz w:val="16"/>
          <w:szCs w:val="16"/>
          <w:lang w:val="en-US"/>
        </w:rPr>
        <w:t xml:space="preserve"> </w:t>
      </w:r>
      <w:r w:rsidR="00CA0F83">
        <w:rPr>
          <w:rFonts w:cs="Arial"/>
          <w:sz w:val="16"/>
          <w:szCs w:val="16"/>
          <w:lang w:val="en-US"/>
        </w:rPr>
        <w:fldChar w:fldCharType="begin"/>
      </w:r>
      <w:r w:rsidR="00CA0F83">
        <w:rPr>
          <w:rFonts w:cs="Arial"/>
          <w:sz w:val="16"/>
          <w:szCs w:val="16"/>
          <w:lang w:val="en-US"/>
        </w:rPr>
        <w:instrText xml:space="preserve"> REF _Ref284183626 \r \h </w:instrText>
      </w:r>
      <w:r w:rsidR="00CA0F83">
        <w:rPr>
          <w:rFonts w:cs="Arial"/>
          <w:sz w:val="16"/>
          <w:szCs w:val="16"/>
          <w:lang w:val="en-US"/>
        </w:rPr>
      </w:r>
      <w:r w:rsidR="00CA0F83">
        <w:rPr>
          <w:rFonts w:cs="Arial"/>
          <w:sz w:val="16"/>
          <w:szCs w:val="16"/>
          <w:lang w:val="en-US"/>
        </w:rPr>
        <w:fldChar w:fldCharType="separate"/>
      </w:r>
      <w:r w:rsidR="00151A1C">
        <w:rPr>
          <w:rFonts w:cs="Arial"/>
          <w:sz w:val="16"/>
          <w:szCs w:val="16"/>
          <w:lang w:val="en-US"/>
        </w:rPr>
        <w:t>51</w:t>
      </w:r>
      <w:r w:rsidR="00CA0F83">
        <w:rPr>
          <w:rFonts w:cs="Arial"/>
          <w:sz w:val="16"/>
          <w:szCs w:val="16"/>
          <w:lang w:val="en-US"/>
        </w:rPr>
        <w:fldChar w:fldCharType="end"/>
      </w:r>
      <w:r w:rsidRPr="00533076">
        <w:rPr>
          <w:rFonts w:cs="Arial"/>
          <w:sz w:val="16"/>
          <w:szCs w:val="16"/>
          <w:lang w:val="en-US"/>
        </w:rPr>
        <w:t>: section 3.10.1.1, Table 115</w:t>
      </w:r>
      <w:r w:rsidR="00533076">
        <w:rPr>
          <w:rFonts w:cs="Arial"/>
          <w:sz w:val="16"/>
          <w:szCs w:val="16"/>
          <w:lang w:val="en-US"/>
        </w:rPr>
        <w:t xml:space="preserve"> </w:t>
      </w:r>
      <w:r w:rsidRPr="00533076">
        <w:rPr>
          <w:rFonts w:cs="Arial"/>
          <w:sz w:val="16"/>
          <w:szCs w:val="16"/>
          <w:lang w:val="en-US"/>
        </w:rPr>
        <w:t xml:space="preserve">Note: </w:t>
      </w:r>
      <w:r w:rsidRPr="00533076">
        <w:rPr>
          <w:rStyle w:val="BodyText-italic-H12"/>
          <w:rFonts w:cs="Arial"/>
          <w:sz w:val="16"/>
          <w:szCs w:val="16"/>
          <w:lang w:val="en-US"/>
        </w:rPr>
        <w:t>S. aureus</w:t>
      </w:r>
      <w:r w:rsidRPr="00533076">
        <w:rPr>
          <w:rFonts w:cs="Arial"/>
          <w:sz w:val="16"/>
          <w:szCs w:val="16"/>
          <w:lang w:val="en-US"/>
        </w:rPr>
        <w:t>: tedizolid phosphate N=329, linezolid N=342; MRSA: tedizolid phosphate N=141, linezolid N=146</w:t>
      </w:r>
      <w:r w:rsidR="00533076">
        <w:rPr>
          <w:rFonts w:cs="Arial"/>
          <w:sz w:val="16"/>
          <w:szCs w:val="16"/>
          <w:lang w:val="en-US"/>
        </w:rPr>
        <w:t xml:space="preserve">. </w:t>
      </w:r>
      <w:r w:rsidRPr="00533076">
        <w:rPr>
          <w:rFonts w:cs="Arial"/>
          <w:sz w:val="16"/>
          <w:szCs w:val="16"/>
        </w:rPr>
        <w:t xml:space="preserve">MITT: Microbiological intent-to-treat; MRSA: Methicillin-resistant </w:t>
      </w:r>
      <w:r w:rsidRPr="00533076">
        <w:rPr>
          <w:rStyle w:val="BodyText-italic-H12"/>
          <w:rFonts w:cs="Arial"/>
          <w:sz w:val="16"/>
          <w:szCs w:val="16"/>
        </w:rPr>
        <w:t>S. aureus</w:t>
      </w:r>
      <w:r w:rsidRPr="00533076">
        <w:rPr>
          <w:rFonts w:cs="Arial"/>
          <w:sz w:val="16"/>
          <w:szCs w:val="16"/>
        </w:rPr>
        <w:t>; PTE: Post-therapy evaluation; N: Number of patients in population</w:t>
      </w:r>
      <w:r w:rsidR="00533076">
        <w:rPr>
          <w:rFonts w:cs="Arial"/>
          <w:sz w:val="16"/>
          <w:szCs w:val="16"/>
        </w:rPr>
        <w:t>.</w:t>
      </w:r>
    </w:p>
    <w:p w14:paraId="1AFDBE16" w14:textId="78DF7535" w:rsidR="00B172B5" w:rsidRPr="00533076" w:rsidRDefault="00B172B5" w:rsidP="00533076">
      <w:pPr>
        <w:rPr>
          <w:bCs/>
          <w:sz w:val="12"/>
          <w:szCs w:val="12"/>
          <w:lang w:val="en-US"/>
        </w:rPr>
      </w:pPr>
    </w:p>
    <w:p w14:paraId="19A6FFF8" w14:textId="77777777" w:rsidR="00EC4726" w:rsidRDefault="00EC4726" w:rsidP="008E4E92">
      <w:pPr>
        <w:autoSpaceDE w:val="0"/>
        <w:autoSpaceDN w:val="0"/>
        <w:adjustRightInd w:val="0"/>
        <w:rPr>
          <w:rFonts w:eastAsia="ScalaLancetPro-Bold" w:cs="Arial"/>
          <w:bCs/>
          <w:sz w:val="22"/>
          <w:szCs w:val="22"/>
          <w:lang w:eastAsia="ja-JP"/>
        </w:rPr>
      </w:pPr>
    </w:p>
    <w:p w14:paraId="72A8C0A9" w14:textId="3DD7C64D" w:rsidR="00100BE6" w:rsidRPr="003566DE" w:rsidRDefault="00EC4726" w:rsidP="00325673">
      <w:pPr>
        <w:numPr>
          <w:ilvl w:val="0"/>
          <w:numId w:val="3"/>
        </w:numPr>
        <w:tabs>
          <w:tab w:val="clear" w:pos="720"/>
          <w:tab w:val="left" w:pos="567"/>
        </w:tabs>
        <w:ind w:left="567" w:hanging="567"/>
        <w:jc w:val="both"/>
        <w:rPr>
          <w:rFonts w:cs="Arial"/>
          <w:bCs/>
          <w:i/>
          <w:sz w:val="22"/>
          <w:szCs w:val="22"/>
        </w:rPr>
      </w:pPr>
      <w:r w:rsidRPr="003566DE">
        <w:rPr>
          <w:rFonts w:cs="Arial"/>
          <w:bCs/>
          <w:i/>
          <w:sz w:val="22"/>
          <w:szCs w:val="22"/>
        </w:rPr>
        <w:t xml:space="preserve">If the clinical </w:t>
      </w:r>
      <w:r w:rsidRPr="003566DE">
        <w:rPr>
          <w:rFonts w:cs="Arial"/>
          <w:i/>
          <w:iCs/>
          <w:sz w:val="22"/>
          <w:szCs w:val="22"/>
        </w:rPr>
        <w:t xml:space="preserve">and / or economic case is based on only part of the marketing authorisation (selective by indication), or </w:t>
      </w:r>
      <w:r w:rsidRPr="003566DE">
        <w:rPr>
          <w:rFonts w:cs="Arial"/>
          <w:i/>
          <w:sz w:val="22"/>
          <w:szCs w:val="22"/>
        </w:rPr>
        <w:t xml:space="preserve">requests SMC to consider the use of the medicine in a specific population of patients narrower than that covered by the marketing authorisation, </w:t>
      </w:r>
      <w:r w:rsidRPr="003566DE">
        <w:rPr>
          <w:rFonts w:cs="Arial"/>
          <w:i/>
          <w:iCs/>
          <w:sz w:val="22"/>
          <w:szCs w:val="22"/>
        </w:rPr>
        <w:t>the clinical evidence base to support the use of the product in that population should be described.</w:t>
      </w:r>
      <w:r w:rsidRPr="003566DE">
        <w:rPr>
          <w:rFonts w:cs="Arial"/>
          <w:bCs/>
          <w:i/>
          <w:sz w:val="22"/>
          <w:szCs w:val="22"/>
        </w:rPr>
        <w:t xml:space="preserve"> </w:t>
      </w:r>
    </w:p>
    <w:p w14:paraId="15603F7D" w14:textId="0F3D332E" w:rsidR="003566DE" w:rsidRDefault="00415C08" w:rsidP="00C21538">
      <w:pPr>
        <w:pStyle w:val="Heading3"/>
        <w:keepLines w:val="0"/>
        <w:spacing w:before="240" w:after="120"/>
        <w:rPr>
          <w:rFonts w:ascii="Arial" w:hAnsi="Arial"/>
          <w:b w:val="0"/>
          <w:color w:val="auto"/>
          <w:sz w:val="22"/>
          <w:szCs w:val="22"/>
          <w:lang w:val="en-US"/>
        </w:rPr>
      </w:pPr>
      <w:bookmarkStart w:id="139" w:name="_Toc396058834"/>
      <w:bookmarkStart w:id="140" w:name="_Ref384386726"/>
      <w:bookmarkStart w:id="141" w:name="_Ref382568782"/>
      <w:r>
        <w:rPr>
          <w:rFonts w:ascii="Arial" w:hAnsi="Arial"/>
          <w:b w:val="0"/>
          <w:color w:val="auto"/>
          <w:sz w:val="22"/>
          <w:szCs w:val="22"/>
          <w:lang w:val="en-US"/>
        </w:rPr>
        <w:t>As stated in sections 1b) and 2</w:t>
      </w:r>
      <w:r w:rsidR="003566DE">
        <w:rPr>
          <w:rFonts w:ascii="Arial" w:hAnsi="Arial"/>
          <w:b w:val="0"/>
          <w:color w:val="auto"/>
          <w:sz w:val="22"/>
          <w:szCs w:val="22"/>
          <w:lang w:val="en-US"/>
        </w:rPr>
        <w:t xml:space="preserve"> above, the manu</w:t>
      </w:r>
      <w:r w:rsidR="00C06F98">
        <w:rPr>
          <w:rFonts w:ascii="Arial" w:hAnsi="Arial"/>
          <w:b w:val="0"/>
          <w:color w:val="auto"/>
          <w:sz w:val="22"/>
          <w:szCs w:val="22"/>
          <w:lang w:val="en-US"/>
        </w:rPr>
        <w:t xml:space="preserve">facturer requests that the SMC </w:t>
      </w:r>
      <w:r w:rsidR="003566DE">
        <w:rPr>
          <w:rFonts w:ascii="Arial" w:hAnsi="Arial"/>
          <w:b w:val="0"/>
          <w:color w:val="auto"/>
          <w:sz w:val="22"/>
          <w:szCs w:val="22"/>
          <w:lang w:val="en-US"/>
        </w:rPr>
        <w:t>c</w:t>
      </w:r>
      <w:r w:rsidR="00C06F98">
        <w:rPr>
          <w:rFonts w:ascii="Arial" w:hAnsi="Arial"/>
          <w:b w:val="0"/>
          <w:color w:val="auto"/>
          <w:sz w:val="22"/>
          <w:szCs w:val="22"/>
          <w:lang w:val="en-US"/>
        </w:rPr>
        <w:t>ons</w:t>
      </w:r>
      <w:r w:rsidR="003566DE">
        <w:rPr>
          <w:rFonts w:ascii="Arial" w:hAnsi="Arial"/>
          <w:b w:val="0"/>
          <w:color w:val="auto"/>
          <w:sz w:val="22"/>
          <w:szCs w:val="22"/>
          <w:lang w:val="en-US"/>
        </w:rPr>
        <w:t>i</w:t>
      </w:r>
      <w:r w:rsidR="00C06F98">
        <w:rPr>
          <w:rFonts w:ascii="Arial" w:hAnsi="Arial"/>
          <w:b w:val="0"/>
          <w:color w:val="auto"/>
          <w:sz w:val="22"/>
          <w:szCs w:val="22"/>
          <w:lang w:val="en-US"/>
        </w:rPr>
        <w:t>d</w:t>
      </w:r>
      <w:r w:rsidR="003566DE">
        <w:rPr>
          <w:rFonts w:ascii="Arial" w:hAnsi="Arial"/>
          <w:b w:val="0"/>
          <w:color w:val="auto"/>
          <w:sz w:val="22"/>
          <w:szCs w:val="22"/>
          <w:lang w:val="en-US"/>
        </w:rPr>
        <w:t xml:space="preserve">ers the use of tedizolid phosphate in the sub-population of ABSSSI patients with infections caused by MRSA, and in the clinical situation where linezolid would typically </w:t>
      </w:r>
      <w:r w:rsidR="003566DE">
        <w:rPr>
          <w:rFonts w:ascii="Arial" w:hAnsi="Arial"/>
          <w:b w:val="0"/>
          <w:color w:val="auto"/>
          <w:sz w:val="22"/>
          <w:szCs w:val="22"/>
          <w:lang w:val="en-US"/>
        </w:rPr>
        <w:lastRenderedPageBreak/>
        <w:t>be used. In this section 3b), the manufacturer presents the clinical evidence for the MRSA sub-population from the Phase 3 studies, ESTABLISH-1 and ESTABLISH-2.</w:t>
      </w:r>
    </w:p>
    <w:bookmarkEnd w:id="139"/>
    <w:p w14:paraId="663EC8B1" w14:textId="175087AD" w:rsidR="008E2785" w:rsidRPr="003566DE" w:rsidRDefault="003566DE" w:rsidP="00100BE6">
      <w:pPr>
        <w:pStyle w:val="BodyText"/>
        <w:rPr>
          <w:b/>
          <w:sz w:val="22"/>
          <w:szCs w:val="22"/>
          <w:lang w:val="en-US"/>
        </w:rPr>
      </w:pPr>
      <w:r>
        <w:rPr>
          <w:b/>
          <w:sz w:val="22"/>
          <w:szCs w:val="22"/>
          <w:lang w:val="en-US"/>
        </w:rPr>
        <w:t>MRSA Sub-Population</w:t>
      </w:r>
    </w:p>
    <w:p w14:paraId="400ABDF8" w14:textId="5CF79363" w:rsidR="00043551" w:rsidRPr="00043551" w:rsidRDefault="008E2785" w:rsidP="00E912F9">
      <w:pPr>
        <w:pStyle w:val="BodyText"/>
        <w:rPr>
          <w:sz w:val="22"/>
          <w:szCs w:val="22"/>
          <w:lang w:val="en-US"/>
        </w:rPr>
      </w:pPr>
      <w:r w:rsidRPr="00043551">
        <w:rPr>
          <w:rFonts w:eastAsia="Arial Unicode MS"/>
          <w:sz w:val="22"/>
          <w:szCs w:val="22"/>
          <w:lang w:val="en-US"/>
        </w:rPr>
        <w:t xml:space="preserve">In </w:t>
      </w:r>
      <w:r w:rsidR="00043551" w:rsidRPr="00043551">
        <w:rPr>
          <w:rFonts w:eastAsia="Arial Unicode MS"/>
          <w:sz w:val="22"/>
          <w:szCs w:val="22"/>
          <w:lang w:val="en-US"/>
        </w:rPr>
        <w:t xml:space="preserve">both </w:t>
      </w:r>
      <w:r w:rsidRPr="00043551">
        <w:rPr>
          <w:rFonts w:eastAsia="Arial Unicode MS"/>
          <w:sz w:val="22"/>
          <w:szCs w:val="22"/>
          <w:lang w:val="en-US"/>
        </w:rPr>
        <w:t>ESTABLISH-1</w:t>
      </w:r>
      <w:r w:rsidR="00043551" w:rsidRPr="00043551">
        <w:rPr>
          <w:rFonts w:eastAsia="Arial Unicode MS"/>
          <w:sz w:val="22"/>
          <w:szCs w:val="22"/>
          <w:lang w:val="en-US"/>
        </w:rPr>
        <w:t xml:space="preserve"> and ESTABLISH-2</w:t>
      </w:r>
      <w:r w:rsidRPr="00043551">
        <w:rPr>
          <w:rFonts w:eastAsia="Arial Unicode MS"/>
          <w:sz w:val="22"/>
          <w:szCs w:val="22"/>
          <w:lang w:val="en-US"/>
        </w:rPr>
        <w:t xml:space="preserve">, the majority of the infecting pathogens were Gram-positive aerobes in both the tedizolid phosphate and linezolid groups within the MITT </w:t>
      </w:r>
      <w:r w:rsidRPr="00043551">
        <w:rPr>
          <w:sz w:val="22"/>
          <w:szCs w:val="22"/>
          <w:lang w:val="en-US"/>
        </w:rPr>
        <w:t>population.</w:t>
      </w:r>
      <w:r w:rsidR="00E912F9" w:rsidRPr="00043551">
        <w:rPr>
          <w:rFonts w:eastAsia="Arial Unicode MS"/>
          <w:sz w:val="22"/>
          <w:szCs w:val="22"/>
          <w:lang w:val="en-US"/>
        </w:rPr>
        <w:t xml:space="preserve"> </w:t>
      </w:r>
      <w:r w:rsidRPr="00043551">
        <w:rPr>
          <w:rFonts w:eastAsia="Arial Unicode MS"/>
          <w:sz w:val="22"/>
          <w:szCs w:val="22"/>
          <w:lang w:val="en-US"/>
        </w:rPr>
        <w:t xml:space="preserve">In both treatment groups, </w:t>
      </w:r>
      <w:r w:rsidRPr="00043551">
        <w:rPr>
          <w:rStyle w:val="BodyText-italic-H12"/>
          <w:rFonts w:eastAsia="Arial Unicode MS"/>
          <w:sz w:val="22"/>
          <w:szCs w:val="22"/>
          <w:lang w:val="en-US"/>
        </w:rPr>
        <w:t>S. aureus</w:t>
      </w:r>
      <w:r w:rsidRPr="00043551">
        <w:rPr>
          <w:rFonts w:eastAsia="Arial Unicode MS"/>
          <w:sz w:val="22"/>
          <w:szCs w:val="22"/>
          <w:lang w:val="en-US"/>
        </w:rPr>
        <w:t xml:space="preserve"> represented over 80% of the pathogens. </w:t>
      </w:r>
      <w:r w:rsidR="00043551" w:rsidRPr="00043551">
        <w:rPr>
          <w:rFonts w:eastAsia="Arial Unicode MS"/>
          <w:sz w:val="22"/>
          <w:szCs w:val="22"/>
          <w:lang w:val="en-US"/>
        </w:rPr>
        <w:t xml:space="preserve">In ESTABLISH-1, </w:t>
      </w:r>
      <w:r w:rsidRPr="00043551">
        <w:rPr>
          <w:rFonts w:eastAsia="Arial Unicode MS"/>
          <w:sz w:val="22"/>
          <w:szCs w:val="22"/>
          <w:lang w:val="en-US"/>
        </w:rPr>
        <w:t>MRSA was prevalent in 42.1% of cases in the tedizolid phosphate group and 43.1% in the linezolid group</w:t>
      </w:r>
      <w:r w:rsidR="003566DE">
        <w:rPr>
          <w:rFonts w:eastAsia="Arial Unicode MS"/>
          <w:sz w:val="22"/>
          <w:szCs w:val="22"/>
          <w:lang w:val="en-US"/>
        </w:rPr>
        <w:t xml:space="preserve"> at baseline</w:t>
      </w:r>
      <w:r w:rsidRPr="00043551">
        <w:rPr>
          <w:rFonts w:eastAsia="Arial Unicode MS"/>
          <w:sz w:val="22"/>
          <w:szCs w:val="22"/>
          <w:lang w:val="en-US"/>
        </w:rPr>
        <w:t xml:space="preserve"> (</w:t>
      </w:r>
      <w:r w:rsidR="006A75D5">
        <w:rPr>
          <w:sz w:val="22"/>
          <w:szCs w:val="22"/>
          <w:lang w:val="en-US"/>
        </w:rPr>
        <w:fldChar w:fldCharType="begin"/>
      </w:r>
      <w:r w:rsidR="006A75D5">
        <w:rPr>
          <w:rFonts w:eastAsia="Arial Unicode MS"/>
          <w:sz w:val="22"/>
          <w:szCs w:val="22"/>
          <w:lang w:val="en-US"/>
        </w:rPr>
        <w:instrText xml:space="preserve"> REF _Ref381628493 \h </w:instrText>
      </w:r>
      <w:r w:rsidR="006A75D5">
        <w:rPr>
          <w:sz w:val="22"/>
          <w:szCs w:val="22"/>
          <w:lang w:val="en-US"/>
        </w:rPr>
      </w:r>
      <w:r w:rsidR="006A75D5">
        <w:rPr>
          <w:sz w:val="22"/>
          <w:szCs w:val="22"/>
          <w:lang w:val="en-US"/>
        </w:rPr>
        <w:fldChar w:fldCharType="separate"/>
      </w:r>
      <w:r w:rsidR="00151A1C" w:rsidRPr="00547560">
        <w:rPr>
          <w:sz w:val="22"/>
          <w:szCs w:val="22"/>
          <w:lang w:val="en-US"/>
        </w:rPr>
        <w:t xml:space="preserve">Table </w:t>
      </w:r>
      <w:r w:rsidR="00151A1C">
        <w:rPr>
          <w:noProof/>
          <w:sz w:val="22"/>
          <w:szCs w:val="22"/>
          <w:lang w:val="en-US"/>
        </w:rPr>
        <w:t>10</w:t>
      </w:r>
      <w:r w:rsidR="006A75D5">
        <w:rPr>
          <w:sz w:val="22"/>
          <w:szCs w:val="22"/>
          <w:lang w:val="en-US"/>
        </w:rPr>
        <w:fldChar w:fldCharType="end"/>
      </w:r>
      <w:r w:rsidRPr="00043551">
        <w:rPr>
          <w:rFonts w:eastAsia="Arial Unicode MS"/>
          <w:sz w:val="22"/>
          <w:szCs w:val="22"/>
          <w:lang w:val="en-US"/>
        </w:rPr>
        <w:t>).</w:t>
      </w:r>
      <w:r w:rsidR="00043551" w:rsidRPr="00043551">
        <w:rPr>
          <w:rFonts w:eastAsia="Arial Unicode MS"/>
          <w:sz w:val="22"/>
          <w:szCs w:val="22"/>
          <w:lang w:val="en-US"/>
        </w:rPr>
        <w:t xml:space="preserve"> In ESTABLISH-2, MRSA was prevalent in 26.9% of cases in the tedizolid phosphate group and 27.7% in the linezolid group </w:t>
      </w:r>
      <w:r w:rsidR="003566DE">
        <w:rPr>
          <w:rFonts w:eastAsia="Arial Unicode MS"/>
          <w:sz w:val="22"/>
          <w:szCs w:val="22"/>
          <w:lang w:val="en-US"/>
        </w:rPr>
        <w:t xml:space="preserve">at baseline </w:t>
      </w:r>
      <w:r w:rsidR="00043551" w:rsidRPr="00043551">
        <w:rPr>
          <w:rFonts w:eastAsia="Arial Unicode MS"/>
          <w:sz w:val="22"/>
          <w:szCs w:val="22"/>
          <w:lang w:val="en-US"/>
        </w:rPr>
        <w:t>(</w:t>
      </w:r>
      <w:r w:rsidR="006A75D5">
        <w:rPr>
          <w:sz w:val="22"/>
          <w:szCs w:val="22"/>
          <w:lang w:val="en-US"/>
        </w:rPr>
        <w:fldChar w:fldCharType="begin"/>
      </w:r>
      <w:r w:rsidR="006A75D5">
        <w:rPr>
          <w:rFonts w:eastAsia="Arial Unicode MS"/>
          <w:sz w:val="22"/>
          <w:szCs w:val="22"/>
          <w:lang w:val="en-US"/>
        </w:rPr>
        <w:instrText xml:space="preserve"> REF _Ref381888830 \h </w:instrText>
      </w:r>
      <w:r w:rsidR="006A75D5">
        <w:rPr>
          <w:sz w:val="22"/>
          <w:szCs w:val="22"/>
          <w:lang w:val="en-US"/>
        </w:rPr>
      </w:r>
      <w:r w:rsidR="006A75D5">
        <w:rPr>
          <w:sz w:val="22"/>
          <w:szCs w:val="22"/>
          <w:lang w:val="en-US"/>
        </w:rPr>
        <w:fldChar w:fldCharType="separate"/>
      </w:r>
      <w:r w:rsidR="00151A1C" w:rsidRPr="00BA66AD">
        <w:rPr>
          <w:rFonts w:cs="Arial"/>
          <w:sz w:val="22"/>
          <w:szCs w:val="22"/>
          <w:lang w:val="en-US"/>
        </w:rPr>
        <w:t xml:space="preserve">Table </w:t>
      </w:r>
      <w:r w:rsidR="00151A1C">
        <w:rPr>
          <w:rFonts w:cs="Arial"/>
          <w:noProof/>
          <w:sz w:val="22"/>
          <w:szCs w:val="22"/>
          <w:lang w:val="en-US"/>
        </w:rPr>
        <w:t>22</w:t>
      </w:r>
      <w:r w:rsidR="006A75D5">
        <w:rPr>
          <w:sz w:val="22"/>
          <w:szCs w:val="22"/>
          <w:lang w:val="en-US"/>
        </w:rPr>
        <w:fldChar w:fldCharType="end"/>
      </w:r>
      <w:r w:rsidR="00043551" w:rsidRPr="00043551">
        <w:rPr>
          <w:rFonts w:eastAsia="Arial Unicode MS"/>
          <w:sz w:val="22"/>
          <w:szCs w:val="22"/>
          <w:lang w:val="en-US"/>
        </w:rPr>
        <w:t>).</w:t>
      </w:r>
      <w:r w:rsidR="00E912F9" w:rsidRPr="00043551">
        <w:rPr>
          <w:sz w:val="22"/>
          <w:szCs w:val="22"/>
          <w:lang w:val="en-US"/>
        </w:rPr>
        <w:t xml:space="preserve"> </w:t>
      </w:r>
    </w:p>
    <w:p w14:paraId="27BD2995" w14:textId="77777777" w:rsidR="008E2785" w:rsidRDefault="008E2785" w:rsidP="00100BE6">
      <w:pPr>
        <w:pStyle w:val="BodyText"/>
        <w:rPr>
          <w:sz w:val="22"/>
          <w:szCs w:val="22"/>
          <w:lang w:val="en-US"/>
        </w:rPr>
      </w:pPr>
    </w:p>
    <w:p w14:paraId="561AC2AD" w14:textId="28B33EEA" w:rsidR="00A80096" w:rsidRDefault="00100BE6" w:rsidP="00100BE6">
      <w:pPr>
        <w:pStyle w:val="BodyText"/>
        <w:rPr>
          <w:sz w:val="22"/>
          <w:szCs w:val="22"/>
          <w:lang w:val="en-US"/>
        </w:rPr>
      </w:pPr>
      <w:r w:rsidRPr="002247BE">
        <w:rPr>
          <w:sz w:val="22"/>
          <w:szCs w:val="22"/>
          <w:lang w:val="en-US"/>
        </w:rPr>
        <w:t>The following sub-population analyses present data on the efficacy of tedizolid phosphate compared with linezol</w:t>
      </w:r>
      <w:r w:rsidR="0084174E" w:rsidRPr="002247BE">
        <w:rPr>
          <w:sz w:val="22"/>
          <w:szCs w:val="22"/>
          <w:lang w:val="en-US"/>
        </w:rPr>
        <w:t>id in patients with MRSA ABSSSI in relation to the following endpoints:</w:t>
      </w:r>
    </w:p>
    <w:p w14:paraId="284135FD" w14:textId="77777777" w:rsidR="00FB13CC" w:rsidRPr="002247BE" w:rsidRDefault="00FB13CC" w:rsidP="00100BE6">
      <w:pPr>
        <w:pStyle w:val="BodyText"/>
        <w:rPr>
          <w:sz w:val="22"/>
          <w:szCs w:val="22"/>
          <w:lang w:val="en-US"/>
        </w:rPr>
      </w:pPr>
    </w:p>
    <w:p w14:paraId="01D71507" w14:textId="65993BE3" w:rsidR="00100BE6" w:rsidRPr="002247BE" w:rsidRDefault="008917D4" w:rsidP="00C06F98">
      <w:pPr>
        <w:pStyle w:val="ListBullet-H41"/>
        <w:numPr>
          <w:ilvl w:val="0"/>
          <w:numId w:val="0"/>
        </w:numPr>
        <w:spacing w:before="0" w:after="0"/>
        <w:rPr>
          <w:rFonts w:ascii="Arial" w:hAnsi="Arial"/>
          <w:sz w:val="22"/>
          <w:szCs w:val="22"/>
          <w:lang w:val="en-US"/>
        </w:rPr>
      </w:pPr>
      <w:r>
        <w:rPr>
          <w:rFonts w:ascii="Arial" w:hAnsi="Arial"/>
          <w:sz w:val="22"/>
          <w:szCs w:val="22"/>
          <w:lang w:val="en-US"/>
        </w:rPr>
        <w:t xml:space="preserve">(i) </w:t>
      </w:r>
      <w:r w:rsidR="00100BE6" w:rsidRPr="002247BE">
        <w:rPr>
          <w:rFonts w:ascii="Arial" w:hAnsi="Arial"/>
          <w:sz w:val="22"/>
          <w:szCs w:val="22"/>
          <w:lang w:val="en-US"/>
        </w:rPr>
        <w:t>Early clinical response, defined as ≥20% decrease from baseline in lesion area, at the 48-Hour to 72-Hour Visit (MITT population) (FDA recommended outcome)</w:t>
      </w:r>
      <w:r w:rsidR="00C06F98">
        <w:rPr>
          <w:rFonts w:ascii="Arial" w:hAnsi="Arial"/>
          <w:sz w:val="22"/>
          <w:szCs w:val="22"/>
          <w:lang w:val="en-US"/>
        </w:rPr>
        <w:t>;</w:t>
      </w:r>
    </w:p>
    <w:p w14:paraId="334E4C7D" w14:textId="429B66EE" w:rsidR="00100BE6" w:rsidRPr="002247BE" w:rsidRDefault="008917D4" w:rsidP="00C06F98">
      <w:pPr>
        <w:pStyle w:val="ListBullet-H41"/>
        <w:numPr>
          <w:ilvl w:val="0"/>
          <w:numId w:val="0"/>
        </w:numPr>
        <w:spacing w:before="0" w:after="0"/>
        <w:rPr>
          <w:rFonts w:ascii="Arial" w:hAnsi="Arial"/>
          <w:sz w:val="22"/>
          <w:szCs w:val="22"/>
          <w:lang w:val="en-US"/>
        </w:rPr>
      </w:pPr>
      <w:r>
        <w:rPr>
          <w:rFonts w:ascii="Arial" w:hAnsi="Arial"/>
          <w:sz w:val="22"/>
          <w:szCs w:val="22"/>
          <w:lang w:val="en-US"/>
        </w:rPr>
        <w:t xml:space="preserve">(ii) </w:t>
      </w:r>
      <w:r w:rsidR="00100BE6" w:rsidRPr="002247BE">
        <w:rPr>
          <w:rFonts w:ascii="Arial" w:hAnsi="Arial"/>
          <w:sz w:val="22"/>
          <w:szCs w:val="22"/>
          <w:lang w:val="en-US"/>
        </w:rPr>
        <w:t>Sustained clinical response at the EOT Visit (MITT and CE-EOT population)</w:t>
      </w:r>
      <w:r w:rsidR="00C06F98">
        <w:rPr>
          <w:rFonts w:ascii="Arial" w:hAnsi="Arial"/>
          <w:sz w:val="22"/>
          <w:szCs w:val="22"/>
          <w:lang w:val="en-US"/>
        </w:rPr>
        <w:t>;</w:t>
      </w:r>
      <w:r w:rsidR="00100BE6" w:rsidRPr="002247BE">
        <w:rPr>
          <w:rFonts w:ascii="Arial" w:hAnsi="Arial"/>
          <w:sz w:val="22"/>
          <w:szCs w:val="22"/>
          <w:lang w:val="en-US"/>
        </w:rPr>
        <w:t xml:space="preserve"> </w:t>
      </w:r>
    </w:p>
    <w:p w14:paraId="5DD931ED" w14:textId="34BD3B7E" w:rsidR="00100BE6" w:rsidRPr="002247BE" w:rsidRDefault="008917D4" w:rsidP="00C06F98">
      <w:pPr>
        <w:pStyle w:val="ListBullet-H41"/>
        <w:numPr>
          <w:ilvl w:val="0"/>
          <w:numId w:val="0"/>
        </w:numPr>
        <w:spacing w:before="0" w:after="0"/>
        <w:rPr>
          <w:rFonts w:ascii="Arial" w:hAnsi="Arial"/>
          <w:sz w:val="22"/>
          <w:szCs w:val="22"/>
          <w:lang w:val="en-US"/>
        </w:rPr>
      </w:pPr>
      <w:r>
        <w:rPr>
          <w:rFonts w:ascii="Arial" w:hAnsi="Arial"/>
          <w:sz w:val="22"/>
          <w:szCs w:val="22"/>
          <w:lang w:val="en-US"/>
        </w:rPr>
        <w:t xml:space="preserve">(iii) </w:t>
      </w:r>
      <w:r w:rsidR="00100BE6" w:rsidRPr="002247BE">
        <w:rPr>
          <w:rFonts w:ascii="Arial" w:hAnsi="Arial"/>
          <w:sz w:val="22"/>
          <w:szCs w:val="22"/>
          <w:lang w:val="en-US"/>
        </w:rPr>
        <w:t>Investigator-assessed clinical success at the PTE Visit (MITT population) (EMA-recommended outcome</w:t>
      </w:r>
      <w:r w:rsidR="00DD23C5">
        <w:rPr>
          <w:rFonts w:ascii="Arial" w:hAnsi="Arial"/>
          <w:sz w:val="22"/>
          <w:szCs w:val="22"/>
          <w:lang w:val="en-US"/>
        </w:rPr>
        <w:t xml:space="preserve"> equivalent to “test of cure” visit</w:t>
      </w:r>
      <w:r w:rsidR="00100BE6" w:rsidRPr="002247BE">
        <w:rPr>
          <w:rFonts w:ascii="Arial" w:hAnsi="Arial"/>
          <w:sz w:val="22"/>
          <w:szCs w:val="22"/>
          <w:lang w:val="en-US"/>
        </w:rPr>
        <w:t>)</w:t>
      </w:r>
      <w:r w:rsidR="00C06F98">
        <w:rPr>
          <w:rFonts w:ascii="Arial" w:hAnsi="Arial"/>
          <w:sz w:val="22"/>
          <w:szCs w:val="22"/>
          <w:lang w:val="en-US"/>
        </w:rPr>
        <w:t>;</w:t>
      </w:r>
      <w:r w:rsidR="00100BE6" w:rsidRPr="002247BE">
        <w:rPr>
          <w:rFonts w:ascii="Arial" w:hAnsi="Arial"/>
          <w:sz w:val="22"/>
          <w:szCs w:val="22"/>
          <w:lang w:val="en-US"/>
        </w:rPr>
        <w:t xml:space="preserve"> </w:t>
      </w:r>
    </w:p>
    <w:p w14:paraId="705D2BC2" w14:textId="35F3B90C" w:rsidR="00100BE6" w:rsidRPr="002247BE" w:rsidRDefault="0048246C" w:rsidP="00C06F98">
      <w:pPr>
        <w:pStyle w:val="ListBullet-H41"/>
        <w:numPr>
          <w:ilvl w:val="0"/>
          <w:numId w:val="0"/>
        </w:numPr>
        <w:spacing w:before="0" w:after="0"/>
        <w:rPr>
          <w:rFonts w:ascii="Arial" w:hAnsi="Arial"/>
          <w:sz w:val="22"/>
          <w:szCs w:val="22"/>
          <w:lang w:val="en-US"/>
        </w:rPr>
      </w:pPr>
      <w:r>
        <w:rPr>
          <w:rFonts w:ascii="Arial" w:hAnsi="Arial"/>
          <w:sz w:val="22"/>
          <w:szCs w:val="22"/>
          <w:lang w:val="en-US"/>
        </w:rPr>
        <w:t xml:space="preserve">(iv) </w:t>
      </w:r>
      <w:r w:rsidR="00100BE6" w:rsidRPr="002247BE">
        <w:rPr>
          <w:rFonts w:ascii="Arial" w:hAnsi="Arial"/>
          <w:sz w:val="22"/>
          <w:szCs w:val="22"/>
          <w:lang w:val="en-US"/>
        </w:rPr>
        <w:t>Sustained response at LFU Visit in patients with clinical success at the PTE Visit (CE-PTE population)</w:t>
      </w:r>
      <w:r w:rsidR="00FB13CC">
        <w:rPr>
          <w:rFonts w:ascii="Arial" w:hAnsi="Arial"/>
          <w:sz w:val="22"/>
          <w:szCs w:val="22"/>
          <w:lang w:val="en-US"/>
        </w:rPr>
        <w:t>.</w:t>
      </w:r>
      <w:r w:rsidR="00100BE6" w:rsidRPr="002247BE">
        <w:rPr>
          <w:rFonts w:ascii="Arial" w:hAnsi="Arial"/>
          <w:sz w:val="22"/>
          <w:szCs w:val="22"/>
          <w:lang w:val="en-US"/>
        </w:rPr>
        <w:t xml:space="preserve"> </w:t>
      </w:r>
    </w:p>
    <w:p w14:paraId="1C93CF43" w14:textId="43FC119A" w:rsidR="00A80096" w:rsidRPr="002247BE" w:rsidRDefault="002247BE" w:rsidP="00A80096">
      <w:pPr>
        <w:pStyle w:val="ListBullet-H41"/>
        <w:numPr>
          <w:ilvl w:val="0"/>
          <w:numId w:val="0"/>
        </w:numPr>
        <w:ind w:left="360" w:hanging="360"/>
        <w:rPr>
          <w:rFonts w:ascii="Arial" w:hAnsi="Arial"/>
          <w:b/>
          <w:sz w:val="22"/>
          <w:szCs w:val="22"/>
          <w:lang w:val="en-US"/>
        </w:rPr>
      </w:pPr>
      <w:r w:rsidRPr="002247BE">
        <w:rPr>
          <w:rFonts w:ascii="Arial" w:hAnsi="Arial"/>
          <w:b/>
          <w:sz w:val="22"/>
          <w:szCs w:val="22"/>
          <w:lang w:val="en-US"/>
        </w:rPr>
        <w:t xml:space="preserve">(i) </w:t>
      </w:r>
      <w:r w:rsidR="003566DE" w:rsidRPr="002247BE">
        <w:rPr>
          <w:rFonts w:ascii="Arial" w:hAnsi="Arial"/>
          <w:b/>
          <w:sz w:val="22"/>
          <w:szCs w:val="22"/>
          <w:lang w:val="en-US"/>
        </w:rPr>
        <w:t>Early clinical response (MITT population)</w:t>
      </w:r>
    </w:p>
    <w:bookmarkEnd w:id="140"/>
    <w:p w14:paraId="4DC5002F" w14:textId="06DAE372" w:rsidR="00100BE6" w:rsidRPr="002247BE" w:rsidRDefault="00100BE6" w:rsidP="00100BE6">
      <w:pPr>
        <w:pStyle w:val="BodyText"/>
        <w:rPr>
          <w:sz w:val="22"/>
          <w:szCs w:val="22"/>
          <w:lang w:val="en-US"/>
        </w:rPr>
      </w:pPr>
      <w:r w:rsidRPr="002247BE">
        <w:rPr>
          <w:sz w:val="22"/>
          <w:szCs w:val="22"/>
          <w:lang w:val="en-US"/>
        </w:rPr>
        <w:t xml:space="preserve">Results from the pooled analysis of Phase 3 trials demonstrated that </w:t>
      </w:r>
      <w:r w:rsidR="002247BE" w:rsidRPr="002247BE">
        <w:rPr>
          <w:sz w:val="22"/>
          <w:szCs w:val="22"/>
          <w:lang w:val="en-US"/>
        </w:rPr>
        <w:t xml:space="preserve">the proportion of patients with MRSA infections achieving early clinical response was comparable between </w:t>
      </w:r>
      <w:r w:rsidRPr="002247BE">
        <w:rPr>
          <w:sz w:val="22"/>
          <w:szCs w:val="22"/>
          <w:lang w:val="en-US"/>
        </w:rPr>
        <w:t xml:space="preserve">tedizolid phosphate </w:t>
      </w:r>
      <w:r w:rsidR="002247BE" w:rsidRPr="002247BE">
        <w:rPr>
          <w:sz w:val="22"/>
          <w:szCs w:val="22"/>
          <w:lang w:val="en-US"/>
        </w:rPr>
        <w:t>and</w:t>
      </w:r>
      <w:r w:rsidRPr="002247BE">
        <w:rPr>
          <w:sz w:val="22"/>
          <w:szCs w:val="22"/>
          <w:lang w:val="en-US"/>
        </w:rPr>
        <w:t xml:space="preserve"> linezolid (</w:t>
      </w:r>
      <w:r w:rsidR="001F5861">
        <w:rPr>
          <w:sz w:val="22"/>
          <w:szCs w:val="22"/>
          <w:lang w:val="en-US"/>
        </w:rPr>
        <w:fldChar w:fldCharType="begin"/>
      </w:r>
      <w:r w:rsidR="001F5861">
        <w:rPr>
          <w:sz w:val="22"/>
          <w:szCs w:val="22"/>
          <w:lang w:val="en-US"/>
        </w:rPr>
        <w:instrText xml:space="preserve"> REF _Ref281834320 \h </w:instrText>
      </w:r>
      <w:r w:rsidR="001F5861">
        <w:rPr>
          <w:sz w:val="22"/>
          <w:szCs w:val="22"/>
          <w:lang w:val="en-US"/>
        </w:rPr>
      </w:r>
      <w:r w:rsidR="001F5861">
        <w:rPr>
          <w:sz w:val="22"/>
          <w:szCs w:val="22"/>
          <w:lang w:val="en-US"/>
        </w:rPr>
        <w:fldChar w:fldCharType="separate"/>
      </w:r>
      <w:r w:rsidR="00151A1C" w:rsidRPr="00FB13CC">
        <w:rPr>
          <w:sz w:val="22"/>
          <w:szCs w:val="22"/>
        </w:rPr>
        <w:t xml:space="preserve">Table </w:t>
      </w:r>
      <w:r w:rsidR="00151A1C">
        <w:rPr>
          <w:noProof/>
          <w:sz w:val="22"/>
          <w:szCs w:val="22"/>
        </w:rPr>
        <w:t>32</w:t>
      </w:r>
      <w:r w:rsidR="001F5861">
        <w:rPr>
          <w:sz w:val="22"/>
          <w:szCs w:val="22"/>
          <w:lang w:val="en-US"/>
        </w:rPr>
        <w:fldChar w:fldCharType="end"/>
      </w:r>
      <w:r w:rsidRPr="002247BE">
        <w:rPr>
          <w:sz w:val="22"/>
          <w:szCs w:val="22"/>
          <w:lang w:val="en-US"/>
        </w:rPr>
        <w:t xml:space="preserve"> </w:t>
      </w:r>
      <w:r w:rsidRPr="001F5861">
        <w:rPr>
          <w:sz w:val="22"/>
          <w:szCs w:val="22"/>
          <w:lang w:val="en-US"/>
        </w:rPr>
        <w:t xml:space="preserve">and </w:t>
      </w:r>
      <w:r w:rsidR="0014045E">
        <w:rPr>
          <w:sz w:val="22"/>
          <w:szCs w:val="22"/>
          <w:lang w:val="en-US"/>
        </w:rPr>
        <w:fldChar w:fldCharType="begin"/>
      </w:r>
      <w:r w:rsidR="0014045E">
        <w:rPr>
          <w:sz w:val="22"/>
          <w:szCs w:val="22"/>
          <w:lang w:val="en-US"/>
        </w:rPr>
        <w:instrText xml:space="preserve"> REF _Ref281834376 \h </w:instrText>
      </w:r>
      <w:r w:rsidR="0014045E">
        <w:rPr>
          <w:sz w:val="22"/>
          <w:szCs w:val="22"/>
          <w:lang w:val="en-US"/>
        </w:rPr>
      </w:r>
      <w:r w:rsidR="0014045E">
        <w:rPr>
          <w:sz w:val="22"/>
          <w:szCs w:val="22"/>
          <w:lang w:val="en-US"/>
        </w:rPr>
        <w:fldChar w:fldCharType="separate"/>
      </w:r>
      <w:r w:rsidR="00151A1C" w:rsidRPr="0014045E">
        <w:rPr>
          <w:rFonts w:cs="Arial"/>
          <w:sz w:val="22"/>
          <w:szCs w:val="22"/>
        </w:rPr>
        <w:t xml:space="preserve">Figure </w:t>
      </w:r>
      <w:r w:rsidR="00151A1C">
        <w:rPr>
          <w:rFonts w:cs="Arial"/>
          <w:noProof/>
          <w:sz w:val="22"/>
          <w:szCs w:val="22"/>
        </w:rPr>
        <w:t>9</w:t>
      </w:r>
      <w:r w:rsidR="0014045E">
        <w:rPr>
          <w:sz w:val="22"/>
          <w:szCs w:val="22"/>
          <w:lang w:val="en-US"/>
        </w:rPr>
        <w:fldChar w:fldCharType="end"/>
      </w:r>
      <w:r w:rsidRPr="001F5861">
        <w:rPr>
          <w:sz w:val="22"/>
          <w:szCs w:val="22"/>
          <w:lang w:val="en-US"/>
        </w:rPr>
        <w:t>).</w:t>
      </w:r>
      <w:r w:rsidR="00E912F9" w:rsidRPr="002247BE">
        <w:rPr>
          <w:sz w:val="22"/>
          <w:szCs w:val="22"/>
          <w:lang w:val="en-US"/>
        </w:rPr>
        <w:t xml:space="preserve"> </w:t>
      </w:r>
    </w:p>
    <w:p w14:paraId="19A4E464" w14:textId="0A86D240" w:rsidR="00100BE6" w:rsidRPr="00FB13CC" w:rsidRDefault="00FB13CC" w:rsidP="00FB13CC">
      <w:pPr>
        <w:pStyle w:val="Caption"/>
        <w:jc w:val="left"/>
        <w:rPr>
          <w:rFonts w:ascii="Arial" w:hAnsi="Arial"/>
          <w:sz w:val="22"/>
          <w:szCs w:val="22"/>
          <w:lang w:val="en-US"/>
        </w:rPr>
      </w:pPr>
      <w:bookmarkStart w:id="142" w:name="_Ref281834320"/>
      <w:bookmarkStart w:id="143" w:name="_Toc396058462"/>
      <w:r w:rsidRPr="00FB13CC">
        <w:rPr>
          <w:rFonts w:ascii="Arial" w:hAnsi="Arial"/>
          <w:sz w:val="22"/>
          <w:szCs w:val="22"/>
        </w:rPr>
        <w:lastRenderedPageBreak/>
        <w:t xml:space="preserve">Table </w:t>
      </w:r>
      <w:r w:rsidRPr="00FB13CC">
        <w:rPr>
          <w:rFonts w:ascii="Arial" w:hAnsi="Arial"/>
          <w:sz w:val="22"/>
          <w:szCs w:val="22"/>
        </w:rPr>
        <w:fldChar w:fldCharType="begin"/>
      </w:r>
      <w:r w:rsidRPr="00FB13CC">
        <w:rPr>
          <w:rFonts w:ascii="Arial" w:hAnsi="Arial"/>
          <w:sz w:val="22"/>
          <w:szCs w:val="22"/>
        </w:rPr>
        <w:instrText xml:space="preserve"> SEQ Table \* ARABIC </w:instrText>
      </w:r>
      <w:r w:rsidRPr="00FB13CC">
        <w:rPr>
          <w:rFonts w:ascii="Arial" w:hAnsi="Arial"/>
          <w:sz w:val="22"/>
          <w:szCs w:val="22"/>
        </w:rPr>
        <w:fldChar w:fldCharType="separate"/>
      </w:r>
      <w:r w:rsidR="00151A1C">
        <w:rPr>
          <w:rFonts w:ascii="Arial" w:hAnsi="Arial"/>
          <w:noProof/>
          <w:sz w:val="22"/>
          <w:szCs w:val="22"/>
        </w:rPr>
        <w:t>32</w:t>
      </w:r>
      <w:r w:rsidRPr="00FB13CC">
        <w:rPr>
          <w:rFonts w:ascii="Arial" w:hAnsi="Arial"/>
          <w:sz w:val="22"/>
          <w:szCs w:val="22"/>
        </w:rPr>
        <w:fldChar w:fldCharType="end"/>
      </w:r>
      <w:bookmarkEnd w:id="142"/>
      <w:r w:rsidR="00100BE6" w:rsidRPr="00FB13CC">
        <w:rPr>
          <w:rFonts w:ascii="Arial" w:hAnsi="Arial"/>
          <w:sz w:val="22"/>
          <w:szCs w:val="22"/>
          <w:lang w:val="en-US"/>
        </w:rPr>
        <w:t>: Proportion of patients with MRSA infections classified as clinical responders, defined as ≥20% decrease in lesion area, at the 48-Hour to 72-Hour Visit in the analysis of pooled Phase 3 trial data (MITT population)</w:t>
      </w:r>
      <w:bookmarkEnd w:id="143"/>
    </w:p>
    <w:tbl>
      <w:tblPr>
        <w:tblStyle w:val="Table-HERONplain"/>
        <w:tblW w:w="0" w:type="auto"/>
        <w:tblLayout w:type="fixed"/>
        <w:tblLook w:val="04A0" w:firstRow="1" w:lastRow="0" w:firstColumn="1" w:lastColumn="0" w:noHBand="0" w:noVBand="1"/>
      </w:tblPr>
      <w:tblGrid>
        <w:gridCol w:w="1638"/>
        <w:gridCol w:w="1901"/>
        <w:gridCol w:w="1701"/>
        <w:gridCol w:w="1276"/>
        <w:gridCol w:w="1242"/>
        <w:gridCol w:w="1168"/>
      </w:tblGrid>
      <w:tr w:rsidR="00100BE6" w:rsidRPr="00AE14FC" w14:paraId="339B8FC6" w14:textId="77777777" w:rsidTr="00A01AB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65DA9795" w14:textId="77777777" w:rsidR="00100BE6" w:rsidRPr="00AE14FC" w:rsidRDefault="00100BE6" w:rsidP="00100BE6">
            <w:pPr>
              <w:pStyle w:val="TableBodyText-H54"/>
              <w:rPr>
                <w:rFonts w:ascii="Arial" w:hAnsi="Arial"/>
                <w:sz w:val="20"/>
                <w:lang w:val="en-US" w:eastAsia="en-GB"/>
              </w:rPr>
            </w:pPr>
            <w:r w:rsidRPr="00AE14FC">
              <w:rPr>
                <w:rFonts w:ascii="Arial" w:hAnsi="Arial"/>
                <w:sz w:val="20"/>
                <w:lang w:val="en-US" w:eastAsia="en-GB"/>
              </w:rPr>
              <w:t xml:space="preserve">Outcome measure </w:t>
            </w:r>
          </w:p>
        </w:tc>
        <w:tc>
          <w:tcPr>
            <w:tcW w:w="1901" w:type="dxa"/>
            <w:shd w:val="clear" w:color="auto" w:fill="auto"/>
            <w:hideMark/>
          </w:tcPr>
          <w:p w14:paraId="0DF6255E" w14:textId="77777777" w:rsidR="00100BE6" w:rsidRPr="00AE14FC" w:rsidRDefault="00100BE6"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Response</w:t>
            </w:r>
          </w:p>
        </w:tc>
        <w:tc>
          <w:tcPr>
            <w:tcW w:w="1701" w:type="dxa"/>
            <w:shd w:val="clear" w:color="auto" w:fill="auto"/>
            <w:hideMark/>
          </w:tcPr>
          <w:p w14:paraId="370452C1"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Tedizolid phosphate</w:t>
            </w:r>
          </w:p>
          <w:p w14:paraId="3BE77428"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(N=141)</w:t>
            </w:r>
          </w:p>
          <w:p w14:paraId="395FE54B"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n (%)</w:t>
            </w:r>
          </w:p>
        </w:tc>
        <w:tc>
          <w:tcPr>
            <w:tcW w:w="1276" w:type="dxa"/>
            <w:shd w:val="clear" w:color="auto" w:fill="auto"/>
            <w:hideMark/>
          </w:tcPr>
          <w:p w14:paraId="2EEC4204"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Linezolid</w:t>
            </w:r>
          </w:p>
          <w:p w14:paraId="38AD7024"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(N=146)</w:t>
            </w:r>
          </w:p>
          <w:p w14:paraId="70B3E300"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n (%)</w:t>
            </w:r>
          </w:p>
        </w:tc>
        <w:tc>
          <w:tcPr>
            <w:tcW w:w="1242" w:type="dxa"/>
            <w:shd w:val="clear" w:color="auto" w:fill="auto"/>
            <w:hideMark/>
          </w:tcPr>
          <w:p w14:paraId="4018739B"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Difference</w:t>
            </w:r>
          </w:p>
          <w:p w14:paraId="0517DDD9"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w:t>
            </w:r>
          </w:p>
        </w:tc>
        <w:tc>
          <w:tcPr>
            <w:tcW w:w="1168" w:type="dxa"/>
            <w:shd w:val="clear" w:color="auto" w:fill="auto"/>
            <w:hideMark/>
          </w:tcPr>
          <w:p w14:paraId="7FA68DD1" w14:textId="77777777" w:rsidR="00100BE6" w:rsidRPr="00AE14FC"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95% CI for difference</w:t>
            </w:r>
          </w:p>
        </w:tc>
      </w:tr>
      <w:tr w:rsidR="00100BE6" w:rsidRPr="00AE14FC" w14:paraId="585BABE0" w14:textId="77777777" w:rsidTr="00A01ABB">
        <w:tc>
          <w:tcPr>
            <w:cnfStyle w:val="001000000000" w:firstRow="0" w:lastRow="0" w:firstColumn="1" w:lastColumn="0" w:oddVBand="0" w:evenVBand="0" w:oddHBand="0" w:evenHBand="0" w:firstRowFirstColumn="0" w:firstRowLastColumn="0" w:lastRowFirstColumn="0" w:lastRowLastColumn="0"/>
            <w:tcW w:w="8926" w:type="dxa"/>
            <w:gridSpan w:val="6"/>
            <w:shd w:val="clear" w:color="auto" w:fill="auto"/>
            <w:hideMark/>
          </w:tcPr>
          <w:p w14:paraId="71E77AB7" w14:textId="77777777" w:rsidR="00100BE6" w:rsidRPr="00AE14FC" w:rsidRDefault="00100BE6" w:rsidP="00100BE6">
            <w:pPr>
              <w:pStyle w:val="TableBodyText-H54"/>
              <w:rPr>
                <w:rFonts w:ascii="Arial" w:hAnsi="Arial"/>
                <w:sz w:val="20"/>
                <w:lang w:val="en-US" w:eastAsia="en-GB"/>
              </w:rPr>
            </w:pPr>
            <w:r w:rsidRPr="00AE14FC">
              <w:rPr>
                <w:rFonts w:ascii="Arial" w:hAnsi="Arial"/>
                <w:sz w:val="20"/>
                <w:lang w:val="en-US" w:eastAsia="en-GB"/>
              </w:rPr>
              <w:t>Pooled ESTABLISH-1 and ESTABLISH-2</w:t>
            </w:r>
          </w:p>
        </w:tc>
      </w:tr>
      <w:tr w:rsidR="00100BE6" w:rsidRPr="00AE14FC" w14:paraId="6DE1437E" w14:textId="77777777" w:rsidTr="00A01ABB">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4FDD91B5" w14:textId="77777777" w:rsidR="00100BE6" w:rsidRPr="00AE14FC" w:rsidRDefault="00100BE6" w:rsidP="00100BE6">
            <w:pPr>
              <w:pStyle w:val="TableBodyText-H54"/>
              <w:rPr>
                <w:rFonts w:ascii="Arial" w:hAnsi="Arial"/>
                <w:sz w:val="20"/>
                <w:lang w:val="en-US" w:eastAsia="en-GB"/>
              </w:rPr>
            </w:pPr>
            <w:r w:rsidRPr="00AE14FC">
              <w:rPr>
                <w:rFonts w:ascii="Arial" w:hAnsi="Arial"/>
                <w:sz w:val="20"/>
                <w:lang w:val="en-US" w:eastAsia="en-GB"/>
              </w:rPr>
              <w:t>≥20% decrease from baseline in lesion area at the 48 Hour to 72 Hour Visit</w:t>
            </w:r>
          </w:p>
        </w:tc>
        <w:tc>
          <w:tcPr>
            <w:tcW w:w="1901" w:type="dxa"/>
            <w:hideMark/>
          </w:tcPr>
          <w:p w14:paraId="022BA4B9" w14:textId="77777777" w:rsidR="00100BE6" w:rsidRPr="00AE14FC"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Responder</w:t>
            </w:r>
          </w:p>
        </w:tc>
        <w:tc>
          <w:tcPr>
            <w:tcW w:w="1701" w:type="dxa"/>
            <w:vAlign w:val="top"/>
            <w:hideMark/>
          </w:tcPr>
          <w:p w14:paraId="5F5B0A1F"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114 (80.9)</w:t>
            </w:r>
          </w:p>
        </w:tc>
        <w:tc>
          <w:tcPr>
            <w:tcW w:w="1276" w:type="dxa"/>
            <w:vAlign w:val="top"/>
            <w:hideMark/>
          </w:tcPr>
          <w:p w14:paraId="42A03AF4"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111 (76.0)</w:t>
            </w:r>
          </w:p>
        </w:tc>
        <w:tc>
          <w:tcPr>
            <w:tcW w:w="1242" w:type="dxa"/>
            <w:vMerge w:val="restart"/>
            <w:hideMark/>
          </w:tcPr>
          <w:p w14:paraId="18027E81"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 xml:space="preserve">4.9 </w:t>
            </w:r>
          </w:p>
        </w:tc>
        <w:tc>
          <w:tcPr>
            <w:tcW w:w="1168" w:type="dxa"/>
            <w:vMerge w:val="restart"/>
            <w:hideMark/>
          </w:tcPr>
          <w:p w14:paraId="32BBE8DD"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-4.8, 14.4</w:t>
            </w:r>
          </w:p>
        </w:tc>
      </w:tr>
      <w:tr w:rsidR="00100BE6" w:rsidRPr="00AE14FC" w14:paraId="10FCCFD9" w14:textId="77777777" w:rsidTr="00A01ABB">
        <w:trPr>
          <w:trHeight w:val="342"/>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75E73779" w14:textId="77777777" w:rsidR="00100BE6" w:rsidRPr="00AE14FC" w:rsidRDefault="00100BE6" w:rsidP="00100BE6">
            <w:pPr>
              <w:rPr>
                <w:sz w:val="20"/>
                <w:lang w:val="en-US" w:eastAsia="en-GB"/>
              </w:rPr>
            </w:pPr>
          </w:p>
        </w:tc>
        <w:tc>
          <w:tcPr>
            <w:tcW w:w="1901" w:type="dxa"/>
            <w:hideMark/>
          </w:tcPr>
          <w:p w14:paraId="42482327" w14:textId="77777777" w:rsidR="00100BE6" w:rsidRPr="00AE14FC" w:rsidRDefault="00100BE6"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Non-responder</w:t>
            </w:r>
          </w:p>
        </w:tc>
        <w:tc>
          <w:tcPr>
            <w:tcW w:w="1701" w:type="dxa"/>
            <w:vAlign w:val="top"/>
            <w:hideMark/>
          </w:tcPr>
          <w:p w14:paraId="6479754B" w14:textId="77777777" w:rsidR="00100BE6" w:rsidRPr="00AE14FC"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16 (11.3)</w:t>
            </w:r>
          </w:p>
        </w:tc>
        <w:tc>
          <w:tcPr>
            <w:tcW w:w="1276" w:type="dxa"/>
            <w:vAlign w:val="top"/>
            <w:hideMark/>
          </w:tcPr>
          <w:p w14:paraId="2295AE31" w14:textId="77777777" w:rsidR="00100BE6" w:rsidRPr="00AE14FC"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AE14FC">
              <w:rPr>
                <w:rFonts w:ascii="Arial" w:hAnsi="Arial"/>
                <w:sz w:val="20"/>
                <w:lang w:val="en-US" w:eastAsia="en-GB"/>
              </w:rPr>
              <w:t>21 (14.4)</w:t>
            </w:r>
          </w:p>
        </w:tc>
        <w:tc>
          <w:tcPr>
            <w:tcW w:w="1242" w:type="dxa"/>
            <w:vMerge/>
            <w:hideMark/>
          </w:tcPr>
          <w:p w14:paraId="63484F83" w14:textId="77777777" w:rsidR="00100BE6" w:rsidRPr="00AE14FC"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c>
          <w:tcPr>
            <w:tcW w:w="1168" w:type="dxa"/>
            <w:vMerge/>
            <w:hideMark/>
          </w:tcPr>
          <w:p w14:paraId="681F39E4" w14:textId="77777777" w:rsidR="00100BE6" w:rsidRPr="00AE14FC"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r>
      <w:tr w:rsidR="00100BE6" w:rsidRPr="00AE14FC" w14:paraId="2CDD8891" w14:textId="77777777" w:rsidTr="00A01ABB">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4DBE8083" w14:textId="77777777" w:rsidR="00100BE6" w:rsidRPr="00AE14FC" w:rsidRDefault="00100BE6" w:rsidP="00100BE6">
            <w:pPr>
              <w:rPr>
                <w:sz w:val="20"/>
                <w:lang w:val="en-US" w:eastAsia="en-GB"/>
              </w:rPr>
            </w:pPr>
          </w:p>
        </w:tc>
        <w:tc>
          <w:tcPr>
            <w:tcW w:w="1901" w:type="dxa"/>
            <w:hideMark/>
          </w:tcPr>
          <w:p w14:paraId="205502C6" w14:textId="77777777" w:rsidR="00100BE6" w:rsidRPr="00AE14FC"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Indeterminate</w:t>
            </w:r>
          </w:p>
        </w:tc>
        <w:tc>
          <w:tcPr>
            <w:tcW w:w="1701" w:type="dxa"/>
            <w:vAlign w:val="top"/>
            <w:hideMark/>
          </w:tcPr>
          <w:p w14:paraId="78582FF5"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11 (7.8)</w:t>
            </w:r>
          </w:p>
        </w:tc>
        <w:tc>
          <w:tcPr>
            <w:tcW w:w="1276" w:type="dxa"/>
            <w:vAlign w:val="top"/>
            <w:hideMark/>
          </w:tcPr>
          <w:p w14:paraId="6A34B586" w14:textId="77777777" w:rsidR="00100BE6" w:rsidRPr="00AE14FC"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AE14FC">
              <w:rPr>
                <w:rFonts w:ascii="Arial" w:hAnsi="Arial"/>
                <w:sz w:val="20"/>
                <w:lang w:val="en-US" w:eastAsia="en-GB"/>
              </w:rPr>
              <w:t>14 (9.6)</w:t>
            </w:r>
          </w:p>
        </w:tc>
        <w:tc>
          <w:tcPr>
            <w:tcW w:w="1242" w:type="dxa"/>
            <w:vMerge/>
            <w:hideMark/>
          </w:tcPr>
          <w:p w14:paraId="0324C8B3" w14:textId="77777777" w:rsidR="00100BE6" w:rsidRPr="00AE14FC"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c>
          <w:tcPr>
            <w:tcW w:w="1168" w:type="dxa"/>
            <w:vMerge/>
            <w:hideMark/>
          </w:tcPr>
          <w:p w14:paraId="35342789" w14:textId="77777777" w:rsidR="00100BE6" w:rsidRPr="00AE14FC"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r>
    </w:tbl>
    <w:p w14:paraId="5593418F" w14:textId="6C4FE3A7" w:rsidR="00100BE6" w:rsidRPr="003566DE" w:rsidRDefault="00CA0F83" w:rsidP="00100BE6">
      <w:pPr>
        <w:pStyle w:val="TableNote-H58"/>
        <w:rPr>
          <w:rFonts w:ascii="Arial" w:hAnsi="Arial"/>
          <w:sz w:val="16"/>
          <w:szCs w:val="16"/>
          <w:lang w:val="en-US"/>
        </w:rPr>
      </w:pPr>
      <w:r>
        <w:rPr>
          <w:rFonts w:ascii="Arial" w:hAnsi="Arial"/>
          <w:sz w:val="16"/>
          <w:szCs w:val="16"/>
          <w:lang w:val="en-US"/>
        </w:rPr>
        <w:t xml:space="preserve">SOURCE: ISE </w:t>
      </w:r>
      <w:r>
        <w:rPr>
          <w:rFonts w:ascii="Arial" w:hAnsi="Arial"/>
          <w:sz w:val="16"/>
          <w:szCs w:val="16"/>
          <w:lang w:val="en-US"/>
        </w:rPr>
        <w:fldChar w:fldCharType="begin"/>
      </w:r>
      <w:r>
        <w:rPr>
          <w:rFonts w:ascii="Arial" w:hAnsi="Arial"/>
          <w:sz w:val="16"/>
          <w:szCs w:val="16"/>
          <w:lang w:val="en-US"/>
        </w:rPr>
        <w:instrText xml:space="preserve"> REF _Ref284183626 \r \h </w:instrText>
      </w:r>
      <w:r>
        <w:rPr>
          <w:rFonts w:ascii="Arial" w:hAnsi="Arial"/>
          <w:sz w:val="16"/>
          <w:szCs w:val="16"/>
          <w:lang w:val="en-US"/>
        </w:rPr>
      </w:r>
      <w:r>
        <w:rPr>
          <w:rFonts w:ascii="Arial" w:hAnsi="Arial"/>
          <w:sz w:val="16"/>
          <w:szCs w:val="16"/>
          <w:lang w:val="en-US"/>
        </w:rPr>
        <w:fldChar w:fldCharType="separate"/>
      </w:r>
      <w:r w:rsidR="00151A1C">
        <w:rPr>
          <w:rFonts w:ascii="Arial" w:hAnsi="Arial"/>
          <w:sz w:val="16"/>
          <w:szCs w:val="16"/>
          <w:lang w:val="en-US"/>
        </w:rPr>
        <w:t>51</w:t>
      </w:r>
      <w:r>
        <w:rPr>
          <w:rFonts w:ascii="Arial" w:hAnsi="Arial"/>
          <w:sz w:val="16"/>
          <w:szCs w:val="16"/>
          <w:lang w:val="en-US"/>
        </w:rPr>
        <w:fldChar w:fldCharType="end"/>
      </w:r>
      <w:r w:rsidR="00100BE6" w:rsidRPr="003566DE">
        <w:rPr>
          <w:rFonts w:ascii="Arial" w:hAnsi="Arial"/>
          <w:sz w:val="16"/>
          <w:szCs w:val="16"/>
          <w:lang w:val="en-US"/>
        </w:rPr>
        <w:t xml:space="preserve">: </w:t>
      </w:r>
      <w:r>
        <w:rPr>
          <w:rFonts w:ascii="Arial" w:hAnsi="Arial"/>
          <w:sz w:val="16"/>
          <w:szCs w:val="16"/>
          <w:lang w:val="en-US"/>
        </w:rPr>
        <w:t xml:space="preserve">MRSA </w:t>
      </w:r>
      <w:r w:rsidR="00100BE6" w:rsidRPr="003566DE">
        <w:rPr>
          <w:rFonts w:ascii="Arial" w:hAnsi="Arial"/>
          <w:sz w:val="16"/>
          <w:szCs w:val="16"/>
          <w:lang w:val="en-US"/>
        </w:rPr>
        <w:t>section 3.6.2, Table 78</w:t>
      </w:r>
      <w:r w:rsidR="001F5861">
        <w:rPr>
          <w:rFonts w:ascii="Arial" w:hAnsi="Arial"/>
          <w:sz w:val="16"/>
          <w:szCs w:val="16"/>
          <w:lang w:val="en-US"/>
        </w:rPr>
        <w:t xml:space="preserve"> </w:t>
      </w:r>
      <w:r w:rsidR="00100BE6" w:rsidRPr="003566DE">
        <w:rPr>
          <w:rFonts w:ascii="Arial" w:hAnsi="Arial"/>
          <w:sz w:val="16"/>
          <w:szCs w:val="16"/>
          <w:lang w:val="en-US"/>
        </w:rPr>
        <w:t xml:space="preserve">CI: Confidence interval; MITT: Microbiological intent-to-treat; MRSA: Methicillin-resistant </w:t>
      </w:r>
      <w:r w:rsidR="00100BE6" w:rsidRPr="003566DE">
        <w:rPr>
          <w:rStyle w:val="BodyText-italic-H12"/>
          <w:rFonts w:ascii="Arial" w:hAnsi="Arial"/>
          <w:bCs w:val="0"/>
          <w:sz w:val="16"/>
          <w:szCs w:val="16"/>
          <w:lang w:val="en-US"/>
        </w:rPr>
        <w:t xml:space="preserve">S. aureus; </w:t>
      </w:r>
      <w:r w:rsidR="00100BE6" w:rsidRPr="003566DE">
        <w:rPr>
          <w:rFonts w:ascii="Arial" w:hAnsi="Arial"/>
          <w:sz w:val="16"/>
          <w:szCs w:val="16"/>
          <w:lang w:val="en-US"/>
        </w:rPr>
        <w:t>N: Number of patients in population; n: Number of patients in specific category</w:t>
      </w:r>
    </w:p>
    <w:p w14:paraId="0D46EC22" w14:textId="7FBC446D" w:rsidR="00100BE6" w:rsidRPr="00A80096" w:rsidRDefault="0014045E" w:rsidP="0014045E">
      <w:pPr>
        <w:pStyle w:val="Caption"/>
        <w:rPr>
          <w:rFonts w:ascii="Arial" w:hAnsi="Arial"/>
          <w:sz w:val="22"/>
          <w:szCs w:val="22"/>
          <w:lang w:val="en-US"/>
        </w:rPr>
      </w:pPr>
      <w:bookmarkStart w:id="144" w:name="_Ref281834376"/>
      <w:bookmarkStart w:id="145" w:name="_Toc396058380"/>
      <w:r w:rsidRPr="0014045E">
        <w:rPr>
          <w:rFonts w:ascii="Arial" w:hAnsi="Arial" w:cs="Arial"/>
          <w:sz w:val="22"/>
          <w:szCs w:val="22"/>
        </w:rPr>
        <w:lastRenderedPageBreak/>
        <w:t xml:space="preserve">Figure </w:t>
      </w:r>
      <w:r w:rsidRPr="0014045E">
        <w:rPr>
          <w:rFonts w:ascii="Arial" w:hAnsi="Arial" w:cs="Arial"/>
          <w:sz w:val="22"/>
          <w:szCs w:val="22"/>
        </w:rPr>
        <w:fldChar w:fldCharType="begin"/>
      </w:r>
      <w:r w:rsidRPr="0014045E">
        <w:rPr>
          <w:rFonts w:ascii="Arial" w:hAnsi="Arial" w:cs="Arial"/>
          <w:sz w:val="22"/>
          <w:szCs w:val="22"/>
        </w:rPr>
        <w:instrText xml:space="preserve"> SEQ Figure \* ARABIC </w:instrText>
      </w:r>
      <w:r w:rsidRPr="0014045E">
        <w:rPr>
          <w:rFonts w:ascii="Arial" w:hAnsi="Arial" w:cs="Arial"/>
          <w:sz w:val="22"/>
          <w:szCs w:val="22"/>
        </w:rPr>
        <w:fldChar w:fldCharType="separate"/>
      </w:r>
      <w:r w:rsidR="00151A1C">
        <w:rPr>
          <w:rFonts w:ascii="Arial" w:hAnsi="Arial" w:cs="Arial"/>
          <w:noProof/>
          <w:sz w:val="22"/>
          <w:szCs w:val="22"/>
        </w:rPr>
        <w:t>9</w:t>
      </w:r>
      <w:r w:rsidRPr="0014045E">
        <w:rPr>
          <w:rFonts w:ascii="Arial" w:hAnsi="Arial" w:cs="Arial"/>
          <w:sz w:val="22"/>
          <w:szCs w:val="22"/>
        </w:rPr>
        <w:fldChar w:fldCharType="end"/>
      </w:r>
      <w:bookmarkEnd w:id="144"/>
      <w:r w:rsidR="00100BE6" w:rsidRPr="00AE14FC">
        <w:rPr>
          <w:rFonts w:ascii="Arial" w:hAnsi="Arial"/>
          <w:sz w:val="22"/>
          <w:szCs w:val="22"/>
          <w:lang w:val="en-US"/>
        </w:rPr>
        <w:t>: Proportion</w:t>
      </w:r>
      <w:r w:rsidR="00100BE6" w:rsidRPr="00A80096">
        <w:rPr>
          <w:rFonts w:ascii="Arial" w:hAnsi="Arial"/>
          <w:sz w:val="22"/>
          <w:szCs w:val="22"/>
          <w:lang w:val="en-US"/>
        </w:rPr>
        <w:t xml:space="preserve"> of patients with MRSA infections classified as clinical responders, defined as ≥20% decrease in lesion area, at the 48-Hour to 72-Hour Visit in the pooled analysis of Phase 3 trial data (MITT population)</w:t>
      </w:r>
      <w:bookmarkEnd w:id="145"/>
    </w:p>
    <w:p w14:paraId="74DD9E61" w14:textId="77777777" w:rsidR="00100BE6" w:rsidRPr="00A80096" w:rsidRDefault="00100BE6" w:rsidP="00100BE6">
      <w:pPr>
        <w:pStyle w:val="BodyText"/>
        <w:rPr>
          <w:sz w:val="22"/>
          <w:szCs w:val="22"/>
          <w:lang w:val="en-US"/>
        </w:rPr>
      </w:pPr>
      <w:r w:rsidRPr="00A80096">
        <w:rPr>
          <w:noProof/>
          <w:sz w:val="22"/>
          <w:szCs w:val="22"/>
          <w:lang w:eastAsia="en-GB"/>
        </w:rPr>
        <w:drawing>
          <wp:inline distT="0" distB="0" distL="0" distR="0" wp14:anchorId="171C74EF" wp14:editId="5A40E108">
            <wp:extent cx="5029200" cy="2641600"/>
            <wp:effectExtent l="0" t="0" r="0"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11DAC2" w14:textId="30B4B61A" w:rsidR="00100BE6" w:rsidRPr="003C60FE" w:rsidRDefault="00CA0F83" w:rsidP="00D41218">
      <w:pPr>
        <w:pStyle w:val="FigureNote-H23"/>
        <w:spacing w:before="0" w:after="0"/>
        <w:rPr>
          <w:rFonts w:ascii="Arial" w:hAnsi="Arial"/>
          <w:sz w:val="16"/>
          <w:lang w:val="en-US"/>
        </w:rPr>
      </w:pPr>
      <w:r>
        <w:rPr>
          <w:rFonts w:ascii="Arial" w:hAnsi="Arial"/>
          <w:sz w:val="16"/>
          <w:lang w:val="en-US"/>
        </w:rPr>
        <w:t xml:space="preserve">SOURCE: ISE </w:t>
      </w:r>
      <w:r>
        <w:rPr>
          <w:rFonts w:ascii="Arial" w:hAnsi="Arial"/>
          <w:sz w:val="16"/>
          <w:lang w:val="en-US"/>
        </w:rPr>
        <w:fldChar w:fldCharType="begin"/>
      </w:r>
      <w:r>
        <w:rPr>
          <w:rFonts w:ascii="Arial" w:hAnsi="Arial"/>
          <w:sz w:val="16"/>
          <w:lang w:val="en-US"/>
        </w:rPr>
        <w:instrText xml:space="preserve"> REF _Ref284183626 \r \h </w:instrText>
      </w:r>
      <w:r>
        <w:rPr>
          <w:rFonts w:ascii="Arial" w:hAnsi="Arial"/>
          <w:sz w:val="16"/>
          <w:lang w:val="en-US"/>
        </w:rPr>
      </w:r>
      <w:r>
        <w:rPr>
          <w:rFonts w:ascii="Arial" w:hAnsi="Arial"/>
          <w:sz w:val="16"/>
          <w:lang w:val="en-US"/>
        </w:rPr>
        <w:fldChar w:fldCharType="separate"/>
      </w:r>
      <w:r w:rsidR="00151A1C">
        <w:rPr>
          <w:rFonts w:ascii="Arial" w:hAnsi="Arial"/>
          <w:sz w:val="16"/>
          <w:lang w:val="en-US"/>
        </w:rPr>
        <w:t>51</w:t>
      </w:r>
      <w:r>
        <w:rPr>
          <w:rFonts w:ascii="Arial" w:hAnsi="Arial"/>
          <w:sz w:val="16"/>
          <w:lang w:val="en-US"/>
        </w:rPr>
        <w:fldChar w:fldCharType="end"/>
      </w:r>
      <w:r>
        <w:rPr>
          <w:rFonts w:ascii="Arial" w:hAnsi="Arial"/>
          <w:sz w:val="16"/>
          <w:lang w:val="en-US"/>
        </w:rPr>
        <w:t>: MRSA</w:t>
      </w:r>
      <w:r w:rsidR="00100BE6" w:rsidRPr="003C60FE">
        <w:rPr>
          <w:rFonts w:ascii="Arial" w:hAnsi="Arial"/>
          <w:sz w:val="16"/>
          <w:lang w:val="en-US"/>
        </w:rPr>
        <w:t xml:space="preserve"> section 3.6.2, Table 78 </w:t>
      </w:r>
      <w:r w:rsidR="00100BE6" w:rsidRPr="003C60FE">
        <w:rPr>
          <w:rFonts w:ascii="Arial" w:hAnsi="Arial"/>
          <w:sz w:val="16"/>
          <w:lang w:val="en-US"/>
        </w:rPr>
        <w:fldChar w:fldCharType="begin"/>
      </w:r>
      <w:r w:rsidR="00100BE6" w:rsidRPr="003C60FE">
        <w:rPr>
          <w:rFonts w:ascii="Arial" w:hAnsi="Arial"/>
          <w:sz w:val="16"/>
          <w:lang w:val="en-US"/>
        </w:rPr>
        <w:instrText xml:space="preserve"> ADDIN REFMGR.CITE &lt;Refman&gt;&lt;Cite&gt;&lt;Author&gt;Cubist Pharmaceuticals&lt;/Author&gt;&lt;Year&gt;2014&lt;/Year&gt;&lt;RecNum&gt;202&lt;/RecNum&gt;&lt;IDText&gt;Integrated Summary of Efficacy - MRSA results&lt;/IDText&gt;&lt;MDL Ref_Type="Report"&gt;&lt;Ref_Type&gt;Report&lt;/Ref_Type&gt;&lt;Ref_ID&gt;202&lt;/Ref_ID&gt;&lt;Title_Primary&gt;Integrated Summary of Efficacy - MRSA results&lt;/Title_Primary&gt;&lt;Authors_Primary&gt;Cubist Pharmaceuticals&lt;/Authors_Primary&gt;&lt;Date_Primary&gt;2014&lt;/Date_Primary&gt;&lt;Reprint&gt;Not in File&lt;/Reprint&gt;&lt;ZZ_WorkformID&gt;24&lt;/ZZ_WorkformID&gt;&lt;/MDL&gt;&lt;/Cite&gt;&lt;/Refman&gt;</w:instrText>
      </w:r>
      <w:r w:rsidR="00100BE6" w:rsidRPr="003C60FE">
        <w:rPr>
          <w:rFonts w:ascii="Arial" w:hAnsi="Arial"/>
          <w:sz w:val="16"/>
          <w:lang w:val="en-US"/>
        </w:rPr>
        <w:fldChar w:fldCharType="separate"/>
      </w:r>
      <w:r w:rsidR="00100BE6" w:rsidRPr="003C60FE">
        <w:rPr>
          <w:rFonts w:ascii="Arial" w:hAnsi="Arial"/>
          <w:noProof/>
          <w:sz w:val="16"/>
          <w:vertAlign w:val="superscript"/>
          <w:lang w:val="en-US"/>
        </w:rPr>
        <w:t>48</w:t>
      </w:r>
      <w:r w:rsidR="00100BE6" w:rsidRPr="003C60FE">
        <w:rPr>
          <w:rFonts w:ascii="Arial" w:hAnsi="Arial"/>
          <w:sz w:val="16"/>
          <w:lang w:val="en-US"/>
        </w:rPr>
        <w:fldChar w:fldCharType="end"/>
      </w:r>
    </w:p>
    <w:p w14:paraId="4902377E" w14:textId="77777777" w:rsidR="00100BE6" w:rsidRPr="003C60FE" w:rsidRDefault="00100BE6" w:rsidP="00D41218">
      <w:pPr>
        <w:pStyle w:val="TableNote-H58"/>
        <w:spacing w:before="0" w:after="0"/>
        <w:rPr>
          <w:rFonts w:ascii="Arial" w:hAnsi="Arial"/>
          <w:sz w:val="16"/>
          <w:szCs w:val="16"/>
          <w:lang w:val="en-US"/>
        </w:rPr>
      </w:pPr>
      <w:r w:rsidRPr="003C60FE">
        <w:rPr>
          <w:rFonts w:ascii="Arial" w:hAnsi="Arial"/>
          <w:sz w:val="16"/>
          <w:szCs w:val="16"/>
          <w:lang w:val="en-US"/>
        </w:rPr>
        <w:t xml:space="preserve">MITT: Microbiological intent-to-treat; MRSA: Methicillin-resistant </w:t>
      </w:r>
      <w:r w:rsidRPr="003C60FE">
        <w:rPr>
          <w:rStyle w:val="BodyText-italic-H12"/>
          <w:rFonts w:ascii="Arial" w:hAnsi="Arial"/>
          <w:bCs w:val="0"/>
          <w:sz w:val="16"/>
          <w:szCs w:val="16"/>
          <w:lang w:val="en-US"/>
        </w:rPr>
        <w:t xml:space="preserve">S. aureus; </w:t>
      </w:r>
      <w:r w:rsidRPr="003C60FE">
        <w:rPr>
          <w:rFonts w:ascii="Arial" w:hAnsi="Arial"/>
          <w:sz w:val="16"/>
          <w:szCs w:val="16"/>
          <w:lang w:val="en-US"/>
        </w:rPr>
        <w:t>N: Number of patients in population</w:t>
      </w:r>
    </w:p>
    <w:p w14:paraId="3DC74135" w14:textId="77777777" w:rsidR="00577A01" w:rsidRPr="00577A01" w:rsidRDefault="00577A01" w:rsidP="00C35C1F">
      <w:pPr>
        <w:pStyle w:val="Heading4"/>
        <w:keepLines w:val="0"/>
        <w:numPr>
          <w:ilvl w:val="0"/>
          <w:numId w:val="38"/>
        </w:numPr>
        <w:spacing w:before="240" w:after="120"/>
        <w:rPr>
          <w:rFonts w:ascii="Arial" w:hAnsi="Arial"/>
          <w:i w:val="0"/>
          <w:color w:val="auto"/>
          <w:sz w:val="22"/>
          <w:szCs w:val="22"/>
          <w:lang w:val="en-US"/>
        </w:rPr>
      </w:pPr>
      <w:bookmarkStart w:id="146" w:name="_Ref384310861"/>
      <w:r w:rsidRPr="00577A01">
        <w:rPr>
          <w:rFonts w:ascii="Arial" w:hAnsi="Arial"/>
          <w:i w:val="0"/>
          <w:color w:val="auto"/>
          <w:sz w:val="22"/>
          <w:szCs w:val="22"/>
          <w:lang w:val="en-US"/>
        </w:rPr>
        <w:t>S</w:t>
      </w:r>
      <w:r w:rsidR="00100BE6" w:rsidRPr="00577A01">
        <w:rPr>
          <w:rFonts w:ascii="Arial" w:hAnsi="Arial"/>
          <w:i w:val="0"/>
          <w:color w:val="auto"/>
          <w:sz w:val="22"/>
          <w:szCs w:val="22"/>
          <w:lang w:val="en-US"/>
        </w:rPr>
        <w:t xml:space="preserve">ustained clinical response at the EOT Visit </w:t>
      </w:r>
      <w:bookmarkEnd w:id="146"/>
    </w:p>
    <w:p w14:paraId="28BD029B" w14:textId="2879D1BF" w:rsidR="00100BE6" w:rsidRPr="00AA63F5" w:rsidRDefault="00100BE6" w:rsidP="000505EC">
      <w:pPr>
        <w:pStyle w:val="Heading4"/>
        <w:keepLines w:val="0"/>
        <w:spacing w:before="240" w:after="120"/>
        <w:rPr>
          <w:rFonts w:ascii="Arial" w:hAnsi="Arial"/>
          <w:b w:val="0"/>
          <w:i w:val="0"/>
          <w:color w:val="auto"/>
          <w:sz w:val="22"/>
          <w:szCs w:val="22"/>
          <w:lang w:val="en-US"/>
        </w:rPr>
      </w:pPr>
      <w:r w:rsidRPr="00A01ABB">
        <w:rPr>
          <w:rFonts w:ascii="Arial" w:hAnsi="Arial"/>
          <w:b w:val="0"/>
          <w:i w:val="0"/>
          <w:color w:val="auto"/>
          <w:sz w:val="22"/>
          <w:szCs w:val="22"/>
          <w:lang w:val="en-US"/>
        </w:rPr>
        <w:t xml:space="preserve">In the </w:t>
      </w:r>
      <w:r w:rsidR="00577A01" w:rsidRPr="00A01ABB">
        <w:rPr>
          <w:rFonts w:ascii="Arial" w:hAnsi="Arial"/>
          <w:b w:val="0"/>
          <w:i w:val="0"/>
          <w:color w:val="auto"/>
          <w:sz w:val="22"/>
          <w:szCs w:val="22"/>
          <w:lang w:val="en-US"/>
        </w:rPr>
        <w:t xml:space="preserve">pooled </w:t>
      </w:r>
      <w:r w:rsidRPr="00A01ABB">
        <w:rPr>
          <w:rFonts w:ascii="Arial" w:hAnsi="Arial"/>
          <w:b w:val="0"/>
          <w:i w:val="0"/>
          <w:color w:val="auto"/>
          <w:sz w:val="22"/>
          <w:szCs w:val="22"/>
          <w:lang w:val="en-US"/>
        </w:rPr>
        <w:t xml:space="preserve">analysis, </w:t>
      </w:r>
      <w:r w:rsidR="00577A01" w:rsidRPr="00A01ABB">
        <w:rPr>
          <w:rFonts w:ascii="Arial" w:hAnsi="Arial"/>
          <w:b w:val="0"/>
          <w:i w:val="0"/>
          <w:color w:val="auto"/>
          <w:sz w:val="22"/>
          <w:szCs w:val="22"/>
          <w:lang w:val="en-US"/>
        </w:rPr>
        <w:t xml:space="preserve">the proportion of patients with MRSA in the tedizolid </w:t>
      </w:r>
      <w:r w:rsidR="00570945" w:rsidRPr="00A01ABB">
        <w:rPr>
          <w:rFonts w:ascii="Arial" w:hAnsi="Arial"/>
          <w:b w:val="0"/>
          <w:i w:val="0"/>
          <w:color w:val="auto"/>
          <w:sz w:val="22"/>
          <w:szCs w:val="22"/>
          <w:lang w:val="en-US"/>
        </w:rPr>
        <w:t xml:space="preserve">phosphate </w:t>
      </w:r>
      <w:r w:rsidR="00577A01" w:rsidRPr="00A01ABB">
        <w:rPr>
          <w:rFonts w:ascii="Arial" w:hAnsi="Arial"/>
          <w:b w:val="0"/>
          <w:i w:val="0"/>
          <w:color w:val="auto"/>
          <w:sz w:val="22"/>
          <w:szCs w:val="22"/>
          <w:lang w:val="en-US"/>
        </w:rPr>
        <w:t xml:space="preserve">group achieving sustained clinical response at the EOT Visit </w:t>
      </w:r>
      <w:r w:rsidRPr="00A01ABB">
        <w:rPr>
          <w:rFonts w:ascii="Arial" w:hAnsi="Arial"/>
          <w:b w:val="0"/>
          <w:i w:val="0"/>
          <w:color w:val="auto"/>
          <w:sz w:val="22"/>
          <w:szCs w:val="22"/>
          <w:lang w:val="en-US"/>
        </w:rPr>
        <w:t xml:space="preserve">was comparable with </w:t>
      </w:r>
      <w:r w:rsidR="00577A01" w:rsidRPr="00A01ABB">
        <w:rPr>
          <w:rFonts w:ascii="Arial" w:hAnsi="Arial"/>
          <w:b w:val="0"/>
          <w:i w:val="0"/>
          <w:color w:val="auto"/>
          <w:sz w:val="22"/>
          <w:szCs w:val="22"/>
          <w:lang w:val="en-US"/>
        </w:rPr>
        <w:t xml:space="preserve">the </w:t>
      </w:r>
      <w:r w:rsidRPr="00A01ABB">
        <w:rPr>
          <w:rFonts w:ascii="Arial" w:hAnsi="Arial"/>
          <w:b w:val="0"/>
          <w:i w:val="0"/>
          <w:color w:val="auto"/>
          <w:sz w:val="22"/>
          <w:szCs w:val="22"/>
          <w:lang w:val="en-US"/>
        </w:rPr>
        <w:lastRenderedPageBreak/>
        <w:t xml:space="preserve">linezolid </w:t>
      </w:r>
      <w:r w:rsidR="00577A01" w:rsidRPr="00A01ABB">
        <w:rPr>
          <w:rFonts w:ascii="Arial" w:hAnsi="Arial"/>
          <w:b w:val="0"/>
          <w:i w:val="0"/>
          <w:color w:val="auto"/>
          <w:sz w:val="22"/>
          <w:szCs w:val="22"/>
          <w:lang w:val="en-US"/>
        </w:rPr>
        <w:t>group in both the MITT</w:t>
      </w:r>
      <w:r w:rsidR="00A01ABB" w:rsidRPr="00A01ABB">
        <w:rPr>
          <w:rFonts w:ascii="Arial" w:hAnsi="Arial"/>
          <w:b w:val="0"/>
          <w:i w:val="0"/>
          <w:color w:val="auto"/>
          <w:sz w:val="22"/>
          <w:szCs w:val="22"/>
          <w:lang w:val="en-US"/>
        </w:rPr>
        <w:t xml:space="preserve"> </w:t>
      </w:r>
      <w:r w:rsidR="00F921D8">
        <w:rPr>
          <w:rFonts w:ascii="Arial" w:hAnsi="Arial"/>
          <w:b w:val="0"/>
          <w:i w:val="0"/>
          <w:color w:val="auto"/>
          <w:sz w:val="22"/>
          <w:szCs w:val="22"/>
          <w:lang w:val="en-US"/>
        </w:rPr>
        <w:t>(Table 33 and Figure 10) and the CE-EOT (</w:t>
      </w:r>
      <w:r w:rsidRPr="00AA63F5">
        <w:rPr>
          <w:rFonts w:ascii="Arial" w:hAnsi="Arial"/>
          <w:b w:val="0"/>
          <w:i w:val="0"/>
          <w:color w:val="auto"/>
          <w:sz w:val="22"/>
          <w:szCs w:val="22"/>
          <w:lang w:val="en-US"/>
        </w:rPr>
        <w:t>T</w:t>
      </w:r>
      <w:r w:rsidR="00F921D8">
        <w:rPr>
          <w:rFonts w:ascii="Arial" w:hAnsi="Arial"/>
          <w:b w:val="0"/>
          <w:i w:val="0"/>
          <w:color w:val="auto"/>
          <w:sz w:val="22"/>
          <w:szCs w:val="22"/>
          <w:lang w:val="en-US"/>
        </w:rPr>
        <w:t>able 34 and Figure 10)</w:t>
      </w:r>
      <w:r w:rsidRPr="00AA63F5">
        <w:rPr>
          <w:rFonts w:ascii="Arial" w:hAnsi="Arial"/>
          <w:b w:val="0"/>
          <w:i w:val="0"/>
          <w:color w:val="auto"/>
          <w:sz w:val="22"/>
          <w:szCs w:val="22"/>
          <w:lang w:val="en-US"/>
        </w:rPr>
        <w:t xml:space="preserve"> </w:t>
      </w:r>
      <w:r w:rsidR="000505EC" w:rsidRPr="00AA63F5">
        <w:rPr>
          <w:rFonts w:ascii="Arial" w:hAnsi="Arial"/>
          <w:b w:val="0"/>
          <w:i w:val="0"/>
          <w:color w:val="auto"/>
          <w:sz w:val="22"/>
          <w:szCs w:val="22"/>
          <w:lang w:val="en-US"/>
        </w:rPr>
        <w:t>p</w:t>
      </w:r>
      <w:r w:rsidR="00577A01" w:rsidRPr="00AA63F5">
        <w:rPr>
          <w:rFonts w:ascii="Arial" w:hAnsi="Arial"/>
          <w:b w:val="0"/>
          <w:i w:val="0"/>
          <w:color w:val="auto"/>
          <w:sz w:val="22"/>
          <w:szCs w:val="22"/>
          <w:lang w:val="en-US"/>
        </w:rPr>
        <w:t>opulations.</w:t>
      </w:r>
    </w:p>
    <w:p w14:paraId="7619C959" w14:textId="2FC98C10" w:rsidR="00100BE6" w:rsidRPr="00FE61A1" w:rsidRDefault="000505EC" w:rsidP="000505EC">
      <w:pPr>
        <w:pStyle w:val="Caption"/>
        <w:rPr>
          <w:rFonts w:ascii="Arial" w:hAnsi="Arial"/>
          <w:sz w:val="22"/>
          <w:szCs w:val="22"/>
          <w:lang w:val="en-US"/>
        </w:rPr>
      </w:pPr>
      <w:bookmarkStart w:id="147" w:name="_Ref281762519"/>
      <w:bookmarkStart w:id="148" w:name="_Toc396058463"/>
      <w:r w:rsidRPr="00FE61A1">
        <w:rPr>
          <w:rFonts w:ascii="Arial" w:hAnsi="Arial"/>
          <w:sz w:val="22"/>
          <w:szCs w:val="22"/>
        </w:rPr>
        <w:t xml:space="preserve">Table </w:t>
      </w:r>
      <w:r w:rsidRPr="00FE61A1">
        <w:rPr>
          <w:rFonts w:ascii="Arial" w:hAnsi="Arial"/>
          <w:sz w:val="22"/>
          <w:szCs w:val="22"/>
        </w:rPr>
        <w:fldChar w:fldCharType="begin"/>
      </w:r>
      <w:r w:rsidRPr="00FE61A1">
        <w:rPr>
          <w:rFonts w:ascii="Arial" w:hAnsi="Arial"/>
          <w:sz w:val="22"/>
          <w:szCs w:val="22"/>
        </w:rPr>
        <w:instrText xml:space="preserve"> SEQ Table \* ARABIC </w:instrText>
      </w:r>
      <w:r w:rsidRPr="00FE61A1">
        <w:rPr>
          <w:rFonts w:ascii="Arial" w:hAnsi="Arial"/>
          <w:sz w:val="22"/>
          <w:szCs w:val="22"/>
        </w:rPr>
        <w:fldChar w:fldCharType="separate"/>
      </w:r>
      <w:r w:rsidR="00151A1C">
        <w:rPr>
          <w:rFonts w:ascii="Arial" w:hAnsi="Arial"/>
          <w:noProof/>
          <w:sz w:val="22"/>
          <w:szCs w:val="22"/>
        </w:rPr>
        <w:t>33</w:t>
      </w:r>
      <w:r w:rsidRPr="00FE61A1">
        <w:rPr>
          <w:rFonts w:ascii="Arial" w:hAnsi="Arial"/>
          <w:sz w:val="22"/>
          <w:szCs w:val="22"/>
        </w:rPr>
        <w:fldChar w:fldCharType="end"/>
      </w:r>
      <w:bookmarkEnd w:id="147"/>
      <w:r w:rsidR="00100BE6" w:rsidRPr="00FE61A1">
        <w:rPr>
          <w:rFonts w:ascii="Arial" w:hAnsi="Arial"/>
          <w:sz w:val="22"/>
          <w:szCs w:val="22"/>
          <w:lang w:val="en-US"/>
        </w:rPr>
        <w:t>: Proportion of patients with MRSA infections classified as clinical success at the EOT Visit in the pooled analysis of Phase 3 trial data (MITT population)</w:t>
      </w:r>
      <w:bookmarkEnd w:id="148"/>
    </w:p>
    <w:tbl>
      <w:tblPr>
        <w:tblStyle w:val="Table-HERONplain"/>
        <w:tblW w:w="0" w:type="auto"/>
        <w:tblLayout w:type="fixed"/>
        <w:tblLook w:val="04A0" w:firstRow="1" w:lastRow="0" w:firstColumn="1" w:lastColumn="0" w:noHBand="0" w:noVBand="1"/>
      </w:tblPr>
      <w:tblGrid>
        <w:gridCol w:w="1638"/>
        <w:gridCol w:w="2497"/>
        <w:gridCol w:w="1260"/>
        <w:gridCol w:w="1283"/>
        <w:gridCol w:w="1080"/>
        <w:gridCol w:w="1080"/>
      </w:tblGrid>
      <w:tr w:rsidR="00100BE6" w:rsidRPr="001C4D00" w14:paraId="0CABC8B4" w14:textId="77777777" w:rsidTr="004610D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564E61C1"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 xml:space="preserve">Outcome measure </w:t>
            </w:r>
          </w:p>
        </w:tc>
        <w:tc>
          <w:tcPr>
            <w:tcW w:w="2497" w:type="dxa"/>
            <w:shd w:val="clear" w:color="auto" w:fill="auto"/>
            <w:hideMark/>
          </w:tcPr>
          <w:p w14:paraId="1808FDDC" w14:textId="77777777" w:rsidR="00100BE6" w:rsidRPr="001C4D00" w:rsidRDefault="00100BE6"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Response</w:t>
            </w:r>
          </w:p>
        </w:tc>
        <w:tc>
          <w:tcPr>
            <w:tcW w:w="1260" w:type="dxa"/>
            <w:shd w:val="clear" w:color="auto" w:fill="auto"/>
            <w:hideMark/>
          </w:tcPr>
          <w:p w14:paraId="2BFFA51C"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Tedizolid phosphate</w:t>
            </w:r>
          </w:p>
          <w:p w14:paraId="096DE1E4"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(N=141)</w:t>
            </w:r>
          </w:p>
          <w:p w14:paraId="577F9C94"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 (%)</w:t>
            </w:r>
          </w:p>
        </w:tc>
        <w:tc>
          <w:tcPr>
            <w:tcW w:w="1283" w:type="dxa"/>
            <w:shd w:val="clear" w:color="auto" w:fill="auto"/>
            <w:hideMark/>
          </w:tcPr>
          <w:p w14:paraId="55A6AECF"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Linezolid</w:t>
            </w:r>
          </w:p>
          <w:p w14:paraId="768D1B41"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(N=146)</w:t>
            </w:r>
          </w:p>
          <w:p w14:paraId="1E5B8793"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 (%)</w:t>
            </w:r>
          </w:p>
        </w:tc>
        <w:tc>
          <w:tcPr>
            <w:tcW w:w="1080" w:type="dxa"/>
            <w:shd w:val="clear" w:color="auto" w:fill="auto"/>
            <w:hideMark/>
          </w:tcPr>
          <w:p w14:paraId="386CC8BA"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Difference</w:t>
            </w:r>
          </w:p>
          <w:p w14:paraId="405D557F"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w:t>
            </w:r>
          </w:p>
        </w:tc>
        <w:tc>
          <w:tcPr>
            <w:tcW w:w="1080" w:type="dxa"/>
            <w:shd w:val="clear" w:color="auto" w:fill="auto"/>
            <w:hideMark/>
          </w:tcPr>
          <w:p w14:paraId="57A5BF61"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95% CI for difference</w:t>
            </w:r>
          </w:p>
        </w:tc>
      </w:tr>
      <w:tr w:rsidR="00100BE6" w:rsidRPr="001C4D00" w14:paraId="5A7C50C0" w14:textId="77777777" w:rsidTr="004610D3">
        <w:tc>
          <w:tcPr>
            <w:cnfStyle w:val="001000000000" w:firstRow="0" w:lastRow="0" w:firstColumn="1" w:lastColumn="0" w:oddVBand="0" w:evenVBand="0" w:oddHBand="0" w:evenHBand="0" w:firstRowFirstColumn="0" w:firstRowLastColumn="0" w:lastRowFirstColumn="0" w:lastRowLastColumn="0"/>
            <w:tcW w:w="8838" w:type="dxa"/>
            <w:gridSpan w:val="6"/>
            <w:shd w:val="clear" w:color="auto" w:fill="auto"/>
            <w:hideMark/>
          </w:tcPr>
          <w:p w14:paraId="353F5A69"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Pooled ESTABLISH-1 and ESTABLISH-2</w:t>
            </w:r>
          </w:p>
        </w:tc>
      </w:tr>
      <w:tr w:rsidR="00100BE6" w:rsidRPr="001C4D00" w14:paraId="55C48FD1" w14:textId="77777777" w:rsidTr="004610D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6E32B116"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Clinical success at the EOT Visit</w:t>
            </w:r>
          </w:p>
        </w:tc>
        <w:tc>
          <w:tcPr>
            <w:tcW w:w="2497" w:type="dxa"/>
            <w:hideMark/>
          </w:tcPr>
          <w:p w14:paraId="29C082F1" w14:textId="77777777" w:rsidR="00100BE6" w:rsidRPr="001C4D00"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Clinical success</w:t>
            </w:r>
          </w:p>
        </w:tc>
        <w:tc>
          <w:tcPr>
            <w:tcW w:w="1260" w:type="dxa"/>
            <w:vAlign w:val="top"/>
            <w:hideMark/>
          </w:tcPr>
          <w:p w14:paraId="596C2B65"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119 (84.4)</w:t>
            </w:r>
          </w:p>
        </w:tc>
        <w:tc>
          <w:tcPr>
            <w:tcW w:w="1283" w:type="dxa"/>
            <w:vAlign w:val="top"/>
            <w:hideMark/>
          </w:tcPr>
          <w:p w14:paraId="25C9A559"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123 (84.2)</w:t>
            </w:r>
          </w:p>
        </w:tc>
        <w:tc>
          <w:tcPr>
            <w:tcW w:w="1080" w:type="dxa"/>
            <w:vMerge w:val="restart"/>
            <w:hideMark/>
          </w:tcPr>
          <w:p w14:paraId="43D91123"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 xml:space="preserve">0.1 </w:t>
            </w:r>
          </w:p>
        </w:tc>
        <w:tc>
          <w:tcPr>
            <w:tcW w:w="1080" w:type="dxa"/>
            <w:vMerge w:val="restart"/>
            <w:hideMark/>
          </w:tcPr>
          <w:p w14:paraId="79734254"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-8.5, 8.6</w:t>
            </w:r>
          </w:p>
        </w:tc>
      </w:tr>
      <w:tr w:rsidR="00100BE6" w:rsidRPr="001C4D00" w14:paraId="63532850" w14:textId="77777777" w:rsidTr="004610D3">
        <w:trPr>
          <w:trHeight w:val="342"/>
        </w:trPr>
        <w:tc>
          <w:tcPr>
            <w:cnfStyle w:val="001000000000" w:firstRow="0" w:lastRow="0" w:firstColumn="1" w:lastColumn="0" w:oddVBand="0" w:evenVBand="0" w:oddHBand="0" w:evenHBand="0" w:firstRowFirstColumn="0" w:firstRowLastColumn="0" w:lastRowFirstColumn="0" w:lastRowLastColumn="0"/>
            <w:tcW w:w="8838" w:type="dxa"/>
            <w:vMerge/>
            <w:shd w:val="clear" w:color="auto" w:fill="auto"/>
            <w:hideMark/>
          </w:tcPr>
          <w:p w14:paraId="70CE3624" w14:textId="77777777" w:rsidR="00100BE6" w:rsidRPr="001C4D00" w:rsidRDefault="00100BE6" w:rsidP="00100BE6">
            <w:pPr>
              <w:rPr>
                <w:sz w:val="20"/>
                <w:lang w:val="en-US" w:eastAsia="en-GB"/>
              </w:rPr>
            </w:pPr>
          </w:p>
        </w:tc>
        <w:tc>
          <w:tcPr>
            <w:tcW w:w="2497" w:type="dxa"/>
            <w:hideMark/>
          </w:tcPr>
          <w:p w14:paraId="31FFEE87" w14:textId="77777777" w:rsidR="00100BE6" w:rsidRPr="001C4D00" w:rsidRDefault="00100BE6"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Clinical failure</w:t>
            </w:r>
          </w:p>
        </w:tc>
        <w:tc>
          <w:tcPr>
            <w:tcW w:w="1260" w:type="dxa"/>
            <w:vAlign w:val="top"/>
            <w:hideMark/>
          </w:tcPr>
          <w:p w14:paraId="426E76CD" w14:textId="77777777" w:rsidR="00100BE6" w:rsidRPr="001C4D0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13 (9.2)</w:t>
            </w:r>
          </w:p>
        </w:tc>
        <w:tc>
          <w:tcPr>
            <w:tcW w:w="1283" w:type="dxa"/>
            <w:vAlign w:val="top"/>
            <w:hideMark/>
          </w:tcPr>
          <w:p w14:paraId="22D0746F" w14:textId="77777777" w:rsidR="00100BE6" w:rsidRPr="001C4D0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7 (4.8)</w:t>
            </w:r>
          </w:p>
        </w:tc>
        <w:tc>
          <w:tcPr>
            <w:tcW w:w="1080" w:type="dxa"/>
            <w:vMerge/>
            <w:hideMark/>
          </w:tcPr>
          <w:p w14:paraId="320F979F" w14:textId="77777777" w:rsidR="00100BE6" w:rsidRPr="001C4D0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c>
          <w:tcPr>
            <w:tcW w:w="1080" w:type="dxa"/>
            <w:vMerge/>
            <w:hideMark/>
          </w:tcPr>
          <w:p w14:paraId="1B388BAD" w14:textId="77777777" w:rsidR="00100BE6" w:rsidRPr="001C4D0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r>
      <w:tr w:rsidR="00100BE6" w:rsidRPr="001C4D00" w14:paraId="388BD4E1" w14:textId="77777777" w:rsidTr="004610D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838" w:type="dxa"/>
            <w:vMerge/>
            <w:shd w:val="clear" w:color="auto" w:fill="auto"/>
            <w:hideMark/>
          </w:tcPr>
          <w:p w14:paraId="083E754F" w14:textId="77777777" w:rsidR="00100BE6" w:rsidRPr="001C4D00" w:rsidRDefault="00100BE6" w:rsidP="00100BE6">
            <w:pPr>
              <w:rPr>
                <w:sz w:val="20"/>
                <w:lang w:val="en-US" w:eastAsia="en-GB"/>
              </w:rPr>
            </w:pPr>
          </w:p>
        </w:tc>
        <w:tc>
          <w:tcPr>
            <w:tcW w:w="2497" w:type="dxa"/>
            <w:hideMark/>
          </w:tcPr>
          <w:p w14:paraId="5F270EEB" w14:textId="77777777" w:rsidR="00100BE6" w:rsidRPr="001C4D00"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Indeterminate</w:t>
            </w:r>
          </w:p>
        </w:tc>
        <w:tc>
          <w:tcPr>
            <w:tcW w:w="1260" w:type="dxa"/>
            <w:vAlign w:val="top"/>
            <w:hideMark/>
          </w:tcPr>
          <w:p w14:paraId="7874488D"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9 (6.4)</w:t>
            </w:r>
          </w:p>
        </w:tc>
        <w:tc>
          <w:tcPr>
            <w:tcW w:w="1283" w:type="dxa"/>
            <w:vAlign w:val="top"/>
            <w:hideMark/>
          </w:tcPr>
          <w:p w14:paraId="20103ABE"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16 (11.0)</w:t>
            </w:r>
          </w:p>
        </w:tc>
        <w:tc>
          <w:tcPr>
            <w:tcW w:w="1080" w:type="dxa"/>
            <w:vMerge/>
            <w:hideMark/>
          </w:tcPr>
          <w:p w14:paraId="29AA45B2" w14:textId="77777777" w:rsidR="00100BE6" w:rsidRPr="001C4D00"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c>
          <w:tcPr>
            <w:tcW w:w="1080" w:type="dxa"/>
            <w:vMerge/>
            <w:hideMark/>
          </w:tcPr>
          <w:p w14:paraId="044079C3" w14:textId="77777777" w:rsidR="00100BE6" w:rsidRPr="001C4D00"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r>
    </w:tbl>
    <w:p w14:paraId="2FC7989F" w14:textId="1ECF0A01" w:rsidR="00100BE6" w:rsidRPr="003B268D" w:rsidRDefault="00CA0F83" w:rsidP="00100BE6">
      <w:pPr>
        <w:pStyle w:val="TableNote-H58"/>
        <w:rPr>
          <w:rFonts w:ascii="Arial" w:hAnsi="Arial"/>
          <w:sz w:val="16"/>
          <w:szCs w:val="16"/>
          <w:lang w:val="en-US"/>
        </w:rPr>
      </w:pPr>
      <w:r>
        <w:rPr>
          <w:rFonts w:ascii="Arial" w:hAnsi="Arial"/>
          <w:sz w:val="16"/>
          <w:szCs w:val="16"/>
          <w:lang w:val="en-US"/>
        </w:rPr>
        <w:t xml:space="preserve">SOURCE: ISE </w:t>
      </w:r>
      <w:r>
        <w:rPr>
          <w:rFonts w:ascii="Arial" w:hAnsi="Arial"/>
          <w:sz w:val="16"/>
          <w:szCs w:val="16"/>
          <w:lang w:val="en-US"/>
        </w:rPr>
        <w:fldChar w:fldCharType="begin"/>
      </w:r>
      <w:r>
        <w:rPr>
          <w:rFonts w:ascii="Arial" w:hAnsi="Arial"/>
          <w:sz w:val="16"/>
          <w:szCs w:val="16"/>
          <w:lang w:val="en-US"/>
        </w:rPr>
        <w:instrText xml:space="preserve"> REF _Ref284183626 \r \h </w:instrText>
      </w:r>
      <w:r>
        <w:rPr>
          <w:rFonts w:ascii="Arial" w:hAnsi="Arial"/>
          <w:sz w:val="16"/>
          <w:szCs w:val="16"/>
          <w:lang w:val="en-US"/>
        </w:rPr>
      </w:r>
      <w:r>
        <w:rPr>
          <w:rFonts w:ascii="Arial" w:hAnsi="Arial"/>
          <w:sz w:val="16"/>
          <w:szCs w:val="16"/>
          <w:lang w:val="en-US"/>
        </w:rPr>
        <w:fldChar w:fldCharType="separate"/>
      </w:r>
      <w:r w:rsidR="00151A1C">
        <w:rPr>
          <w:rFonts w:ascii="Arial" w:hAnsi="Arial"/>
          <w:sz w:val="16"/>
          <w:szCs w:val="16"/>
          <w:lang w:val="en-US"/>
        </w:rPr>
        <w:t>51</w:t>
      </w:r>
      <w:r>
        <w:rPr>
          <w:rFonts w:ascii="Arial" w:hAnsi="Arial"/>
          <w:sz w:val="16"/>
          <w:szCs w:val="16"/>
          <w:lang w:val="en-US"/>
        </w:rPr>
        <w:fldChar w:fldCharType="end"/>
      </w:r>
      <w:r>
        <w:rPr>
          <w:rFonts w:ascii="Arial" w:hAnsi="Arial"/>
          <w:sz w:val="16"/>
          <w:szCs w:val="16"/>
          <w:lang w:val="en-US"/>
        </w:rPr>
        <w:t xml:space="preserve"> MRSA</w:t>
      </w:r>
      <w:r w:rsidR="00100BE6" w:rsidRPr="003B268D">
        <w:rPr>
          <w:rFonts w:ascii="Arial" w:hAnsi="Arial"/>
          <w:sz w:val="16"/>
          <w:szCs w:val="16"/>
          <w:lang w:val="en-US"/>
        </w:rPr>
        <w:t xml:space="preserve"> Table 1</w:t>
      </w:r>
      <w:r w:rsidR="00467D68">
        <w:rPr>
          <w:rFonts w:ascii="Arial" w:hAnsi="Arial"/>
          <w:sz w:val="16"/>
          <w:szCs w:val="16"/>
          <w:lang w:val="en-US"/>
        </w:rPr>
        <w:t xml:space="preserve"> </w:t>
      </w:r>
      <w:r w:rsidR="00100BE6" w:rsidRPr="003B268D">
        <w:rPr>
          <w:rFonts w:ascii="Arial" w:hAnsi="Arial"/>
          <w:sz w:val="16"/>
          <w:szCs w:val="16"/>
          <w:lang w:val="en-US"/>
        </w:rPr>
        <w:t xml:space="preserve">CI: Confidence interval; EOT: End of therapy; MITT: Microbiological intent-to-treat; MRSA: Methicillin-resistant </w:t>
      </w:r>
      <w:r w:rsidR="00100BE6" w:rsidRPr="003B268D">
        <w:rPr>
          <w:rStyle w:val="BodyText-italic-H12"/>
          <w:rFonts w:ascii="Arial" w:hAnsi="Arial"/>
          <w:bCs w:val="0"/>
          <w:sz w:val="16"/>
          <w:szCs w:val="16"/>
          <w:lang w:val="en-US"/>
        </w:rPr>
        <w:t xml:space="preserve">S. aureus; </w:t>
      </w:r>
      <w:r w:rsidR="00100BE6" w:rsidRPr="003B268D">
        <w:rPr>
          <w:rFonts w:ascii="Arial" w:hAnsi="Arial"/>
          <w:sz w:val="16"/>
          <w:szCs w:val="16"/>
          <w:lang w:val="en-US"/>
        </w:rPr>
        <w:t>N: Number of patients in population; n: Number of patients in specific category</w:t>
      </w:r>
    </w:p>
    <w:p w14:paraId="1736E887" w14:textId="77777777" w:rsidR="00100BE6" w:rsidRPr="00A80096" w:rsidRDefault="00100BE6" w:rsidP="00100BE6">
      <w:pPr>
        <w:pStyle w:val="Caption"/>
        <w:rPr>
          <w:rFonts w:ascii="Arial" w:hAnsi="Arial"/>
          <w:sz w:val="22"/>
          <w:szCs w:val="22"/>
          <w:lang w:val="en-US"/>
        </w:rPr>
      </w:pPr>
      <w:bookmarkStart w:id="149" w:name="_Ref384299322"/>
      <w:bookmarkStart w:id="150" w:name="_Toc396058464"/>
      <w:r w:rsidRPr="00A80096">
        <w:rPr>
          <w:rFonts w:ascii="Arial" w:hAnsi="Arial"/>
          <w:sz w:val="22"/>
          <w:szCs w:val="22"/>
          <w:lang w:val="en-US"/>
        </w:rPr>
        <w:t xml:space="preserve">Table </w:t>
      </w:r>
      <w:r w:rsidRPr="00A80096">
        <w:rPr>
          <w:rFonts w:ascii="Arial" w:hAnsi="Arial"/>
          <w:sz w:val="22"/>
          <w:szCs w:val="22"/>
          <w:lang w:val="en-US"/>
        </w:rPr>
        <w:fldChar w:fldCharType="begin"/>
      </w:r>
      <w:r w:rsidRPr="00A80096">
        <w:rPr>
          <w:rFonts w:ascii="Arial" w:hAnsi="Arial"/>
          <w:sz w:val="22"/>
          <w:szCs w:val="22"/>
          <w:lang w:val="en-US"/>
        </w:rPr>
        <w:instrText xml:space="preserve"> SEQ Table \* ARABIC </w:instrText>
      </w:r>
      <w:r w:rsidRPr="00A80096">
        <w:rPr>
          <w:rFonts w:ascii="Arial" w:hAnsi="Arial"/>
          <w:sz w:val="22"/>
          <w:szCs w:val="22"/>
          <w:lang w:val="en-US"/>
        </w:rPr>
        <w:fldChar w:fldCharType="separate"/>
      </w:r>
      <w:r w:rsidR="00151A1C">
        <w:rPr>
          <w:rFonts w:ascii="Arial" w:hAnsi="Arial"/>
          <w:noProof/>
          <w:sz w:val="22"/>
          <w:szCs w:val="22"/>
          <w:lang w:val="en-US"/>
        </w:rPr>
        <w:t>34</w:t>
      </w:r>
      <w:r w:rsidRPr="00A80096">
        <w:rPr>
          <w:rFonts w:ascii="Arial" w:hAnsi="Arial"/>
          <w:sz w:val="22"/>
          <w:szCs w:val="22"/>
          <w:lang w:val="en-US"/>
        </w:rPr>
        <w:fldChar w:fldCharType="end"/>
      </w:r>
      <w:bookmarkEnd w:id="149"/>
      <w:r w:rsidRPr="00A80096">
        <w:rPr>
          <w:rFonts w:ascii="Arial" w:hAnsi="Arial"/>
          <w:sz w:val="22"/>
          <w:szCs w:val="22"/>
          <w:lang w:val="en-US"/>
        </w:rPr>
        <w:t>: Proportion of patients with MRSA infections classified as clinical success at the EOT Visit in the pooled analysis of Phase 3 trial data (CE-EOT population)</w:t>
      </w:r>
      <w:bookmarkEnd w:id="150"/>
    </w:p>
    <w:tbl>
      <w:tblPr>
        <w:tblStyle w:val="Table-HERONplain"/>
        <w:tblW w:w="9209" w:type="dxa"/>
        <w:tblLayout w:type="fixed"/>
        <w:tblLook w:val="04A0" w:firstRow="1" w:lastRow="0" w:firstColumn="1" w:lastColumn="0" w:noHBand="0" w:noVBand="1"/>
      </w:tblPr>
      <w:tblGrid>
        <w:gridCol w:w="1638"/>
        <w:gridCol w:w="2497"/>
        <w:gridCol w:w="1260"/>
        <w:gridCol w:w="1283"/>
        <w:gridCol w:w="1255"/>
        <w:gridCol w:w="1276"/>
      </w:tblGrid>
      <w:tr w:rsidR="00100BE6" w:rsidRPr="001C4D00" w14:paraId="016FCCA3" w14:textId="77777777" w:rsidTr="004610D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30833193"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 xml:space="preserve">Outcome measure </w:t>
            </w:r>
          </w:p>
        </w:tc>
        <w:tc>
          <w:tcPr>
            <w:tcW w:w="2497" w:type="dxa"/>
            <w:shd w:val="clear" w:color="auto" w:fill="auto"/>
            <w:hideMark/>
          </w:tcPr>
          <w:p w14:paraId="3411A686" w14:textId="77777777" w:rsidR="00100BE6" w:rsidRPr="001C4D00" w:rsidRDefault="00100BE6"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Response</w:t>
            </w:r>
          </w:p>
        </w:tc>
        <w:tc>
          <w:tcPr>
            <w:tcW w:w="1260" w:type="dxa"/>
            <w:shd w:val="clear" w:color="auto" w:fill="auto"/>
            <w:hideMark/>
          </w:tcPr>
          <w:p w14:paraId="242E3F85"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Tedizolid phosphate</w:t>
            </w:r>
          </w:p>
          <w:p w14:paraId="1D4786D1"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(N=121)</w:t>
            </w:r>
          </w:p>
          <w:p w14:paraId="5C0BCDED"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 (%)</w:t>
            </w:r>
          </w:p>
        </w:tc>
        <w:tc>
          <w:tcPr>
            <w:tcW w:w="1283" w:type="dxa"/>
            <w:shd w:val="clear" w:color="auto" w:fill="auto"/>
            <w:hideMark/>
          </w:tcPr>
          <w:p w14:paraId="4BE7DA4F"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Linezolid</w:t>
            </w:r>
          </w:p>
          <w:p w14:paraId="18AEE10B"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(N=125)</w:t>
            </w:r>
          </w:p>
          <w:p w14:paraId="07FC1C65"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n (%)</w:t>
            </w:r>
          </w:p>
        </w:tc>
        <w:tc>
          <w:tcPr>
            <w:tcW w:w="1255" w:type="dxa"/>
            <w:shd w:val="clear" w:color="auto" w:fill="auto"/>
            <w:hideMark/>
          </w:tcPr>
          <w:p w14:paraId="6DDA0769"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Difference</w:t>
            </w:r>
          </w:p>
          <w:p w14:paraId="605B343D"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w:t>
            </w:r>
          </w:p>
        </w:tc>
        <w:tc>
          <w:tcPr>
            <w:tcW w:w="1276" w:type="dxa"/>
            <w:shd w:val="clear" w:color="auto" w:fill="auto"/>
            <w:hideMark/>
          </w:tcPr>
          <w:p w14:paraId="25EFF3FC" w14:textId="77777777" w:rsidR="00100BE6" w:rsidRPr="001C4D0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95% CI for difference</w:t>
            </w:r>
          </w:p>
        </w:tc>
      </w:tr>
      <w:tr w:rsidR="00100BE6" w:rsidRPr="001C4D00" w14:paraId="59F7D644" w14:textId="77777777" w:rsidTr="004610D3">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auto"/>
            <w:hideMark/>
          </w:tcPr>
          <w:p w14:paraId="390A44A2"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Pooled ESTABLISH-1 and ESTABLISH-2</w:t>
            </w:r>
          </w:p>
        </w:tc>
      </w:tr>
      <w:tr w:rsidR="00100BE6" w:rsidRPr="001C4D00" w14:paraId="0D5DAFD6" w14:textId="77777777" w:rsidTr="004610D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13E3C4B9" w14:textId="77777777" w:rsidR="00100BE6" w:rsidRPr="001C4D00" w:rsidRDefault="00100BE6" w:rsidP="00100BE6">
            <w:pPr>
              <w:pStyle w:val="TableBodyText-H54"/>
              <w:rPr>
                <w:rFonts w:ascii="Arial" w:hAnsi="Arial"/>
                <w:sz w:val="20"/>
                <w:lang w:val="en-US" w:eastAsia="en-GB"/>
              </w:rPr>
            </w:pPr>
            <w:r w:rsidRPr="001C4D00">
              <w:rPr>
                <w:rFonts w:ascii="Arial" w:hAnsi="Arial"/>
                <w:sz w:val="20"/>
                <w:lang w:val="en-US" w:eastAsia="en-GB"/>
              </w:rPr>
              <w:t>Clinical success at the EOT Visit</w:t>
            </w:r>
          </w:p>
        </w:tc>
        <w:tc>
          <w:tcPr>
            <w:tcW w:w="2497" w:type="dxa"/>
            <w:hideMark/>
          </w:tcPr>
          <w:p w14:paraId="23FEB4C4" w14:textId="77777777" w:rsidR="00100BE6" w:rsidRPr="001C4D00"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Clinical success</w:t>
            </w:r>
          </w:p>
        </w:tc>
        <w:tc>
          <w:tcPr>
            <w:tcW w:w="1260" w:type="dxa"/>
            <w:vAlign w:val="top"/>
            <w:hideMark/>
          </w:tcPr>
          <w:p w14:paraId="7D698895"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109 (90.1)</w:t>
            </w:r>
          </w:p>
        </w:tc>
        <w:tc>
          <w:tcPr>
            <w:tcW w:w="1283" w:type="dxa"/>
            <w:vAlign w:val="top"/>
            <w:hideMark/>
          </w:tcPr>
          <w:p w14:paraId="54A9C3F9"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119 (95.2)</w:t>
            </w:r>
          </w:p>
        </w:tc>
        <w:tc>
          <w:tcPr>
            <w:tcW w:w="1255" w:type="dxa"/>
            <w:vMerge w:val="restart"/>
            <w:hideMark/>
          </w:tcPr>
          <w:p w14:paraId="0FD00D70"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 xml:space="preserve">-5.0 </w:t>
            </w:r>
          </w:p>
        </w:tc>
        <w:tc>
          <w:tcPr>
            <w:tcW w:w="1276" w:type="dxa"/>
            <w:vMerge w:val="restart"/>
            <w:hideMark/>
          </w:tcPr>
          <w:p w14:paraId="3BA03D55" w14:textId="77777777" w:rsidR="00100BE6" w:rsidRPr="001C4D0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1C4D00">
              <w:rPr>
                <w:rFonts w:ascii="Arial" w:hAnsi="Arial"/>
                <w:sz w:val="20"/>
                <w:lang w:val="en-US" w:eastAsia="en-GB"/>
              </w:rPr>
              <w:t>(-12.4, 1.6)</w:t>
            </w:r>
          </w:p>
        </w:tc>
      </w:tr>
      <w:tr w:rsidR="00100BE6" w:rsidRPr="001C4D00" w14:paraId="0BCF7BCE" w14:textId="77777777" w:rsidTr="004610D3">
        <w:trPr>
          <w:trHeight w:val="313"/>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5E2F62EE" w14:textId="77777777" w:rsidR="00100BE6" w:rsidRPr="001C4D00" w:rsidRDefault="00100BE6" w:rsidP="00100BE6">
            <w:pPr>
              <w:rPr>
                <w:sz w:val="20"/>
                <w:lang w:val="en-US" w:eastAsia="en-GB"/>
              </w:rPr>
            </w:pPr>
          </w:p>
        </w:tc>
        <w:tc>
          <w:tcPr>
            <w:tcW w:w="2497" w:type="dxa"/>
            <w:hideMark/>
          </w:tcPr>
          <w:p w14:paraId="5AF33B85" w14:textId="77777777" w:rsidR="00100BE6" w:rsidRPr="001C4D00" w:rsidRDefault="00100BE6"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Clinical failure/indeterminate</w:t>
            </w:r>
          </w:p>
        </w:tc>
        <w:tc>
          <w:tcPr>
            <w:tcW w:w="1260" w:type="dxa"/>
            <w:vAlign w:val="top"/>
            <w:hideMark/>
          </w:tcPr>
          <w:p w14:paraId="403F4F35" w14:textId="77777777" w:rsidR="00100BE6" w:rsidRPr="001C4D0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12 (9.9)</w:t>
            </w:r>
          </w:p>
        </w:tc>
        <w:tc>
          <w:tcPr>
            <w:tcW w:w="1283" w:type="dxa"/>
            <w:vAlign w:val="top"/>
            <w:hideMark/>
          </w:tcPr>
          <w:p w14:paraId="57CE81B0" w14:textId="77777777" w:rsidR="00100BE6" w:rsidRPr="001C4D0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1C4D00">
              <w:rPr>
                <w:rFonts w:ascii="Arial" w:hAnsi="Arial"/>
                <w:sz w:val="20"/>
                <w:lang w:val="en-US" w:eastAsia="en-GB"/>
              </w:rPr>
              <w:t>6 (4.8)</w:t>
            </w:r>
          </w:p>
        </w:tc>
        <w:tc>
          <w:tcPr>
            <w:tcW w:w="1255" w:type="dxa"/>
            <w:vMerge/>
            <w:hideMark/>
          </w:tcPr>
          <w:p w14:paraId="28522A2F" w14:textId="77777777" w:rsidR="00100BE6" w:rsidRPr="001C4D0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c>
          <w:tcPr>
            <w:tcW w:w="1276" w:type="dxa"/>
            <w:vMerge/>
            <w:hideMark/>
          </w:tcPr>
          <w:p w14:paraId="73292077" w14:textId="77777777" w:rsidR="00100BE6" w:rsidRPr="001C4D0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r>
    </w:tbl>
    <w:p w14:paraId="2B9CDCBC" w14:textId="6A54FD8E" w:rsidR="00100BE6" w:rsidRPr="00392420" w:rsidRDefault="00CA0F83" w:rsidP="00100BE6">
      <w:pPr>
        <w:pStyle w:val="TableNote-H58"/>
        <w:rPr>
          <w:rStyle w:val="BodyText-italic-H12"/>
          <w:rFonts w:ascii="Arial" w:hAnsi="Arial"/>
          <w:i w:val="0"/>
          <w:sz w:val="16"/>
          <w:szCs w:val="16"/>
          <w:lang w:val="en-US"/>
        </w:rPr>
      </w:pPr>
      <w:r>
        <w:rPr>
          <w:rFonts w:ascii="Arial" w:hAnsi="Arial"/>
          <w:sz w:val="16"/>
          <w:szCs w:val="16"/>
          <w:lang w:val="en-US"/>
        </w:rPr>
        <w:t xml:space="preserve">SOURCE: ISE </w:t>
      </w:r>
      <w:r>
        <w:rPr>
          <w:rFonts w:ascii="Arial" w:hAnsi="Arial"/>
          <w:sz w:val="16"/>
          <w:szCs w:val="16"/>
          <w:lang w:val="en-US"/>
        </w:rPr>
        <w:fldChar w:fldCharType="begin"/>
      </w:r>
      <w:r>
        <w:rPr>
          <w:rFonts w:ascii="Arial" w:hAnsi="Arial"/>
          <w:sz w:val="16"/>
          <w:szCs w:val="16"/>
          <w:lang w:val="en-US"/>
        </w:rPr>
        <w:instrText xml:space="preserve"> REF _Ref284183626 \r \h </w:instrText>
      </w:r>
      <w:r>
        <w:rPr>
          <w:rFonts w:ascii="Arial" w:hAnsi="Arial"/>
          <w:sz w:val="16"/>
          <w:szCs w:val="16"/>
          <w:lang w:val="en-US"/>
        </w:rPr>
      </w:r>
      <w:r>
        <w:rPr>
          <w:rFonts w:ascii="Arial" w:hAnsi="Arial"/>
          <w:sz w:val="16"/>
          <w:szCs w:val="16"/>
          <w:lang w:val="en-US"/>
        </w:rPr>
        <w:fldChar w:fldCharType="separate"/>
      </w:r>
      <w:r w:rsidR="00151A1C">
        <w:rPr>
          <w:rFonts w:ascii="Arial" w:hAnsi="Arial"/>
          <w:sz w:val="16"/>
          <w:szCs w:val="16"/>
          <w:lang w:val="en-US"/>
        </w:rPr>
        <w:t>51</w:t>
      </w:r>
      <w:r>
        <w:rPr>
          <w:rFonts w:ascii="Arial" w:hAnsi="Arial"/>
          <w:sz w:val="16"/>
          <w:szCs w:val="16"/>
          <w:lang w:val="en-US"/>
        </w:rPr>
        <w:fldChar w:fldCharType="end"/>
      </w:r>
      <w:r>
        <w:rPr>
          <w:rFonts w:ascii="Arial" w:hAnsi="Arial"/>
          <w:sz w:val="16"/>
          <w:szCs w:val="16"/>
          <w:lang w:val="en-US"/>
        </w:rPr>
        <w:t xml:space="preserve"> MRSA</w:t>
      </w:r>
      <w:r w:rsidR="00100BE6" w:rsidRPr="00A80096">
        <w:rPr>
          <w:rFonts w:ascii="Arial" w:hAnsi="Arial"/>
          <w:sz w:val="16"/>
          <w:szCs w:val="16"/>
          <w:lang w:val="en-US"/>
        </w:rPr>
        <w:t xml:space="preserve"> Table 1 CE-EOT: Clinically evaluable end of therapy; CI: Confidence interval; EOT: End of therapy; MRSA: Methicillin-resistant </w:t>
      </w:r>
      <w:r w:rsidR="00100BE6" w:rsidRPr="00A80096">
        <w:rPr>
          <w:rStyle w:val="BodyText-italic-H12"/>
          <w:rFonts w:ascii="Arial" w:hAnsi="Arial"/>
          <w:bCs w:val="0"/>
          <w:sz w:val="16"/>
          <w:szCs w:val="16"/>
          <w:lang w:val="en-US"/>
        </w:rPr>
        <w:t xml:space="preserve">S. aureus; </w:t>
      </w:r>
      <w:r w:rsidR="00100BE6" w:rsidRPr="00A80096">
        <w:rPr>
          <w:rFonts w:ascii="Arial" w:hAnsi="Arial"/>
          <w:sz w:val="16"/>
          <w:szCs w:val="16"/>
          <w:lang w:val="en-US"/>
        </w:rPr>
        <w:t>N: Number of patients in population; n: Number of patients in specific category</w:t>
      </w:r>
    </w:p>
    <w:p w14:paraId="3BCCE001" w14:textId="276D9477" w:rsidR="00100BE6" w:rsidRPr="00A80096" w:rsidRDefault="00100BE6" w:rsidP="00392420">
      <w:pPr>
        <w:pStyle w:val="Caption"/>
        <w:jc w:val="left"/>
        <w:rPr>
          <w:rFonts w:ascii="Arial" w:hAnsi="Arial"/>
          <w:sz w:val="22"/>
          <w:szCs w:val="22"/>
          <w:lang w:val="en-US"/>
        </w:rPr>
      </w:pPr>
      <w:bookmarkStart w:id="151" w:name="_Ref384299292"/>
      <w:bookmarkStart w:id="152" w:name="_Toc396058381"/>
      <w:r w:rsidRPr="00A80096">
        <w:rPr>
          <w:rFonts w:ascii="Arial" w:hAnsi="Arial"/>
          <w:sz w:val="22"/>
          <w:szCs w:val="22"/>
          <w:lang w:val="en-US"/>
        </w:rPr>
        <w:lastRenderedPageBreak/>
        <w:t xml:space="preserve">Figure </w:t>
      </w:r>
      <w:r w:rsidRPr="00A80096">
        <w:rPr>
          <w:rFonts w:ascii="Arial" w:hAnsi="Arial"/>
          <w:sz w:val="22"/>
          <w:szCs w:val="22"/>
          <w:lang w:val="en-US"/>
        </w:rPr>
        <w:fldChar w:fldCharType="begin"/>
      </w:r>
      <w:r w:rsidRPr="00A80096">
        <w:rPr>
          <w:rFonts w:ascii="Arial" w:hAnsi="Arial"/>
          <w:sz w:val="22"/>
          <w:szCs w:val="22"/>
          <w:lang w:val="en-US"/>
        </w:rPr>
        <w:instrText xml:space="preserve"> SEQ Figure \* ARABIC </w:instrText>
      </w:r>
      <w:r w:rsidRPr="00A80096">
        <w:rPr>
          <w:rFonts w:ascii="Arial" w:hAnsi="Arial"/>
          <w:sz w:val="22"/>
          <w:szCs w:val="22"/>
          <w:lang w:val="en-US"/>
        </w:rPr>
        <w:fldChar w:fldCharType="separate"/>
      </w:r>
      <w:r w:rsidR="00151A1C">
        <w:rPr>
          <w:rFonts w:ascii="Arial" w:hAnsi="Arial"/>
          <w:noProof/>
          <w:sz w:val="22"/>
          <w:szCs w:val="22"/>
          <w:lang w:val="en-US"/>
        </w:rPr>
        <w:t>10</w:t>
      </w:r>
      <w:r w:rsidRPr="00A80096">
        <w:rPr>
          <w:rFonts w:ascii="Arial" w:hAnsi="Arial"/>
          <w:sz w:val="22"/>
          <w:szCs w:val="22"/>
          <w:lang w:val="en-US"/>
        </w:rPr>
        <w:fldChar w:fldCharType="end"/>
      </w:r>
      <w:bookmarkEnd w:id="151"/>
      <w:r w:rsidRPr="00A80096">
        <w:rPr>
          <w:rFonts w:ascii="Arial" w:hAnsi="Arial"/>
          <w:sz w:val="22"/>
          <w:szCs w:val="22"/>
          <w:lang w:val="en-US"/>
        </w:rPr>
        <w:t>: Proportion of patients with MRSA infections classified as clinical success at the EOT Visit in the pooled analysis of Phase 3 trial data (MITT and CE-EOT population</w:t>
      </w:r>
      <w:r w:rsidR="00BE0D70">
        <w:rPr>
          <w:rFonts w:ascii="Arial" w:hAnsi="Arial"/>
          <w:sz w:val="22"/>
          <w:szCs w:val="22"/>
          <w:lang w:val="en-US"/>
        </w:rPr>
        <w:t>s</w:t>
      </w:r>
      <w:r w:rsidRPr="00A80096">
        <w:rPr>
          <w:rFonts w:ascii="Arial" w:hAnsi="Arial"/>
          <w:sz w:val="22"/>
          <w:szCs w:val="22"/>
          <w:lang w:val="en-US"/>
        </w:rPr>
        <w:t>)</w:t>
      </w:r>
      <w:bookmarkEnd w:id="152"/>
    </w:p>
    <w:p w14:paraId="41E67AFA" w14:textId="37D4D80F" w:rsidR="00100BE6" w:rsidRPr="00392420" w:rsidRDefault="00100BE6" w:rsidP="00392420">
      <w:pPr>
        <w:pStyle w:val="BodyText"/>
        <w:rPr>
          <w:sz w:val="22"/>
          <w:szCs w:val="22"/>
          <w:lang w:val="en-US"/>
        </w:rPr>
      </w:pPr>
      <w:r w:rsidRPr="00A80096">
        <w:rPr>
          <w:noProof/>
          <w:sz w:val="22"/>
          <w:szCs w:val="22"/>
          <w:lang w:eastAsia="en-GB"/>
        </w:rPr>
        <w:drawing>
          <wp:inline distT="0" distB="0" distL="0" distR="0" wp14:anchorId="649E68DF" wp14:editId="0B1F808D">
            <wp:extent cx="5308600" cy="3136900"/>
            <wp:effectExtent l="0" t="0" r="0" b="0"/>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153" w:name="_Ref384310867"/>
      <w:r w:rsidR="00CA0F83">
        <w:rPr>
          <w:sz w:val="16"/>
          <w:lang w:val="en-US"/>
        </w:rPr>
        <w:t xml:space="preserve">SOURCE: ISE </w:t>
      </w:r>
      <w:r w:rsidR="00CA0F83">
        <w:rPr>
          <w:sz w:val="16"/>
          <w:lang w:val="en-US"/>
        </w:rPr>
        <w:fldChar w:fldCharType="begin"/>
      </w:r>
      <w:r w:rsidR="00CA0F83">
        <w:rPr>
          <w:sz w:val="16"/>
          <w:lang w:val="en-US"/>
        </w:rPr>
        <w:instrText xml:space="preserve"> REF _Ref284183626 \r \h </w:instrText>
      </w:r>
      <w:r w:rsidR="00CA0F83">
        <w:rPr>
          <w:sz w:val="16"/>
          <w:lang w:val="en-US"/>
        </w:rPr>
      </w:r>
      <w:r w:rsidR="00CA0F83">
        <w:rPr>
          <w:sz w:val="16"/>
          <w:lang w:val="en-US"/>
        </w:rPr>
        <w:fldChar w:fldCharType="separate"/>
      </w:r>
      <w:r w:rsidR="00151A1C">
        <w:rPr>
          <w:sz w:val="16"/>
          <w:lang w:val="en-US"/>
        </w:rPr>
        <w:t>51</w:t>
      </w:r>
      <w:r w:rsidR="00CA0F83">
        <w:rPr>
          <w:sz w:val="16"/>
          <w:lang w:val="en-US"/>
        </w:rPr>
        <w:fldChar w:fldCharType="end"/>
      </w:r>
      <w:r w:rsidR="00CA0F83">
        <w:rPr>
          <w:sz w:val="16"/>
          <w:lang w:val="en-US"/>
        </w:rPr>
        <w:t xml:space="preserve"> MRSA</w:t>
      </w:r>
      <w:r w:rsidRPr="003B268D">
        <w:rPr>
          <w:sz w:val="16"/>
          <w:lang w:val="en-US"/>
        </w:rPr>
        <w:t xml:space="preserve"> Table 1</w:t>
      </w:r>
      <w:r w:rsidR="00392420">
        <w:rPr>
          <w:sz w:val="16"/>
          <w:lang w:val="en-US"/>
        </w:rPr>
        <w:t xml:space="preserve"> </w:t>
      </w:r>
      <w:r w:rsidRPr="003B268D">
        <w:rPr>
          <w:sz w:val="16"/>
          <w:szCs w:val="16"/>
          <w:lang w:val="en-US"/>
        </w:rPr>
        <w:t>Note: MITT population: tedizolid phosphate N=141, linezolid N=146; CE-EOT population: tedizolid phosphate N=121, linezolid N=125</w:t>
      </w:r>
      <w:r w:rsidR="00392420">
        <w:rPr>
          <w:sz w:val="16"/>
          <w:lang w:val="en-US"/>
        </w:rPr>
        <w:t xml:space="preserve"> </w:t>
      </w:r>
      <w:r w:rsidRPr="003B268D">
        <w:rPr>
          <w:sz w:val="16"/>
          <w:szCs w:val="16"/>
          <w:lang w:val="en-US"/>
        </w:rPr>
        <w:t xml:space="preserve">CE-EOT: Clinically evaluable end of therapy; CI: Confidence interval; EOT: End of therapy; MITT: Microbiological intent-to-treat; MRSA: Methicillin-resistant </w:t>
      </w:r>
      <w:r w:rsidRPr="003B268D">
        <w:rPr>
          <w:rStyle w:val="BodyText-italic-H12"/>
          <w:bCs/>
          <w:sz w:val="16"/>
          <w:szCs w:val="16"/>
          <w:lang w:val="en-US"/>
        </w:rPr>
        <w:t xml:space="preserve">S. aureus; </w:t>
      </w:r>
      <w:r w:rsidRPr="003B268D">
        <w:rPr>
          <w:sz w:val="16"/>
          <w:szCs w:val="16"/>
          <w:lang w:val="en-US"/>
        </w:rPr>
        <w:t>N: Number of patients in population</w:t>
      </w:r>
    </w:p>
    <w:p w14:paraId="4208940C" w14:textId="6CA6D286" w:rsidR="00100BE6" w:rsidRPr="00F43710" w:rsidRDefault="00F43710" w:rsidP="00C35C1F">
      <w:pPr>
        <w:pStyle w:val="Heading4"/>
        <w:keepLines w:val="0"/>
        <w:numPr>
          <w:ilvl w:val="0"/>
          <w:numId w:val="38"/>
        </w:numPr>
        <w:spacing w:before="240" w:after="120"/>
        <w:rPr>
          <w:rFonts w:ascii="Arial" w:hAnsi="Arial"/>
          <w:i w:val="0"/>
          <w:color w:val="auto"/>
          <w:sz w:val="22"/>
          <w:szCs w:val="22"/>
          <w:lang w:val="en-US"/>
        </w:rPr>
      </w:pPr>
      <w:bookmarkStart w:id="154" w:name="_Ref384394211"/>
      <w:r w:rsidRPr="00F43710">
        <w:rPr>
          <w:rFonts w:ascii="Arial" w:hAnsi="Arial"/>
          <w:i w:val="0"/>
          <w:color w:val="auto"/>
          <w:sz w:val="22"/>
          <w:szCs w:val="22"/>
          <w:lang w:val="en-US"/>
        </w:rPr>
        <w:t xml:space="preserve">Investigator-assessed </w:t>
      </w:r>
      <w:r w:rsidR="00100BE6" w:rsidRPr="00F43710">
        <w:rPr>
          <w:rFonts w:ascii="Arial" w:hAnsi="Arial"/>
          <w:i w:val="0"/>
          <w:color w:val="auto"/>
          <w:sz w:val="22"/>
          <w:szCs w:val="22"/>
          <w:lang w:val="en-US"/>
        </w:rPr>
        <w:t xml:space="preserve">clinical success at the PTE Visit </w:t>
      </w:r>
      <w:bookmarkEnd w:id="141"/>
      <w:bookmarkEnd w:id="153"/>
      <w:bookmarkEnd w:id="154"/>
    </w:p>
    <w:p w14:paraId="5E247849" w14:textId="4F0967A6" w:rsidR="00100BE6" w:rsidRPr="00C359D6" w:rsidRDefault="00100BE6" w:rsidP="00AA63F5">
      <w:pPr>
        <w:tabs>
          <w:tab w:val="left" w:pos="680"/>
        </w:tabs>
        <w:spacing w:before="45" w:after="120"/>
        <w:jc w:val="both"/>
        <w:rPr>
          <w:bCs/>
          <w:sz w:val="16"/>
          <w:szCs w:val="16"/>
          <w:lang w:val="en-US"/>
        </w:rPr>
      </w:pPr>
      <w:r w:rsidRPr="00A80096">
        <w:rPr>
          <w:sz w:val="22"/>
          <w:szCs w:val="22"/>
          <w:lang w:val="en-US"/>
        </w:rPr>
        <w:t>In the pooled analysis</w:t>
      </w:r>
      <w:r w:rsidR="00F43710">
        <w:rPr>
          <w:sz w:val="22"/>
          <w:szCs w:val="22"/>
          <w:lang w:val="en-US"/>
        </w:rPr>
        <w:t>,</w:t>
      </w:r>
      <w:r w:rsidRPr="00A80096">
        <w:rPr>
          <w:sz w:val="22"/>
          <w:szCs w:val="22"/>
          <w:lang w:val="en-US"/>
        </w:rPr>
        <w:t xml:space="preserve"> </w:t>
      </w:r>
      <w:r w:rsidR="00F43710" w:rsidRPr="00A80096">
        <w:rPr>
          <w:sz w:val="22"/>
          <w:szCs w:val="22"/>
          <w:lang w:val="en-US"/>
        </w:rPr>
        <w:t xml:space="preserve">the proportion of patients </w:t>
      </w:r>
      <w:r w:rsidR="00F43710">
        <w:rPr>
          <w:sz w:val="22"/>
          <w:szCs w:val="22"/>
          <w:lang w:val="en-US"/>
        </w:rPr>
        <w:t xml:space="preserve">with MRSA infections </w:t>
      </w:r>
      <w:r w:rsidR="00F43710" w:rsidRPr="00A80096">
        <w:rPr>
          <w:sz w:val="22"/>
          <w:szCs w:val="22"/>
          <w:lang w:val="en-US"/>
        </w:rPr>
        <w:t xml:space="preserve">achieving clinical success at the PTE Visit in the MITT population </w:t>
      </w:r>
      <w:r w:rsidR="00F43710">
        <w:rPr>
          <w:sz w:val="22"/>
          <w:szCs w:val="22"/>
          <w:lang w:val="en-US"/>
        </w:rPr>
        <w:t>was comparable between</w:t>
      </w:r>
      <w:r w:rsidRPr="00A80096">
        <w:rPr>
          <w:sz w:val="22"/>
          <w:szCs w:val="22"/>
          <w:lang w:val="en-US"/>
        </w:rPr>
        <w:t xml:space="preserve"> tedizolid phosphate </w:t>
      </w:r>
      <w:r w:rsidR="00F43710">
        <w:rPr>
          <w:sz w:val="22"/>
          <w:szCs w:val="22"/>
          <w:lang w:val="en-US"/>
        </w:rPr>
        <w:t>and</w:t>
      </w:r>
      <w:r w:rsidRPr="00A80096">
        <w:rPr>
          <w:sz w:val="22"/>
          <w:szCs w:val="22"/>
          <w:lang w:val="en-US"/>
        </w:rPr>
        <w:t xml:space="preserve"> linezolid (</w:t>
      </w:r>
      <w:r w:rsidR="00AA63F5">
        <w:rPr>
          <w:sz w:val="22"/>
          <w:szCs w:val="22"/>
          <w:lang w:val="en-US"/>
        </w:rPr>
        <w:t>Table 35 and Figure 11</w:t>
      </w:r>
      <w:r w:rsidRPr="00A80096">
        <w:rPr>
          <w:sz w:val="22"/>
          <w:szCs w:val="22"/>
          <w:lang w:val="en-US"/>
        </w:rPr>
        <w:t>).</w:t>
      </w:r>
      <w:r w:rsidR="001F5861" w:rsidRPr="0007647E">
        <w:rPr>
          <w:bCs/>
          <w:color w:val="FF0000"/>
          <w:sz w:val="22"/>
          <w:szCs w:val="22"/>
          <w:lang w:val="en-US"/>
        </w:rPr>
        <w:t xml:space="preserve"> </w:t>
      </w:r>
    </w:p>
    <w:p w14:paraId="3C01A3C1" w14:textId="77777777" w:rsidR="0007647E" w:rsidRDefault="0007647E" w:rsidP="00100BE6">
      <w:pPr>
        <w:pStyle w:val="TableHeading-H56"/>
        <w:rPr>
          <w:rFonts w:ascii="Arial" w:hAnsi="Arial"/>
          <w:sz w:val="22"/>
          <w:szCs w:val="22"/>
          <w:lang w:val="en-US"/>
        </w:rPr>
      </w:pPr>
      <w:bookmarkStart w:id="155" w:name="_Ref382561286"/>
      <w:bookmarkStart w:id="156" w:name="_Toc396058465"/>
    </w:p>
    <w:p w14:paraId="38275FE3" w14:textId="77777777" w:rsidR="00100BE6" w:rsidRPr="00A80096" w:rsidRDefault="00100BE6" w:rsidP="00100BE6">
      <w:pPr>
        <w:pStyle w:val="TableHeading-H56"/>
        <w:rPr>
          <w:rFonts w:ascii="Arial" w:hAnsi="Arial"/>
          <w:sz w:val="22"/>
          <w:szCs w:val="22"/>
          <w:lang w:val="en-US"/>
        </w:rPr>
      </w:pPr>
      <w:bookmarkStart w:id="157" w:name="_Ref281834551"/>
      <w:r w:rsidRPr="00A80096">
        <w:rPr>
          <w:rFonts w:ascii="Arial" w:hAnsi="Arial"/>
          <w:sz w:val="22"/>
          <w:szCs w:val="22"/>
          <w:lang w:val="en-US"/>
        </w:rPr>
        <w:t xml:space="preserve">Table </w:t>
      </w:r>
      <w:r w:rsidRPr="00A80096">
        <w:rPr>
          <w:rFonts w:ascii="Arial" w:hAnsi="Arial"/>
          <w:sz w:val="22"/>
          <w:szCs w:val="22"/>
          <w:lang w:val="en-US"/>
        </w:rPr>
        <w:fldChar w:fldCharType="begin"/>
      </w:r>
      <w:r w:rsidRPr="00A80096">
        <w:rPr>
          <w:rFonts w:ascii="Arial" w:hAnsi="Arial"/>
          <w:sz w:val="22"/>
          <w:szCs w:val="22"/>
          <w:lang w:val="en-US"/>
        </w:rPr>
        <w:instrText xml:space="preserve"> SEQ Table \* ARABIC </w:instrText>
      </w:r>
      <w:r w:rsidRPr="00A80096">
        <w:rPr>
          <w:rFonts w:ascii="Arial" w:hAnsi="Arial"/>
          <w:sz w:val="22"/>
          <w:szCs w:val="22"/>
          <w:lang w:val="en-US"/>
        </w:rPr>
        <w:fldChar w:fldCharType="separate"/>
      </w:r>
      <w:r w:rsidR="00151A1C">
        <w:rPr>
          <w:rFonts w:ascii="Arial" w:hAnsi="Arial"/>
          <w:noProof/>
          <w:sz w:val="22"/>
          <w:szCs w:val="22"/>
          <w:lang w:val="en-US"/>
        </w:rPr>
        <w:t>35</w:t>
      </w:r>
      <w:r w:rsidRPr="00A80096">
        <w:rPr>
          <w:rFonts w:ascii="Arial" w:hAnsi="Arial"/>
          <w:sz w:val="22"/>
          <w:szCs w:val="22"/>
          <w:lang w:val="en-US"/>
        </w:rPr>
        <w:fldChar w:fldCharType="end"/>
      </w:r>
      <w:bookmarkEnd w:id="155"/>
      <w:bookmarkEnd w:id="157"/>
      <w:r w:rsidRPr="00A80096">
        <w:rPr>
          <w:rFonts w:ascii="Arial" w:hAnsi="Arial"/>
          <w:sz w:val="22"/>
          <w:szCs w:val="22"/>
          <w:lang w:val="en-US"/>
        </w:rPr>
        <w:t>: Proportion of patients achieving clinical success against MRSA at the PTE Visit in the pooled analysis of Phase 3 trial data (MITT population)</w:t>
      </w:r>
      <w:bookmarkEnd w:id="156"/>
    </w:p>
    <w:tbl>
      <w:tblPr>
        <w:tblStyle w:val="Table-HERONplain"/>
        <w:tblW w:w="0" w:type="auto"/>
        <w:tblLook w:val="04A0" w:firstRow="1" w:lastRow="0" w:firstColumn="1" w:lastColumn="0" w:noHBand="0" w:noVBand="1"/>
      </w:tblPr>
      <w:tblGrid>
        <w:gridCol w:w="2423"/>
        <w:gridCol w:w="2161"/>
        <w:gridCol w:w="2164"/>
        <w:gridCol w:w="2155"/>
      </w:tblGrid>
      <w:tr w:rsidR="00100BE6" w:rsidRPr="00A80096" w14:paraId="5CCCA8B1" w14:textId="77777777" w:rsidTr="00CE443D">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493" w:type="dxa"/>
            <w:shd w:val="clear" w:color="auto" w:fill="auto"/>
            <w:hideMark/>
          </w:tcPr>
          <w:p w14:paraId="5996595C" w14:textId="77777777" w:rsidR="00100BE6" w:rsidRPr="00A80096" w:rsidRDefault="00100BE6" w:rsidP="00100BE6">
            <w:pPr>
              <w:pStyle w:val="TableBodyText-H54"/>
              <w:rPr>
                <w:rFonts w:ascii="Arial" w:hAnsi="Arial"/>
                <w:sz w:val="22"/>
                <w:szCs w:val="22"/>
                <w:lang w:val="en-US" w:eastAsia="en-GB"/>
              </w:rPr>
            </w:pPr>
            <w:r w:rsidRPr="00A80096">
              <w:rPr>
                <w:rFonts w:ascii="Arial" w:hAnsi="Arial"/>
                <w:sz w:val="22"/>
                <w:szCs w:val="22"/>
                <w:lang w:val="en-US" w:eastAsia="en-GB"/>
              </w:rPr>
              <w:t>Baseline pathogen</w:t>
            </w:r>
          </w:p>
        </w:tc>
        <w:tc>
          <w:tcPr>
            <w:tcW w:w="2212" w:type="dxa"/>
            <w:shd w:val="clear" w:color="auto" w:fill="auto"/>
            <w:hideMark/>
          </w:tcPr>
          <w:p w14:paraId="77EF0CB7" w14:textId="77777777" w:rsidR="00100BE6" w:rsidRPr="00A80096" w:rsidRDefault="00100BE6"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Response</w:t>
            </w:r>
          </w:p>
        </w:tc>
        <w:tc>
          <w:tcPr>
            <w:tcW w:w="2212" w:type="dxa"/>
            <w:shd w:val="clear" w:color="auto" w:fill="auto"/>
            <w:hideMark/>
          </w:tcPr>
          <w:p w14:paraId="28C7B0B5" w14:textId="77777777" w:rsidR="00100BE6" w:rsidRPr="00A80096"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Tedizolid phosphate</w:t>
            </w:r>
          </w:p>
          <w:p w14:paraId="0FD2DCB5" w14:textId="77777777" w:rsidR="00100BE6" w:rsidRPr="00A80096"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n (%)</w:t>
            </w:r>
          </w:p>
        </w:tc>
        <w:tc>
          <w:tcPr>
            <w:tcW w:w="2212" w:type="dxa"/>
            <w:shd w:val="clear" w:color="auto" w:fill="auto"/>
            <w:hideMark/>
          </w:tcPr>
          <w:p w14:paraId="2769D423" w14:textId="77777777" w:rsidR="00100BE6" w:rsidRPr="00A80096"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Linezolid</w:t>
            </w:r>
          </w:p>
          <w:p w14:paraId="21FC0807" w14:textId="77777777" w:rsidR="00100BE6" w:rsidRPr="00A80096"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n (%)</w:t>
            </w:r>
          </w:p>
        </w:tc>
      </w:tr>
      <w:tr w:rsidR="00100BE6" w:rsidRPr="00A80096" w14:paraId="1FC4E2D1" w14:textId="77777777" w:rsidTr="00CE443D">
        <w:tc>
          <w:tcPr>
            <w:cnfStyle w:val="001000000000" w:firstRow="0" w:lastRow="0" w:firstColumn="1" w:lastColumn="0" w:oddVBand="0" w:evenVBand="0" w:oddHBand="0" w:evenHBand="0" w:firstRowFirstColumn="0" w:firstRowLastColumn="0" w:lastRowFirstColumn="0" w:lastRowLastColumn="0"/>
            <w:tcW w:w="9129" w:type="dxa"/>
            <w:gridSpan w:val="4"/>
            <w:shd w:val="clear" w:color="auto" w:fill="auto"/>
            <w:hideMark/>
          </w:tcPr>
          <w:p w14:paraId="32707853" w14:textId="77777777" w:rsidR="00100BE6" w:rsidRPr="00A80096" w:rsidRDefault="00100BE6" w:rsidP="00100BE6">
            <w:pPr>
              <w:pStyle w:val="TableBodyText-H54"/>
              <w:rPr>
                <w:rFonts w:ascii="Arial" w:hAnsi="Arial"/>
                <w:sz w:val="22"/>
                <w:szCs w:val="22"/>
                <w:lang w:val="en-US" w:eastAsia="en-GB"/>
              </w:rPr>
            </w:pPr>
            <w:r w:rsidRPr="00A80096">
              <w:rPr>
                <w:rFonts w:ascii="Arial" w:hAnsi="Arial"/>
                <w:sz w:val="22"/>
                <w:szCs w:val="22"/>
                <w:lang w:val="en-US" w:eastAsia="en-GB"/>
              </w:rPr>
              <w:t>Pooled ESTABLISH-1 and ESTABLISH-2</w:t>
            </w:r>
          </w:p>
        </w:tc>
      </w:tr>
      <w:tr w:rsidR="00100BE6" w:rsidRPr="00A80096" w14:paraId="11A374FF" w14:textId="77777777" w:rsidTr="00CE4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vMerge w:val="restart"/>
            <w:shd w:val="clear" w:color="auto" w:fill="auto"/>
            <w:hideMark/>
          </w:tcPr>
          <w:p w14:paraId="5F3E3D85" w14:textId="77777777" w:rsidR="00100BE6" w:rsidRPr="00A80096" w:rsidRDefault="00100BE6" w:rsidP="00100BE6">
            <w:pPr>
              <w:pStyle w:val="TableBodyText-H54"/>
              <w:rPr>
                <w:rFonts w:ascii="Arial" w:hAnsi="Arial"/>
                <w:sz w:val="22"/>
                <w:szCs w:val="22"/>
                <w:lang w:val="en-US" w:eastAsia="en-GB"/>
              </w:rPr>
            </w:pPr>
            <w:r w:rsidRPr="00A80096">
              <w:rPr>
                <w:rFonts w:ascii="Arial" w:hAnsi="Arial"/>
                <w:sz w:val="22"/>
                <w:szCs w:val="22"/>
                <w:lang w:val="en-US" w:eastAsia="en-GB"/>
              </w:rPr>
              <w:t>MRSA</w:t>
            </w:r>
          </w:p>
        </w:tc>
        <w:tc>
          <w:tcPr>
            <w:tcW w:w="2212" w:type="dxa"/>
            <w:hideMark/>
          </w:tcPr>
          <w:p w14:paraId="71CB1019" w14:textId="77777777" w:rsidR="00100BE6" w:rsidRPr="00A80096"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N</w:t>
            </w:r>
          </w:p>
        </w:tc>
        <w:tc>
          <w:tcPr>
            <w:tcW w:w="2212" w:type="dxa"/>
            <w:hideMark/>
          </w:tcPr>
          <w:p w14:paraId="163587CB" w14:textId="77777777" w:rsidR="00100BE6" w:rsidRPr="00A80096"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sz w:val="22"/>
                <w:szCs w:val="22"/>
                <w:lang w:val="en-US" w:eastAsia="en-GB"/>
              </w:rPr>
            </w:pPr>
            <w:r w:rsidRPr="00A80096">
              <w:rPr>
                <w:rFonts w:ascii="Arial" w:eastAsia="TimesNewRoman" w:hAnsi="Arial"/>
                <w:sz w:val="22"/>
                <w:szCs w:val="22"/>
                <w:lang w:val="en-US" w:eastAsia="en-GB"/>
              </w:rPr>
              <w:t>141</w:t>
            </w:r>
          </w:p>
        </w:tc>
        <w:tc>
          <w:tcPr>
            <w:tcW w:w="2212" w:type="dxa"/>
            <w:hideMark/>
          </w:tcPr>
          <w:p w14:paraId="1EA74234" w14:textId="77777777" w:rsidR="00100BE6" w:rsidRPr="00A80096"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146</w:t>
            </w:r>
          </w:p>
        </w:tc>
      </w:tr>
      <w:tr w:rsidR="00100BE6" w:rsidRPr="00A80096" w14:paraId="3201A964" w14:textId="77777777" w:rsidTr="00CE443D">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6CC25A4" w14:textId="77777777" w:rsidR="00100BE6" w:rsidRPr="00A80096" w:rsidRDefault="00100BE6" w:rsidP="00100BE6">
            <w:pPr>
              <w:rPr>
                <w:sz w:val="22"/>
                <w:szCs w:val="22"/>
                <w:lang w:val="en-US" w:eastAsia="en-GB"/>
              </w:rPr>
            </w:pPr>
          </w:p>
        </w:tc>
        <w:tc>
          <w:tcPr>
            <w:tcW w:w="2212" w:type="dxa"/>
            <w:hideMark/>
          </w:tcPr>
          <w:p w14:paraId="20CCD79A" w14:textId="77777777" w:rsidR="00100BE6" w:rsidRPr="00A80096" w:rsidRDefault="00100BE6"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Clinical success</w:t>
            </w:r>
          </w:p>
        </w:tc>
        <w:tc>
          <w:tcPr>
            <w:tcW w:w="2212" w:type="dxa"/>
            <w:hideMark/>
          </w:tcPr>
          <w:p w14:paraId="6D77EC4F" w14:textId="77777777" w:rsidR="00100BE6" w:rsidRPr="00A80096"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sz w:val="22"/>
                <w:szCs w:val="22"/>
                <w:lang w:val="en-US" w:eastAsia="en-GB"/>
              </w:rPr>
            </w:pPr>
            <w:r w:rsidRPr="00A80096">
              <w:rPr>
                <w:rFonts w:ascii="Arial" w:eastAsia="TimesNewRoman" w:hAnsi="Arial"/>
                <w:sz w:val="22"/>
                <w:szCs w:val="22"/>
                <w:lang w:val="en-US" w:eastAsia="en-GB"/>
              </w:rPr>
              <w:t>118 (83.7)</w:t>
            </w:r>
          </w:p>
        </w:tc>
        <w:tc>
          <w:tcPr>
            <w:tcW w:w="2212" w:type="dxa"/>
            <w:hideMark/>
          </w:tcPr>
          <w:p w14:paraId="2CB189D6" w14:textId="77777777" w:rsidR="00100BE6" w:rsidRPr="00A80096"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2"/>
                <w:szCs w:val="22"/>
                <w:lang w:val="en-US" w:eastAsia="en-GB"/>
              </w:rPr>
            </w:pPr>
            <w:r w:rsidRPr="00A80096">
              <w:rPr>
                <w:rFonts w:ascii="Arial" w:hAnsi="Arial"/>
                <w:sz w:val="22"/>
                <w:szCs w:val="22"/>
                <w:lang w:val="en-US" w:eastAsia="en-GB"/>
              </w:rPr>
              <w:t>119 (81.5)</w:t>
            </w:r>
          </w:p>
        </w:tc>
      </w:tr>
    </w:tbl>
    <w:p w14:paraId="32A90606" w14:textId="680B9108" w:rsidR="00E47E64" w:rsidRPr="007F33BA" w:rsidRDefault="00E47E64" w:rsidP="00E47E64">
      <w:pPr>
        <w:tabs>
          <w:tab w:val="left" w:pos="680"/>
        </w:tabs>
        <w:spacing w:before="45" w:after="120"/>
        <w:jc w:val="both"/>
        <w:rPr>
          <w:bCs/>
          <w:sz w:val="16"/>
          <w:szCs w:val="16"/>
          <w:lang w:val="en-US"/>
        </w:rPr>
      </w:pPr>
      <w:bookmarkStart w:id="158" w:name="_Ref384304856"/>
      <w:bookmarkStart w:id="159" w:name="_Toc396058382"/>
      <w:r w:rsidRPr="007F33BA">
        <w:rPr>
          <w:rFonts w:eastAsia="MS PGothic"/>
          <w:bCs/>
          <w:sz w:val="16"/>
          <w:szCs w:val="16"/>
          <w:lang w:val="en-US"/>
        </w:rPr>
        <w:t>SOURCE:</w:t>
      </w:r>
      <w:r w:rsidRPr="007F33BA">
        <w:rPr>
          <w:bCs/>
          <w:sz w:val="16"/>
          <w:szCs w:val="16"/>
          <w:lang w:val="en-US"/>
        </w:rPr>
        <w:t xml:space="preserve"> </w:t>
      </w:r>
      <w:r w:rsidR="00CA0F83">
        <w:rPr>
          <w:bCs/>
          <w:sz w:val="16"/>
          <w:szCs w:val="16"/>
          <w:lang w:val="en-US"/>
        </w:rPr>
        <w:t xml:space="preserve">ISE </w:t>
      </w:r>
      <w:r w:rsidR="00CA0F83">
        <w:rPr>
          <w:bCs/>
          <w:sz w:val="16"/>
          <w:szCs w:val="16"/>
          <w:lang w:val="en-US"/>
        </w:rPr>
        <w:fldChar w:fldCharType="begin"/>
      </w:r>
      <w:r w:rsidR="00CA0F83">
        <w:rPr>
          <w:bCs/>
          <w:sz w:val="16"/>
          <w:szCs w:val="16"/>
          <w:lang w:val="en-US"/>
        </w:rPr>
        <w:instrText xml:space="preserve"> REF _Ref284183626 \r \h </w:instrText>
      </w:r>
      <w:r w:rsidR="00CA0F83">
        <w:rPr>
          <w:bCs/>
          <w:sz w:val="16"/>
          <w:szCs w:val="16"/>
          <w:lang w:val="en-US"/>
        </w:rPr>
      </w:r>
      <w:r w:rsidR="00CA0F83">
        <w:rPr>
          <w:bCs/>
          <w:sz w:val="16"/>
          <w:szCs w:val="16"/>
          <w:lang w:val="en-US"/>
        </w:rPr>
        <w:fldChar w:fldCharType="separate"/>
      </w:r>
      <w:r w:rsidR="00151A1C">
        <w:rPr>
          <w:bCs/>
          <w:sz w:val="16"/>
          <w:szCs w:val="16"/>
          <w:lang w:val="en-US"/>
        </w:rPr>
        <w:t>51</w:t>
      </w:r>
      <w:r w:rsidR="00CA0F83">
        <w:rPr>
          <w:bCs/>
          <w:sz w:val="16"/>
          <w:szCs w:val="16"/>
          <w:lang w:val="en-US"/>
        </w:rPr>
        <w:fldChar w:fldCharType="end"/>
      </w:r>
      <w:r w:rsidR="00CA0F83">
        <w:rPr>
          <w:bCs/>
          <w:sz w:val="16"/>
          <w:szCs w:val="16"/>
          <w:lang w:val="en-US"/>
        </w:rPr>
        <w:t xml:space="preserve"> MRSA</w:t>
      </w:r>
      <w:r w:rsidR="00BE0D70">
        <w:rPr>
          <w:bCs/>
          <w:sz w:val="16"/>
          <w:szCs w:val="16"/>
          <w:lang w:val="en-US"/>
        </w:rPr>
        <w:t xml:space="preserve">. </w:t>
      </w:r>
      <w:r w:rsidRPr="007F33BA">
        <w:rPr>
          <w:bCs/>
          <w:sz w:val="16"/>
          <w:szCs w:val="16"/>
          <w:lang w:val="en-US"/>
        </w:rPr>
        <w:t xml:space="preserve">ABSSSI: Acute bacterial skin and skin structure infection; MITT: Microbiological intent-to-treat; MRSA: Methicillin-resistant </w:t>
      </w:r>
      <w:r w:rsidRPr="007F33BA">
        <w:rPr>
          <w:rFonts w:eastAsia="Arial Unicode MS"/>
          <w:bCs/>
          <w:i/>
          <w:sz w:val="16"/>
          <w:szCs w:val="16"/>
          <w:lang w:val="en-US"/>
        </w:rPr>
        <w:t>S. aureus</w:t>
      </w:r>
      <w:r w:rsidRPr="007F33BA">
        <w:rPr>
          <w:bCs/>
          <w:sz w:val="16"/>
          <w:szCs w:val="16"/>
          <w:lang w:val="en-US"/>
        </w:rPr>
        <w:t xml:space="preserve">; n: number of patients in the specific category; </w:t>
      </w:r>
    </w:p>
    <w:p w14:paraId="6C5B030B" w14:textId="77777777" w:rsidR="00100BE6" w:rsidRPr="00A80096" w:rsidRDefault="00100BE6" w:rsidP="00100BE6">
      <w:pPr>
        <w:pStyle w:val="Caption"/>
        <w:rPr>
          <w:rFonts w:ascii="Arial" w:hAnsi="Arial"/>
          <w:sz w:val="22"/>
          <w:szCs w:val="22"/>
          <w:lang w:val="en-US"/>
        </w:rPr>
      </w:pPr>
      <w:bookmarkStart w:id="160" w:name="_Ref281763072"/>
      <w:r w:rsidRPr="00A80096">
        <w:rPr>
          <w:rFonts w:ascii="Arial" w:hAnsi="Arial"/>
          <w:sz w:val="22"/>
          <w:szCs w:val="22"/>
          <w:lang w:val="en-US"/>
        </w:rPr>
        <w:lastRenderedPageBreak/>
        <w:t xml:space="preserve">Figure </w:t>
      </w:r>
      <w:r w:rsidRPr="00A80096">
        <w:rPr>
          <w:rFonts w:ascii="Arial" w:hAnsi="Arial"/>
          <w:sz w:val="22"/>
          <w:szCs w:val="22"/>
          <w:lang w:val="en-US"/>
        </w:rPr>
        <w:fldChar w:fldCharType="begin"/>
      </w:r>
      <w:r w:rsidRPr="00A80096">
        <w:rPr>
          <w:rFonts w:ascii="Arial" w:hAnsi="Arial"/>
          <w:sz w:val="22"/>
          <w:szCs w:val="22"/>
          <w:lang w:val="en-US"/>
        </w:rPr>
        <w:instrText xml:space="preserve"> SEQ Figure \* ARABIC </w:instrText>
      </w:r>
      <w:r w:rsidRPr="00A80096">
        <w:rPr>
          <w:rFonts w:ascii="Arial" w:hAnsi="Arial"/>
          <w:sz w:val="22"/>
          <w:szCs w:val="22"/>
          <w:lang w:val="en-US"/>
        </w:rPr>
        <w:fldChar w:fldCharType="separate"/>
      </w:r>
      <w:r w:rsidR="00151A1C">
        <w:rPr>
          <w:rFonts w:ascii="Arial" w:hAnsi="Arial"/>
          <w:noProof/>
          <w:sz w:val="22"/>
          <w:szCs w:val="22"/>
          <w:lang w:val="en-US"/>
        </w:rPr>
        <w:t>11</w:t>
      </w:r>
      <w:r w:rsidRPr="00A80096">
        <w:rPr>
          <w:rFonts w:ascii="Arial" w:hAnsi="Arial"/>
          <w:sz w:val="22"/>
          <w:szCs w:val="22"/>
          <w:lang w:val="en-US"/>
        </w:rPr>
        <w:fldChar w:fldCharType="end"/>
      </w:r>
      <w:bookmarkEnd w:id="158"/>
      <w:bookmarkEnd w:id="160"/>
      <w:r w:rsidRPr="00A80096">
        <w:rPr>
          <w:rFonts w:ascii="Arial" w:hAnsi="Arial"/>
          <w:sz w:val="22"/>
          <w:szCs w:val="22"/>
          <w:lang w:val="en-US"/>
        </w:rPr>
        <w:t>: Proportion of patients achieving clinical success against MRSA at the PTE Visit in the pooled analysis of Phase 3 trial data (MITT population)</w:t>
      </w:r>
      <w:bookmarkEnd w:id="159"/>
    </w:p>
    <w:p w14:paraId="3F1A27EA" w14:textId="41545403" w:rsidR="00100BE6" w:rsidRDefault="00100BE6" w:rsidP="0007647E">
      <w:pPr>
        <w:pStyle w:val="BodyText"/>
        <w:rPr>
          <w:sz w:val="16"/>
          <w:szCs w:val="16"/>
          <w:lang w:val="en-US"/>
        </w:rPr>
      </w:pPr>
      <w:r w:rsidRPr="00A80096">
        <w:rPr>
          <w:noProof/>
          <w:sz w:val="22"/>
          <w:szCs w:val="22"/>
          <w:lang w:eastAsia="en-GB"/>
        </w:rPr>
        <w:drawing>
          <wp:inline distT="0" distB="0" distL="0" distR="0" wp14:anchorId="688E8713" wp14:editId="54AE8D42">
            <wp:extent cx="5657850" cy="2918460"/>
            <wp:effectExtent l="0" t="0" r="0" b="0"/>
            <wp:docPr id="2057" name="Chart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7647E">
        <w:rPr>
          <w:sz w:val="16"/>
          <w:szCs w:val="16"/>
          <w:lang w:val="en-US"/>
        </w:rPr>
        <w:t xml:space="preserve">SOURCE: </w:t>
      </w:r>
      <w:r w:rsidR="00CA0F83">
        <w:rPr>
          <w:rFonts w:eastAsia="Tahoma"/>
          <w:sz w:val="16"/>
          <w:szCs w:val="16"/>
          <w:lang w:val="en-US"/>
        </w:rPr>
        <w:t xml:space="preserve">ISE </w:t>
      </w:r>
      <w:r w:rsidR="00CA0F83">
        <w:rPr>
          <w:rFonts w:eastAsia="Tahoma"/>
          <w:sz w:val="16"/>
          <w:szCs w:val="16"/>
          <w:lang w:val="en-US"/>
        </w:rPr>
        <w:fldChar w:fldCharType="begin"/>
      </w:r>
      <w:r w:rsidR="00CA0F83">
        <w:rPr>
          <w:rFonts w:eastAsia="Tahoma"/>
          <w:sz w:val="16"/>
          <w:szCs w:val="16"/>
          <w:lang w:val="en-US"/>
        </w:rPr>
        <w:instrText xml:space="preserve"> REF _Ref284183626 \r \h </w:instrText>
      </w:r>
      <w:r w:rsidR="00CA0F83">
        <w:rPr>
          <w:rFonts w:eastAsia="Tahoma"/>
          <w:sz w:val="16"/>
          <w:szCs w:val="16"/>
          <w:lang w:val="en-US"/>
        </w:rPr>
      </w:r>
      <w:r w:rsidR="00CA0F83">
        <w:rPr>
          <w:rFonts w:eastAsia="Tahoma"/>
          <w:sz w:val="16"/>
          <w:szCs w:val="16"/>
          <w:lang w:val="en-US"/>
        </w:rPr>
        <w:fldChar w:fldCharType="separate"/>
      </w:r>
      <w:r w:rsidR="00151A1C">
        <w:rPr>
          <w:rFonts w:eastAsia="Tahoma"/>
          <w:sz w:val="16"/>
          <w:szCs w:val="16"/>
          <w:lang w:val="en-US"/>
        </w:rPr>
        <w:t>51</w:t>
      </w:r>
      <w:r w:rsidR="00CA0F83">
        <w:rPr>
          <w:rFonts w:eastAsia="Tahoma"/>
          <w:sz w:val="16"/>
          <w:szCs w:val="16"/>
          <w:lang w:val="en-US"/>
        </w:rPr>
        <w:fldChar w:fldCharType="end"/>
      </w:r>
      <w:r w:rsidR="00CA0F83">
        <w:rPr>
          <w:rFonts w:eastAsia="Tahoma"/>
          <w:sz w:val="16"/>
          <w:szCs w:val="16"/>
          <w:lang w:val="en-US"/>
        </w:rPr>
        <w:t xml:space="preserve"> MRSA</w:t>
      </w:r>
      <w:r w:rsidRPr="0007647E">
        <w:rPr>
          <w:rFonts w:eastAsia="Tahoma"/>
          <w:sz w:val="16"/>
          <w:szCs w:val="16"/>
          <w:lang w:val="en-US"/>
        </w:rPr>
        <w:t xml:space="preserve"> Table 1</w:t>
      </w:r>
      <w:r w:rsidRPr="0007647E">
        <w:rPr>
          <w:sz w:val="16"/>
          <w:szCs w:val="16"/>
          <w:lang w:val="en-US"/>
        </w:rPr>
        <w:t xml:space="preserve"> MITT: Microbiological intent-to-treat; MRSA: Methicillin-resistant </w:t>
      </w:r>
      <w:r w:rsidRPr="0007647E">
        <w:rPr>
          <w:rStyle w:val="BodyText-italic-H12"/>
          <w:bCs/>
          <w:sz w:val="16"/>
          <w:szCs w:val="16"/>
          <w:lang w:val="en-US"/>
        </w:rPr>
        <w:t>S. aureus</w:t>
      </w:r>
      <w:r w:rsidRPr="0007647E">
        <w:rPr>
          <w:sz w:val="16"/>
          <w:szCs w:val="16"/>
          <w:lang w:val="en-US"/>
        </w:rPr>
        <w:t>; PTE: Post-therapy evaluation; N: Number of patients in population</w:t>
      </w:r>
    </w:p>
    <w:p w14:paraId="574F2AEE" w14:textId="77777777" w:rsidR="0007647E" w:rsidRPr="0007647E" w:rsidRDefault="0007647E" w:rsidP="0007647E">
      <w:pPr>
        <w:pStyle w:val="BodyText"/>
        <w:rPr>
          <w:sz w:val="22"/>
          <w:szCs w:val="22"/>
          <w:lang w:val="en-US"/>
        </w:rPr>
      </w:pPr>
    </w:p>
    <w:p w14:paraId="476DF1B8" w14:textId="474FB13C" w:rsidR="0007647E" w:rsidRPr="0007647E" w:rsidRDefault="0007647E" w:rsidP="00C35C1F">
      <w:pPr>
        <w:pStyle w:val="BodyText"/>
        <w:numPr>
          <w:ilvl w:val="0"/>
          <w:numId w:val="38"/>
        </w:numPr>
        <w:rPr>
          <w:b/>
          <w:sz w:val="22"/>
          <w:szCs w:val="22"/>
          <w:lang w:val="en-US"/>
        </w:rPr>
      </w:pPr>
      <w:r w:rsidRPr="0007647E">
        <w:rPr>
          <w:b/>
          <w:sz w:val="22"/>
          <w:szCs w:val="22"/>
          <w:lang w:val="en-US"/>
        </w:rPr>
        <w:t>Sustained clinical success at the LFU Visit (18-25 days after the EOT Visit)</w:t>
      </w:r>
    </w:p>
    <w:p w14:paraId="7E2407E4" w14:textId="77777777" w:rsidR="0007647E" w:rsidRPr="0007647E" w:rsidRDefault="0007647E" w:rsidP="0007647E">
      <w:pPr>
        <w:pStyle w:val="BodyText"/>
        <w:ind w:left="720"/>
        <w:rPr>
          <w:sz w:val="22"/>
          <w:szCs w:val="22"/>
          <w:lang w:val="en-US"/>
        </w:rPr>
      </w:pPr>
    </w:p>
    <w:p w14:paraId="0BA217A3" w14:textId="5B27D0B4" w:rsidR="00100BE6" w:rsidRPr="00A80096" w:rsidRDefault="00100BE6" w:rsidP="00100BE6">
      <w:pPr>
        <w:pStyle w:val="BodyText"/>
        <w:rPr>
          <w:sz w:val="22"/>
          <w:szCs w:val="22"/>
          <w:lang w:val="en-US"/>
        </w:rPr>
      </w:pPr>
      <w:r w:rsidRPr="00A80096">
        <w:rPr>
          <w:sz w:val="22"/>
          <w:szCs w:val="22"/>
          <w:lang w:val="en-US"/>
        </w:rPr>
        <w:t xml:space="preserve">In the pooled </w:t>
      </w:r>
      <w:r w:rsidR="00555BDF">
        <w:rPr>
          <w:sz w:val="22"/>
          <w:szCs w:val="22"/>
          <w:lang w:val="en-US"/>
        </w:rPr>
        <w:t>analysis</w:t>
      </w:r>
      <w:r w:rsidRPr="00A80096">
        <w:rPr>
          <w:sz w:val="22"/>
          <w:szCs w:val="22"/>
          <w:lang w:val="en-US"/>
        </w:rPr>
        <w:t xml:space="preserve">, tedizolid phosphate achieved sustained clinical success in patients at the LFU Visit </w:t>
      </w:r>
      <w:r w:rsidR="00835DA8">
        <w:rPr>
          <w:sz w:val="22"/>
          <w:szCs w:val="22"/>
          <w:lang w:val="en-US"/>
        </w:rPr>
        <w:t>(</w:t>
      </w:r>
      <w:r w:rsidRPr="00A80096">
        <w:rPr>
          <w:sz w:val="22"/>
          <w:szCs w:val="22"/>
          <w:lang w:val="en-US"/>
        </w:rPr>
        <w:t>after having previously achieved clinical success at the PTE Visit in the CE-PTE population</w:t>
      </w:r>
      <w:r w:rsidR="00835DA8">
        <w:rPr>
          <w:sz w:val="22"/>
          <w:szCs w:val="22"/>
          <w:lang w:val="en-US"/>
        </w:rPr>
        <w:t>)</w:t>
      </w:r>
      <w:r w:rsidR="00CA0F83">
        <w:rPr>
          <w:sz w:val="22"/>
          <w:szCs w:val="22"/>
          <w:lang w:val="en-US"/>
        </w:rPr>
        <w:t>,</w:t>
      </w:r>
      <w:r w:rsidR="00835DA8">
        <w:rPr>
          <w:sz w:val="22"/>
          <w:szCs w:val="22"/>
          <w:lang w:val="en-US"/>
        </w:rPr>
        <w:t xml:space="preserve"> which was comparable with linezolid</w:t>
      </w:r>
      <w:r w:rsidRPr="00A80096">
        <w:rPr>
          <w:sz w:val="22"/>
          <w:szCs w:val="22"/>
          <w:lang w:val="en-US"/>
        </w:rPr>
        <w:t xml:space="preserve"> (tedizolid phosphate: 96.4%, linezolid: 100.0%; treatment difference -3.6%; 95% CI: -8.9 to </w:t>
      </w:r>
      <w:r w:rsidRPr="00A80096">
        <w:rPr>
          <w:sz w:val="22"/>
          <w:szCs w:val="22"/>
          <w:lang w:val="en-US"/>
        </w:rPr>
        <w:noBreakHyphen/>
        <w:t>0.2) (</w:t>
      </w:r>
      <w:r w:rsidR="00BD4720">
        <w:rPr>
          <w:sz w:val="22"/>
          <w:szCs w:val="22"/>
          <w:lang w:val="en-US"/>
        </w:rPr>
        <w:fldChar w:fldCharType="begin"/>
      </w:r>
      <w:r w:rsidR="00BD4720">
        <w:rPr>
          <w:sz w:val="22"/>
          <w:szCs w:val="22"/>
          <w:lang w:val="en-US"/>
        </w:rPr>
        <w:instrText xml:space="preserve"> REF _Ref384394366 \h </w:instrText>
      </w:r>
      <w:r w:rsidR="00BD4720">
        <w:rPr>
          <w:sz w:val="22"/>
          <w:szCs w:val="22"/>
          <w:lang w:val="en-US"/>
        </w:rPr>
      </w:r>
      <w:r w:rsidR="00BD4720">
        <w:rPr>
          <w:sz w:val="22"/>
          <w:szCs w:val="22"/>
          <w:lang w:val="en-US"/>
        </w:rPr>
        <w:fldChar w:fldCharType="separate"/>
      </w:r>
      <w:r w:rsidR="00151A1C" w:rsidRPr="00A80096">
        <w:rPr>
          <w:sz w:val="22"/>
          <w:szCs w:val="22"/>
          <w:lang w:val="en-US"/>
        </w:rPr>
        <w:t xml:space="preserve">Table </w:t>
      </w:r>
      <w:r w:rsidR="00151A1C">
        <w:rPr>
          <w:noProof/>
          <w:sz w:val="22"/>
          <w:szCs w:val="22"/>
          <w:lang w:val="en-US"/>
        </w:rPr>
        <w:t>36</w:t>
      </w:r>
      <w:r w:rsidR="00BD4720">
        <w:rPr>
          <w:sz w:val="22"/>
          <w:szCs w:val="22"/>
          <w:lang w:val="en-US"/>
        </w:rPr>
        <w:fldChar w:fldCharType="end"/>
      </w:r>
      <w:r w:rsidR="001F5861">
        <w:rPr>
          <w:sz w:val="22"/>
          <w:szCs w:val="22"/>
          <w:lang w:val="en-US"/>
        </w:rPr>
        <w:t>).</w:t>
      </w:r>
      <w:r w:rsidRPr="00A80096">
        <w:rPr>
          <w:sz w:val="22"/>
          <w:szCs w:val="22"/>
          <w:lang w:val="en-US"/>
        </w:rPr>
        <w:t xml:space="preserve"> Sustained clinical success at the LFU Visit was defined as investigator’s assessment of no new signs or symptoms of primary ABSSSI after PTE Visit.</w:t>
      </w:r>
      <w:r w:rsidR="001F5861" w:rsidRPr="00A80096">
        <w:rPr>
          <w:sz w:val="22"/>
          <w:szCs w:val="22"/>
          <w:lang w:val="en-US"/>
        </w:rPr>
        <w:t xml:space="preserve"> </w:t>
      </w:r>
    </w:p>
    <w:p w14:paraId="64717F5C" w14:textId="77777777" w:rsidR="00100BE6" w:rsidRPr="00A80096" w:rsidRDefault="00100BE6" w:rsidP="00100BE6">
      <w:pPr>
        <w:pStyle w:val="Caption"/>
        <w:rPr>
          <w:rFonts w:ascii="Arial" w:hAnsi="Arial"/>
          <w:sz w:val="22"/>
          <w:szCs w:val="22"/>
          <w:lang w:val="en-US"/>
        </w:rPr>
      </w:pPr>
      <w:bookmarkStart w:id="161" w:name="_Ref384394366"/>
      <w:bookmarkStart w:id="162" w:name="_Toc396058466"/>
      <w:r w:rsidRPr="00A80096">
        <w:rPr>
          <w:rFonts w:ascii="Arial" w:hAnsi="Arial"/>
          <w:sz w:val="22"/>
          <w:szCs w:val="22"/>
          <w:lang w:val="en-US"/>
        </w:rPr>
        <w:lastRenderedPageBreak/>
        <w:t xml:space="preserve">Table </w:t>
      </w:r>
      <w:r w:rsidRPr="00A80096">
        <w:rPr>
          <w:rFonts w:ascii="Arial" w:hAnsi="Arial"/>
          <w:sz w:val="22"/>
          <w:szCs w:val="22"/>
          <w:lang w:val="en-US"/>
        </w:rPr>
        <w:fldChar w:fldCharType="begin"/>
      </w:r>
      <w:r w:rsidRPr="00A80096">
        <w:rPr>
          <w:rFonts w:ascii="Arial" w:hAnsi="Arial"/>
          <w:sz w:val="22"/>
          <w:szCs w:val="22"/>
          <w:lang w:val="en-US"/>
        </w:rPr>
        <w:instrText xml:space="preserve"> SEQ Table \* ARABIC </w:instrText>
      </w:r>
      <w:r w:rsidRPr="00A80096">
        <w:rPr>
          <w:rFonts w:ascii="Arial" w:hAnsi="Arial"/>
          <w:sz w:val="22"/>
          <w:szCs w:val="22"/>
          <w:lang w:val="en-US"/>
        </w:rPr>
        <w:fldChar w:fldCharType="separate"/>
      </w:r>
      <w:r w:rsidR="00151A1C">
        <w:rPr>
          <w:rFonts w:ascii="Arial" w:hAnsi="Arial"/>
          <w:noProof/>
          <w:sz w:val="22"/>
          <w:szCs w:val="22"/>
          <w:lang w:val="en-US"/>
        </w:rPr>
        <w:t>36</w:t>
      </w:r>
      <w:r w:rsidRPr="00A80096">
        <w:rPr>
          <w:rFonts w:ascii="Arial" w:hAnsi="Arial"/>
          <w:sz w:val="22"/>
          <w:szCs w:val="22"/>
          <w:lang w:val="en-US"/>
        </w:rPr>
        <w:fldChar w:fldCharType="end"/>
      </w:r>
      <w:bookmarkEnd w:id="161"/>
      <w:r w:rsidRPr="00A80096">
        <w:rPr>
          <w:rFonts w:ascii="Arial" w:hAnsi="Arial"/>
          <w:sz w:val="22"/>
          <w:szCs w:val="22"/>
          <w:lang w:val="en-US"/>
        </w:rPr>
        <w:t>: Proportion of patients with MRSA infections with sustained clinical success at the LFU Visit in the pooled analysis of Phase 3 trial data (CE-PTE population)</w:t>
      </w:r>
      <w:bookmarkEnd w:id="162"/>
    </w:p>
    <w:tbl>
      <w:tblPr>
        <w:tblStyle w:val="Table-HERONplain"/>
        <w:tblW w:w="0" w:type="auto"/>
        <w:tblLayout w:type="fixed"/>
        <w:tblLook w:val="04A0" w:firstRow="1" w:lastRow="0" w:firstColumn="1" w:lastColumn="0" w:noHBand="0" w:noVBand="1"/>
      </w:tblPr>
      <w:tblGrid>
        <w:gridCol w:w="1638"/>
        <w:gridCol w:w="2326"/>
        <w:gridCol w:w="1276"/>
        <w:gridCol w:w="1276"/>
        <w:gridCol w:w="1276"/>
        <w:gridCol w:w="1275"/>
      </w:tblGrid>
      <w:tr w:rsidR="00100BE6" w:rsidRPr="00E92210" w14:paraId="216C199E" w14:textId="77777777" w:rsidTr="00CE443D">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38" w:type="dxa"/>
            <w:shd w:val="clear" w:color="auto" w:fill="auto"/>
            <w:hideMark/>
          </w:tcPr>
          <w:p w14:paraId="712FE0A2" w14:textId="77777777" w:rsidR="00100BE6" w:rsidRPr="00E92210" w:rsidRDefault="00100BE6" w:rsidP="00100BE6">
            <w:pPr>
              <w:pStyle w:val="TableBodyText-H54"/>
              <w:rPr>
                <w:rFonts w:ascii="Arial" w:hAnsi="Arial"/>
                <w:sz w:val="20"/>
                <w:lang w:val="en-US" w:eastAsia="en-GB"/>
              </w:rPr>
            </w:pPr>
            <w:r w:rsidRPr="00E92210">
              <w:rPr>
                <w:rFonts w:ascii="Arial" w:hAnsi="Arial"/>
                <w:sz w:val="20"/>
                <w:lang w:val="en-US" w:eastAsia="en-GB"/>
              </w:rPr>
              <w:t xml:space="preserve">Outcome measure </w:t>
            </w:r>
          </w:p>
        </w:tc>
        <w:tc>
          <w:tcPr>
            <w:tcW w:w="2326" w:type="dxa"/>
            <w:shd w:val="clear" w:color="auto" w:fill="auto"/>
            <w:hideMark/>
          </w:tcPr>
          <w:p w14:paraId="54C99C7D" w14:textId="77777777" w:rsidR="00100BE6" w:rsidRPr="00E92210" w:rsidRDefault="00100BE6" w:rsidP="00100BE6">
            <w:pPr>
              <w:pStyle w:val="TableBodyText-H54"/>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Response</w:t>
            </w:r>
          </w:p>
        </w:tc>
        <w:tc>
          <w:tcPr>
            <w:tcW w:w="1276" w:type="dxa"/>
            <w:shd w:val="clear" w:color="auto" w:fill="auto"/>
            <w:hideMark/>
          </w:tcPr>
          <w:p w14:paraId="55854824"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Tedizolid phosphate</w:t>
            </w:r>
          </w:p>
          <w:p w14:paraId="752D7A05"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(N=112)</w:t>
            </w:r>
          </w:p>
          <w:p w14:paraId="6CAF1610"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n (%)</w:t>
            </w:r>
          </w:p>
        </w:tc>
        <w:tc>
          <w:tcPr>
            <w:tcW w:w="1276" w:type="dxa"/>
            <w:shd w:val="clear" w:color="auto" w:fill="auto"/>
            <w:hideMark/>
          </w:tcPr>
          <w:p w14:paraId="13EE5495"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Linezolid</w:t>
            </w:r>
          </w:p>
          <w:p w14:paraId="392F99D7"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(N=113)</w:t>
            </w:r>
          </w:p>
          <w:p w14:paraId="722DB268"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n (%)</w:t>
            </w:r>
          </w:p>
        </w:tc>
        <w:tc>
          <w:tcPr>
            <w:tcW w:w="1276" w:type="dxa"/>
            <w:shd w:val="clear" w:color="auto" w:fill="auto"/>
            <w:hideMark/>
          </w:tcPr>
          <w:p w14:paraId="5E222FCC"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Difference</w:t>
            </w:r>
          </w:p>
          <w:p w14:paraId="6090943A"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w:t>
            </w:r>
          </w:p>
        </w:tc>
        <w:tc>
          <w:tcPr>
            <w:tcW w:w="1275" w:type="dxa"/>
            <w:shd w:val="clear" w:color="auto" w:fill="auto"/>
            <w:hideMark/>
          </w:tcPr>
          <w:p w14:paraId="25935D39" w14:textId="77777777" w:rsidR="00100BE6" w:rsidRPr="00E92210" w:rsidRDefault="00100BE6" w:rsidP="00100BE6">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95% CI for difference</w:t>
            </w:r>
          </w:p>
        </w:tc>
      </w:tr>
      <w:tr w:rsidR="00100BE6" w:rsidRPr="00E92210" w14:paraId="13AEA4E2" w14:textId="77777777" w:rsidTr="00CE443D">
        <w:tc>
          <w:tcPr>
            <w:cnfStyle w:val="001000000000" w:firstRow="0" w:lastRow="0" w:firstColumn="1" w:lastColumn="0" w:oddVBand="0" w:evenVBand="0" w:oddHBand="0" w:evenHBand="0" w:firstRowFirstColumn="0" w:firstRowLastColumn="0" w:lastRowFirstColumn="0" w:lastRowLastColumn="0"/>
            <w:tcW w:w="9067" w:type="dxa"/>
            <w:gridSpan w:val="6"/>
            <w:shd w:val="clear" w:color="auto" w:fill="auto"/>
            <w:hideMark/>
          </w:tcPr>
          <w:p w14:paraId="4B1F87EE" w14:textId="77777777" w:rsidR="00100BE6" w:rsidRPr="00E92210" w:rsidRDefault="00100BE6" w:rsidP="00100BE6">
            <w:pPr>
              <w:pStyle w:val="TableBodyText-H54"/>
              <w:rPr>
                <w:rFonts w:ascii="Arial" w:hAnsi="Arial"/>
                <w:sz w:val="20"/>
                <w:lang w:val="en-US" w:eastAsia="en-GB"/>
              </w:rPr>
            </w:pPr>
            <w:r w:rsidRPr="00E92210">
              <w:rPr>
                <w:rFonts w:ascii="Arial" w:hAnsi="Arial"/>
                <w:sz w:val="20"/>
                <w:lang w:val="en-US" w:eastAsia="en-GB"/>
              </w:rPr>
              <w:t>Pooled ESTABLISH-1 and ESTABLISH-2</w:t>
            </w:r>
          </w:p>
        </w:tc>
      </w:tr>
      <w:tr w:rsidR="00100BE6" w:rsidRPr="00E92210" w14:paraId="429D3B93" w14:textId="77777777" w:rsidTr="00CE4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shd w:val="clear" w:color="auto" w:fill="auto"/>
            <w:hideMark/>
          </w:tcPr>
          <w:p w14:paraId="2DF82966" w14:textId="77777777" w:rsidR="00100BE6" w:rsidRPr="00E92210" w:rsidRDefault="00100BE6" w:rsidP="00100BE6">
            <w:pPr>
              <w:pStyle w:val="TableBodyText-H54"/>
              <w:rPr>
                <w:rFonts w:ascii="Arial" w:hAnsi="Arial"/>
                <w:sz w:val="20"/>
                <w:lang w:val="en-US" w:eastAsia="en-GB"/>
              </w:rPr>
            </w:pPr>
            <w:r w:rsidRPr="00E92210">
              <w:rPr>
                <w:rFonts w:ascii="Arial" w:hAnsi="Arial"/>
                <w:sz w:val="20"/>
                <w:lang w:val="en-US" w:eastAsia="en-GB"/>
              </w:rPr>
              <w:t>Sustained clinical success at the LFU Visit</w:t>
            </w:r>
          </w:p>
        </w:tc>
        <w:tc>
          <w:tcPr>
            <w:tcW w:w="2326" w:type="dxa"/>
            <w:hideMark/>
          </w:tcPr>
          <w:p w14:paraId="245909D8" w14:textId="77777777" w:rsidR="00100BE6" w:rsidRPr="00E92210"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Sustained clinical success</w:t>
            </w:r>
          </w:p>
        </w:tc>
        <w:tc>
          <w:tcPr>
            <w:tcW w:w="1276" w:type="dxa"/>
            <w:vAlign w:val="top"/>
            <w:hideMark/>
          </w:tcPr>
          <w:p w14:paraId="06DB6A81"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108 (96.4)</w:t>
            </w:r>
          </w:p>
        </w:tc>
        <w:tc>
          <w:tcPr>
            <w:tcW w:w="1276" w:type="dxa"/>
            <w:vAlign w:val="top"/>
            <w:hideMark/>
          </w:tcPr>
          <w:p w14:paraId="2A9191D5"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113 (100.0)</w:t>
            </w:r>
          </w:p>
        </w:tc>
        <w:tc>
          <w:tcPr>
            <w:tcW w:w="1276" w:type="dxa"/>
            <w:vMerge w:val="restart"/>
            <w:hideMark/>
          </w:tcPr>
          <w:p w14:paraId="2D947059"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 xml:space="preserve">-3.6 </w:t>
            </w:r>
          </w:p>
        </w:tc>
        <w:tc>
          <w:tcPr>
            <w:tcW w:w="1275" w:type="dxa"/>
            <w:vMerge w:val="restart"/>
            <w:hideMark/>
          </w:tcPr>
          <w:p w14:paraId="32A6C340"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(-8.9, -0.2)</w:t>
            </w:r>
          </w:p>
        </w:tc>
      </w:tr>
      <w:tr w:rsidR="00100BE6" w:rsidRPr="00E92210" w14:paraId="1D5C6223" w14:textId="77777777" w:rsidTr="00CE443D">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250361A0" w14:textId="77777777" w:rsidR="00100BE6" w:rsidRPr="00E92210" w:rsidRDefault="00100BE6" w:rsidP="00100BE6">
            <w:pPr>
              <w:rPr>
                <w:sz w:val="20"/>
                <w:lang w:val="en-US" w:eastAsia="en-GB"/>
              </w:rPr>
            </w:pPr>
          </w:p>
        </w:tc>
        <w:tc>
          <w:tcPr>
            <w:tcW w:w="2326" w:type="dxa"/>
            <w:hideMark/>
          </w:tcPr>
          <w:p w14:paraId="0DC50E32" w14:textId="77777777" w:rsidR="00100BE6" w:rsidRPr="00E92210" w:rsidRDefault="00100BE6" w:rsidP="00100BE6">
            <w:pPr>
              <w:pStyle w:val="TableBodyText-H54"/>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Clinical failure/relapse</w:t>
            </w:r>
          </w:p>
        </w:tc>
        <w:tc>
          <w:tcPr>
            <w:tcW w:w="1276" w:type="dxa"/>
            <w:vAlign w:val="top"/>
            <w:hideMark/>
          </w:tcPr>
          <w:p w14:paraId="5BBE4A30" w14:textId="77777777" w:rsidR="00100BE6" w:rsidRPr="00E9221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3 (2.7)</w:t>
            </w:r>
          </w:p>
        </w:tc>
        <w:tc>
          <w:tcPr>
            <w:tcW w:w="1276" w:type="dxa"/>
            <w:vAlign w:val="top"/>
            <w:hideMark/>
          </w:tcPr>
          <w:p w14:paraId="2E30EBDB" w14:textId="77777777" w:rsidR="00100BE6" w:rsidRPr="00E92210" w:rsidRDefault="00100BE6" w:rsidP="00100BE6">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sz w:val="20"/>
                <w:lang w:val="en-US" w:eastAsia="en-GB"/>
              </w:rPr>
            </w:pPr>
            <w:r w:rsidRPr="00E92210">
              <w:rPr>
                <w:rFonts w:ascii="Arial" w:hAnsi="Arial"/>
                <w:sz w:val="20"/>
                <w:lang w:val="en-US" w:eastAsia="en-GB"/>
              </w:rPr>
              <w:t>0</w:t>
            </w:r>
          </w:p>
        </w:tc>
        <w:tc>
          <w:tcPr>
            <w:tcW w:w="1276" w:type="dxa"/>
            <w:vMerge/>
            <w:hideMark/>
          </w:tcPr>
          <w:p w14:paraId="25D4F0ED" w14:textId="77777777" w:rsidR="00100BE6" w:rsidRPr="00E9221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c>
          <w:tcPr>
            <w:tcW w:w="1275" w:type="dxa"/>
            <w:vMerge/>
            <w:hideMark/>
          </w:tcPr>
          <w:p w14:paraId="752B68B2" w14:textId="77777777" w:rsidR="00100BE6" w:rsidRPr="00E92210" w:rsidRDefault="00100BE6" w:rsidP="00100BE6">
            <w:pPr>
              <w:cnfStyle w:val="000000000000" w:firstRow="0" w:lastRow="0" w:firstColumn="0" w:lastColumn="0" w:oddVBand="0" w:evenVBand="0" w:oddHBand="0" w:evenHBand="0" w:firstRowFirstColumn="0" w:firstRowLastColumn="0" w:lastRowFirstColumn="0" w:lastRowLastColumn="0"/>
              <w:rPr>
                <w:sz w:val="20"/>
                <w:lang w:val="en-US" w:eastAsia="en-GB"/>
              </w:rPr>
            </w:pPr>
          </w:p>
        </w:tc>
      </w:tr>
      <w:tr w:rsidR="00100BE6" w:rsidRPr="00E92210" w14:paraId="78A87732" w14:textId="77777777" w:rsidTr="00CE4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shd w:val="clear" w:color="auto" w:fill="auto"/>
            <w:hideMark/>
          </w:tcPr>
          <w:p w14:paraId="7C2D9AB9" w14:textId="77777777" w:rsidR="00100BE6" w:rsidRPr="00E92210" w:rsidRDefault="00100BE6" w:rsidP="00100BE6">
            <w:pPr>
              <w:rPr>
                <w:sz w:val="20"/>
                <w:lang w:val="en-US" w:eastAsia="en-GB"/>
              </w:rPr>
            </w:pPr>
          </w:p>
        </w:tc>
        <w:tc>
          <w:tcPr>
            <w:tcW w:w="2326" w:type="dxa"/>
            <w:hideMark/>
          </w:tcPr>
          <w:p w14:paraId="7C95AC61" w14:textId="77777777" w:rsidR="00100BE6" w:rsidRPr="00E92210" w:rsidRDefault="00100BE6" w:rsidP="00100BE6">
            <w:pPr>
              <w:pStyle w:val="TableBodyText-H54"/>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Indeterminate</w:t>
            </w:r>
          </w:p>
        </w:tc>
        <w:tc>
          <w:tcPr>
            <w:tcW w:w="1276" w:type="dxa"/>
            <w:vAlign w:val="top"/>
            <w:hideMark/>
          </w:tcPr>
          <w:p w14:paraId="15030B23"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1 (0.9)</w:t>
            </w:r>
          </w:p>
        </w:tc>
        <w:tc>
          <w:tcPr>
            <w:tcW w:w="1276" w:type="dxa"/>
            <w:vAlign w:val="top"/>
            <w:hideMark/>
          </w:tcPr>
          <w:p w14:paraId="30CF07F8" w14:textId="77777777" w:rsidR="00100BE6" w:rsidRPr="00E92210" w:rsidRDefault="00100BE6" w:rsidP="00100BE6">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sz w:val="20"/>
                <w:lang w:val="en-US" w:eastAsia="en-GB"/>
              </w:rPr>
            </w:pPr>
            <w:r w:rsidRPr="00E92210">
              <w:rPr>
                <w:rFonts w:ascii="Arial" w:hAnsi="Arial"/>
                <w:sz w:val="20"/>
                <w:lang w:val="en-US" w:eastAsia="en-GB"/>
              </w:rPr>
              <w:t>0</w:t>
            </w:r>
          </w:p>
        </w:tc>
        <w:tc>
          <w:tcPr>
            <w:tcW w:w="1276" w:type="dxa"/>
            <w:vMerge/>
            <w:hideMark/>
          </w:tcPr>
          <w:p w14:paraId="11718F29" w14:textId="77777777" w:rsidR="00100BE6" w:rsidRPr="00E92210"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c>
          <w:tcPr>
            <w:tcW w:w="1275" w:type="dxa"/>
            <w:vMerge/>
            <w:hideMark/>
          </w:tcPr>
          <w:p w14:paraId="4C8DD81C" w14:textId="77777777" w:rsidR="00100BE6" w:rsidRPr="00E92210" w:rsidRDefault="00100BE6" w:rsidP="00100BE6">
            <w:pPr>
              <w:cnfStyle w:val="000000010000" w:firstRow="0" w:lastRow="0" w:firstColumn="0" w:lastColumn="0" w:oddVBand="0" w:evenVBand="0" w:oddHBand="0" w:evenHBand="1" w:firstRowFirstColumn="0" w:firstRowLastColumn="0" w:lastRowFirstColumn="0" w:lastRowLastColumn="0"/>
              <w:rPr>
                <w:sz w:val="20"/>
                <w:lang w:val="en-US" w:eastAsia="en-GB"/>
              </w:rPr>
            </w:pPr>
          </w:p>
        </w:tc>
      </w:tr>
    </w:tbl>
    <w:p w14:paraId="4EF40822" w14:textId="44FFDB6F" w:rsidR="00100BE6" w:rsidRPr="00E92210" w:rsidRDefault="00100BE6" w:rsidP="003B268D">
      <w:pPr>
        <w:pStyle w:val="TableNote-H58"/>
        <w:rPr>
          <w:rFonts w:ascii="Arial" w:hAnsi="Arial"/>
          <w:sz w:val="16"/>
          <w:szCs w:val="16"/>
          <w:lang w:val="en-US"/>
        </w:rPr>
      </w:pPr>
      <w:r w:rsidRPr="003B268D">
        <w:rPr>
          <w:rFonts w:ascii="Arial" w:hAnsi="Arial"/>
          <w:sz w:val="16"/>
          <w:szCs w:val="16"/>
          <w:lang w:val="en-US"/>
        </w:rPr>
        <w:t xml:space="preserve">SOURCE: </w:t>
      </w:r>
      <w:r w:rsidR="00CA0F83">
        <w:rPr>
          <w:rFonts w:ascii="Arial" w:eastAsia="Tahoma" w:hAnsi="Arial"/>
          <w:sz w:val="16"/>
          <w:szCs w:val="16"/>
          <w:lang w:val="en-US"/>
        </w:rPr>
        <w:t xml:space="preserve">ISE </w:t>
      </w:r>
      <w:r w:rsidR="00CA0F83">
        <w:rPr>
          <w:rFonts w:ascii="Arial" w:eastAsia="Tahoma" w:hAnsi="Arial"/>
          <w:sz w:val="16"/>
          <w:szCs w:val="16"/>
          <w:lang w:val="en-US"/>
        </w:rPr>
        <w:fldChar w:fldCharType="begin"/>
      </w:r>
      <w:r w:rsidR="00CA0F83">
        <w:rPr>
          <w:rFonts w:ascii="Arial" w:eastAsia="Tahoma" w:hAnsi="Arial"/>
          <w:sz w:val="16"/>
          <w:szCs w:val="16"/>
          <w:lang w:val="en-US"/>
        </w:rPr>
        <w:instrText xml:space="preserve"> REF _Ref284183626 \r \h </w:instrText>
      </w:r>
      <w:r w:rsidR="00CA0F83">
        <w:rPr>
          <w:rFonts w:ascii="Arial" w:eastAsia="Tahoma" w:hAnsi="Arial"/>
          <w:sz w:val="16"/>
          <w:szCs w:val="16"/>
          <w:lang w:val="en-US"/>
        </w:rPr>
      </w:r>
      <w:r w:rsidR="00CA0F83">
        <w:rPr>
          <w:rFonts w:ascii="Arial" w:eastAsia="Tahoma" w:hAnsi="Arial"/>
          <w:sz w:val="16"/>
          <w:szCs w:val="16"/>
          <w:lang w:val="en-US"/>
        </w:rPr>
        <w:fldChar w:fldCharType="separate"/>
      </w:r>
      <w:r w:rsidR="00151A1C">
        <w:rPr>
          <w:rFonts w:ascii="Arial" w:eastAsia="Tahoma" w:hAnsi="Arial"/>
          <w:sz w:val="16"/>
          <w:szCs w:val="16"/>
          <w:lang w:val="en-US"/>
        </w:rPr>
        <w:t>51</w:t>
      </w:r>
      <w:r w:rsidR="00CA0F83">
        <w:rPr>
          <w:rFonts w:ascii="Arial" w:eastAsia="Tahoma" w:hAnsi="Arial"/>
          <w:sz w:val="16"/>
          <w:szCs w:val="16"/>
          <w:lang w:val="en-US"/>
        </w:rPr>
        <w:fldChar w:fldCharType="end"/>
      </w:r>
      <w:r w:rsidR="00CA0F83">
        <w:rPr>
          <w:rFonts w:ascii="Arial" w:eastAsia="Tahoma" w:hAnsi="Arial"/>
          <w:sz w:val="16"/>
          <w:szCs w:val="16"/>
          <w:lang w:val="en-US"/>
        </w:rPr>
        <w:t xml:space="preserve"> MRSA</w:t>
      </w:r>
      <w:r w:rsidRPr="003B268D">
        <w:rPr>
          <w:rFonts w:ascii="Arial" w:eastAsia="Tahoma" w:hAnsi="Arial"/>
          <w:sz w:val="16"/>
          <w:szCs w:val="16"/>
          <w:lang w:val="en-US"/>
        </w:rPr>
        <w:t xml:space="preserve"> Table 1</w:t>
      </w:r>
      <w:r w:rsidR="00E92210">
        <w:rPr>
          <w:rFonts w:ascii="Arial" w:hAnsi="Arial"/>
          <w:sz w:val="16"/>
          <w:szCs w:val="16"/>
          <w:lang w:val="en-US"/>
        </w:rPr>
        <w:t xml:space="preserve"> </w:t>
      </w:r>
      <w:r w:rsidRPr="003B268D">
        <w:rPr>
          <w:rFonts w:ascii="Arial" w:hAnsi="Arial"/>
          <w:sz w:val="16"/>
          <w:szCs w:val="16"/>
          <w:lang w:val="en-US"/>
        </w:rPr>
        <w:t xml:space="preserve">CE-PTE: Clinically evaluable at post therapy evaluation; CI: Confidence interval; LFU: Late follow-up; MRSA: Methicillin-resistant </w:t>
      </w:r>
      <w:r w:rsidRPr="003B268D">
        <w:rPr>
          <w:rStyle w:val="BodyText-italic-H12"/>
          <w:rFonts w:ascii="Arial" w:hAnsi="Arial"/>
          <w:bCs w:val="0"/>
          <w:sz w:val="16"/>
          <w:szCs w:val="16"/>
          <w:lang w:val="en-US"/>
        </w:rPr>
        <w:t xml:space="preserve">S. aureus; </w:t>
      </w:r>
      <w:r w:rsidRPr="003B268D">
        <w:rPr>
          <w:rFonts w:ascii="Arial" w:hAnsi="Arial"/>
          <w:sz w:val="16"/>
          <w:szCs w:val="16"/>
          <w:lang w:val="en-US"/>
        </w:rPr>
        <w:t>N: Number of patients in population; n: Number of patients in specific category</w:t>
      </w:r>
    </w:p>
    <w:p w14:paraId="26F217C3" w14:textId="2D20C9E0" w:rsidR="00255521" w:rsidRPr="007D3930" w:rsidRDefault="00255521" w:rsidP="007D3930">
      <w:pPr>
        <w:rPr>
          <w:lang w:val="en-US"/>
        </w:rPr>
      </w:pPr>
      <w:r>
        <w:rPr>
          <w:lang w:val="en-US"/>
        </w:rPr>
        <w:br w:type="page"/>
      </w:r>
    </w:p>
    <w:p w14:paraId="7E140852" w14:textId="77777777" w:rsidR="00EC4726" w:rsidRPr="00891382" w:rsidRDefault="00EC4726" w:rsidP="00EC4726">
      <w:pPr>
        <w:numPr>
          <w:ilvl w:val="0"/>
          <w:numId w:val="3"/>
        </w:numPr>
        <w:tabs>
          <w:tab w:val="clear" w:pos="720"/>
          <w:tab w:val="left" w:pos="567"/>
        </w:tabs>
        <w:ind w:left="567" w:hanging="567"/>
        <w:jc w:val="both"/>
        <w:rPr>
          <w:rFonts w:cs="Arial"/>
          <w:bCs/>
          <w:i/>
          <w:sz w:val="22"/>
          <w:szCs w:val="22"/>
        </w:rPr>
      </w:pPr>
      <w:r w:rsidRPr="00891382">
        <w:rPr>
          <w:rFonts w:cs="Arial"/>
          <w:bCs/>
          <w:i/>
          <w:sz w:val="22"/>
          <w:szCs w:val="22"/>
        </w:rPr>
        <w:lastRenderedPageBreak/>
        <w:t>Provide</w:t>
      </w:r>
      <w:r w:rsidRPr="00891382">
        <w:rPr>
          <w:rFonts w:cs="Arial"/>
          <w:i/>
          <w:sz w:val="22"/>
          <w:szCs w:val="22"/>
        </w:rPr>
        <w:t xml:space="preserve"> </w:t>
      </w:r>
      <w:r w:rsidRPr="00891382">
        <w:rPr>
          <w:rFonts w:cs="Arial"/>
          <w:bCs/>
          <w:i/>
          <w:sz w:val="22"/>
          <w:szCs w:val="22"/>
        </w:rPr>
        <w:t>details of ongoing studies or updated analyses of studies described previously, which would provide additional evidence within the next 6 to 12 months for the medicine in the indication(s) under review</w:t>
      </w:r>
    </w:p>
    <w:p w14:paraId="5695D59C" w14:textId="77777777" w:rsidR="0070098B" w:rsidRDefault="0070098B">
      <w:pPr>
        <w:ind w:left="357" w:hanging="357"/>
        <w:jc w:val="both"/>
        <w:rPr>
          <w:rFonts w:cs="Arial"/>
          <w:bCs/>
          <w:sz w:val="22"/>
          <w:szCs w:val="22"/>
        </w:rPr>
      </w:pPr>
    </w:p>
    <w:p w14:paraId="3194B231" w14:textId="6B3C32D1" w:rsidR="00325673" w:rsidRPr="008E4E92" w:rsidRDefault="005027BB" w:rsidP="007B7949">
      <w:pPr>
        <w:rPr>
          <w:rFonts w:cs="Arial"/>
          <w:bCs/>
          <w:sz w:val="22"/>
          <w:szCs w:val="22"/>
        </w:rPr>
      </w:pPr>
      <w:r>
        <w:rPr>
          <w:rFonts w:cs="Arial"/>
          <w:bCs/>
          <w:sz w:val="22"/>
          <w:szCs w:val="22"/>
        </w:rPr>
        <w:t>So far as the manufacturer is aware, no additional data, results or analyses of existing studies are expected to provide additional evidence for the use of tedizolid phosphate within this indication and clinical setting within the next 6 to 12 months.</w:t>
      </w:r>
      <w:r w:rsidR="00325673">
        <w:rPr>
          <w:rFonts w:cs="Arial"/>
          <w:bCs/>
          <w:sz w:val="22"/>
          <w:szCs w:val="22"/>
        </w:rPr>
        <w:br w:type="page"/>
      </w:r>
    </w:p>
    <w:p w14:paraId="598B4223" w14:textId="77777777" w:rsidR="00EC4726" w:rsidRDefault="00EC4726" w:rsidP="008E4E92">
      <w:pPr>
        <w:autoSpaceDE w:val="0"/>
        <w:autoSpaceDN w:val="0"/>
        <w:adjustRightInd w:val="0"/>
        <w:rPr>
          <w:rFonts w:eastAsia="ScalaLancetPro-Bold" w:cs="Arial"/>
          <w:bCs/>
          <w:sz w:val="22"/>
          <w:szCs w:val="22"/>
          <w:lang w:eastAsia="ja-JP"/>
        </w:rPr>
      </w:pPr>
    </w:p>
    <w:p w14:paraId="6C1C96A0" w14:textId="7E04CFDB" w:rsidR="008E4E92" w:rsidRPr="00F82711" w:rsidRDefault="008E4E92" w:rsidP="008E4E92">
      <w:pPr>
        <w:pBdr>
          <w:top w:val="single" w:sz="4" w:space="0" w:color="auto"/>
          <w:bottom w:val="single" w:sz="4" w:space="1" w:color="auto"/>
        </w:pBdr>
        <w:tabs>
          <w:tab w:val="left" w:pos="567"/>
        </w:tabs>
        <w:spacing w:line="360" w:lineRule="auto"/>
        <w:rPr>
          <w:rFonts w:cs="Arial"/>
          <w:b/>
          <w:sz w:val="28"/>
          <w:szCs w:val="28"/>
        </w:rPr>
      </w:pPr>
      <w:r w:rsidRPr="00F82711">
        <w:rPr>
          <w:rFonts w:cs="Arial"/>
          <w:b/>
          <w:sz w:val="28"/>
          <w:szCs w:val="28"/>
        </w:rPr>
        <w:t>4.</w:t>
      </w:r>
      <w:r w:rsidRPr="00F82711">
        <w:rPr>
          <w:rFonts w:cs="Arial"/>
          <w:b/>
          <w:sz w:val="28"/>
          <w:szCs w:val="28"/>
        </w:rPr>
        <w:tab/>
      </w:r>
      <w:bookmarkStart w:id="163" w:name="Comparative_Safety"/>
      <w:r w:rsidRPr="00F82711">
        <w:rPr>
          <w:rFonts w:cs="Arial"/>
          <w:b/>
          <w:sz w:val="28"/>
          <w:szCs w:val="28"/>
        </w:rPr>
        <w:t>Comparative Safety</w:t>
      </w:r>
      <w:bookmarkEnd w:id="163"/>
    </w:p>
    <w:p w14:paraId="00CE7FE0" w14:textId="77777777" w:rsidR="00C6024F" w:rsidRDefault="00C6024F" w:rsidP="008E4E92">
      <w:pPr>
        <w:rPr>
          <w:rFonts w:cs="Arial"/>
          <w:sz w:val="22"/>
          <w:szCs w:val="22"/>
        </w:rPr>
      </w:pPr>
    </w:p>
    <w:p w14:paraId="1D6BA8FE" w14:textId="6D7B7265" w:rsidR="00CE691B" w:rsidRDefault="00CE691B" w:rsidP="00CE691B">
      <w:pPr>
        <w:pStyle w:val="Summary-Title-H50"/>
        <w:pBdr>
          <w:top w:val="single" w:sz="4" w:space="1" w:color="auto"/>
          <w:left w:val="single" w:sz="4" w:space="4" w:color="auto"/>
          <w:bottom w:val="single" w:sz="4" w:space="1" w:color="auto"/>
          <w:right w:val="single" w:sz="4" w:space="4" w:color="auto"/>
        </w:pBdr>
        <w:shd w:val="clear" w:color="auto" w:fill="auto"/>
        <w:ind w:left="0" w:right="95"/>
        <w:rPr>
          <w:rFonts w:ascii="Arial" w:hAnsi="Arial" w:cs="Arial"/>
          <w:sz w:val="22"/>
          <w:szCs w:val="22"/>
        </w:rPr>
      </w:pPr>
      <w:r>
        <w:rPr>
          <w:rFonts w:ascii="Arial" w:hAnsi="Arial" w:cs="Arial"/>
          <w:sz w:val="22"/>
          <w:szCs w:val="22"/>
        </w:rPr>
        <w:t>Summary of comparative safety</w:t>
      </w:r>
    </w:p>
    <w:p w14:paraId="4656850C" w14:textId="77777777" w:rsidR="00CE691B" w:rsidRPr="008A5922" w:rsidRDefault="00CE691B" w:rsidP="00CE691B">
      <w:pPr>
        <w:pStyle w:val="Summary-Title-H50"/>
        <w:pBdr>
          <w:top w:val="single" w:sz="4" w:space="1" w:color="auto"/>
          <w:left w:val="single" w:sz="4" w:space="4" w:color="auto"/>
          <w:bottom w:val="single" w:sz="4" w:space="1" w:color="auto"/>
          <w:right w:val="single" w:sz="4" w:space="4" w:color="auto"/>
        </w:pBdr>
        <w:shd w:val="clear" w:color="auto" w:fill="auto"/>
        <w:ind w:left="0" w:right="95"/>
        <w:rPr>
          <w:rFonts w:ascii="Arial" w:hAnsi="Arial" w:cs="Arial"/>
          <w:sz w:val="22"/>
          <w:szCs w:val="22"/>
        </w:rPr>
      </w:pPr>
      <w:r w:rsidRPr="008A5922">
        <w:rPr>
          <w:rFonts w:ascii="Arial" w:hAnsi="Arial" w:cs="Arial"/>
          <w:sz w:val="22"/>
          <w:szCs w:val="22"/>
        </w:rPr>
        <w:t>Tedizolid phosphate is generally well tolerated by patients with low potential for clinically significant drug-drug interactions</w:t>
      </w:r>
    </w:p>
    <w:p w14:paraId="003AE4B2" w14:textId="200D6B5F" w:rsidR="00CE691B" w:rsidRPr="008A5922" w:rsidRDefault="00263670"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Pr>
          <w:rFonts w:ascii="Arial" w:hAnsi="Arial" w:cs="Arial"/>
          <w:sz w:val="22"/>
          <w:szCs w:val="22"/>
        </w:rPr>
        <w:t>I</w:t>
      </w:r>
      <w:r w:rsidRPr="008A5922">
        <w:rPr>
          <w:rFonts w:ascii="Arial" w:hAnsi="Arial" w:cs="Arial"/>
          <w:sz w:val="22"/>
          <w:szCs w:val="22"/>
        </w:rPr>
        <w:t>n the pooled analysis of safety data from the Phase 3 trials</w:t>
      </w:r>
      <w:r>
        <w:rPr>
          <w:rFonts w:ascii="Arial" w:hAnsi="Arial" w:cs="Arial"/>
          <w:sz w:val="22"/>
          <w:szCs w:val="22"/>
        </w:rPr>
        <w:t>, t</w:t>
      </w:r>
      <w:r w:rsidR="00CE691B" w:rsidRPr="008A5922">
        <w:rPr>
          <w:rFonts w:ascii="Arial" w:hAnsi="Arial" w:cs="Arial"/>
          <w:sz w:val="22"/>
          <w:szCs w:val="22"/>
        </w:rPr>
        <w:t xml:space="preserve">he total number and proportion of treatment emergent adverse events (TEAEs) reported in the tedizolid phosphate group were comparable </w:t>
      </w:r>
      <w:r>
        <w:rPr>
          <w:rFonts w:ascii="Arial" w:hAnsi="Arial" w:cs="Arial"/>
          <w:sz w:val="22"/>
          <w:szCs w:val="22"/>
        </w:rPr>
        <w:t xml:space="preserve">with the linezolid group based </w:t>
      </w:r>
      <w:r w:rsidR="00CE691B" w:rsidRPr="008A5922">
        <w:rPr>
          <w:rFonts w:ascii="Arial" w:hAnsi="Arial" w:cs="Arial"/>
          <w:sz w:val="22"/>
          <w:szCs w:val="22"/>
        </w:rPr>
        <w:t xml:space="preserve">(22.4% vs. 27.9%) </w:t>
      </w:r>
    </w:p>
    <w:p w14:paraId="6E643124" w14:textId="77777777"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The majority of TEAEs were mild or moderate in severity with few treatment limiting adverse events leading to discontinuation of therapy</w:t>
      </w:r>
    </w:p>
    <w:p w14:paraId="14BE1FED" w14:textId="3DDCE7A4"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The most common adverse events in the pooled analysis, which occurred in fewer tedizolid phosphate patients compared with linezolid, were nausea (8.2% vs. 12.2%), diarrh</w:t>
      </w:r>
      <w:r w:rsidR="00263670">
        <w:rPr>
          <w:rFonts w:ascii="Arial" w:hAnsi="Arial" w:cs="Arial"/>
          <w:sz w:val="22"/>
          <w:szCs w:val="22"/>
        </w:rPr>
        <w:t>o</w:t>
      </w:r>
      <w:r w:rsidRPr="008A5922">
        <w:rPr>
          <w:rFonts w:ascii="Arial" w:hAnsi="Arial" w:cs="Arial"/>
          <w:sz w:val="22"/>
          <w:szCs w:val="22"/>
        </w:rPr>
        <w:t xml:space="preserve">ea (3.9% vs. 5.3%), and vomiting (2.9% vs. 5.6%) </w:t>
      </w:r>
    </w:p>
    <w:p w14:paraId="5CDB93E6" w14:textId="4171B2D1"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 xml:space="preserve">The incidence of </w:t>
      </w:r>
      <w:r w:rsidR="001B0687">
        <w:rPr>
          <w:rFonts w:ascii="Arial" w:hAnsi="Arial" w:cs="Arial"/>
          <w:sz w:val="22"/>
          <w:szCs w:val="22"/>
        </w:rPr>
        <w:t>medicine</w:t>
      </w:r>
      <w:r w:rsidRPr="008A5922">
        <w:rPr>
          <w:rFonts w:ascii="Arial" w:hAnsi="Arial" w:cs="Arial"/>
          <w:sz w:val="22"/>
          <w:szCs w:val="22"/>
        </w:rPr>
        <w:t xml:space="preserve">-related severe TEAEs and SAEs were low (incidence &lt;2%) and comparable between the tedizolid phosphate group and linezolid group in the pooled analysis </w:t>
      </w:r>
    </w:p>
    <w:p w14:paraId="6EC5BF5C" w14:textId="77777777" w:rsidR="00CE691B" w:rsidRPr="008A5922" w:rsidRDefault="00CE691B" w:rsidP="00CE691B">
      <w:pPr>
        <w:pStyle w:val="Summary-Bullet-H47"/>
        <w:numPr>
          <w:ilvl w:val="0"/>
          <w:numId w:val="0"/>
        </w:numPr>
        <w:pBdr>
          <w:top w:val="single" w:sz="4" w:space="1" w:color="auto"/>
          <w:left w:val="single" w:sz="4" w:space="4" w:color="auto"/>
          <w:bottom w:val="single" w:sz="4" w:space="1" w:color="auto"/>
          <w:right w:val="single" w:sz="4" w:space="4" w:color="auto"/>
        </w:pBdr>
        <w:shd w:val="clear" w:color="auto" w:fill="auto"/>
        <w:ind w:right="95"/>
        <w:rPr>
          <w:rFonts w:ascii="Arial" w:hAnsi="Arial" w:cs="Arial"/>
          <w:b/>
          <w:sz w:val="22"/>
          <w:szCs w:val="22"/>
        </w:rPr>
      </w:pPr>
      <w:r w:rsidRPr="008A5922">
        <w:rPr>
          <w:rFonts w:ascii="Arial" w:hAnsi="Arial" w:cs="Arial"/>
          <w:b/>
          <w:sz w:val="22"/>
          <w:szCs w:val="22"/>
        </w:rPr>
        <w:t>A lower incidence of abnormally low platelet and neutrophil counts and gastrointestinal side effects were observed with tedizolid phosphate compared with linezolid</w:t>
      </w:r>
    </w:p>
    <w:p w14:paraId="334B2056" w14:textId="77777777" w:rsidR="00CE691B" w:rsidRPr="008A5922" w:rsidRDefault="00CE691B" w:rsidP="00CE691B">
      <w:pPr>
        <w:pStyle w:val="Summary-Bullet-H47"/>
        <w:numPr>
          <w:ilvl w:val="0"/>
          <w:numId w:val="0"/>
        </w:numPr>
        <w:pBdr>
          <w:top w:val="single" w:sz="4" w:space="1" w:color="auto"/>
          <w:left w:val="single" w:sz="4" w:space="4" w:color="auto"/>
          <w:bottom w:val="single" w:sz="4" w:space="1" w:color="auto"/>
          <w:right w:val="single" w:sz="4" w:space="4" w:color="auto"/>
        </w:pBdr>
        <w:shd w:val="clear" w:color="auto" w:fill="auto"/>
        <w:ind w:right="95"/>
        <w:rPr>
          <w:rFonts w:ascii="Arial" w:hAnsi="Arial" w:cs="Arial"/>
          <w:sz w:val="22"/>
          <w:szCs w:val="22"/>
        </w:rPr>
      </w:pPr>
      <w:r w:rsidRPr="008A5922">
        <w:rPr>
          <w:rFonts w:ascii="Arial" w:hAnsi="Arial" w:cs="Arial"/>
          <w:sz w:val="22"/>
          <w:szCs w:val="22"/>
        </w:rPr>
        <w:t xml:space="preserve">In the pooled analysis: </w:t>
      </w:r>
    </w:p>
    <w:p w14:paraId="64245D14" w14:textId="77777777"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A lower proportion of patients receiving tedizolid phosphate experienced gastrointestinal adverse events compared with linezolid (16.0% vs. 23.0%)</w:t>
      </w:r>
    </w:p>
    <w:p w14:paraId="6213C04D" w14:textId="77777777"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 xml:space="preserve">Tedizolid phosphate has a lower incidence of myelosuppression compared with linezolid and was associated with lower levels of abnormal post-baseline platelet values compared with linezolid </w:t>
      </w:r>
    </w:p>
    <w:p w14:paraId="2AC5235D" w14:textId="77777777"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lastRenderedPageBreak/>
        <w:t>Fewer tedizolid phosphate-treated patients compared with linezolid-treated patients reported post-baseline platelet values that were below the LLN (6.4% vs. 12.6%) or substantially abnormal (2.1% vs. 4.5%)</w:t>
      </w:r>
    </w:p>
    <w:p w14:paraId="67EA7502" w14:textId="77777777" w:rsidR="00CE691B" w:rsidRPr="008A5922" w:rsidRDefault="00CE691B" w:rsidP="00CE691B">
      <w:pPr>
        <w:pStyle w:val="Summary-Title-H50"/>
        <w:pBdr>
          <w:top w:val="single" w:sz="4" w:space="1" w:color="auto"/>
          <w:left w:val="single" w:sz="4" w:space="4" w:color="auto"/>
          <w:bottom w:val="single" w:sz="4" w:space="1" w:color="auto"/>
          <w:right w:val="single" w:sz="4" w:space="4" w:color="auto"/>
        </w:pBdr>
        <w:shd w:val="clear" w:color="auto" w:fill="auto"/>
        <w:ind w:left="0" w:right="95"/>
        <w:rPr>
          <w:rFonts w:ascii="Arial" w:hAnsi="Arial" w:cs="Arial"/>
          <w:sz w:val="22"/>
          <w:szCs w:val="22"/>
        </w:rPr>
      </w:pPr>
      <w:r w:rsidRPr="008A5922">
        <w:rPr>
          <w:rFonts w:ascii="Arial" w:hAnsi="Arial" w:cs="Arial"/>
          <w:sz w:val="22"/>
          <w:szCs w:val="22"/>
        </w:rPr>
        <w:t>No risk of nephrotoxicity - an observed side effect with vancomycin treatment - associated with tedizolid phosphate has been observed in any of the studies</w:t>
      </w:r>
    </w:p>
    <w:p w14:paraId="2897BFD8" w14:textId="77777777" w:rsidR="00CE691B" w:rsidRPr="008A5922" w:rsidRDefault="00CE691B" w:rsidP="00CE691B">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 xml:space="preserve">A low proportion of tedizolid phosphate and linezolid-treated patients reported substantially abnormal serum creatinine (0.2% vs. 0.5%) and blood urea nitrogen (0% vs. 0.3%) values in the pooled analysis </w:t>
      </w:r>
    </w:p>
    <w:p w14:paraId="2E8A2934" w14:textId="5B62154A" w:rsidR="00CE691B" w:rsidRPr="00CE691B" w:rsidRDefault="00CE691B" w:rsidP="008E4E92">
      <w:pPr>
        <w:pStyle w:val="Summary-Bullet-H47"/>
        <w:pBdr>
          <w:top w:val="single" w:sz="4" w:space="1" w:color="auto"/>
          <w:left w:val="single" w:sz="4" w:space="4" w:color="auto"/>
          <w:bottom w:val="single" w:sz="4" w:space="1" w:color="auto"/>
          <w:right w:val="single" w:sz="4" w:space="4" w:color="auto"/>
        </w:pBdr>
        <w:shd w:val="clear" w:color="auto" w:fill="auto"/>
        <w:ind w:left="426" w:right="95" w:hanging="426"/>
        <w:rPr>
          <w:rFonts w:ascii="Arial" w:hAnsi="Arial" w:cs="Arial"/>
          <w:sz w:val="22"/>
          <w:szCs w:val="22"/>
        </w:rPr>
      </w:pPr>
      <w:r w:rsidRPr="008A5922">
        <w:rPr>
          <w:rFonts w:ascii="Arial" w:hAnsi="Arial" w:cs="Arial"/>
          <w:sz w:val="22"/>
          <w:szCs w:val="22"/>
        </w:rPr>
        <w:t xml:space="preserve">Tedizolid phosphate is a monoamine oxidase inhibitor (MAOI) </w:t>
      </w:r>
      <w:r w:rsidRPr="008A5922">
        <w:rPr>
          <w:rFonts w:ascii="Arial" w:hAnsi="Arial" w:cs="Arial"/>
          <w:i/>
          <w:sz w:val="22"/>
          <w:szCs w:val="22"/>
        </w:rPr>
        <w:t>in vitro</w:t>
      </w:r>
      <w:r w:rsidRPr="008A5922">
        <w:rPr>
          <w:rFonts w:ascii="Arial" w:hAnsi="Arial" w:cs="Arial"/>
          <w:sz w:val="22"/>
          <w:szCs w:val="22"/>
        </w:rPr>
        <w:t xml:space="preserve"> but does not appear to increase the risk for central nervous system (CNS) reactions </w:t>
      </w:r>
      <w:r w:rsidRPr="008A5922">
        <w:rPr>
          <w:rFonts w:ascii="Arial" w:hAnsi="Arial" w:cs="Arial"/>
          <w:i/>
          <w:sz w:val="22"/>
          <w:szCs w:val="22"/>
        </w:rPr>
        <w:t>in vivo</w:t>
      </w:r>
    </w:p>
    <w:p w14:paraId="055B841D" w14:textId="77777777" w:rsidR="00CE691B" w:rsidRPr="008E4E92" w:rsidRDefault="00CE691B" w:rsidP="008E4E92">
      <w:pPr>
        <w:rPr>
          <w:rFonts w:cs="Arial"/>
          <w:sz w:val="22"/>
          <w:szCs w:val="22"/>
        </w:rPr>
      </w:pPr>
    </w:p>
    <w:p w14:paraId="56E3392A" w14:textId="77777777" w:rsidR="008E4E92" w:rsidRPr="00083BF5" w:rsidRDefault="008E4E92" w:rsidP="008E4E92">
      <w:pPr>
        <w:numPr>
          <w:ilvl w:val="0"/>
          <w:numId w:val="4"/>
        </w:numPr>
        <w:tabs>
          <w:tab w:val="clear" w:pos="720"/>
          <w:tab w:val="num" w:pos="567"/>
          <w:tab w:val="num" w:pos="993"/>
        </w:tabs>
        <w:ind w:left="567" w:hanging="567"/>
        <w:jc w:val="both"/>
        <w:rPr>
          <w:rFonts w:cs="Arial"/>
          <w:i/>
          <w:iCs/>
          <w:sz w:val="22"/>
          <w:szCs w:val="22"/>
        </w:rPr>
      </w:pPr>
      <w:r w:rsidRPr="00083BF5">
        <w:rPr>
          <w:rFonts w:cs="Arial"/>
          <w:i/>
          <w:iCs/>
          <w:sz w:val="22"/>
          <w:szCs w:val="22"/>
        </w:rPr>
        <w:t xml:space="preserve">Provide details of studies, which provide evidence of the clinical adverse effects with the medicine in the indication(s) under review relative to active comparator(s) used in clinical practice. The most relevant are active-controlled studies. However, if active-controlled studies are not available, details of placebo-controlled or uncontrolled studies should be included. </w:t>
      </w:r>
    </w:p>
    <w:p w14:paraId="6614EACE" w14:textId="77777777" w:rsidR="008E4E92" w:rsidRPr="00083BF5" w:rsidRDefault="008E4E92" w:rsidP="008E4E92">
      <w:pPr>
        <w:ind w:left="357" w:hanging="357"/>
        <w:jc w:val="both"/>
        <w:rPr>
          <w:rFonts w:cs="Arial"/>
          <w:i/>
          <w:sz w:val="22"/>
          <w:szCs w:val="22"/>
        </w:rPr>
      </w:pPr>
    </w:p>
    <w:p w14:paraId="4B80C5EA" w14:textId="77777777" w:rsidR="008E4E92" w:rsidRPr="00083BF5" w:rsidRDefault="008E4E92" w:rsidP="008E4E92">
      <w:pPr>
        <w:pStyle w:val="BodyText"/>
        <w:numPr>
          <w:ilvl w:val="0"/>
          <w:numId w:val="5"/>
        </w:numPr>
        <w:tabs>
          <w:tab w:val="clear" w:pos="1080"/>
          <w:tab w:val="num" w:pos="1134"/>
        </w:tabs>
        <w:ind w:left="1134" w:hanging="567"/>
        <w:jc w:val="both"/>
        <w:rPr>
          <w:rFonts w:cs="Arial"/>
          <w:i/>
          <w:iCs/>
          <w:sz w:val="22"/>
          <w:szCs w:val="22"/>
        </w:rPr>
      </w:pPr>
      <w:r w:rsidRPr="00083BF5">
        <w:rPr>
          <w:rFonts w:cs="Arial"/>
          <w:i/>
          <w:iCs/>
          <w:sz w:val="22"/>
          <w:szCs w:val="22"/>
        </w:rPr>
        <w:t xml:space="preserve">For studies primarily designed to investigate differences between the medicine under review and a placebo- or active-comparator in a safety outcome as the primary endpoint, provide complete details of the study, as described above in section three. </w:t>
      </w:r>
    </w:p>
    <w:p w14:paraId="7F136651" w14:textId="77777777" w:rsidR="00083BF5" w:rsidRDefault="00083BF5" w:rsidP="008E4E92">
      <w:pPr>
        <w:pStyle w:val="BodyText"/>
        <w:tabs>
          <w:tab w:val="num" w:pos="1134"/>
        </w:tabs>
        <w:ind w:left="1134" w:hanging="567"/>
        <w:jc w:val="both"/>
        <w:rPr>
          <w:rFonts w:cs="Arial"/>
          <w:sz w:val="22"/>
          <w:szCs w:val="22"/>
        </w:rPr>
      </w:pPr>
    </w:p>
    <w:p w14:paraId="26357D1F" w14:textId="787A18B9" w:rsidR="008E4E92" w:rsidRDefault="00083BF5" w:rsidP="008E4E92">
      <w:pPr>
        <w:pStyle w:val="BodyText"/>
        <w:tabs>
          <w:tab w:val="num" w:pos="1134"/>
        </w:tabs>
        <w:ind w:left="1134" w:hanging="567"/>
        <w:jc w:val="both"/>
        <w:rPr>
          <w:rFonts w:cs="Arial"/>
          <w:sz w:val="22"/>
          <w:szCs w:val="22"/>
        </w:rPr>
      </w:pPr>
      <w:r>
        <w:rPr>
          <w:rFonts w:cs="Arial"/>
          <w:sz w:val="22"/>
          <w:szCs w:val="22"/>
        </w:rPr>
        <w:t>Not applicable.</w:t>
      </w:r>
    </w:p>
    <w:p w14:paraId="1B560C6B" w14:textId="77777777" w:rsidR="00CD0D9F" w:rsidRPr="008E4E92" w:rsidRDefault="00CD0D9F" w:rsidP="008E4E92">
      <w:pPr>
        <w:pStyle w:val="BodyText"/>
        <w:tabs>
          <w:tab w:val="num" w:pos="1134"/>
        </w:tabs>
        <w:ind w:left="1134" w:hanging="567"/>
        <w:jc w:val="both"/>
        <w:rPr>
          <w:rFonts w:cs="Arial"/>
          <w:sz w:val="22"/>
          <w:szCs w:val="22"/>
        </w:rPr>
      </w:pPr>
    </w:p>
    <w:p w14:paraId="6D0DE34E" w14:textId="77777777" w:rsidR="008E4E92" w:rsidRPr="00083BF5" w:rsidRDefault="008E4E92" w:rsidP="008E4E92">
      <w:pPr>
        <w:pStyle w:val="BodyText"/>
        <w:numPr>
          <w:ilvl w:val="0"/>
          <w:numId w:val="5"/>
        </w:numPr>
        <w:tabs>
          <w:tab w:val="clear" w:pos="1080"/>
          <w:tab w:val="num" w:pos="1134"/>
        </w:tabs>
        <w:ind w:left="1134" w:hanging="567"/>
        <w:jc w:val="both"/>
        <w:rPr>
          <w:rFonts w:cs="Arial"/>
          <w:i/>
          <w:iCs/>
          <w:sz w:val="22"/>
          <w:szCs w:val="22"/>
        </w:rPr>
      </w:pPr>
      <w:r w:rsidRPr="00083BF5">
        <w:rPr>
          <w:rFonts w:cs="Arial"/>
          <w:i/>
          <w:iCs/>
          <w:sz w:val="22"/>
          <w:szCs w:val="22"/>
        </w:rPr>
        <w:t>For active-controlled studies, which primarily assessed an efficacy outcome, provide details of any analyses, indicating significant differences in adverse event rates between the medicine under review and an active comparator.</w:t>
      </w:r>
    </w:p>
    <w:p w14:paraId="48D60765" w14:textId="77777777" w:rsidR="008E4E92" w:rsidRDefault="008E4E92" w:rsidP="008E4E92">
      <w:pPr>
        <w:pStyle w:val="BodyText"/>
        <w:tabs>
          <w:tab w:val="num" w:pos="1134"/>
        </w:tabs>
        <w:ind w:left="1134" w:hanging="567"/>
        <w:jc w:val="both"/>
        <w:rPr>
          <w:rFonts w:cs="Arial"/>
          <w:iCs/>
          <w:sz w:val="22"/>
          <w:szCs w:val="22"/>
        </w:rPr>
      </w:pPr>
    </w:p>
    <w:p w14:paraId="40C4C764" w14:textId="779B6A95" w:rsidR="00E341EC" w:rsidRDefault="00263670" w:rsidP="00B80F4E">
      <w:pPr>
        <w:rPr>
          <w:b/>
          <w:sz w:val="22"/>
          <w:szCs w:val="22"/>
          <w:lang w:val="en-US"/>
        </w:rPr>
      </w:pPr>
      <w:r>
        <w:rPr>
          <w:b/>
          <w:sz w:val="22"/>
          <w:szCs w:val="22"/>
          <w:lang w:val="en-US"/>
        </w:rPr>
        <w:t xml:space="preserve">4.1 </w:t>
      </w:r>
      <w:r w:rsidR="00713763" w:rsidRPr="006C6C87">
        <w:rPr>
          <w:b/>
          <w:sz w:val="22"/>
          <w:szCs w:val="22"/>
          <w:lang w:val="en-US"/>
        </w:rPr>
        <w:t xml:space="preserve">Overview </w:t>
      </w:r>
      <w:r w:rsidR="00DD1CC4" w:rsidRPr="006C6C87">
        <w:rPr>
          <w:b/>
          <w:sz w:val="22"/>
          <w:szCs w:val="22"/>
          <w:lang w:val="en-US"/>
        </w:rPr>
        <w:t xml:space="preserve">of tedizolid </w:t>
      </w:r>
      <w:r w:rsidR="00570945">
        <w:rPr>
          <w:b/>
          <w:sz w:val="22"/>
          <w:szCs w:val="22"/>
          <w:lang w:val="en-US"/>
        </w:rPr>
        <w:t xml:space="preserve">phosphate </w:t>
      </w:r>
      <w:r w:rsidR="00DD1CC4" w:rsidRPr="006C6C87">
        <w:rPr>
          <w:b/>
          <w:sz w:val="22"/>
          <w:szCs w:val="22"/>
          <w:lang w:val="en-US"/>
        </w:rPr>
        <w:t>safety data</w:t>
      </w:r>
    </w:p>
    <w:p w14:paraId="5BFBA251" w14:textId="2DA11071" w:rsidR="00713763" w:rsidRPr="005F0185" w:rsidRDefault="00713763" w:rsidP="00B80F4E">
      <w:pPr>
        <w:rPr>
          <w:b/>
          <w:sz w:val="22"/>
          <w:szCs w:val="22"/>
          <w:lang w:val="en-US"/>
        </w:rPr>
      </w:pPr>
      <w:r w:rsidRPr="005F0185">
        <w:rPr>
          <w:rFonts w:cs="Arial"/>
          <w:noProof/>
          <w:sz w:val="22"/>
          <w:szCs w:val="22"/>
        </w:rPr>
        <w:t xml:space="preserve">The safety of tedizolid phosphate has been evaluated </w:t>
      </w:r>
      <w:r w:rsidRPr="005F0185">
        <w:rPr>
          <w:rFonts w:cs="Arial"/>
          <w:sz w:val="22"/>
          <w:szCs w:val="22"/>
        </w:rPr>
        <w:t>in a total of 1,485 subjects receiving at least one dose of tedizolid phosphate administered either orally or intravenously</w:t>
      </w:r>
      <w:r w:rsidR="00903527" w:rsidRPr="005F0185">
        <w:rPr>
          <w:rFonts w:cs="Arial"/>
          <w:sz w:val="22"/>
          <w:szCs w:val="22"/>
        </w:rPr>
        <w:t xml:space="preserve"> in the Phase 1, 2 and 3 studies</w:t>
      </w:r>
      <w:r w:rsidRPr="005F0185">
        <w:rPr>
          <w:rFonts w:cs="Arial"/>
          <w:sz w:val="22"/>
          <w:szCs w:val="22"/>
        </w:rPr>
        <w:t xml:space="preserve">. The primary safety database is the Phase 3 clinical studies </w:t>
      </w:r>
      <w:r w:rsidRPr="005F0185">
        <w:rPr>
          <w:rFonts w:cs="Arial"/>
          <w:sz w:val="22"/>
          <w:szCs w:val="22"/>
        </w:rPr>
        <w:lastRenderedPageBreak/>
        <w:t xml:space="preserve">(ESTABLISH-1 and ESTABLISH-2) in which 662 subjects received 200 mg tedizolid phosphate once daily orally and/or intravenously (331/662 patients) for a maximum of 6 days. </w:t>
      </w:r>
    </w:p>
    <w:p w14:paraId="5F8EF070" w14:textId="77777777" w:rsidR="00713763" w:rsidRPr="005F0185" w:rsidRDefault="00713763" w:rsidP="00713763">
      <w:pPr>
        <w:suppressLineNumbers/>
        <w:rPr>
          <w:rFonts w:cs="Arial"/>
          <w:sz w:val="22"/>
          <w:szCs w:val="22"/>
        </w:rPr>
      </w:pPr>
    </w:p>
    <w:p w14:paraId="52E324CE" w14:textId="3868464C" w:rsidR="008A0EFB" w:rsidRPr="005F0185" w:rsidRDefault="00713763" w:rsidP="00713763">
      <w:pPr>
        <w:suppressLineNumbers/>
        <w:rPr>
          <w:sz w:val="22"/>
          <w:szCs w:val="22"/>
        </w:rPr>
      </w:pPr>
      <w:r w:rsidRPr="005F0185">
        <w:rPr>
          <w:rFonts w:cs="Arial"/>
          <w:sz w:val="22"/>
          <w:szCs w:val="22"/>
        </w:rPr>
        <w:t xml:space="preserve">Approximately 22.4% of patients treated with </w:t>
      </w:r>
      <w:r w:rsidRPr="005F0185">
        <w:rPr>
          <w:rFonts w:cs="Arial"/>
          <w:noProof/>
          <w:sz w:val="22"/>
          <w:szCs w:val="22"/>
        </w:rPr>
        <w:t>tedizolid phosphate</w:t>
      </w:r>
      <w:r w:rsidRPr="005F0185">
        <w:rPr>
          <w:rFonts w:cs="Arial"/>
          <w:sz w:val="22"/>
          <w:szCs w:val="22"/>
        </w:rPr>
        <w:t xml:space="preserve"> in Phase 3 clinical studies (n= 662) experienced at least one treatment-emergent adverse event (TEAE)</w:t>
      </w:r>
      <w:r w:rsidR="006645E7" w:rsidRPr="005F0185">
        <w:rPr>
          <w:rFonts w:cs="Arial"/>
          <w:sz w:val="22"/>
          <w:szCs w:val="22"/>
        </w:rPr>
        <w:t>(</w:t>
      </w:r>
      <w:r w:rsidR="00CA0F83">
        <w:rPr>
          <w:rFonts w:cs="Arial"/>
          <w:sz w:val="22"/>
          <w:szCs w:val="22"/>
        </w:rPr>
        <w:fldChar w:fldCharType="begin"/>
      </w:r>
      <w:r w:rsidR="00CA0F83">
        <w:rPr>
          <w:rFonts w:cs="Arial"/>
          <w:sz w:val="22"/>
          <w:szCs w:val="22"/>
        </w:rPr>
        <w:instrText xml:space="preserve"> REF _Ref284184065 \r \h </w:instrText>
      </w:r>
      <w:r w:rsidR="00CA0F83">
        <w:rPr>
          <w:rFonts w:cs="Arial"/>
          <w:sz w:val="22"/>
          <w:szCs w:val="22"/>
        </w:rPr>
      </w:r>
      <w:r w:rsidR="00CA0F83">
        <w:rPr>
          <w:rFonts w:cs="Arial"/>
          <w:sz w:val="22"/>
          <w:szCs w:val="22"/>
        </w:rPr>
        <w:fldChar w:fldCharType="separate"/>
      </w:r>
      <w:r w:rsidR="00151A1C">
        <w:rPr>
          <w:rFonts w:cs="Arial"/>
          <w:sz w:val="22"/>
          <w:szCs w:val="22"/>
        </w:rPr>
        <w:t>1</w:t>
      </w:r>
      <w:r w:rsidR="00CA0F83">
        <w:rPr>
          <w:rFonts w:cs="Arial"/>
          <w:sz w:val="22"/>
          <w:szCs w:val="22"/>
        </w:rPr>
        <w:fldChar w:fldCharType="end"/>
      </w:r>
      <w:r w:rsidR="006645E7" w:rsidRPr="005F0185">
        <w:rPr>
          <w:rFonts w:cs="Arial"/>
          <w:sz w:val="22"/>
          <w:szCs w:val="22"/>
        </w:rPr>
        <w:t>)</w:t>
      </w:r>
      <w:r w:rsidRPr="005F0185">
        <w:rPr>
          <w:rFonts w:cs="Arial"/>
          <w:sz w:val="22"/>
          <w:szCs w:val="22"/>
        </w:rPr>
        <w:t xml:space="preserve">. </w:t>
      </w:r>
      <w:r w:rsidR="008A0EFB" w:rsidRPr="005F0185">
        <w:rPr>
          <w:sz w:val="22"/>
          <w:szCs w:val="22"/>
        </w:rPr>
        <w:t>The total number of TEAEs reported in the tedizolid phosphate group was comparable with the linezolid group based on the pooled analysis of safety data from the P</w:t>
      </w:r>
      <w:r w:rsidR="006645E7" w:rsidRPr="005F0185">
        <w:rPr>
          <w:sz w:val="22"/>
          <w:szCs w:val="22"/>
        </w:rPr>
        <w:t>hase 3 trials (22.4% vs. 27.9%)</w:t>
      </w:r>
      <w:r w:rsidR="006645E7" w:rsidRPr="005F0185">
        <w:rPr>
          <w:rFonts w:cs="Arial"/>
          <w:sz w:val="22"/>
          <w:szCs w:val="22"/>
        </w:rPr>
        <w:t>(</w:t>
      </w:r>
      <w:r w:rsidR="00CA0F83">
        <w:rPr>
          <w:rFonts w:cs="Arial"/>
          <w:sz w:val="22"/>
          <w:szCs w:val="22"/>
        </w:rPr>
        <w:fldChar w:fldCharType="begin"/>
      </w:r>
      <w:r w:rsidR="00CA0F83">
        <w:rPr>
          <w:rFonts w:cs="Arial"/>
          <w:sz w:val="22"/>
          <w:szCs w:val="22"/>
        </w:rPr>
        <w:instrText xml:space="preserve"> REF _Ref284168274 \r \h </w:instrText>
      </w:r>
      <w:r w:rsidR="00CA0F83">
        <w:rPr>
          <w:rFonts w:cs="Arial"/>
          <w:sz w:val="22"/>
          <w:szCs w:val="22"/>
        </w:rPr>
      </w:r>
      <w:r w:rsidR="00CA0F83">
        <w:rPr>
          <w:rFonts w:cs="Arial"/>
          <w:sz w:val="22"/>
          <w:szCs w:val="22"/>
        </w:rPr>
        <w:fldChar w:fldCharType="separate"/>
      </w:r>
      <w:r w:rsidR="00151A1C">
        <w:rPr>
          <w:rFonts w:cs="Arial"/>
          <w:sz w:val="22"/>
          <w:szCs w:val="22"/>
        </w:rPr>
        <w:t>1</w:t>
      </w:r>
      <w:r w:rsidR="00CA0F83">
        <w:rPr>
          <w:rFonts w:cs="Arial"/>
          <w:sz w:val="22"/>
          <w:szCs w:val="22"/>
        </w:rPr>
        <w:fldChar w:fldCharType="end"/>
      </w:r>
      <w:r w:rsidR="006645E7" w:rsidRPr="005F0185">
        <w:rPr>
          <w:rFonts w:cs="Arial"/>
          <w:sz w:val="22"/>
          <w:szCs w:val="22"/>
        </w:rPr>
        <w:t>);</w:t>
      </w:r>
      <w:r w:rsidR="008A0EFB" w:rsidRPr="005F0185">
        <w:rPr>
          <w:sz w:val="22"/>
          <w:szCs w:val="22"/>
        </w:rPr>
        <w:t xml:space="preserve"> further, the majority of these were mild or moderate in severity. </w:t>
      </w:r>
      <w:r w:rsidR="008A0EFB" w:rsidRPr="005F0185">
        <w:rPr>
          <w:rFonts w:cs="Arial"/>
          <w:noProof/>
          <w:sz w:val="22"/>
          <w:szCs w:val="22"/>
        </w:rPr>
        <w:t>The most frequently reported adverse reactions</w:t>
      </w:r>
      <w:r w:rsidR="008A0EFB" w:rsidRPr="005F0185">
        <w:rPr>
          <w:rFonts w:cs="Arial"/>
          <w:sz w:val="22"/>
          <w:szCs w:val="22"/>
        </w:rPr>
        <w:t xml:space="preserve"> occurring in patients receiving tedizolid phosphate in the pooled controlled Phase 3 clinical studies were nausea (6.9%), headache (3.5%), diarrhoea (3.2%) and vomiting (2.3%), and were general</w:t>
      </w:r>
      <w:r w:rsidR="006645E7" w:rsidRPr="005F0185">
        <w:rPr>
          <w:rFonts w:cs="Arial"/>
          <w:sz w:val="22"/>
          <w:szCs w:val="22"/>
        </w:rPr>
        <w:t xml:space="preserve">ly mild to moderate in severity </w:t>
      </w:r>
      <w:r w:rsidR="00CA0F83">
        <w:rPr>
          <w:rFonts w:cs="Arial"/>
          <w:sz w:val="22"/>
          <w:szCs w:val="22"/>
        </w:rPr>
        <w:t>(</w:t>
      </w:r>
      <w:r w:rsidR="00CA0F83">
        <w:rPr>
          <w:rFonts w:cs="Arial"/>
          <w:sz w:val="22"/>
          <w:szCs w:val="22"/>
        </w:rPr>
        <w:fldChar w:fldCharType="begin"/>
      </w:r>
      <w:r w:rsidR="00CA0F83">
        <w:rPr>
          <w:rFonts w:cs="Arial"/>
          <w:sz w:val="22"/>
          <w:szCs w:val="22"/>
        </w:rPr>
        <w:instrText xml:space="preserve"> REF _Ref284168274 \r \h </w:instrText>
      </w:r>
      <w:r w:rsidR="00CA0F83">
        <w:rPr>
          <w:rFonts w:cs="Arial"/>
          <w:sz w:val="22"/>
          <w:szCs w:val="22"/>
        </w:rPr>
      </w:r>
      <w:r w:rsidR="00CA0F83">
        <w:rPr>
          <w:rFonts w:cs="Arial"/>
          <w:sz w:val="22"/>
          <w:szCs w:val="22"/>
        </w:rPr>
        <w:fldChar w:fldCharType="separate"/>
      </w:r>
      <w:r w:rsidR="00151A1C">
        <w:rPr>
          <w:rFonts w:cs="Arial"/>
          <w:sz w:val="22"/>
          <w:szCs w:val="22"/>
        </w:rPr>
        <w:t>1</w:t>
      </w:r>
      <w:r w:rsidR="00CA0F83">
        <w:rPr>
          <w:rFonts w:cs="Arial"/>
          <w:sz w:val="22"/>
          <w:szCs w:val="22"/>
        </w:rPr>
        <w:fldChar w:fldCharType="end"/>
      </w:r>
      <w:r w:rsidR="006645E7" w:rsidRPr="005F0185">
        <w:rPr>
          <w:rFonts w:cs="Arial"/>
          <w:sz w:val="22"/>
          <w:szCs w:val="22"/>
        </w:rPr>
        <w:t>).</w:t>
      </w:r>
      <w:r w:rsidR="008A0EFB" w:rsidRPr="005F0185">
        <w:rPr>
          <w:rFonts w:cs="Arial"/>
          <w:sz w:val="22"/>
          <w:szCs w:val="22"/>
        </w:rPr>
        <w:t xml:space="preserve"> </w:t>
      </w:r>
    </w:p>
    <w:p w14:paraId="1B51F9DC" w14:textId="77777777" w:rsidR="008A0EFB" w:rsidRPr="005F0185" w:rsidRDefault="008A0EFB" w:rsidP="00713763">
      <w:pPr>
        <w:suppressLineNumbers/>
        <w:rPr>
          <w:rFonts w:cs="Arial"/>
          <w:sz w:val="22"/>
          <w:szCs w:val="22"/>
        </w:rPr>
      </w:pPr>
    </w:p>
    <w:p w14:paraId="04114041" w14:textId="670BCAAF" w:rsidR="008A0EFB" w:rsidRPr="006C6C87" w:rsidRDefault="008A0EFB" w:rsidP="008A0EFB">
      <w:pPr>
        <w:suppressLineNumbers/>
        <w:rPr>
          <w:sz w:val="22"/>
          <w:szCs w:val="22"/>
        </w:rPr>
      </w:pPr>
      <w:r w:rsidRPr="005F0185">
        <w:rPr>
          <w:sz w:val="22"/>
          <w:szCs w:val="22"/>
        </w:rPr>
        <w:t xml:space="preserve">The incidence of </w:t>
      </w:r>
      <w:r w:rsidR="001B0687" w:rsidRPr="005F0185">
        <w:rPr>
          <w:sz w:val="22"/>
          <w:szCs w:val="22"/>
        </w:rPr>
        <w:t>medicine</w:t>
      </w:r>
      <w:r w:rsidRPr="005F0185">
        <w:rPr>
          <w:sz w:val="22"/>
          <w:szCs w:val="22"/>
        </w:rPr>
        <w:t xml:space="preserve">-related severe TEAEs and </w:t>
      </w:r>
      <w:r w:rsidR="006C6C87" w:rsidRPr="005F0185">
        <w:rPr>
          <w:sz w:val="22"/>
          <w:szCs w:val="22"/>
        </w:rPr>
        <w:t>serious adverse events (</w:t>
      </w:r>
      <w:r w:rsidRPr="005F0185">
        <w:rPr>
          <w:sz w:val="22"/>
          <w:szCs w:val="22"/>
        </w:rPr>
        <w:t>SAEs</w:t>
      </w:r>
      <w:r w:rsidR="006C6C87" w:rsidRPr="005F0185">
        <w:rPr>
          <w:sz w:val="22"/>
          <w:szCs w:val="22"/>
        </w:rPr>
        <w:t>)</w:t>
      </w:r>
      <w:r w:rsidRPr="005F0185">
        <w:rPr>
          <w:sz w:val="22"/>
          <w:szCs w:val="22"/>
        </w:rPr>
        <w:t xml:space="preserve"> were low (incidence &lt;2%) and comparable between the tedizolid phosphate group and linezolid group in the pooled analysis of safety data from the Phase 3 studies. </w:t>
      </w:r>
      <w:r w:rsidRPr="005F0185">
        <w:rPr>
          <w:rFonts w:cs="Arial"/>
          <w:sz w:val="22"/>
          <w:szCs w:val="22"/>
        </w:rPr>
        <w:t>No serious adverse events were considered related to tedizolid phosphate (</w:t>
      </w:r>
      <w:r w:rsidR="00CA0F83">
        <w:rPr>
          <w:rFonts w:cs="Arial"/>
          <w:sz w:val="22"/>
          <w:szCs w:val="22"/>
        </w:rPr>
        <w:fldChar w:fldCharType="begin"/>
      </w:r>
      <w:r w:rsidR="00CA0F83">
        <w:rPr>
          <w:rFonts w:cs="Arial"/>
          <w:sz w:val="22"/>
          <w:szCs w:val="22"/>
        </w:rPr>
        <w:instrText xml:space="preserve"> REF _Ref284168274 \r \h </w:instrText>
      </w:r>
      <w:r w:rsidR="00CA0F83">
        <w:rPr>
          <w:rFonts w:cs="Arial"/>
          <w:sz w:val="22"/>
          <w:szCs w:val="22"/>
        </w:rPr>
      </w:r>
      <w:r w:rsidR="00CA0F83">
        <w:rPr>
          <w:rFonts w:cs="Arial"/>
          <w:sz w:val="22"/>
          <w:szCs w:val="22"/>
        </w:rPr>
        <w:fldChar w:fldCharType="separate"/>
      </w:r>
      <w:r w:rsidR="00151A1C">
        <w:rPr>
          <w:rFonts w:cs="Arial"/>
          <w:sz w:val="22"/>
          <w:szCs w:val="22"/>
        </w:rPr>
        <w:t>1</w:t>
      </w:r>
      <w:r w:rsidR="00CA0F83">
        <w:rPr>
          <w:rFonts w:cs="Arial"/>
          <w:sz w:val="22"/>
          <w:szCs w:val="22"/>
        </w:rPr>
        <w:fldChar w:fldCharType="end"/>
      </w:r>
      <w:r w:rsidRPr="005F0185">
        <w:rPr>
          <w:rFonts w:cs="Arial"/>
          <w:sz w:val="22"/>
          <w:szCs w:val="22"/>
        </w:rPr>
        <w:t>) and n</w:t>
      </w:r>
      <w:r w:rsidRPr="005F0185">
        <w:rPr>
          <w:sz w:val="22"/>
          <w:szCs w:val="22"/>
        </w:rPr>
        <w:t xml:space="preserve">o deaths in ESTABLISH-1 and ESTABLISH-2 were related to the study </w:t>
      </w:r>
      <w:r w:rsidR="001B0687" w:rsidRPr="005F0185">
        <w:rPr>
          <w:sz w:val="22"/>
          <w:szCs w:val="22"/>
        </w:rPr>
        <w:t>medicine</w:t>
      </w:r>
      <w:r w:rsidRPr="005F0185">
        <w:rPr>
          <w:sz w:val="22"/>
          <w:szCs w:val="22"/>
        </w:rPr>
        <w:t>.</w:t>
      </w:r>
    </w:p>
    <w:p w14:paraId="29DE499C" w14:textId="77777777" w:rsidR="008A0EFB" w:rsidRPr="006C6C87" w:rsidRDefault="008A0EFB" w:rsidP="00F72116">
      <w:pPr>
        <w:rPr>
          <w:b/>
          <w:sz w:val="22"/>
          <w:szCs w:val="22"/>
          <w:lang w:val="en-US"/>
        </w:rPr>
      </w:pPr>
    </w:p>
    <w:p w14:paraId="11F47440" w14:textId="721614C6" w:rsidR="00C4504A" w:rsidRPr="006C6C87" w:rsidRDefault="00263670" w:rsidP="00F72116">
      <w:pPr>
        <w:rPr>
          <w:b/>
          <w:sz w:val="22"/>
          <w:szCs w:val="22"/>
          <w:lang w:val="en-US"/>
        </w:rPr>
      </w:pPr>
      <w:r>
        <w:rPr>
          <w:b/>
          <w:sz w:val="22"/>
          <w:szCs w:val="22"/>
          <w:lang w:val="en-US"/>
        </w:rPr>
        <w:t xml:space="preserve">4.2 </w:t>
      </w:r>
      <w:r w:rsidR="00DD1CC4" w:rsidRPr="006C6C87">
        <w:rPr>
          <w:b/>
          <w:sz w:val="22"/>
          <w:szCs w:val="22"/>
          <w:lang w:val="en-US"/>
        </w:rPr>
        <w:t>Comparative safety data</w:t>
      </w:r>
      <w:r w:rsidR="00821933">
        <w:rPr>
          <w:b/>
          <w:sz w:val="22"/>
          <w:szCs w:val="22"/>
          <w:lang w:val="en-US"/>
        </w:rPr>
        <w:t xml:space="preserve"> </w:t>
      </w:r>
    </w:p>
    <w:p w14:paraId="35334983" w14:textId="76159F39" w:rsidR="004B0F70" w:rsidRPr="00E341EC" w:rsidRDefault="00C4504A" w:rsidP="004B0F70">
      <w:pPr>
        <w:pStyle w:val="BodyText"/>
        <w:rPr>
          <w:rStyle w:val="BodyText-highlighted-H11"/>
          <w:rFonts w:ascii="Arial" w:eastAsiaTheme="minorEastAsia" w:hAnsi="Arial" w:cs="Arial"/>
          <w:sz w:val="22"/>
          <w:szCs w:val="22"/>
          <w:lang w:val="en-US"/>
        </w:rPr>
      </w:pPr>
      <w:r w:rsidRPr="00EC47BE">
        <w:rPr>
          <w:sz w:val="22"/>
          <w:szCs w:val="22"/>
          <w:lang w:val="en-US"/>
        </w:rPr>
        <w:t>In ESTABLISH-1, 331/332 patients who were enrolled in the tedizolid phosphate group and all 335 patients in the linezolid gro</w:t>
      </w:r>
      <w:r w:rsidR="004B0F70" w:rsidRPr="00EC47BE">
        <w:rPr>
          <w:sz w:val="22"/>
          <w:szCs w:val="22"/>
          <w:lang w:val="en-US"/>
        </w:rPr>
        <w:t>up were included in the Safety P</w:t>
      </w:r>
      <w:r w:rsidRPr="00EC47BE">
        <w:rPr>
          <w:sz w:val="22"/>
          <w:szCs w:val="22"/>
          <w:lang w:val="en-US"/>
        </w:rPr>
        <w:t>opulation</w:t>
      </w:r>
      <w:r w:rsidR="00E341EC" w:rsidRPr="00EC47BE">
        <w:rPr>
          <w:sz w:val="22"/>
          <w:szCs w:val="22"/>
          <w:lang w:val="en-US"/>
        </w:rPr>
        <w:t xml:space="preserve"> (</w:t>
      </w:r>
      <w:r w:rsidR="00CA0F83">
        <w:rPr>
          <w:sz w:val="22"/>
          <w:szCs w:val="22"/>
          <w:lang w:val="en-US"/>
        </w:rPr>
        <w:fldChar w:fldCharType="begin"/>
      </w:r>
      <w:r w:rsidR="00CA0F83">
        <w:rPr>
          <w:sz w:val="22"/>
          <w:szCs w:val="22"/>
          <w:lang w:val="en-US"/>
        </w:rPr>
        <w:instrText xml:space="preserve"> REF _Ref284171334 \r \h </w:instrText>
      </w:r>
      <w:r w:rsidR="00CA0F83">
        <w:rPr>
          <w:sz w:val="22"/>
          <w:szCs w:val="22"/>
          <w:lang w:val="en-US"/>
        </w:rPr>
      </w:r>
      <w:r w:rsidR="00CA0F83">
        <w:rPr>
          <w:sz w:val="22"/>
          <w:szCs w:val="22"/>
          <w:lang w:val="en-US"/>
        </w:rPr>
        <w:fldChar w:fldCharType="separate"/>
      </w:r>
      <w:r w:rsidR="00151A1C">
        <w:rPr>
          <w:sz w:val="22"/>
          <w:szCs w:val="22"/>
          <w:lang w:val="en-US"/>
        </w:rPr>
        <w:t>41</w:t>
      </w:r>
      <w:r w:rsidR="00CA0F83">
        <w:rPr>
          <w:sz w:val="22"/>
          <w:szCs w:val="22"/>
          <w:lang w:val="en-US"/>
        </w:rPr>
        <w:fldChar w:fldCharType="end"/>
      </w:r>
      <w:r w:rsidR="00E341EC" w:rsidRPr="00EC47BE">
        <w:rPr>
          <w:sz w:val="22"/>
          <w:szCs w:val="22"/>
          <w:lang w:val="en-US"/>
        </w:rPr>
        <w:t>).</w:t>
      </w:r>
      <w:r w:rsidRPr="00EC47BE">
        <w:rPr>
          <w:sz w:val="22"/>
          <w:szCs w:val="22"/>
          <w:lang w:val="en-US"/>
        </w:rPr>
        <w:t xml:space="preserve"> </w:t>
      </w:r>
      <w:r w:rsidR="004B0F70" w:rsidRPr="00EC47BE">
        <w:rPr>
          <w:sz w:val="22"/>
          <w:szCs w:val="22"/>
          <w:lang w:val="en-US"/>
        </w:rPr>
        <w:t xml:space="preserve">In ESTABLISH-2, 331/332 patients enrolled in the tedizolid phosphate group and 327/334 patients in the linezolid group were included in the Safety </w:t>
      </w:r>
      <w:r w:rsidR="0023343C">
        <w:rPr>
          <w:rFonts w:cs="Arial"/>
          <w:sz w:val="22"/>
          <w:szCs w:val="22"/>
          <w:lang w:val="en-US"/>
        </w:rPr>
        <w:t>Population (</w:t>
      </w:r>
      <w:r w:rsidR="00CA0F83">
        <w:rPr>
          <w:rFonts w:cs="Arial"/>
          <w:sz w:val="22"/>
          <w:szCs w:val="22"/>
          <w:lang w:val="en-US"/>
        </w:rPr>
        <w:fldChar w:fldCharType="begin"/>
      </w:r>
      <w:r w:rsidR="00CA0F83">
        <w:rPr>
          <w:rFonts w:cs="Arial"/>
          <w:sz w:val="22"/>
          <w:szCs w:val="22"/>
          <w:lang w:val="en-US"/>
        </w:rPr>
        <w:instrText xml:space="preserve"> REF _Ref284171394 \r \h </w:instrText>
      </w:r>
      <w:r w:rsidR="00CA0F83">
        <w:rPr>
          <w:rFonts w:cs="Arial"/>
          <w:sz w:val="22"/>
          <w:szCs w:val="22"/>
          <w:lang w:val="en-US"/>
        </w:rPr>
      </w:r>
      <w:r w:rsidR="00CA0F83">
        <w:rPr>
          <w:rFonts w:cs="Arial"/>
          <w:sz w:val="22"/>
          <w:szCs w:val="22"/>
          <w:lang w:val="en-US"/>
        </w:rPr>
        <w:fldChar w:fldCharType="separate"/>
      </w:r>
      <w:r w:rsidR="00151A1C">
        <w:rPr>
          <w:rFonts w:cs="Arial"/>
          <w:sz w:val="22"/>
          <w:szCs w:val="22"/>
          <w:lang w:val="en-US"/>
        </w:rPr>
        <w:t>42</w:t>
      </w:r>
      <w:r w:rsidR="00CA0F83">
        <w:rPr>
          <w:rFonts w:cs="Arial"/>
          <w:sz w:val="22"/>
          <w:szCs w:val="22"/>
          <w:lang w:val="en-US"/>
        </w:rPr>
        <w:fldChar w:fldCharType="end"/>
      </w:r>
      <w:r w:rsidR="0023343C">
        <w:rPr>
          <w:rFonts w:cs="Arial"/>
          <w:sz w:val="22"/>
          <w:szCs w:val="22"/>
          <w:lang w:val="en-US"/>
        </w:rPr>
        <w:t>).</w:t>
      </w:r>
    </w:p>
    <w:p w14:paraId="0B980168" w14:textId="77777777" w:rsidR="004B0F70" w:rsidRPr="006C6C87" w:rsidRDefault="004B0F70" w:rsidP="004B0F70">
      <w:pPr>
        <w:pStyle w:val="BodyText"/>
        <w:rPr>
          <w:rStyle w:val="BodyText-highlighted-H11"/>
          <w:rFonts w:ascii="Arial" w:eastAsiaTheme="minorEastAsia" w:hAnsi="Arial"/>
          <w:sz w:val="22"/>
          <w:szCs w:val="22"/>
          <w:shd w:val="clear" w:color="auto" w:fill="auto"/>
          <w:lang w:val="en-US"/>
        </w:rPr>
      </w:pPr>
    </w:p>
    <w:p w14:paraId="432B5D72" w14:textId="05A26049" w:rsidR="00263670" w:rsidRPr="00B80F4E" w:rsidRDefault="00263670" w:rsidP="00263670">
      <w:pPr>
        <w:rPr>
          <w:b/>
          <w:sz w:val="22"/>
          <w:szCs w:val="22"/>
          <w:lang w:val="en-US"/>
        </w:rPr>
      </w:pPr>
      <w:r w:rsidRPr="006C6C87">
        <w:rPr>
          <w:rFonts w:cs="Arial"/>
          <w:sz w:val="22"/>
          <w:szCs w:val="22"/>
        </w:rPr>
        <w:t>Data are available for the two st</w:t>
      </w:r>
      <w:r>
        <w:rPr>
          <w:rFonts w:cs="Arial"/>
          <w:sz w:val="22"/>
          <w:szCs w:val="22"/>
        </w:rPr>
        <w:t>u</w:t>
      </w:r>
      <w:r w:rsidRPr="006C6C87">
        <w:rPr>
          <w:rFonts w:cs="Arial"/>
          <w:sz w:val="22"/>
          <w:szCs w:val="22"/>
        </w:rPr>
        <w:t>dies individually, as well as pooled Phase 3 data</w:t>
      </w:r>
      <w:r w:rsidRPr="00134DA4">
        <w:rPr>
          <w:rFonts w:cs="Arial"/>
          <w:sz w:val="22"/>
          <w:szCs w:val="22"/>
        </w:rPr>
        <w:t>.</w:t>
      </w:r>
      <w:r w:rsidRPr="00134DA4">
        <w:rPr>
          <w:sz w:val="22"/>
          <w:szCs w:val="22"/>
          <w:lang w:val="en-US"/>
        </w:rPr>
        <w:t xml:space="preserve"> </w:t>
      </w:r>
      <w:r>
        <w:rPr>
          <w:sz w:val="22"/>
          <w:szCs w:val="22"/>
          <w:lang w:val="en-US"/>
        </w:rPr>
        <w:t>The pooled data are</w:t>
      </w:r>
      <w:r w:rsidRPr="00134DA4">
        <w:rPr>
          <w:sz w:val="22"/>
          <w:szCs w:val="22"/>
          <w:lang w:val="en-US"/>
        </w:rPr>
        <w:t xml:space="preserve"> presented here in section 4, and formed the basis of the SmPC comments </w:t>
      </w:r>
      <w:r w:rsidR="007B7949">
        <w:rPr>
          <w:sz w:val="22"/>
          <w:szCs w:val="22"/>
          <w:lang w:val="en-US"/>
        </w:rPr>
        <w:t xml:space="preserve">above. </w:t>
      </w:r>
      <w:r w:rsidRPr="006C6C87">
        <w:rPr>
          <w:sz w:val="22"/>
          <w:szCs w:val="22"/>
          <w:lang w:val="en-US"/>
        </w:rPr>
        <w:t>The safety data for the individual studies, ESTABLISH-1 and ESTABLISH-2</w:t>
      </w:r>
      <w:r>
        <w:rPr>
          <w:sz w:val="22"/>
          <w:szCs w:val="22"/>
          <w:lang w:val="en-US"/>
        </w:rPr>
        <w:t>,</w:t>
      </w:r>
      <w:r w:rsidRPr="006C6C87">
        <w:rPr>
          <w:sz w:val="22"/>
          <w:szCs w:val="22"/>
          <w:lang w:val="en-US"/>
        </w:rPr>
        <w:t xml:space="preserve"> ar</w:t>
      </w:r>
      <w:r>
        <w:rPr>
          <w:sz w:val="22"/>
          <w:szCs w:val="22"/>
          <w:lang w:val="en-US"/>
        </w:rPr>
        <w:t>e presented in Appendix C.</w:t>
      </w:r>
    </w:p>
    <w:p w14:paraId="13B5DEA7" w14:textId="77777777" w:rsidR="00263670" w:rsidRDefault="00263670" w:rsidP="00C4504A">
      <w:pPr>
        <w:pStyle w:val="BodyText"/>
        <w:rPr>
          <w:sz w:val="22"/>
          <w:szCs w:val="22"/>
          <w:lang w:val="en-US"/>
        </w:rPr>
      </w:pPr>
    </w:p>
    <w:p w14:paraId="6CABB7A8" w14:textId="24C88868" w:rsidR="00C4504A" w:rsidRPr="006C6C87" w:rsidRDefault="00C4504A" w:rsidP="00C4504A">
      <w:pPr>
        <w:pStyle w:val="BodyText"/>
        <w:rPr>
          <w:sz w:val="22"/>
          <w:szCs w:val="22"/>
          <w:lang w:val="en-US"/>
        </w:rPr>
      </w:pPr>
      <w:r w:rsidRPr="006C6C87">
        <w:rPr>
          <w:sz w:val="22"/>
          <w:szCs w:val="22"/>
          <w:lang w:val="en-US"/>
        </w:rPr>
        <w:t xml:space="preserve">Overall, </w:t>
      </w:r>
      <w:r w:rsidR="004B0F70" w:rsidRPr="006C6C87">
        <w:rPr>
          <w:sz w:val="22"/>
          <w:szCs w:val="22"/>
          <w:lang w:val="en-US"/>
        </w:rPr>
        <w:t xml:space="preserve">in both studies, </w:t>
      </w:r>
      <w:r w:rsidRPr="006C6C87">
        <w:rPr>
          <w:sz w:val="22"/>
          <w:szCs w:val="22"/>
          <w:lang w:val="en-US"/>
        </w:rPr>
        <w:t>oral tedizolid phosphate was well tolerated by patients, with the majority of TEAEs experienced being mild or moderate in severity. Further, there was a lower incidence of gastrointestinal AEs, including nausea and vomiting, in the tedizolid phosphate group</w:t>
      </w:r>
      <w:r w:rsidR="0099517B" w:rsidRPr="006C6C87">
        <w:rPr>
          <w:sz w:val="22"/>
          <w:szCs w:val="22"/>
          <w:lang w:val="en-US"/>
        </w:rPr>
        <w:t xml:space="preserve"> compared with linezolid group. </w:t>
      </w:r>
    </w:p>
    <w:p w14:paraId="0AECE189" w14:textId="77777777" w:rsidR="004B0F70" w:rsidRDefault="004B0F70" w:rsidP="00C4504A">
      <w:pPr>
        <w:pStyle w:val="BodyText"/>
        <w:rPr>
          <w:lang w:val="en-US"/>
        </w:rPr>
      </w:pPr>
    </w:p>
    <w:p w14:paraId="276C35F5" w14:textId="38F4698A" w:rsidR="00F72116" w:rsidRPr="00B13CB3" w:rsidRDefault="006D0777" w:rsidP="00B13CB3">
      <w:pPr>
        <w:rPr>
          <w:color w:val="FF0000"/>
          <w:sz w:val="20"/>
          <w:lang w:val="en-US"/>
        </w:rPr>
      </w:pPr>
      <w:bookmarkStart w:id="164" w:name="_Ref382557432"/>
      <w:bookmarkStart w:id="165" w:name="_Toc396058839"/>
      <w:r w:rsidRPr="00B13CB3">
        <w:rPr>
          <w:rFonts w:cs="Arial"/>
          <w:sz w:val="22"/>
          <w:szCs w:val="22"/>
          <w:lang w:val="en-US"/>
        </w:rPr>
        <w:t>Overall, t</w:t>
      </w:r>
      <w:r w:rsidR="00F72116" w:rsidRPr="00B13CB3">
        <w:rPr>
          <w:rFonts w:cs="Arial"/>
          <w:sz w:val="22"/>
          <w:szCs w:val="22"/>
          <w:lang w:val="en-US"/>
        </w:rPr>
        <w:t>edizolid phosphate exhibited a well-tolerated safety profile in the pooled analysis of safety data from the Phase 3 trials</w:t>
      </w:r>
      <w:bookmarkEnd w:id="164"/>
      <w:bookmarkEnd w:id="165"/>
      <w:r w:rsidRPr="00B13CB3">
        <w:rPr>
          <w:rFonts w:cs="Arial"/>
          <w:sz w:val="22"/>
          <w:szCs w:val="22"/>
          <w:lang w:val="en-US"/>
        </w:rPr>
        <w:t xml:space="preserve">. </w:t>
      </w:r>
      <w:r w:rsidR="00F72116" w:rsidRPr="00B13CB3">
        <w:rPr>
          <w:rFonts w:cs="Arial"/>
          <w:sz w:val="22"/>
          <w:szCs w:val="22"/>
          <w:lang w:val="en-US"/>
        </w:rPr>
        <w:t>The pooled analysis of safety data from the Phase 3 trials further supports the results demonstrated in the individual ESTA</w:t>
      </w:r>
      <w:r w:rsidR="006C6C87" w:rsidRPr="00B13CB3">
        <w:rPr>
          <w:rFonts w:cs="Arial"/>
          <w:sz w:val="22"/>
          <w:szCs w:val="22"/>
          <w:lang w:val="en-US"/>
        </w:rPr>
        <w:t>BLISH-1 and ESTABLISH-2 trials and shows</w:t>
      </w:r>
      <w:r w:rsidR="00F72116" w:rsidRPr="00B13CB3">
        <w:rPr>
          <w:rFonts w:cs="Arial"/>
          <w:sz w:val="22"/>
          <w:szCs w:val="22"/>
          <w:lang w:val="en-US"/>
        </w:rPr>
        <w:t xml:space="preserve"> that tedizolid phosphate is well tolerated with a lower incidence of gastrointestinal AEs and fewer patients experiencing reduced platelet counts compared with linezolid.</w:t>
      </w:r>
    </w:p>
    <w:p w14:paraId="360D4687" w14:textId="77777777" w:rsidR="00F72116" w:rsidRPr="00874DFC" w:rsidRDefault="00F72116" w:rsidP="00F72116">
      <w:pPr>
        <w:pStyle w:val="Heading5"/>
        <w:rPr>
          <w:rFonts w:ascii="Arial" w:hAnsi="Arial" w:cs="Arial"/>
          <w:b/>
          <w:color w:val="auto"/>
          <w:sz w:val="22"/>
          <w:szCs w:val="22"/>
          <w:lang w:val="en-US"/>
        </w:rPr>
      </w:pPr>
      <w:r w:rsidRPr="00874DFC">
        <w:rPr>
          <w:rFonts w:ascii="Arial" w:hAnsi="Arial" w:cs="Arial"/>
          <w:b/>
          <w:color w:val="auto"/>
          <w:sz w:val="22"/>
          <w:szCs w:val="22"/>
          <w:lang w:val="en-US"/>
        </w:rPr>
        <w:t>Overview of adverse events</w:t>
      </w:r>
      <w:r w:rsidRPr="00874DFC">
        <w:rPr>
          <w:rFonts w:ascii="Arial" w:hAnsi="Arial" w:cs="Arial"/>
          <w:b/>
          <w:color w:val="auto"/>
          <w:sz w:val="22"/>
          <w:szCs w:val="22"/>
          <w:lang w:val="en-US"/>
        </w:rPr>
        <w:tab/>
      </w:r>
    </w:p>
    <w:p w14:paraId="2AA4920C" w14:textId="595EFD0E" w:rsidR="00473591" w:rsidRPr="00144EB4" w:rsidRDefault="00F72116" w:rsidP="00F72116">
      <w:pPr>
        <w:pStyle w:val="CommentText"/>
        <w:rPr>
          <w:rFonts w:ascii="Arial" w:hAnsi="Arial" w:cs="Arial"/>
          <w:sz w:val="22"/>
          <w:szCs w:val="22"/>
          <w:lang w:val="en-US"/>
        </w:rPr>
      </w:pPr>
      <w:r w:rsidRPr="00874DFC">
        <w:rPr>
          <w:rFonts w:ascii="Arial" w:hAnsi="Arial" w:cs="Arial"/>
          <w:sz w:val="22"/>
          <w:szCs w:val="22"/>
          <w:lang w:val="en-US"/>
        </w:rPr>
        <w:t xml:space="preserve">In the pooled analysis, </w:t>
      </w:r>
      <w:r w:rsidR="00473591" w:rsidRPr="00874DFC">
        <w:rPr>
          <w:rFonts w:ascii="Arial" w:hAnsi="Arial" w:cs="Arial"/>
          <w:sz w:val="22"/>
          <w:szCs w:val="22"/>
          <w:lang w:val="en-US"/>
        </w:rPr>
        <w:t xml:space="preserve">43% of patients overall reported at least </w:t>
      </w:r>
      <w:r w:rsidR="00433AFC" w:rsidRPr="00874DFC">
        <w:rPr>
          <w:rFonts w:ascii="Arial" w:hAnsi="Arial" w:cs="Arial"/>
          <w:sz w:val="22"/>
          <w:szCs w:val="22"/>
          <w:lang w:val="en-US"/>
        </w:rPr>
        <w:t xml:space="preserve">one </w:t>
      </w:r>
      <w:r w:rsidR="00473591" w:rsidRPr="00874DFC">
        <w:rPr>
          <w:rFonts w:ascii="Arial" w:hAnsi="Arial" w:cs="Arial"/>
          <w:sz w:val="22"/>
          <w:szCs w:val="22"/>
          <w:lang w:val="en-US"/>
        </w:rPr>
        <w:t>TEAE, the majority of which were mild (only 2% were severe)</w:t>
      </w:r>
      <w:r w:rsidR="00AD478C" w:rsidRPr="00874DFC">
        <w:rPr>
          <w:rFonts w:ascii="Arial" w:hAnsi="Arial" w:cs="Arial"/>
          <w:sz w:val="22"/>
          <w:szCs w:val="22"/>
          <w:lang w:val="en-US"/>
        </w:rPr>
        <w:t xml:space="preserve"> </w:t>
      </w:r>
      <w:r w:rsidR="00AD478C" w:rsidRPr="00144EB4">
        <w:rPr>
          <w:rFonts w:ascii="Arial" w:hAnsi="Arial" w:cs="Arial"/>
          <w:sz w:val="22"/>
          <w:szCs w:val="22"/>
          <w:lang w:val="en-US"/>
        </w:rPr>
        <w:t>with few leading to discontinuation in either treatment arm (tedizolid phosphate 0.5%, linezolid 0.9%)(</w:t>
      </w:r>
      <w:r w:rsidR="00A05488" w:rsidRPr="00144EB4">
        <w:rPr>
          <w:rFonts w:ascii="Arial" w:hAnsi="Arial" w:cs="Arial"/>
          <w:sz w:val="22"/>
          <w:szCs w:val="22"/>
          <w:lang w:val="en-US"/>
        </w:rPr>
        <w:fldChar w:fldCharType="begin"/>
      </w:r>
      <w:r w:rsidR="00A05488" w:rsidRPr="00144EB4">
        <w:rPr>
          <w:rFonts w:ascii="Arial" w:hAnsi="Arial" w:cs="Arial"/>
          <w:sz w:val="22"/>
          <w:szCs w:val="22"/>
          <w:lang w:val="en-US"/>
        </w:rPr>
        <w:instrText xml:space="preserve"> REF _Ref284184350 \r \h </w:instrText>
      </w:r>
      <w:r w:rsidR="00A05488" w:rsidRPr="00144EB4">
        <w:rPr>
          <w:rFonts w:ascii="Arial" w:hAnsi="Arial" w:cs="Arial"/>
          <w:sz w:val="22"/>
          <w:szCs w:val="22"/>
          <w:lang w:val="en-US"/>
        </w:rPr>
      </w:r>
      <w:r w:rsidR="00A05488" w:rsidRPr="00144EB4">
        <w:rPr>
          <w:rFonts w:ascii="Arial" w:hAnsi="Arial" w:cs="Arial"/>
          <w:sz w:val="22"/>
          <w:szCs w:val="22"/>
          <w:lang w:val="en-US"/>
        </w:rPr>
        <w:fldChar w:fldCharType="separate"/>
      </w:r>
      <w:r w:rsidR="00151A1C">
        <w:rPr>
          <w:rFonts w:ascii="Arial" w:hAnsi="Arial" w:cs="Arial"/>
          <w:sz w:val="22"/>
          <w:szCs w:val="22"/>
          <w:lang w:val="en-US"/>
        </w:rPr>
        <w:t>52</w:t>
      </w:r>
      <w:r w:rsidR="00A05488" w:rsidRPr="00144EB4">
        <w:rPr>
          <w:rFonts w:ascii="Arial" w:hAnsi="Arial" w:cs="Arial"/>
          <w:sz w:val="22"/>
          <w:szCs w:val="22"/>
          <w:lang w:val="en-US"/>
        </w:rPr>
        <w:fldChar w:fldCharType="end"/>
      </w:r>
      <w:r w:rsidR="00AD478C" w:rsidRPr="00144EB4">
        <w:rPr>
          <w:rFonts w:ascii="Arial" w:hAnsi="Arial" w:cs="Arial"/>
          <w:sz w:val="22"/>
          <w:szCs w:val="22"/>
          <w:lang w:val="en-US"/>
        </w:rPr>
        <w:t>).</w:t>
      </w:r>
    </w:p>
    <w:p w14:paraId="02C6C054" w14:textId="77777777" w:rsidR="00473591" w:rsidRPr="00144EB4" w:rsidRDefault="00473591" w:rsidP="00F72116">
      <w:pPr>
        <w:pStyle w:val="CommentText"/>
        <w:rPr>
          <w:rFonts w:ascii="Arial" w:hAnsi="Arial" w:cs="Arial"/>
          <w:sz w:val="22"/>
          <w:szCs w:val="22"/>
          <w:lang w:val="en-US"/>
        </w:rPr>
      </w:pPr>
    </w:p>
    <w:p w14:paraId="36576A9B" w14:textId="579C3268" w:rsidR="00F72116" w:rsidRPr="00144EB4" w:rsidRDefault="00821933" w:rsidP="00CE443D">
      <w:pPr>
        <w:pStyle w:val="Caption"/>
        <w:jc w:val="left"/>
        <w:rPr>
          <w:rFonts w:ascii="Arial" w:hAnsi="Arial" w:cs="Arial"/>
          <w:b w:val="0"/>
          <w:sz w:val="22"/>
          <w:szCs w:val="22"/>
          <w:lang w:val="en-US"/>
        </w:rPr>
      </w:pPr>
      <w:r w:rsidRPr="00144EB4">
        <w:rPr>
          <w:rFonts w:ascii="Arial" w:hAnsi="Arial" w:cs="Arial"/>
          <w:b w:val="0"/>
          <w:sz w:val="22"/>
          <w:szCs w:val="22"/>
          <w:lang w:val="en-US"/>
        </w:rPr>
        <w:t>T</w:t>
      </w:r>
      <w:r w:rsidR="00F72116" w:rsidRPr="00144EB4">
        <w:rPr>
          <w:rFonts w:ascii="Arial" w:hAnsi="Arial" w:cs="Arial"/>
          <w:b w:val="0"/>
          <w:sz w:val="22"/>
          <w:szCs w:val="22"/>
          <w:lang w:val="en-US"/>
        </w:rPr>
        <w:t xml:space="preserve">he proportion of patients who experienced </w:t>
      </w:r>
      <w:r w:rsidR="00526108" w:rsidRPr="00144EB4">
        <w:rPr>
          <w:rFonts w:ascii="Arial" w:hAnsi="Arial" w:cs="Arial"/>
          <w:b w:val="0"/>
          <w:sz w:val="22"/>
          <w:szCs w:val="22"/>
          <w:lang w:val="en-US"/>
        </w:rPr>
        <w:t>a TEAE</w:t>
      </w:r>
      <w:r w:rsidR="00F72116" w:rsidRPr="00144EB4">
        <w:rPr>
          <w:rFonts w:ascii="Arial" w:hAnsi="Arial" w:cs="Arial"/>
          <w:b w:val="0"/>
          <w:sz w:val="22"/>
          <w:szCs w:val="22"/>
          <w:lang w:val="en-US"/>
        </w:rPr>
        <w:t xml:space="preserve"> was comparable between the tedizolid phosphate and linezolid treatment groups (42.7% vs. 43.2%) (</w:t>
      </w:r>
      <w:r w:rsidR="00221D05" w:rsidRPr="00144EB4">
        <w:rPr>
          <w:rFonts w:ascii="Arial" w:hAnsi="Arial" w:cs="Arial"/>
          <w:b w:val="0"/>
          <w:sz w:val="22"/>
          <w:szCs w:val="22"/>
          <w:lang w:val="en-US"/>
        </w:rPr>
        <w:fldChar w:fldCharType="begin"/>
      </w:r>
      <w:r w:rsidR="00221D05" w:rsidRPr="00144EB4">
        <w:rPr>
          <w:rFonts w:ascii="Arial" w:hAnsi="Arial" w:cs="Arial"/>
          <w:b w:val="0"/>
          <w:sz w:val="22"/>
          <w:szCs w:val="22"/>
          <w:lang w:val="en-US"/>
        </w:rPr>
        <w:instrText xml:space="preserve"> REF _Ref281834901 \h </w:instrText>
      </w:r>
      <w:r w:rsidR="00221D05" w:rsidRPr="00144EB4">
        <w:rPr>
          <w:rFonts w:ascii="Arial" w:hAnsi="Arial" w:cs="Arial"/>
          <w:b w:val="0"/>
          <w:sz w:val="22"/>
          <w:szCs w:val="22"/>
          <w:lang w:val="en-US"/>
        </w:rPr>
      </w:r>
      <w:r w:rsidR="00221D05" w:rsidRPr="00144EB4">
        <w:rPr>
          <w:rFonts w:ascii="Arial" w:hAnsi="Arial" w:cs="Arial"/>
          <w:b w:val="0"/>
          <w:sz w:val="22"/>
          <w:szCs w:val="22"/>
          <w:lang w:val="en-US"/>
        </w:rPr>
        <w:fldChar w:fldCharType="separate"/>
      </w:r>
      <w:r w:rsidR="00151A1C" w:rsidRPr="00CE443D">
        <w:rPr>
          <w:rFonts w:ascii="Arial" w:hAnsi="Arial" w:cs="Arial"/>
          <w:sz w:val="22"/>
          <w:szCs w:val="22"/>
        </w:rPr>
        <w:t xml:space="preserve">Table </w:t>
      </w:r>
      <w:r w:rsidR="00151A1C">
        <w:rPr>
          <w:rFonts w:ascii="Arial" w:hAnsi="Arial" w:cs="Arial"/>
          <w:noProof/>
          <w:sz w:val="22"/>
          <w:szCs w:val="22"/>
        </w:rPr>
        <w:t>37</w:t>
      </w:r>
      <w:r w:rsidR="00221D05" w:rsidRPr="00144EB4">
        <w:rPr>
          <w:rFonts w:ascii="Arial" w:hAnsi="Arial" w:cs="Arial"/>
          <w:b w:val="0"/>
          <w:sz w:val="22"/>
          <w:szCs w:val="22"/>
          <w:lang w:val="en-US"/>
        </w:rPr>
        <w:fldChar w:fldCharType="end"/>
      </w:r>
      <w:r w:rsidR="00F72116" w:rsidRPr="00144EB4">
        <w:rPr>
          <w:rFonts w:ascii="Arial" w:hAnsi="Arial" w:cs="Arial"/>
          <w:b w:val="0"/>
          <w:sz w:val="22"/>
          <w:szCs w:val="22"/>
          <w:lang w:val="en-US"/>
        </w:rPr>
        <w:t>)</w:t>
      </w:r>
      <w:r w:rsidR="00CD112A" w:rsidRPr="00144EB4">
        <w:rPr>
          <w:rFonts w:ascii="Arial" w:hAnsi="Arial" w:cs="Arial"/>
          <w:b w:val="0"/>
          <w:sz w:val="22"/>
          <w:szCs w:val="22"/>
          <w:lang w:val="en-US"/>
        </w:rPr>
        <w:t>(</w:t>
      </w:r>
      <w:r w:rsidR="00A05488" w:rsidRPr="00144EB4">
        <w:rPr>
          <w:rFonts w:ascii="Arial" w:hAnsi="Arial" w:cs="Arial"/>
          <w:b w:val="0"/>
          <w:sz w:val="22"/>
          <w:szCs w:val="22"/>
          <w:lang w:val="en-US"/>
        </w:rPr>
        <w:fldChar w:fldCharType="begin"/>
      </w:r>
      <w:r w:rsidR="00A05488" w:rsidRPr="00144EB4">
        <w:rPr>
          <w:rFonts w:ascii="Arial" w:hAnsi="Arial" w:cs="Arial"/>
          <w:b w:val="0"/>
          <w:sz w:val="22"/>
          <w:szCs w:val="22"/>
          <w:lang w:val="en-US"/>
        </w:rPr>
        <w:instrText xml:space="preserve"> REF _Ref284184350 \r \h </w:instrText>
      </w:r>
      <w:r w:rsidR="00A05488" w:rsidRPr="00144EB4">
        <w:rPr>
          <w:rFonts w:ascii="Arial" w:hAnsi="Arial" w:cs="Arial"/>
          <w:b w:val="0"/>
          <w:sz w:val="22"/>
          <w:szCs w:val="22"/>
          <w:lang w:val="en-US"/>
        </w:rPr>
      </w:r>
      <w:r w:rsidR="00A05488" w:rsidRPr="00144EB4">
        <w:rPr>
          <w:rFonts w:ascii="Arial" w:hAnsi="Arial" w:cs="Arial"/>
          <w:b w:val="0"/>
          <w:sz w:val="22"/>
          <w:szCs w:val="22"/>
          <w:lang w:val="en-US"/>
        </w:rPr>
        <w:fldChar w:fldCharType="separate"/>
      </w:r>
      <w:r w:rsidR="00151A1C">
        <w:rPr>
          <w:rFonts w:ascii="Arial" w:hAnsi="Arial" w:cs="Arial"/>
          <w:b w:val="0"/>
          <w:sz w:val="22"/>
          <w:szCs w:val="22"/>
          <w:lang w:val="en-US"/>
        </w:rPr>
        <w:t>52</w:t>
      </w:r>
      <w:r w:rsidR="00A05488" w:rsidRPr="00144EB4">
        <w:rPr>
          <w:rFonts w:ascii="Arial" w:hAnsi="Arial" w:cs="Arial"/>
          <w:b w:val="0"/>
          <w:sz w:val="22"/>
          <w:szCs w:val="22"/>
          <w:lang w:val="en-US"/>
        </w:rPr>
        <w:fldChar w:fldCharType="end"/>
      </w:r>
      <w:r w:rsidR="00CD112A" w:rsidRPr="00144EB4">
        <w:rPr>
          <w:rFonts w:ascii="Arial" w:hAnsi="Arial" w:cs="Arial"/>
          <w:b w:val="0"/>
          <w:sz w:val="22"/>
          <w:szCs w:val="22"/>
          <w:lang w:val="en-US"/>
        </w:rPr>
        <w:t>)</w:t>
      </w:r>
      <w:r w:rsidR="00F72116" w:rsidRPr="00144EB4">
        <w:rPr>
          <w:rFonts w:ascii="Arial" w:hAnsi="Arial" w:cs="Arial"/>
          <w:b w:val="0"/>
          <w:sz w:val="22"/>
          <w:szCs w:val="22"/>
          <w:lang w:val="en-US"/>
        </w:rPr>
        <w:t xml:space="preserve">. Further, the proportion of patients who experienced a TEAE considered </w:t>
      </w:r>
      <w:r w:rsidR="00526108" w:rsidRPr="00144EB4">
        <w:rPr>
          <w:rFonts w:ascii="Arial" w:hAnsi="Arial" w:cs="Arial"/>
          <w:b w:val="0"/>
          <w:sz w:val="22"/>
          <w:szCs w:val="22"/>
          <w:lang w:val="en-US"/>
        </w:rPr>
        <w:t xml:space="preserve">to be </w:t>
      </w:r>
      <w:r w:rsidR="00F72116" w:rsidRPr="00144EB4">
        <w:rPr>
          <w:rFonts w:ascii="Arial" w:hAnsi="Arial" w:cs="Arial"/>
          <w:b w:val="0"/>
          <w:sz w:val="22"/>
          <w:szCs w:val="22"/>
          <w:lang w:val="en-US"/>
        </w:rPr>
        <w:t xml:space="preserve">related to the study </w:t>
      </w:r>
      <w:r w:rsidR="001B0687" w:rsidRPr="00144EB4">
        <w:rPr>
          <w:rFonts w:ascii="Arial" w:hAnsi="Arial" w:cs="Arial"/>
          <w:b w:val="0"/>
          <w:sz w:val="22"/>
          <w:szCs w:val="22"/>
          <w:lang w:val="en-US"/>
        </w:rPr>
        <w:t>medicine</w:t>
      </w:r>
      <w:r w:rsidR="00F72116" w:rsidRPr="00144EB4">
        <w:rPr>
          <w:rFonts w:ascii="Arial" w:hAnsi="Arial" w:cs="Arial"/>
          <w:b w:val="0"/>
          <w:sz w:val="22"/>
          <w:szCs w:val="22"/>
          <w:lang w:val="en-US"/>
        </w:rPr>
        <w:t xml:space="preserve"> was 22.4% for patients treated with tedizolid phosphate and 27.9% for patients treated with linezolid</w:t>
      </w:r>
      <w:r w:rsidR="00DB0ABB" w:rsidRPr="00144EB4">
        <w:rPr>
          <w:rFonts w:ascii="Arial" w:hAnsi="Arial" w:cs="Arial"/>
          <w:b w:val="0"/>
          <w:sz w:val="22"/>
          <w:szCs w:val="22"/>
          <w:lang w:val="en-US"/>
        </w:rPr>
        <w:t xml:space="preserve"> (</w:t>
      </w:r>
      <w:r w:rsidR="00221D05" w:rsidRPr="00144EB4">
        <w:rPr>
          <w:rFonts w:ascii="Arial" w:hAnsi="Arial" w:cs="Arial"/>
          <w:b w:val="0"/>
          <w:sz w:val="22"/>
          <w:szCs w:val="22"/>
          <w:lang w:val="en-US"/>
        </w:rPr>
        <w:fldChar w:fldCharType="begin"/>
      </w:r>
      <w:r w:rsidR="00221D05" w:rsidRPr="00144EB4">
        <w:rPr>
          <w:rFonts w:ascii="Arial" w:hAnsi="Arial" w:cs="Arial"/>
          <w:b w:val="0"/>
          <w:sz w:val="22"/>
          <w:szCs w:val="22"/>
          <w:lang w:val="en-US"/>
        </w:rPr>
        <w:instrText xml:space="preserve"> REF _Ref281834901 \h </w:instrText>
      </w:r>
      <w:r w:rsidR="00221D05" w:rsidRPr="00144EB4">
        <w:rPr>
          <w:rFonts w:ascii="Arial" w:hAnsi="Arial" w:cs="Arial"/>
          <w:b w:val="0"/>
          <w:sz w:val="22"/>
          <w:szCs w:val="22"/>
          <w:lang w:val="en-US"/>
        </w:rPr>
      </w:r>
      <w:r w:rsidR="00221D05" w:rsidRPr="00144EB4">
        <w:rPr>
          <w:rFonts w:ascii="Arial" w:hAnsi="Arial" w:cs="Arial"/>
          <w:b w:val="0"/>
          <w:sz w:val="22"/>
          <w:szCs w:val="22"/>
          <w:lang w:val="en-US"/>
        </w:rPr>
        <w:fldChar w:fldCharType="separate"/>
      </w:r>
      <w:r w:rsidR="00151A1C" w:rsidRPr="00CE443D">
        <w:rPr>
          <w:rFonts w:ascii="Arial" w:hAnsi="Arial" w:cs="Arial"/>
          <w:sz w:val="22"/>
          <w:szCs w:val="22"/>
        </w:rPr>
        <w:t xml:space="preserve">Table </w:t>
      </w:r>
      <w:r w:rsidR="00151A1C">
        <w:rPr>
          <w:rFonts w:ascii="Arial" w:hAnsi="Arial" w:cs="Arial"/>
          <w:noProof/>
          <w:sz w:val="22"/>
          <w:szCs w:val="22"/>
        </w:rPr>
        <w:t>37</w:t>
      </w:r>
      <w:r w:rsidR="00221D05" w:rsidRPr="00144EB4">
        <w:rPr>
          <w:rFonts w:ascii="Arial" w:hAnsi="Arial" w:cs="Arial"/>
          <w:b w:val="0"/>
          <w:sz w:val="22"/>
          <w:szCs w:val="22"/>
          <w:lang w:val="en-US"/>
        </w:rPr>
        <w:fldChar w:fldCharType="end"/>
      </w:r>
      <w:r w:rsidR="00DB0ABB" w:rsidRPr="00144EB4">
        <w:rPr>
          <w:rFonts w:ascii="Arial" w:hAnsi="Arial" w:cs="Arial"/>
          <w:b w:val="0"/>
          <w:sz w:val="22"/>
          <w:szCs w:val="22"/>
          <w:lang w:val="en-US"/>
        </w:rPr>
        <w:t xml:space="preserve"> and </w:t>
      </w:r>
      <w:r w:rsidR="00DB0ABB" w:rsidRPr="00144EB4">
        <w:rPr>
          <w:rFonts w:ascii="Arial" w:hAnsi="Arial" w:cs="Arial"/>
          <w:b w:val="0"/>
          <w:sz w:val="22"/>
          <w:szCs w:val="22"/>
          <w:lang w:val="en-US"/>
        </w:rPr>
        <w:fldChar w:fldCharType="begin"/>
      </w:r>
      <w:r w:rsidR="00DB0ABB" w:rsidRPr="00144EB4">
        <w:rPr>
          <w:rFonts w:ascii="Arial" w:hAnsi="Arial" w:cs="Arial"/>
          <w:b w:val="0"/>
          <w:sz w:val="22"/>
          <w:szCs w:val="22"/>
          <w:lang w:val="en-US"/>
        </w:rPr>
        <w:instrText xml:space="preserve"> REF _Ref284425766 \h </w:instrText>
      </w:r>
      <w:r w:rsidR="00DB0ABB" w:rsidRPr="00144EB4">
        <w:rPr>
          <w:rFonts w:ascii="Arial" w:hAnsi="Arial" w:cs="Arial"/>
          <w:b w:val="0"/>
          <w:sz w:val="22"/>
          <w:szCs w:val="22"/>
          <w:lang w:val="en-US"/>
        </w:rPr>
      </w:r>
      <w:r w:rsidR="00DB0ABB" w:rsidRPr="00144EB4">
        <w:rPr>
          <w:rFonts w:ascii="Arial" w:hAnsi="Arial" w:cs="Arial"/>
          <w:b w:val="0"/>
          <w:sz w:val="22"/>
          <w:szCs w:val="22"/>
          <w:lang w:val="en-US"/>
        </w:rPr>
        <w:fldChar w:fldCharType="separate"/>
      </w:r>
      <w:r w:rsidR="00151A1C" w:rsidRPr="00792BD4">
        <w:rPr>
          <w:rFonts w:ascii="Arial" w:hAnsi="Arial" w:cs="Arial"/>
          <w:sz w:val="22"/>
          <w:szCs w:val="22"/>
        </w:rPr>
        <w:t xml:space="preserve">Figure </w:t>
      </w:r>
      <w:r w:rsidR="00151A1C">
        <w:rPr>
          <w:rFonts w:ascii="Arial" w:hAnsi="Arial" w:cs="Arial"/>
          <w:noProof/>
          <w:sz w:val="22"/>
          <w:szCs w:val="22"/>
        </w:rPr>
        <w:t>12</w:t>
      </w:r>
      <w:r w:rsidR="00DB0ABB" w:rsidRPr="00144EB4">
        <w:rPr>
          <w:rFonts w:ascii="Arial" w:hAnsi="Arial" w:cs="Arial"/>
          <w:b w:val="0"/>
          <w:sz w:val="22"/>
          <w:szCs w:val="22"/>
          <w:lang w:val="en-US"/>
        </w:rPr>
        <w:fldChar w:fldCharType="end"/>
      </w:r>
      <w:r w:rsidR="00F72116" w:rsidRPr="00144EB4">
        <w:rPr>
          <w:rFonts w:ascii="Arial" w:hAnsi="Arial" w:cs="Arial"/>
          <w:b w:val="0"/>
          <w:sz w:val="22"/>
          <w:szCs w:val="22"/>
          <w:lang w:val="en-US"/>
        </w:rPr>
        <w:t xml:space="preserve"> It should also be noted that across both trials, no SAEs were classified as related to tedizolid phosphate (</w:t>
      </w:r>
      <w:r w:rsidR="00221D05" w:rsidRPr="00144EB4">
        <w:rPr>
          <w:rFonts w:ascii="Arial" w:hAnsi="Arial" w:cs="Arial"/>
          <w:b w:val="0"/>
          <w:sz w:val="22"/>
          <w:szCs w:val="22"/>
          <w:lang w:val="en-US"/>
        </w:rPr>
        <w:fldChar w:fldCharType="begin"/>
      </w:r>
      <w:r w:rsidR="00221D05" w:rsidRPr="00144EB4">
        <w:rPr>
          <w:rFonts w:ascii="Arial" w:hAnsi="Arial" w:cs="Arial"/>
          <w:b w:val="0"/>
          <w:sz w:val="22"/>
          <w:szCs w:val="22"/>
          <w:lang w:val="en-US"/>
        </w:rPr>
        <w:instrText xml:space="preserve"> REF _Ref281834901 \h </w:instrText>
      </w:r>
      <w:r w:rsidR="00221D05" w:rsidRPr="00144EB4">
        <w:rPr>
          <w:rFonts w:ascii="Arial" w:hAnsi="Arial" w:cs="Arial"/>
          <w:b w:val="0"/>
          <w:sz w:val="22"/>
          <w:szCs w:val="22"/>
          <w:lang w:val="en-US"/>
        </w:rPr>
      </w:r>
      <w:r w:rsidR="00221D05" w:rsidRPr="00144EB4">
        <w:rPr>
          <w:rFonts w:ascii="Arial" w:hAnsi="Arial" w:cs="Arial"/>
          <w:b w:val="0"/>
          <w:sz w:val="22"/>
          <w:szCs w:val="22"/>
          <w:lang w:val="en-US"/>
        </w:rPr>
        <w:fldChar w:fldCharType="separate"/>
      </w:r>
      <w:r w:rsidR="00151A1C" w:rsidRPr="00CE443D">
        <w:rPr>
          <w:rFonts w:ascii="Arial" w:hAnsi="Arial" w:cs="Arial"/>
          <w:sz w:val="22"/>
          <w:szCs w:val="22"/>
        </w:rPr>
        <w:t xml:space="preserve">Table </w:t>
      </w:r>
      <w:r w:rsidR="00151A1C">
        <w:rPr>
          <w:rFonts w:ascii="Arial" w:hAnsi="Arial" w:cs="Arial"/>
          <w:noProof/>
          <w:sz w:val="22"/>
          <w:szCs w:val="22"/>
        </w:rPr>
        <w:t>37</w:t>
      </w:r>
      <w:r w:rsidR="00221D05" w:rsidRPr="00144EB4">
        <w:rPr>
          <w:rFonts w:ascii="Arial" w:hAnsi="Arial" w:cs="Arial"/>
          <w:b w:val="0"/>
          <w:sz w:val="22"/>
          <w:szCs w:val="22"/>
          <w:lang w:val="en-US"/>
        </w:rPr>
        <w:fldChar w:fldCharType="end"/>
      </w:r>
      <w:r w:rsidR="006645E7" w:rsidRPr="00144EB4">
        <w:rPr>
          <w:rFonts w:ascii="Arial" w:hAnsi="Arial" w:cs="Arial"/>
          <w:b w:val="0"/>
          <w:sz w:val="22"/>
          <w:szCs w:val="22"/>
          <w:lang w:val="en-US"/>
        </w:rPr>
        <w:t>)</w:t>
      </w:r>
      <w:r w:rsidR="00DB0ABB" w:rsidRPr="00144EB4">
        <w:rPr>
          <w:rFonts w:ascii="Arial" w:hAnsi="Arial" w:cs="Arial"/>
          <w:b w:val="0"/>
          <w:sz w:val="22"/>
          <w:szCs w:val="22"/>
          <w:lang w:val="en-US"/>
        </w:rPr>
        <w:t>.</w:t>
      </w:r>
    </w:p>
    <w:p w14:paraId="38C1E9DA" w14:textId="77777777" w:rsidR="00433AFC" w:rsidRPr="00180DA3" w:rsidRDefault="00433AFC" w:rsidP="00CE443D">
      <w:pPr>
        <w:pStyle w:val="Caption"/>
        <w:jc w:val="left"/>
        <w:rPr>
          <w:rFonts w:ascii="Arial" w:hAnsi="Arial" w:cs="Arial"/>
          <w:sz w:val="22"/>
          <w:szCs w:val="22"/>
          <w:lang w:val="en-US"/>
        </w:rPr>
      </w:pPr>
      <w:bookmarkStart w:id="166" w:name="_Ref281834901"/>
      <w:bookmarkStart w:id="167" w:name="_Toc396058481"/>
      <w:bookmarkStart w:id="168" w:name="_Ref281834835"/>
      <w:bookmarkStart w:id="169" w:name="_Toc396058387"/>
      <w:r w:rsidRPr="00CE443D">
        <w:rPr>
          <w:rFonts w:ascii="Arial" w:hAnsi="Arial" w:cs="Arial"/>
          <w:sz w:val="22"/>
          <w:szCs w:val="22"/>
        </w:rPr>
        <w:t xml:space="preserve">Table </w:t>
      </w:r>
      <w:r w:rsidRPr="00CE443D">
        <w:rPr>
          <w:rFonts w:ascii="Arial" w:hAnsi="Arial" w:cs="Arial"/>
          <w:sz w:val="22"/>
          <w:szCs w:val="22"/>
        </w:rPr>
        <w:fldChar w:fldCharType="begin"/>
      </w:r>
      <w:r w:rsidRPr="00CE443D">
        <w:rPr>
          <w:rFonts w:ascii="Arial" w:hAnsi="Arial" w:cs="Arial"/>
          <w:sz w:val="22"/>
          <w:szCs w:val="22"/>
        </w:rPr>
        <w:instrText xml:space="preserve"> SEQ Table \* ARABIC </w:instrText>
      </w:r>
      <w:r w:rsidRPr="00CE443D">
        <w:rPr>
          <w:rFonts w:ascii="Arial" w:hAnsi="Arial" w:cs="Arial"/>
          <w:sz w:val="22"/>
          <w:szCs w:val="22"/>
        </w:rPr>
        <w:fldChar w:fldCharType="separate"/>
      </w:r>
      <w:r w:rsidR="00151A1C">
        <w:rPr>
          <w:rFonts w:ascii="Arial" w:hAnsi="Arial" w:cs="Arial"/>
          <w:noProof/>
          <w:sz w:val="22"/>
          <w:szCs w:val="22"/>
        </w:rPr>
        <w:t>37</w:t>
      </w:r>
      <w:r w:rsidRPr="00CE443D">
        <w:rPr>
          <w:rFonts w:ascii="Arial" w:hAnsi="Arial" w:cs="Arial"/>
          <w:sz w:val="22"/>
          <w:szCs w:val="22"/>
        </w:rPr>
        <w:fldChar w:fldCharType="end"/>
      </w:r>
      <w:bookmarkEnd w:id="166"/>
      <w:r w:rsidRPr="00CE443D">
        <w:rPr>
          <w:rFonts w:ascii="Arial" w:hAnsi="Arial" w:cs="Arial"/>
          <w:sz w:val="22"/>
          <w:szCs w:val="22"/>
          <w:lang w:val="en-US"/>
        </w:rPr>
        <w:t>: Overview of AEs in the pooled</w:t>
      </w:r>
      <w:r w:rsidRPr="00180DA3">
        <w:rPr>
          <w:rFonts w:ascii="Arial" w:hAnsi="Arial" w:cs="Arial"/>
          <w:sz w:val="22"/>
          <w:szCs w:val="22"/>
          <w:lang w:val="en-US"/>
        </w:rPr>
        <w:t xml:space="preserve"> analysis of safety data </w:t>
      </w:r>
      <w:bookmarkEnd w:id="167"/>
    </w:p>
    <w:tbl>
      <w:tblPr>
        <w:tblStyle w:val="Table-HERONplain"/>
        <w:tblW w:w="0" w:type="auto"/>
        <w:tblLook w:val="04A0" w:firstRow="1" w:lastRow="0" w:firstColumn="1" w:lastColumn="0" w:noHBand="0" w:noVBand="1"/>
      </w:tblPr>
      <w:tblGrid>
        <w:gridCol w:w="6052"/>
        <w:gridCol w:w="1429"/>
        <w:gridCol w:w="1422"/>
      </w:tblGrid>
      <w:tr w:rsidR="00433AFC" w:rsidRPr="002B2845" w14:paraId="1D61F27B" w14:textId="77777777" w:rsidTr="0052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02352F49"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Category</w:t>
            </w:r>
          </w:p>
        </w:tc>
        <w:tc>
          <w:tcPr>
            <w:tcW w:w="1438" w:type="dxa"/>
            <w:shd w:val="clear" w:color="auto" w:fill="auto"/>
            <w:hideMark/>
          </w:tcPr>
          <w:p w14:paraId="4D63A3E3"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Tedizolid phosphate</w:t>
            </w:r>
          </w:p>
          <w:p w14:paraId="0293274B"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(N=662)</w:t>
            </w:r>
          </w:p>
          <w:p w14:paraId="62571AF9"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 (%)</w:t>
            </w:r>
          </w:p>
        </w:tc>
        <w:tc>
          <w:tcPr>
            <w:tcW w:w="1438" w:type="dxa"/>
            <w:shd w:val="clear" w:color="auto" w:fill="auto"/>
            <w:hideMark/>
          </w:tcPr>
          <w:p w14:paraId="42B29B2D"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Linezolid</w:t>
            </w:r>
          </w:p>
          <w:p w14:paraId="58F7DA39"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(N=662)</w:t>
            </w:r>
          </w:p>
          <w:p w14:paraId="377BA47C" w14:textId="77777777" w:rsidR="00433AFC" w:rsidRPr="002B2845" w:rsidRDefault="00433AFC" w:rsidP="001D4879">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 (%)</w:t>
            </w:r>
          </w:p>
        </w:tc>
      </w:tr>
      <w:tr w:rsidR="00433AFC" w:rsidRPr="002B2845" w14:paraId="040AD20E" w14:textId="77777777" w:rsidTr="00521E5D">
        <w:tc>
          <w:tcPr>
            <w:cnfStyle w:val="001000000000" w:firstRow="0" w:lastRow="0" w:firstColumn="1" w:lastColumn="0" w:oddVBand="0" w:evenVBand="0" w:oddHBand="0" w:evenHBand="0" w:firstRowFirstColumn="0" w:firstRowLastColumn="0" w:lastRowFirstColumn="0" w:lastRowLastColumn="0"/>
            <w:tcW w:w="9129" w:type="dxa"/>
            <w:gridSpan w:val="3"/>
            <w:shd w:val="clear" w:color="auto" w:fill="auto"/>
            <w:hideMark/>
          </w:tcPr>
          <w:p w14:paraId="51A00C75"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All AEs</w:t>
            </w:r>
          </w:p>
        </w:tc>
      </w:tr>
      <w:tr w:rsidR="00433AFC" w:rsidRPr="002B2845" w14:paraId="45EC5EAA"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2E2905A1"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AEs</w:t>
            </w:r>
          </w:p>
        </w:tc>
        <w:tc>
          <w:tcPr>
            <w:tcW w:w="1438" w:type="dxa"/>
            <w:vAlign w:val="top"/>
            <w:hideMark/>
          </w:tcPr>
          <w:p w14:paraId="76C9C135"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287 (43.4) </w:t>
            </w:r>
          </w:p>
        </w:tc>
        <w:tc>
          <w:tcPr>
            <w:tcW w:w="1438" w:type="dxa"/>
            <w:vAlign w:val="top"/>
            <w:hideMark/>
          </w:tcPr>
          <w:p w14:paraId="350618A6"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286 (43.2) </w:t>
            </w:r>
          </w:p>
        </w:tc>
      </w:tr>
      <w:tr w:rsidR="00433AFC" w:rsidRPr="002B2845" w14:paraId="6C0FA5F7"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17F868BE"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TEAEs</w:t>
            </w:r>
          </w:p>
        </w:tc>
        <w:tc>
          <w:tcPr>
            <w:tcW w:w="1438" w:type="dxa"/>
            <w:vAlign w:val="top"/>
            <w:hideMark/>
          </w:tcPr>
          <w:p w14:paraId="2FD6F15A"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283 (42.7) </w:t>
            </w:r>
          </w:p>
        </w:tc>
        <w:tc>
          <w:tcPr>
            <w:tcW w:w="1438" w:type="dxa"/>
            <w:vAlign w:val="top"/>
            <w:hideMark/>
          </w:tcPr>
          <w:p w14:paraId="63F5E99A"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286 (43.2) </w:t>
            </w:r>
          </w:p>
        </w:tc>
      </w:tr>
      <w:tr w:rsidR="00433AFC" w:rsidRPr="002B2845" w14:paraId="301E360A"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2F5ED996"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Severe TEAE</w:t>
            </w:r>
          </w:p>
        </w:tc>
        <w:tc>
          <w:tcPr>
            <w:tcW w:w="1438" w:type="dxa"/>
            <w:vAlign w:val="top"/>
            <w:hideMark/>
          </w:tcPr>
          <w:p w14:paraId="64CE15D9"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c>
          <w:tcPr>
            <w:tcW w:w="1438" w:type="dxa"/>
            <w:vAlign w:val="top"/>
            <w:hideMark/>
          </w:tcPr>
          <w:p w14:paraId="5129152D"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r>
      <w:tr w:rsidR="00433AFC" w:rsidRPr="002B2845" w14:paraId="399FF98A"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120BFD8B"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Serious AE</w:t>
            </w:r>
          </w:p>
        </w:tc>
        <w:tc>
          <w:tcPr>
            <w:tcW w:w="1438" w:type="dxa"/>
            <w:vAlign w:val="top"/>
            <w:hideMark/>
          </w:tcPr>
          <w:p w14:paraId="710A8427"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12 (1.8) </w:t>
            </w:r>
          </w:p>
        </w:tc>
        <w:tc>
          <w:tcPr>
            <w:tcW w:w="1438" w:type="dxa"/>
            <w:vAlign w:val="top"/>
            <w:hideMark/>
          </w:tcPr>
          <w:p w14:paraId="3B7CB106"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r>
      <w:tr w:rsidR="00433AFC" w:rsidRPr="002B2845" w14:paraId="710136D7"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4934EC1D"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Serious TEAE</w:t>
            </w:r>
          </w:p>
        </w:tc>
        <w:tc>
          <w:tcPr>
            <w:tcW w:w="1438" w:type="dxa"/>
            <w:vAlign w:val="top"/>
            <w:hideMark/>
          </w:tcPr>
          <w:p w14:paraId="0E52EB3B"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12 (1.8) </w:t>
            </w:r>
          </w:p>
        </w:tc>
        <w:tc>
          <w:tcPr>
            <w:tcW w:w="1438" w:type="dxa"/>
            <w:vAlign w:val="top"/>
            <w:hideMark/>
          </w:tcPr>
          <w:p w14:paraId="1E16EFFB"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r>
      <w:tr w:rsidR="00433AFC" w:rsidRPr="002B2845" w14:paraId="769F9CE9"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56A1BAF5" w14:textId="5FDBB3B1" w:rsidR="00433AFC" w:rsidRPr="002B2845" w:rsidRDefault="00433AFC" w:rsidP="001B0687">
            <w:pPr>
              <w:pStyle w:val="TableBodyText-H54"/>
              <w:rPr>
                <w:rFonts w:ascii="Arial" w:hAnsi="Arial" w:cs="Arial"/>
                <w:sz w:val="20"/>
                <w:lang w:val="en-US" w:eastAsia="en-GB"/>
              </w:rPr>
            </w:pPr>
            <w:r w:rsidRPr="002B2845">
              <w:rPr>
                <w:rFonts w:ascii="Arial" w:hAnsi="Arial" w:cs="Arial"/>
                <w:sz w:val="20"/>
                <w:lang w:val="en-US" w:eastAsia="en-GB"/>
              </w:rPr>
              <w:lastRenderedPageBreak/>
              <w:t xml:space="preserve">TEAE leading to study </w:t>
            </w:r>
            <w:r w:rsidR="001B0687">
              <w:rPr>
                <w:rFonts w:ascii="Arial" w:hAnsi="Arial" w:cs="Arial"/>
                <w:sz w:val="20"/>
                <w:lang w:val="en-US" w:eastAsia="en-GB"/>
              </w:rPr>
              <w:t xml:space="preserve">medicine </w:t>
            </w:r>
            <w:r w:rsidRPr="002B2845">
              <w:rPr>
                <w:rFonts w:ascii="Arial" w:hAnsi="Arial" w:cs="Arial"/>
                <w:sz w:val="20"/>
                <w:lang w:val="en-US" w:eastAsia="en-GB"/>
              </w:rPr>
              <w:t>discontinuation</w:t>
            </w:r>
          </w:p>
        </w:tc>
        <w:tc>
          <w:tcPr>
            <w:tcW w:w="1438" w:type="dxa"/>
            <w:vAlign w:val="top"/>
            <w:hideMark/>
          </w:tcPr>
          <w:p w14:paraId="158E35BA"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3 (0.5) </w:t>
            </w:r>
          </w:p>
        </w:tc>
        <w:tc>
          <w:tcPr>
            <w:tcW w:w="1438" w:type="dxa"/>
            <w:vAlign w:val="top"/>
            <w:hideMark/>
          </w:tcPr>
          <w:p w14:paraId="0BAFE98E"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6 (0.9) </w:t>
            </w:r>
          </w:p>
        </w:tc>
      </w:tr>
      <w:tr w:rsidR="00433AFC" w:rsidRPr="002B2845" w14:paraId="25A9166A"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64539CEA"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TEAE with outcome of death</w:t>
            </w:r>
          </w:p>
        </w:tc>
        <w:tc>
          <w:tcPr>
            <w:tcW w:w="1438" w:type="dxa"/>
            <w:vAlign w:val="top"/>
            <w:hideMark/>
          </w:tcPr>
          <w:p w14:paraId="76B7AA07"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 (0.3) </w:t>
            </w:r>
          </w:p>
        </w:tc>
        <w:tc>
          <w:tcPr>
            <w:tcW w:w="1438" w:type="dxa"/>
            <w:vAlign w:val="top"/>
            <w:hideMark/>
          </w:tcPr>
          <w:p w14:paraId="7F02B365"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 (0.2) </w:t>
            </w:r>
          </w:p>
        </w:tc>
      </w:tr>
      <w:tr w:rsidR="00433AFC" w:rsidRPr="002B2845" w14:paraId="06EED6FA" w14:textId="77777777" w:rsidTr="00521E5D">
        <w:tc>
          <w:tcPr>
            <w:cnfStyle w:val="001000000000" w:firstRow="0" w:lastRow="0" w:firstColumn="1" w:lastColumn="0" w:oddVBand="0" w:evenVBand="0" w:oddHBand="0" w:evenHBand="0" w:firstRowFirstColumn="0" w:firstRowLastColumn="0" w:lastRowFirstColumn="0" w:lastRowLastColumn="0"/>
            <w:tcW w:w="9129" w:type="dxa"/>
            <w:gridSpan w:val="3"/>
            <w:shd w:val="clear" w:color="auto" w:fill="auto"/>
            <w:hideMark/>
          </w:tcPr>
          <w:p w14:paraId="62CDA990" w14:textId="203A4F69" w:rsidR="00433AFC" w:rsidRPr="002B2845" w:rsidRDefault="00433AFC" w:rsidP="001B0687">
            <w:pPr>
              <w:pStyle w:val="TableBodyText-H54"/>
              <w:rPr>
                <w:rFonts w:ascii="Arial" w:hAnsi="Arial" w:cs="Arial"/>
                <w:sz w:val="20"/>
                <w:lang w:val="en-US" w:eastAsia="en-GB"/>
              </w:rPr>
            </w:pPr>
            <w:r w:rsidRPr="002B2845">
              <w:rPr>
                <w:rFonts w:ascii="Arial" w:hAnsi="Arial" w:cs="Arial"/>
                <w:sz w:val="20"/>
                <w:lang w:val="en-US" w:eastAsia="en-GB"/>
              </w:rPr>
              <w:t xml:space="preserve">AEs considered as related to study </w:t>
            </w:r>
            <w:r w:rsidR="001B0687">
              <w:rPr>
                <w:rFonts w:ascii="Arial" w:hAnsi="Arial" w:cs="Arial"/>
                <w:sz w:val="20"/>
                <w:lang w:val="en-US" w:eastAsia="en-GB"/>
              </w:rPr>
              <w:t>medicine</w:t>
            </w:r>
          </w:p>
        </w:tc>
      </w:tr>
      <w:tr w:rsidR="00433AFC" w:rsidRPr="002B2845" w14:paraId="52AE4A5B"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13B9EA3F"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AEs</w:t>
            </w:r>
          </w:p>
        </w:tc>
        <w:tc>
          <w:tcPr>
            <w:tcW w:w="1438" w:type="dxa"/>
            <w:vAlign w:val="top"/>
            <w:hideMark/>
          </w:tcPr>
          <w:p w14:paraId="5E5C39EB"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150 (22.7) </w:t>
            </w:r>
          </w:p>
        </w:tc>
        <w:tc>
          <w:tcPr>
            <w:tcW w:w="1438" w:type="dxa"/>
            <w:vAlign w:val="top"/>
            <w:hideMark/>
          </w:tcPr>
          <w:p w14:paraId="1326CDB5"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185 (27.9) </w:t>
            </w:r>
          </w:p>
        </w:tc>
      </w:tr>
      <w:tr w:rsidR="00433AFC" w:rsidRPr="002B2845" w14:paraId="48773FA4"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03676858"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TEAEs</w:t>
            </w:r>
          </w:p>
        </w:tc>
        <w:tc>
          <w:tcPr>
            <w:tcW w:w="1438" w:type="dxa"/>
            <w:vAlign w:val="top"/>
            <w:hideMark/>
          </w:tcPr>
          <w:p w14:paraId="311A9EEF"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148 (22.4) </w:t>
            </w:r>
          </w:p>
        </w:tc>
        <w:tc>
          <w:tcPr>
            <w:tcW w:w="1438" w:type="dxa"/>
            <w:vAlign w:val="top"/>
            <w:hideMark/>
          </w:tcPr>
          <w:p w14:paraId="654FFBAE"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185 (27.9) </w:t>
            </w:r>
          </w:p>
        </w:tc>
      </w:tr>
      <w:tr w:rsidR="00433AFC" w:rsidRPr="002B2845" w14:paraId="426B0CA9"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21D152F8"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Severe TEAE</w:t>
            </w:r>
          </w:p>
        </w:tc>
        <w:tc>
          <w:tcPr>
            <w:tcW w:w="1438" w:type="dxa"/>
            <w:vAlign w:val="top"/>
            <w:hideMark/>
          </w:tcPr>
          <w:p w14:paraId="7668A625"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 (0.3) </w:t>
            </w:r>
          </w:p>
        </w:tc>
        <w:tc>
          <w:tcPr>
            <w:tcW w:w="1438" w:type="dxa"/>
            <w:vAlign w:val="top"/>
            <w:hideMark/>
          </w:tcPr>
          <w:p w14:paraId="27BAC02B"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4 (0.6) </w:t>
            </w:r>
          </w:p>
        </w:tc>
      </w:tr>
      <w:tr w:rsidR="00433AFC" w:rsidRPr="002B2845" w14:paraId="0F2299F1"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1FD17D79"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Serious AE</w:t>
            </w:r>
          </w:p>
        </w:tc>
        <w:tc>
          <w:tcPr>
            <w:tcW w:w="1438" w:type="dxa"/>
            <w:vAlign w:val="top"/>
            <w:hideMark/>
          </w:tcPr>
          <w:p w14:paraId="42C748C6"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0 </w:t>
            </w:r>
          </w:p>
        </w:tc>
        <w:tc>
          <w:tcPr>
            <w:tcW w:w="1438" w:type="dxa"/>
            <w:vAlign w:val="top"/>
            <w:hideMark/>
          </w:tcPr>
          <w:p w14:paraId="723FA825"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 (0.3) </w:t>
            </w:r>
          </w:p>
        </w:tc>
      </w:tr>
      <w:tr w:rsidR="00433AFC" w:rsidRPr="002B2845" w14:paraId="5429369A"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3D7867D3"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Serious TEAE</w:t>
            </w:r>
          </w:p>
        </w:tc>
        <w:tc>
          <w:tcPr>
            <w:tcW w:w="1438" w:type="dxa"/>
            <w:vAlign w:val="top"/>
            <w:hideMark/>
          </w:tcPr>
          <w:p w14:paraId="4F33E91C"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0 </w:t>
            </w:r>
          </w:p>
        </w:tc>
        <w:tc>
          <w:tcPr>
            <w:tcW w:w="1438" w:type="dxa"/>
            <w:vAlign w:val="top"/>
            <w:hideMark/>
          </w:tcPr>
          <w:p w14:paraId="1582C0C0"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 (0.3) </w:t>
            </w:r>
          </w:p>
        </w:tc>
      </w:tr>
      <w:tr w:rsidR="00433AFC" w:rsidRPr="002B2845" w14:paraId="3844EB23"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4C209C45" w14:textId="437D5192" w:rsidR="00433AFC" w:rsidRPr="002B2845" w:rsidRDefault="00433AFC" w:rsidP="0089562B">
            <w:pPr>
              <w:pStyle w:val="TableBodyText-H54"/>
              <w:rPr>
                <w:rFonts w:ascii="Arial" w:hAnsi="Arial" w:cs="Arial"/>
                <w:sz w:val="20"/>
                <w:lang w:val="en-US" w:eastAsia="en-GB"/>
              </w:rPr>
            </w:pPr>
            <w:r w:rsidRPr="002B2845">
              <w:rPr>
                <w:rFonts w:ascii="Arial" w:hAnsi="Arial" w:cs="Arial"/>
                <w:sz w:val="20"/>
                <w:lang w:val="en-US" w:eastAsia="en-GB"/>
              </w:rPr>
              <w:t xml:space="preserve">TEAE leading to study </w:t>
            </w:r>
            <w:r w:rsidR="0089562B">
              <w:rPr>
                <w:rFonts w:ascii="Arial" w:hAnsi="Arial" w:cs="Arial"/>
                <w:sz w:val="20"/>
                <w:lang w:val="en-US" w:eastAsia="en-GB"/>
              </w:rPr>
              <w:t>medicine</w:t>
            </w:r>
            <w:r w:rsidRPr="002B2845">
              <w:rPr>
                <w:rFonts w:ascii="Arial" w:hAnsi="Arial" w:cs="Arial"/>
                <w:sz w:val="20"/>
                <w:lang w:val="en-US" w:eastAsia="en-GB"/>
              </w:rPr>
              <w:t xml:space="preserve"> discontinuation</w:t>
            </w:r>
          </w:p>
        </w:tc>
        <w:tc>
          <w:tcPr>
            <w:tcW w:w="1438" w:type="dxa"/>
            <w:vAlign w:val="top"/>
            <w:hideMark/>
          </w:tcPr>
          <w:p w14:paraId="1A17D33E"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2 (0.3) </w:t>
            </w:r>
          </w:p>
        </w:tc>
        <w:tc>
          <w:tcPr>
            <w:tcW w:w="1438" w:type="dxa"/>
            <w:vAlign w:val="top"/>
            <w:hideMark/>
          </w:tcPr>
          <w:p w14:paraId="1F0FB2A3" w14:textId="77777777" w:rsidR="00433AFC" w:rsidRPr="002B2845" w:rsidRDefault="00433AFC" w:rsidP="001D4879">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5 (0.8) </w:t>
            </w:r>
          </w:p>
        </w:tc>
      </w:tr>
      <w:tr w:rsidR="00433AFC" w:rsidRPr="002B2845" w14:paraId="3AB746FB"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46FD61F9" w14:textId="77777777" w:rsidR="00433AFC" w:rsidRPr="002B2845" w:rsidRDefault="00433AFC" w:rsidP="001D4879">
            <w:pPr>
              <w:pStyle w:val="TableBodyText-H54"/>
              <w:rPr>
                <w:rFonts w:ascii="Arial" w:hAnsi="Arial" w:cs="Arial"/>
                <w:sz w:val="20"/>
                <w:lang w:val="en-US" w:eastAsia="en-GB"/>
              </w:rPr>
            </w:pPr>
            <w:r w:rsidRPr="002B2845">
              <w:rPr>
                <w:rFonts w:ascii="Arial" w:hAnsi="Arial" w:cs="Arial"/>
                <w:sz w:val="20"/>
                <w:lang w:val="en-US" w:eastAsia="en-GB"/>
              </w:rPr>
              <w:t>TEAE with outcome of death</w:t>
            </w:r>
          </w:p>
        </w:tc>
        <w:tc>
          <w:tcPr>
            <w:tcW w:w="1438" w:type="dxa"/>
            <w:vAlign w:val="top"/>
            <w:hideMark/>
          </w:tcPr>
          <w:p w14:paraId="01A47982"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0 </w:t>
            </w:r>
          </w:p>
        </w:tc>
        <w:tc>
          <w:tcPr>
            <w:tcW w:w="1438" w:type="dxa"/>
            <w:vAlign w:val="top"/>
            <w:hideMark/>
          </w:tcPr>
          <w:p w14:paraId="1DD620DC" w14:textId="77777777" w:rsidR="00433AFC" w:rsidRPr="002B2845" w:rsidRDefault="00433AFC" w:rsidP="001D4879">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0 </w:t>
            </w:r>
          </w:p>
        </w:tc>
      </w:tr>
    </w:tbl>
    <w:p w14:paraId="242ACCDC" w14:textId="0CB103B6" w:rsidR="00433AFC" w:rsidRPr="00874DFC" w:rsidRDefault="00433AFC" w:rsidP="00433AFC">
      <w:pPr>
        <w:pStyle w:val="TableNote-H58"/>
        <w:rPr>
          <w:rStyle w:val="CommentReference"/>
          <w:rFonts w:ascii="Arial" w:hAnsi="Arial" w:cs="Arial"/>
          <w:sz w:val="16"/>
          <w:szCs w:val="16"/>
          <w:lang w:val="en-US"/>
        </w:rPr>
      </w:pPr>
      <w:r w:rsidRPr="00874DFC">
        <w:rPr>
          <w:rFonts w:ascii="Arial" w:hAnsi="Arial" w:cs="Arial"/>
          <w:sz w:val="16"/>
          <w:szCs w:val="16"/>
          <w:lang w:val="en-US"/>
        </w:rPr>
        <w:t>SOURCE:</w:t>
      </w:r>
      <w:r w:rsidR="00A05488">
        <w:rPr>
          <w:rFonts w:ascii="Arial" w:hAnsi="Arial" w:cs="Arial"/>
          <w:sz w:val="16"/>
          <w:szCs w:val="16"/>
          <w:lang w:val="en-US"/>
        </w:rPr>
        <w:fldChar w:fldCharType="begin"/>
      </w:r>
      <w:r w:rsidR="00A05488">
        <w:rPr>
          <w:rFonts w:ascii="Arial" w:hAnsi="Arial" w:cs="Arial"/>
          <w:sz w:val="16"/>
          <w:szCs w:val="16"/>
          <w:lang w:val="en-US"/>
        </w:rPr>
        <w:instrText xml:space="preserve"> REF _Ref284184350 \r \h </w:instrText>
      </w:r>
      <w:r w:rsidR="00A05488">
        <w:rPr>
          <w:rFonts w:ascii="Arial" w:hAnsi="Arial" w:cs="Arial"/>
          <w:sz w:val="16"/>
          <w:szCs w:val="16"/>
          <w:lang w:val="en-US"/>
        </w:rPr>
      </w:r>
      <w:r w:rsidR="00A05488">
        <w:rPr>
          <w:rFonts w:ascii="Arial" w:hAnsi="Arial" w:cs="Arial"/>
          <w:sz w:val="16"/>
          <w:szCs w:val="16"/>
          <w:lang w:val="en-US"/>
        </w:rPr>
        <w:fldChar w:fldCharType="separate"/>
      </w:r>
      <w:r w:rsidR="00151A1C">
        <w:rPr>
          <w:rFonts w:ascii="Arial" w:hAnsi="Arial" w:cs="Arial"/>
          <w:sz w:val="16"/>
          <w:szCs w:val="16"/>
          <w:lang w:val="en-US"/>
        </w:rPr>
        <w:t>52</w:t>
      </w:r>
      <w:r w:rsidR="00A05488">
        <w:rPr>
          <w:rFonts w:ascii="Arial" w:hAnsi="Arial" w:cs="Arial"/>
          <w:sz w:val="16"/>
          <w:szCs w:val="16"/>
          <w:lang w:val="en-US"/>
        </w:rPr>
        <w:fldChar w:fldCharType="end"/>
      </w:r>
      <w:r w:rsidR="00D268C4" w:rsidRPr="00874DFC">
        <w:rPr>
          <w:rFonts w:ascii="Arial" w:hAnsi="Arial" w:cs="Arial"/>
          <w:sz w:val="16"/>
          <w:szCs w:val="16"/>
          <w:lang w:val="en-US"/>
        </w:rPr>
        <w:t xml:space="preserve">; </w:t>
      </w:r>
      <w:r w:rsidRPr="00874DFC">
        <w:rPr>
          <w:rFonts w:ascii="Arial" w:hAnsi="Arial" w:cs="Arial"/>
          <w:sz w:val="16"/>
          <w:szCs w:val="16"/>
          <w:lang w:val="en-US"/>
        </w:rPr>
        <w:t>ISS 2013</w:t>
      </w:r>
      <w:r w:rsidR="00A05488">
        <w:rPr>
          <w:rFonts w:ascii="Arial" w:hAnsi="Arial" w:cs="Arial"/>
          <w:sz w:val="16"/>
          <w:szCs w:val="16"/>
          <w:lang w:val="en-US"/>
        </w:rPr>
        <w:t xml:space="preserve"> </w:t>
      </w:r>
      <w:r w:rsidR="00A05488">
        <w:rPr>
          <w:rFonts w:ascii="Arial" w:hAnsi="Arial" w:cs="Arial"/>
          <w:sz w:val="16"/>
          <w:szCs w:val="16"/>
          <w:lang w:val="en-US"/>
        </w:rPr>
        <w:fldChar w:fldCharType="begin"/>
      </w:r>
      <w:r w:rsidR="00A05488">
        <w:rPr>
          <w:rFonts w:ascii="Arial" w:hAnsi="Arial" w:cs="Arial"/>
          <w:sz w:val="16"/>
          <w:szCs w:val="16"/>
          <w:lang w:val="en-US"/>
        </w:rPr>
        <w:instrText xml:space="preserve"> REF _Ref284184395 \r \h </w:instrText>
      </w:r>
      <w:r w:rsidR="00A05488">
        <w:rPr>
          <w:rFonts w:ascii="Arial" w:hAnsi="Arial" w:cs="Arial"/>
          <w:sz w:val="16"/>
          <w:szCs w:val="16"/>
          <w:lang w:val="en-US"/>
        </w:rPr>
      </w:r>
      <w:r w:rsidR="00A05488">
        <w:rPr>
          <w:rFonts w:ascii="Arial" w:hAnsi="Arial" w:cs="Arial"/>
          <w:sz w:val="16"/>
          <w:szCs w:val="16"/>
          <w:lang w:val="en-US"/>
        </w:rPr>
        <w:fldChar w:fldCharType="separate"/>
      </w:r>
      <w:r w:rsidR="00151A1C">
        <w:rPr>
          <w:rFonts w:ascii="Arial" w:hAnsi="Arial" w:cs="Arial"/>
          <w:sz w:val="16"/>
          <w:szCs w:val="16"/>
          <w:lang w:val="en-US"/>
        </w:rPr>
        <w:t>53</w:t>
      </w:r>
      <w:r w:rsidR="00A05488">
        <w:rPr>
          <w:rFonts w:ascii="Arial" w:hAnsi="Arial" w:cs="Arial"/>
          <w:sz w:val="16"/>
          <w:szCs w:val="16"/>
          <w:lang w:val="en-US"/>
        </w:rPr>
        <w:fldChar w:fldCharType="end"/>
      </w:r>
      <w:r w:rsidRPr="00874DFC">
        <w:rPr>
          <w:rFonts w:ascii="Arial" w:hAnsi="Arial" w:cs="Arial"/>
          <w:sz w:val="16"/>
          <w:szCs w:val="16"/>
          <w:lang w:val="en-US"/>
        </w:rPr>
        <w:t>: section 4.1.2 Table 21 and Table 22 AE: Adverse event; TEAE: Treatment-emergent adverse event; N: Number of patients in population; n: Number of patients in specific category</w:t>
      </w:r>
    </w:p>
    <w:p w14:paraId="52A193AD" w14:textId="5839C50E" w:rsidR="00F72116" w:rsidRPr="00792BD4" w:rsidRDefault="00792BD4" w:rsidP="00792BD4">
      <w:pPr>
        <w:pStyle w:val="Caption"/>
        <w:rPr>
          <w:rFonts w:ascii="Arial" w:hAnsi="Arial" w:cs="Arial"/>
          <w:sz w:val="22"/>
          <w:szCs w:val="22"/>
          <w:lang w:val="en-US"/>
        </w:rPr>
      </w:pPr>
      <w:bookmarkStart w:id="170" w:name="_Ref284425766"/>
      <w:r w:rsidRPr="00792BD4">
        <w:rPr>
          <w:rFonts w:ascii="Arial" w:hAnsi="Arial" w:cs="Arial"/>
          <w:sz w:val="22"/>
          <w:szCs w:val="22"/>
        </w:rPr>
        <w:lastRenderedPageBreak/>
        <w:t xml:space="preserve">Figure </w:t>
      </w:r>
      <w:r w:rsidRPr="00792BD4">
        <w:rPr>
          <w:rFonts w:ascii="Arial" w:hAnsi="Arial" w:cs="Arial"/>
          <w:sz w:val="22"/>
          <w:szCs w:val="22"/>
        </w:rPr>
        <w:fldChar w:fldCharType="begin"/>
      </w:r>
      <w:r w:rsidRPr="00792BD4">
        <w:rPr>
          <w:rFonts w:ascii="Arial" w:hAnsi="Arial" w:cs="Arial"/>
          <w:sz w:val="22"/>
          <w:szCs w:val="22"/>
        </w:rPr>
        <w:instrText xml:space="preserve"> SEQ Figure \* ARABIC </w:instrText>
      </w:r>
      <w:r w:rsidRPr="00792BD4">
        <w:rPr>
          <w:rFonts w:ascii="Arial" w:hAnsi="Arial" w:cs="Arial"/>
          <w:sz w:val="22"/>
          <w:szCs w:val="22"/>
        </w:rPr>
        <w:fldChar w:fldCharType="separate"/>
      </w:r>
      <w:r w:rsidR="00151A1C">
        <w:rPr>
          <w:rFonts w:ascii="Arial" w:hAnsi="Arial" w:cs="Arial"/>
          <w:noProof/>
          <w:sz w:val="22"/>
          <w:szCs w:val="22"/>
        </w:rPr>
        <w:t>12</w:t>
      </w:r>
      <w:r w:rsidRPr="00792BD4">
        <w:rPr>
          <w:rFonts w:ascii="Arial" w:hAnsi="Arial" w:cs="Arial"/>
          <w:sz w:val="22"/>
          <w:szCs w:val="22"/>
        </w:rPr>
        <w:fldChar w:fldCharType="end"/>
      </w:r>
      <w:bookmarkEnd w:id="168"/>
      <w:bookmarkEnd w:id="170"/>
      <w:r w:rsidR="00F72116" w:rsidRPr="00792BD4">
        <w:rPr>
          <w:rFonts w:ascii="Arial" w:hAnsi="Arial" w:cs="Arial"/>
          <w:sz w:val="22"/>
          <w:szCs w:val="22"/>
          <w:lang w:val="en-US"/>
        </w:rPr>
        <w:t xml:space="preserve">: Overview of AEs considered related to study </w:t>
      </w:r>
      <w:r w:rsidR="0089562B">
        <w:rPr>
          <w:rFonts w:ascii="Arial" w:hAnsi="Arial" w:cs="Arial"/>
          <w:sz w:val="22"/>
          <w:szCs w:val="22"/>
          <w:lang w:val="en-US"/>
        </w:rPr>
        <w:t xml:space="preserve">medicine </w:t>
      </w:r>
      <w:r w:rsidR="00F72116" w:rsidRPr="00792BD4">
        <w:rPr>
          <w:rFonts w:ascii="Arial" w:hAnsi="Arial" w:cs="Arial"/>
          <w:sz w:val="22"/>
          <w:szCs w:val="22"/>
          <w:lang w:val="en-US"/>
        </w:rPr>
        <w:t xml:space="preserve">in the pooled analysis </w:t>
      </w:r>
      <w:bookmarkEnd w:id="169"/>
      <w:r w:rsidR="00015AC7" w:rsidRPr="00792BD4">
        <w:rPr>
          <w:rFonts w:ascii="Arial" w:hAnsi="Arial" w:cs="Arial"/>
          <w:sz w:val="22"/>
          <w:szCs w:val="22"/>
          <w:lang w:val="en-US"/>
        </w:rPr>
        <w:t>of safety data</w:t>
      </w:r>
    </w:p>
    <w:p w14:paraId="0FD3D852" w14:textId="18CA1F02" w:rsidR="00F72116" w:rsidRPr="00874DFC" w:rsidRDefault="00F72116" w:rsidP="00526108">
      <w:pPr>
        <w:pStyle w:val="BodyText"/>
        <w:rPr>
          <w:rFonts w:cs="Arial"/>
          <w:sz w:val="16"/>
          <w:szCs w:val="16"/>
          <w:lang w:val="en-US"/>
        </w:rPr>
      </w:pPr>
      <w:r w:rsidRPr="00180DA3">
        <w:rPr>
          <w:rFonts w:cs="Arial"/>
          <w:noProof/>
          <w:lang w:eastAsia="en-GB"/>
        </w:rPr>
        <w:drawing>
          <wp:inline distT="0" distB="0" distL="0" distR="0" wp14:anchorId="0B09A909" wp14:editId="769C70A1">
            <wp:extent cx="5657850" cy="29845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74DFC">
        <w:rPr>
          <w:rFonts w:cs="Arial"/>
          <w:sz w:val="16"/>
          <w:szCs w:val="16"/>
          <w:lang w:val="en-US"/>
        </w:rPr>
        <w:t>SOURCE:</w:t>
      </w:r>
      <w:r w:rsidR="00A05488">
        <w:rPr>
          <w:rFonts w:cs="Arial"/>
          <w:sz w:val="16"/>
          <w:szCs w:val="16"/>
          <w:lang w:val="en-US"/>
        </w:rPr>
        <w:t xml:space="preserve"> </w:t>
      </w:r>
      <w:r w:rsidR="00A05488">
        <w:rPr>
          <w:rFonts w:cs="Arial"/>
          <w:sz w:val="16"/>
          <w:szCs w:val="16"/>
          <w:lang w:val="en-US"/>
        </w:rPr>
        <w:fldChar w:fldCharType="begin"/>
      </w:r>
      <w:r w:rsidR="00A05488">
        <w:rPr>
          <w:rFonts w:cs="Arial"/>
          <w:sz w:val="16"/>
          <w:szCs w:val="16"/>
          <w:lang w:val="en-US"/>
        </w:rPr>
        <w:instrText xml:space="preserve"> REF _Ref284184350 \r \h </w:instrText>
      </w:r>
      <w:r w:rsidR="00A05488">
        <w:rPr>
          <w:rFonts w:cs="Arial"/>
          <w:sz w:val="16"/>
          <w:szCs w:val="16"/>
          <w:lang w:val="en-US"/>
        </w:rPr>
      </w:r>
      <w:r w:rsidR="00A05488">
        <w:rPr>
          <w:rFonts w:cs="Arial"/>
          <w:sz w:val="16"/>
          <w:szCs w:val="16"/>
          <w:lang w:val="en-US"/>
        </w:rPr>
        <w:fldChar w:fldCharType="separate"/>
      </w:r>
      <w:r w:rsidR="00151A1C">
        <w:rPr>
          <w:rFonts w:cs="Arial"/>
          <w:sz w:val="16"/>
          <w:szCs w:val="16"/>
          <w:lang w:val="en-US"/>
        </w:rPr>
        <w:t>52</w:t>
      </w:r>
      <w:r w:rsidR="00A05488">
        <w:rPr>
          <w:rFonts w:cs="Arial"/>
          <w:sz w:val="16"/>
          <w:szCs w:val="16"/>
          <w:lang w:val="en-US"/>
        </w:rPr>
        <w:fldChar w:fldCharType="end"/>
      </w:r>
      <w:r w:rsidR="004C0ABE" w:rsidRPr="00874DFC">
        <w:rPr>
          <w:rFonts w:cs="Arial"/>
          <w:sz w:val="16"/>
          <w:szCs w:val="16"/>
          <w:lang w:val="en-US"/>
        </w:rPr>
        <w:t xml:space="preserve">; </w:t>
      </w:r>
      <w:r w:rsidRPr="00874DFC">
        <w:rPr>
          <w:rFonts w:cs="Arial"/>
          <w:sz w:val="16"/>
          <w:szCs w:val="16"/>
          <w:lang w:val="en-US"/>
        </w:rPr>
        <w:t>ISS 2013</w:t>
      </w:r>
      <w:r w:rsidR="00A05488">
        <w:rPr>
          <w:rFonts w:cs="Arial"/>
          <w:sz w:val="16"/>
          <w:szCs w:val="16"/>
          <w:lang w:val="en-US"/>
        </w:rPr>
        <w:t xml:space="preserve"> </w:t>
      </w:r>
      <w:r w:rsidR="002A33A2">
        <w:rPr>
          <w:rFonts w:cs="Arial"/>
          <w:sz w:val="16"/>
          <w:szCs w:val="16"/>
          <w:lang w:val="en-US"/>
        </w:rPr>
        <w:fldChar w:fldCharType="begin"/>
      </w:r>
      <w:r w:rsidR="002A33A2">
        <w:rPr>
          <w:rFonts w:cs="Arial"/>
          <w:sz w:val="16"/>
          <w:szCs w:val="16"/>
          <w:lang w:val="en-US"/>
        </w:rPr>
        <w:instrText xml:space="preserve"> REF _Ref284184395 \r \h </w:instrText>
      </w:r>
      <w:r w:rsidR="002A33A2">
        <w:rPr>
          <w:rFonts w:cs="Arial"/>
          <w:sz w:val="16"/>
          <w:szCs w:val="16"/>
          <w:lang w:val="en-US"/>
        </w:rPr>
      </w:r>
      <w:r w:rsidR="002A33A2">
        <w:rPr>
          <w:rFonts w:cs="Arial"/>
          <w:sz w:val="16"/>
          <w:szCs w:val="16"/>
          <w:lang w:val="en-US"/>
        </w:rPr>
        <w:fldChar w:fldCharType="separate"/>
      </w:r>
      <w:r w:rsidR="00151A1C">
        <w:rPr>
          <w:rFonts w:cs="Arial"/>
          <w:sz w:val="16"/>
          <w:szCs w:val="16"/>
          <w:lang w:val="en-US"/>
        </w:rPr>
        <w:t>53</w:t>
      </w:r>
      <w:r w:rsidR="002A33A2">
        <w:rPr>
          <w:rFonts w:cs="Arial"/>
          <w:sz w:val="16"/>
          <w:szCs w:val="16"/>
          <w:lang w:val="en-US"/>
        </w:rPr>
        <w:fldChar w:fldCharType="end"/>
      </w:r>
      <w:r w:rsidRPr="00874DFC">
        <w:rPr>
          <w:rFonts w:cs="Arial"/>
          <w:sz w:val="16"/>
          <w:szCs w:val="16"/>
          <w:lang w:val="en-US"/>
        </w:rPr>
        <w:t xml:space="preserve">: section 4.1.2 Table 22 </w:t>
      </w:r>
    </w:p>
    <w:p w14:paraId="4D1E83A7" w14:textId="77777777" w:rsidR="00F72116" w:rsidRPr="00874DFC" w:rsidRDefault="00F72116" w:rsidP="00F72116">
      <w:pPr>
        <w:pStyle w:val="TableNote-H58"/>
        <w:rPr>
          <w:rFonts w:ascii="Arial" w:hAnsi="Arial" w:cs="Arial"/>
          <w:sz w:val="16"/>
          <w:szCs w:val="16"/>
          <w:lang w:val="en-US"/>
        </w:rPr>
      </w:pPr>
      <w:r w:rsidRPr="00874DFC">
        <w:rPr>
          <w:rFonts w:ascii="Arial" w:hAnsi="Arial" w:cs="Arial"/>
          <w:sz w:val="16"/>
          <w:szCs w:val="16"/>
          <w:lang w:val="en-US"/>
        </w:rPr>
        <w:t>AE: Adverse event; N: Number of patients in population; TEAE: Treatment-emergent adverse event</w:t>
      </w:r>
    </w:p>
    <w:p w14:paraId="722471EB" w14:textId="309F14A3" w:rsidR="00F72116" w:rsidRPr="00874DFC" w:rsidRDefault="005654AD" w:rsidP="00F72116">
      <w:pPr>
        <w:pStyle w:val="BodyText"/>
        <w:rPr>
          <w:rFonts w:eastAsiaTheme="majorEastAsia" w:cs="Arial"/>
          <w:sz w:val="22"/>
          <w:szCs w:val="22"/>
          <w:lang w:val="en-US"/>
        </w:rPr>
      </w:pPr>
      <w:r w:rsidRPr="00874DFC">
        <w:rPr>
          <w:rFonts w:cs="Arial"/>
          <w:sz w:val="22"/>
          <w:szCs w:val="22"/>
          <w:lang w:val="en-US"/>
        </w:rPr>
        <w:t>The most commonly-</w:t>
      </w:r>
      <w:r w:rsidR="001D4879" w:rsidRPr="00874DFC">
        <w:rPr>
          <w:rFonts w:cs="Arial"/>
          <w:sz w:val="22"/>
          <w:szCs w:val="22"/>
          <w:lang w:val="en-US"/>
        </w:rPr>
        <w:t>reported TEAEs were nausea, headache and abscess, of which nausea was reported less frequently in the tedizolid phosphate group than in the linezolid group (</w:t>
      </w:r>
      <w:r w:rsidR="002A33A2">
        <w:rPr>
          <w:rFonts w:cs="Arial"/>
          <w:sz w:val="22"/>
          <w:szCs w:val="22"/>
          <w:lang w:val="en-US"/>
        </w:rPr>
        <w:fldChar w:fldCharType="begin"/>
      </w:r>
      <w:r w:rsidR="002A33A2">
        <w:rPr>
          <w:rFonts w:cs="Arial"/>
          <w:sz w:val="22"/>
          <w:szCs w:val="22"/>
          <w:lang w:val="en-US"/>
        </w:rPr>
        <w:instrText xml:space="preserve"> REF _Ref284184350 \r \h </w:instrText>
      </w:r>
      <w:r w:rsidR="002A33A2">
        <w:rPr>
          <w:rFonts w:cs="Arial"/>
          <w:sz w:val="22"/>
          <w:szCs w:val="22"/>
          <w:lang w:val="en-US"/>
        </w:rPr>
      </w:r>
      <w:r w:rsidR="002A33A2">
        <w:rPr>
          <w:rFonts w:cs="Arial"/>
          <w:sz w:val="22"/>
          <w:szCs w:val="22"/>
          <w:lang w:val="en-US"/>
        </w:rPr>
        <w:fldChar w:fldCharType="separate"/>
      </w:r>
      <w:r w:rsidR="00151A1C">
        <w:rPr>
          <w:rFonts w:cs="Arial"/>
          <w:sz w:val="22"/>
          <w:szCs w:val="22"/>
          <w:lang w:val="en-US"/>
        </w:rPr>
        <w:t>52</w:t>
      </w:r>
      <w:r w:rsidR="002A33A2">
        <w:rPr>
          <w:rFonts w:cs="Arial"/>
          <w:sz w:val="22"/>
          <w:szCs w:val="22"/>
          <w:lang w:val="en-US"/>
        </w:rPr>
        <w:fldChar w:fldCharType="end"/>
      </w:r>
      <w:r w:rsidR="001D4879" w:rsidRPr="00874DFC">
        <w:rPr>
          <w:rFonts w:cs="Arial"/>
          <w:sz w:val="22"/>
          <w:szCs w:val="22"/>
          <w:lang w:val="en-US"/>
        </w:rPr>
        <w:t xml:space="preserve">). </w:t>
      </w:r>
      <w:r w:rsidR="00F72116" w:rsidRPr="00874DFC">
        <w:rPr>
          <w:rFonts w:cs="Arial"/>
          <w:sz w:val="22"/>
          <w:szCs w:val="22"/>
          <w:lang w:val="en-US"/>
        </w:rPr>
        <w:t xml:space="preserve">Commonly reported AEs </w:t>
      </w:r>
      <w:r w:rsidR="007C3722" w:rsidRPr="00874DFC">
        <w:rPr>
          <w:rFonts w:cs="Arial"/>
          <w:sz w:val="22"/>
          <w:szCs w:val="22"/>
          <w:lang w:val="en-US"/>
        </w:rPr>
        <w:t>(that i</w:t>
      </w:r>
      <w:r w:rsidR="001D4879" w:rsidRPr="00874DFC">
        <w:rPr>
          <w:rFonts w:cs="Arial"/>
          <w:sz w:val="22"/>
          <w:szCs w:val="22"/>
          <w:lang w:val="en-US"/>
        </w:rPr>
        <w:t>s, those with an incidence of ≥2</w:t>
      </w:r>
      <w:r w:rsidR="007C3722" w:rsidRPr="00874DFC">
        <w:rPr>
          <w:rFonts w:cs="Arial"/>
          <w:sz w:val="22"/>
          <w:szCs w:val="22"/>
          <w:lang w:val="en-US"/>
        </w:rPr>
        <w:t xml:space="preserve">%) </w:t>
      </w:r>
      <w:r w:rsidR="00F72116" w:rsidRPr="00874DFC">
        <w:rPr>
          <w:rFonts w:cs="Arial"/>
          <w:sz w:val="22"/>
          <w:szCs w:val="22"/>
          <w:lang w:val="en-US"/>
        </w:rPr>
        <w:t xml:space="preserve">are shown in </w:t>
      </w:r>
      <w:r w:rsidR="00DE31CD" w:rsidRPr="00874DFC">
        <w:rPr>
          <w:rFonts w:cs="Arial"/>
          <w:sz w:val="22"/>
          <w:szCs w:val="22"/>
          <w:lang w:val="en-US"/>
        </w:rPr>
        <w:fldChar w:fldCharType="begin"/>
      </w:r>
      <w:r w:rsidR="00DE31CD" w:rsidRPr="00874DFC">
        <w:rPr>
          <w:rFonts w:cs="Arial"/>
          <w:sz w:val="22"/>
          <w:szCs w:val="22"/>
          <w:lang w:val="en-US"/>
        </w:rPr>
        <w:instrText xml:space="preserve"> REF _Ref381780303 \h </w:instrText>
      </w:r>
      <w:r w:rsidR="00DE31CD" w:rsidRPr="00874DFC">
        <w:rPr>
          <w:rFonts w:cs="Arial"/>
          <w:sz w:val="22"/>
          <w:szCs w:val="22"/>
          <w:lang w:val="en-US"/>
        </w:rPr>
      </w:r>
      <w:r w:rsidR="00DE31CD" w:rsidRPr="00874DFC">
        <w:rPr>
          <w:rFonts w:cs="Arial"/>
          <w:sz w:val="22"/>
          <w:szCs w:val="22"/>
          <w:lang w:val="en-US"/>
        </w:rPr>
        <w:fldChar w:fldCharType="separate"/>
      </w:r>
      <w:r w:rsidR="00151A1C" w:rsidRPr="00874DFC">
        <w:rPr>
          <w:rFonts w:cs="Arial"/>
          <w:sz w:val="22"/>
          <w:szCs w:val="22"/>
          <w:lang w:val="en-US"/>
        </w:rPr>
        <w:t xml:space="preserve">Table </w:t>
      </w:r>
      <w:r w:rsidR="00151A1C">
        <w:rPr>
          <w:rFonts w:cs="Arial"/>
          <w:noProof/>
          <w:sz w:val="22"/>
          <w:szCs w:val="22"/>
          <w:lang w:val="en-US"/>
        </w:rPr>
        <w:t>38</w:t>
      </w:r>
      <w:r w:rsidR="00DE31CD" w:rsidRPr="00874DFC">
        <w:rPr>
          <w:rFonts w:cs="Arial"/>
          <w:sz w:val="22"/>
          <w:szCs w:val="22"/>
          <w:lang w:val="en-US"/>
        </w:rPr>
        <w:fldChar w:fldCharType="end"/>
      </w:r>
      <w:r w:rsidR="00F72116" w:rsidRPr="00874DFC">
        <w:rPr>
          <w:rFonts w:cs="Arial"/>
          <w:sz w:val="22"/>
          <w:szCs w:val="22"/>
          <w:lang w:val="en-US"/>
        </w:rPr>
        <w:t>. Fewer patients treated with tedizolid phosphate reported gastrointestinal AEs compared with patients treated with linezolid.</w:t>
      </w:r>
    </w:p>
    <w:p w14:paraId="7B33453F" w14:textId="0E3FEDCF" w:rsidR="00F72116" w:rsidRPr="00874DFC" w:rsidRDefault="00F72116" w:rsidP="00F72116">
      <w:pPr>
        <w:pStyle w:val="Caption"/>
        <w:rPr>
          <w:rFonts w:ascii="Arial" w:hAnsi="Arial" w:cs="Arial"/>
          <w:sz w:val="22"/>
          <w:szCs w:val="22"/>
          <w:lang w:val="en-US"/>
        </w:rPr>
      </w:pPr>
      <w:bookmarkStart w:id="171" w:name="_Ref381780303"/>
      <w:bookmarkStart w:id="172" w:name="_Toc396058482"/>
      <w:r w:rsidRPr="00874DFC">
        <w:rPr>
          <w:rFonts w:ascii="Arial" w:hAnsi="Arial" w:cs="Arial"/>
          <w:sz w:val="22"/>
          <w:szCs w:val="22"/>
          <w:lang w:val="en-US"/>
        </w:rPr>
        <w:lastRenderedPageBreak/>
        <w:t xml:space="preserve">Table </w:t>
      </w:r>
      <w:r w:rsidRPr="00874DFC">
        <w:rPr>
          <w:rFonts w:ascii="Arial" w:hAnsi="Arial" w:cs="Arial"/>
          <w:sz w:val="22"/>
          <w:szCs w:val="22"/>
          <w:lang w:val="en-US"/>
        </w:rPr>
        <w:fldChar w:fldCharType="begin"/>
      </w:r>
      <w:r w:rsidRPr="00874DFC">
        <w:rPr>
          <w:rFonts w:ascii="Arial" w:hAnsi="Arial" w:cs="Arial"/>
          <w:sz w:val="22"/>
          <w:szCs w:val="22"/>
          <w:lang w:val="en-US"/>
        </w:rPr>
        <w:instrText xml:space="preserve"> SEQ Table \* ARABIC </w:instrText>
      </w:r>
      <w:r w:rsidRPr="00874DFC">
        <w:rPr>
          <w:rFonts w:ascii="Arial" w:hAnsi="Arial" w:cs="Arial"/>
          <w:sz w:val="22"/>
          <w:szCs w:val="22"/>
          <w:lang w:val="en-US"/>
        </w:rPr>
        <w:fldChar w:fldCharType="separate"/>
      </w:r>
      <w:r w:rsidR="00151A1C">
        <w:rPr>
          <w:rFonts w:ascii="Arial" w:hAnsi="Arial" w:cs="Arial"/>
          <w:noProof/>
          <w:sz w:val="22"/>
          <w:szCs w:val="22"/>
          <w:lang w:val="en-US"/>
        </w:rPr>
        <w:t>38</w:t>
      </w:r>
      <w:r w:rsidRPr="00874DFC">
        <w:rPr>
          <w:rFonts w:ascii="Arial" w:hAnsi="Arial" w:cs="Arial"/>
          <w:sz w:val="22"/>
          <w:szCs w:val="22"/>
          <w:lang w:val="en-US"/>
        </w:rPr>
        <w:fldChar w:fldCharType="end"/>
      </w:r>
      <w:bookmarkEnd w:id="171"/>
      <w:r w:rsidRPr="00874DFC">
        <w:rPr>
          <w:rFonts w:ascii="Arial" w:hAnsi="Arial" w:cs="Arial"/>
          <w:sz w:val="22"/>
          <w:szCs w:val="22"/>
          <w:lang w:val="en-US"/>
        </w:rPr>
        <w:t>: TEAEs consider</w:t>
      </w:r>
      <w:r w:rsidR="001D4879" w:rsidRPr="00874DFC">
        <w:rPr>
          <w:rFonts w:ascii="Arial" w:hAnsi="Arial" w:cs="Arial"/>
          <w:sz w:val="22"/>
          <w:szCs w:val="22"/>
          <w:lang w:val="en-US"/>
        </w:rPr>
        <w:t xml:space="preserve">ed related to study </w:t>
      </w:r>
      <w:r w:rsidR="0089562B" w:rsidRPr="00874DFC">
        <w:rPr>
          <w:rFonts w:ascii="Arial" w:hAnsi="Arial" w:cs="Arial"/>
          <w:sz w:val="22"/>
          <w:szCs w:val="22"/>
          <w:lang w:val="en-US"/>
        </w:rPr>
        <w:t>medicine</w:t>
      </w:r>
      <w:r w:rsidR="001D4879" w:rsidRPr="00874DFC">
        <w:rPr>
          <w:rFonts w:ascii="Arial" w:hAnsi="Arial" w:cs="Arial"/>
          <w:sz w:val="22"/>
          <w:szCs w:val="22"/>
          <w:lang w:val="en-US"/>
        </w:rPr>
        <w:t xml:space="preserve"> with ≥2</w:t>
      </w:r>
      <w:r w:rsidRPr="00874DFC">
        <w:rPr>
          <w:rFonts w:ascii="Arial" w:hAnsi="Arial" w:cs="Arial"/>
          <w:sz w:val="22"/>
          <w:szCs w:val="22"/>
          <w:lang w:val="en-US"/>
        </w:rPr>
        <w:t>%</w:t>
      </w:r>
      <w:r w:rsidR="009F3484" w:rsidRPr="00874DFC">
        <w:rPr>
          <w:rFonts w:ascii="Arial" w:hAnsi="Arial" w:cs="Arial"/>
          <w:sz w:val="22"/>
          <w:szCs w:val="22"/>
          <w:vertAlign w:val="superscript"/>
          <w:lang w:val="en-US"/>
        </w:rPr>
        <w:t>a</w:t>
      </w:r>
      <w:r w:rsidRPr="00874DFC">
        <w:rPr>
          <w:rFonts w:ascii="Arial" w:hAnsi="Arial" w:cs="Arial"/>
          <w:sz w:val="22"/>
          <w:szCs w:val="22"/>
          <w:lang w:val="en-US"/>
        </w:rPr>
        <w:t xml:space="preserve"> incidence in the pooled analysis </w:t>
      </w:r>
      <w:bookmarkEnd w:id="172"/>
      <w:r w:rsidR="00015AC7" w:rsidRPr="00874DFC">
        <w:rPr>
          <w:rFonts w:ascii="Arial" w:hAnsi="Arial" w:cs="Arial"/>
          <w:sz w:val="22"/>
          <w:szCs w:val="22"/>
          <w:lang w:val="en-US"/>
        </w:rPr>
        <w:t>of safety data</w:t>
      </w:r>
    </w:p>
    <w:tbl>
      <w:tblPr>
        <w:tblStyle w:val="Table-HERONplain"/>
        <w:tblW w:w="0" w:type="auto"/>
        <w:tblLook w:val="04A0" w:firstRow="1" w:lastRow="0" w:firstColumn="1" w:lastColumn="0" w:noHBand="0" w:noVBand="1"/>
      </w:tblPr>
      <w:tblGrid>
        <w:gridCol w:w="5968"/>
        <w:gridCol w:w="1474"/>
        <w:gridCol w:w="1461"/>
      </w:tblGrid>
      <w:tr w:rsidR="00F72116" w:rsidRPr="00874DFC" w14:paraId="6B5095AE" w14:textId="77777777" w:rsidTr="0052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8F46BE8"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System Organ Class</w:t>
            </w:r>
          </w:p>
          <w:p w14:paraId="53DCA462"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Preferred Term</w:t>
            </w:r>
          </w:p>
        </w:tc>
        <w:tc>
          <w:tcPr>
            <w:tcW w:w="1485" w:type="dxa"/>
            <w:shd w:val="clear" w:color="auto" w:fill="auto"/>
            <w:hideMark/>
          </w:tcPr>
          <w:p w14:paraId="529B1C3E"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Tedizolid phosphate</w:t>
            </w:r>
          </w:p>
          <w:p w14:paraId="23974BCB"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(N=662)</w:t>
            </w:r>
          </w:p>
          <w:p w14:paraId="7E437958"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 (%)</w:t>
            </w:r>
          </w:p>
        </w:tc>
        <w:tc>
          <w:tcPr>
            <w:tcW w:w="1479" w:type="dxa"/>
            <w:shd w:val="clear" w:color="auto" w:fill="auto"/>
            <w:hideMark/>
          </w:tcPr>
          <w:p w14:paraId="7D93138F"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Linezolid</w:t>
            </w:r>
          </w:p>
          <w:p w14:paraId="0E62590D"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(N=662)</w:t>
            </w:r>
          </w:p>
          <w:p w14:paraId="6DFF0430"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 (%)</w:t>
            </w:r>
          </w:p>
        </w:tc>
      </w:tr>
      <w:tr w:rsidR="00F72116" w:rsidRPr="00874DFC" w14:paraId="075C5E4B"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D8B11F3"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Gastrointestinal disorders</w:t>
            </w:r>
          </w:p>
        </w:tc>
        <w:tc>
          <w:tcPr>
            <w:tcW w:w="1485" w:type="dxa"/>
            <w:vAlign w:val="top"/>
          </w:tcPr>
          <w:p w14:paraId="2B3C53BF" w14:textId="0D197983" w:rsidR="00F72116" w:rsidRPr="00874DFC" w:rsidRDefault="0001499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106 (16.0)</w:t>
            </w:r>
          </w:p>
        </w:tc>
        <w:tc>
          <w:tcPr>
            <w:tcW w:w="1479" w:type="dxa"/>
            <w:vAlign w:val="top"/>
          </w:tcPr>
          <w:p w14:paraId="44659044" w14:textId="25574D11" w:rsidR="00F72116" w:rsidRPr="00874DFC" w:rsidRDefault="0001499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152 (23.0)</w:t>
            </w:r>
          </w:p>
        </w:tc>
      </w:tr>
      <w:tr w:rsidR="00F72116" w:rsidRPr="00874DFC" w14:paraId="35751780"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D9A11B3"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Nausea</w:t>
            </w:r>
          </w:p>
        </w:tc>
        <w:tc>
          <w:tcPr>
            <w:tcW w:w="1485" w:type="dxa"/>
            <w:vAlign w:val="top"/>
          </w:tcPr>
          <w:p w14:paraId="1AA5F18C" w14:textId="21343AAD" w:rsidR="00F72116" w:rsidRPr="00874DFC" w:rsidRDefault="0001499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54 (8.2)</w:t>
            </w:r>
          </w:p>
        </w:tc>
        <w:tc>
          <w:tcPr>
            <w:tcW w:w="1479" w:type="dxa"/>
            <w:vAlign w:val="top"/>
          </w:tcPr>
          <w:p w14:paraId="6B304287" w14:textId="6BBBCCD8" w:rsidR="00F72116" w:rsidRPr="00874DFC" w:rsidRDefault="0001499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81 (12.2)</w:t>
            </w:r>
          </w:p>
        </w:tc>
      </w:tr>
      <w:tr w:rsidR="00F72116" w:rsidRPr="00874DFC" w14:paraId="5BFBC30B"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813570C" w14:textId="1EAE7E0C"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Diarrh</w:t>
            </w:r>
            <w:r w:rsidR="0001499F" w:rsidRPr="00874DFC">
              <w:rPr>
                <w:rFonts w:ascii="Arial" w:hAnsi="Arial" w:cs="Arial"/>
                <w:sz w:val="20"/>
                <w:lang w:val="en-US" w:eastAsia="en-GB"/>
              </w:rPr>
              <w:t>o</w:t>
            </w:r>
            <w:r w:rsidRPr="00874DFC">
              <w:rPr>
                <w:rFonts w:ascii="Arial" w:hAnsi="Arial" w:cs="Arial"/>
                <w:sz w:val="20"/>
                <w:lang w:val="en-US" w:eastAsia="en-GB"/>
              </w:rPr>
              <w:t>ea</w:t>
            </w:r>
          </w:p>
        </w:tc>
        <w:tc>
          <w:tcPr>
            <w:tcW w:w="1485" w:type="dxa"/>
            <w:vAlign w:val="top"/>
          </w:tcPr>
          <w:p w14:paraId="48FF677D" w14:textId="27264457" w:rsidR="00F72116" w:rsidRPr="00874DFC" w:rsidRDefault="0001499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26 (3.9)</w:t>
            </w:r>
          </w:p>
        </w:tc>
        <w:tc>
          <w:tcPr>
            <w:tcW w:w="1479" w:type="dxa"/>
            <w:vAlign w:val="top"/>
          </w:tcPr>
          <w:p w14:paraId="0931F11E" w14:textId="02187701" w:rsidR="00F72116" w:rsidRPr="00874DFC" w:rsidRDefault="0001499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35 (5.3)</w:t>
            </w:r>
          </w:p>
        </w:tc>
      </w:tr>
      <w:tr w:rsidR="00F72116" w:rsidRPr="00874DFC" w14:paraId="63A46527"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4767135"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Vomiting</w:t>
            </w:r>
          </w:p>
        </w:tc>
        <w:tc>
          <w:tcPr>
            <w:tcW w:w="1485" w:type="dxa"/>
            <w:vAlign w:val="top"/>
          </w:tcPr>
          <w:p w14:paraId="2EE1F3E5" w14:textId="76941D60"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19 (2.9)</w:t>
            </w:r>
          </w:p>
        </w:tc>
        <w:tc>
          <w:tcPr>
            <w:tcW w:w="1479" w:type="dxa"/>
            <w:vAlign w:val="top"/>
          </w:tcPr>
          <w:p w14:paraId="2D56526A" w14:textId="2B37EDF4"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37 (5.6)</w:t>
            </w:r>
          </w:p>
        </w:tc>
      </w:tr>
      <w:tr w:rsidR="00DB5FFF" w:rsidRPr="00874DFC" w14:paraId="39EB79FF"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tcPr>
          <w:p w14:paraId="7B2D1F3F" w14:textId="64DE427C" w:rsidR="00DB5FFF" w:rsidRPr="00874DFC" w:rsidRDefault="00DB5FFF" w:rsidP="00CE3A13">
            <w:pPr>
              <w:pStyle w:val="TableBodyText-H54"/>
              <w:ind w:left="313"/>
              <w:rPr>
                <w:rFonts w:ascii="Arial" w:hAnsi="Arial" w:cs="Arial"/>
                <w:sz w:val="20"/>
                <w:lang w:val="en-US" w:eastAsia="en-GB"/>
              </w:rPr>
            </w:pPr>
            <w:r w:rsidRPr="00874DFC">
              <w:rPr>
                <w:rFonts w:ascii="Arial" w:hAnsi="Arial" w:cs="Arial"/>
                <w:sz w:val="20"/>
                <w:lang w:val="en-US" w:eastAsia="en-GB"/>
              </w:rPr>
              <w:t>Constipation</w:t>
            </w:r>
          </w:p>
        </w:tc>
        <w:tc>
          <w:tcPr>
            <w:tcW w:w="1485" w:type="dxa"/>
            <w:vAlign w:val="top"/>
          </w:tcPr>
          <w:p w14:paraId="0D14BC2F" w14:textId="7199DEDF" w:rsidR="00DB5FFF"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9 (1.4)</w:t>
            </w:r>
          </w:p>
        </w:tc>
        <w:tc>
          <w:tcPr>
            <w:tcW w:w="1479" w:type="dxa"/>
            <w:vAlign w:val="top"/>
          </w:tcPr>
          <w:p w14:paraId="6F841A22" w14:textId="37081303" w:rsidR="00DB5FFF"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6 (0.9)</w:t>
            </w:r>
          </w:p>
        </w:tc>
      </w:tr>
      <w:tr w:rsidR="00DB5FFF" w:rsidRPr="00874DFC" w14:paraId="2F01C2C5"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tcPr>
          <w:p w14:paraId="035FB042" w14:textId="4BCE399F" w:rsidR="00DB5FFF" w:rsidRPr="00874DFC" w:rsidRDefault="00DB5FFF" w:rsidP="00CE3A13">
            <w:pPr>
              <w:pStyle w:val="TableBodyText-H54"/>
              <w:ind w:left="313"/>
              <w:rPr>
                <w:rFonts w:ascii="Arial" w:hAnsi="Arial" w:cs="Arial"/>
                <w:sz w:val="20"/>
                <w:lang w:val="en-US" w:eastAsia="en-GB"/>
              </w:rPr>
            </w:pPr>
            <w:r w:rsidRPr="00874DFC">
              <w:rPr>
                <w:rFonts w:ascii="Arial" w:hAnsi="Arial" w:cs="Arial"/>
                <w:sz w:val="20"/>
                <w:lang w:val="en-US" w:eastAsia="en-GB"/>
              </w:rPr>
              <w:t>Dyspepsia</w:t>
            </w:r>
          </w:p>
        </w:tc>
        <w:tc>
          <w:tcPr>
            <w:tcW w:w="1485" w:type="dxa"/>
            <w:vAlign w:val="top"/>
          </w:tcPr>
          <w:p w14:paraId="08F9928C" w14:textId="4185794E" w:rsidR="00DB5FFF"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4 (0.6)</w:t>
            </w:r>
          </w:p>
        </w:tc>
        <w:tc>
          <w:tcPr>
            <w:tcW w:w="1479" w:type="dxa"/>
            <w:vAlign w:val="top"/>
          </w:tcPr>
          <w:p w14:paraId="6977ABAC" w14:textId="388B786F" w:rsidR="00DB5FFF"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8 (1.2)</w:t>
            </w:r>
          </w:p>
        </w:tc>
      </w:tr>
      <w:tr w:rsidR="00F72116" w:rsidRPr="00874DFC" w14:paraId="02FF1BE6"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4C96F4C"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Nervous system disorders</w:t>
            </w:r>
          </w:p>
        </w:tc>
        <w:tc>
          <w:tcPr>
            <w:tcW w:w="1485" w:type="dxa"/>
            <w:vAlign w:val="top"/>
          </w:tcPr>
          <w:p w14:paraId="2EBF8031" w14:textId="5997FEA8"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65 (9.8)</w:t>
            </w:r>
          </w:p>
        </w:tc>
        <w:tc>
          <w:tcPr>
            <w:tcW w:w="1479" w:type="dxa"/>
            <w:vAlign w:val="top"/>
          </w:tcPr>
          <w:p w14:paraId="03A59984" w14:textId="3711660C"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67 (10.1)</w:t>
            </w:r>
          </w:p>
        </w:tc>
      </w:tr>
      <w:tr w:rsidR="00F72116" w:rsidRPr="00874DFC" w14:paraId="40802A42"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FDDE9D9"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Headache</w:t>
            </w:r>
          </w:p>
        </w:tc>
        <w:tc>
          <w:tcPr>
            <w:tcW w:w="1485" w:type="dxa"/>
            <w:vAlign w:val="top"/>
          </w:tcPr>
          <w:p w14:paraId="4F60F284" w14:textId="3184AD3B"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41 (6.2)</w:t>
            </w:r>
          </w:p>
        </w:tc>
        <w:tc>
          <w:tcPr>
            <w:tcW w:w="1479" w:type="dxa"/>
            <w:vAlign w:val="top"/>
          </w:tcPr>
          <w:p w14:paraId="554483C6" w14:textId="49F6863A"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39 (5.9)</w:t>
            </w:r>
          </w:p>
        </w:tc>
      </w:tr>
      <w:tr w:rsidR="00F72116" w:rsidRPr="00874DFC" w14:paraId="70B67CF2"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FE1EBF6"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Dizziness</w:t>
            </w:r>
          </w:p>
        </w:tc>
        <w:tc>
          <w:tcPr>
            <w:tcW w:w="1485" w:type="dxa"/>
            <w:vAlign w:val="top"/>
          </w:tcPr>
          <w:p w14:paraId="692608DE" w14:textId="11883817"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12 (1.8)</w:t>
            </w:r>
          </w:p>
        </w:tc>
        <w:tc>
          <w:tcPr>
            <w:tcW w:w="1479" w:type="dxa"/>
            <w:vAlign w:val="top"/>
          </w:tcPr>
          <w:p w14:paraId="732F17F1" w14:textId="31DC75BD"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14 (2.1)</w:t>
            </w:r>
          </w:p>
        </w:tc>
      </w:tr>
      <w:tr w:rsidR="00F72116" w:rsidRPr="00874DFC" w14:paraId="05446206"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3E44E9F"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Skin and subcutaneous tissue disorders</w:t>
            </w:r>
          </w:p>
        </w:tc>
        <w:tc>
          <w:tcPr>
            <w:tcW w:w="1485" w:type="dxa"/>
            <w:vAlign w:val="top"/>
          </w:tcPr>
          <w:p w14:paraId="08A8E33C" w14:textId="719DB404"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47 (7.1)</w:t>
            </w:r>
          </w:p>
        </w:tc>
        <w:tc>
          <w:tcPr>
            <w:tcW w:w="1479" w:type="dxa"/>
            <w:vAlign w:val="top"/>
          </w:tcPr>
          <w:p w14:paraId="5222347C" w14:textId="4A0FEDEC"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40 (6.0)</w:t>
            </w:r>
          </w:p>
        </w:tc>
      </w:tr>
      <w:tr w:rsidR="00F72116" w:rsidRPr="00874DFC" w14:paraId="3B3F3F8F"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B714604" w14:textId="55106167" w:rsidR="00F72116" w:rsidRPr="00874DFC" w:rsidRDefault="00DB5FFF" w:rsidP="00CE3A13">
            <w:pPr>
              <w:pStyle w:val="TableBodyText-H54"/>
              <w:ind w:left="313"/>
              <w:rPr>
                <w:rFonts w:ascii="Arial" w:hAnsi="Arial" w:cs="Arial"/>
                <w:sz w:val="20"/>
                <w:lang w:val="en-US" w:eastAsia="en-GB"/>
              </w:rPr>
            </w:pPr>
            <w:r w:rsidRPr="00874DFC">
              <w:rPr>
                <w:rFonts w:ascii="Arial" w:hAnsi="Arial" w:cs="Arial"/>
                <w:sz w:val="20"/>
                <w:lang w:val="en-US" w:eastAsia="en-GB"/>
              </w:rPr>
              <w:t xml:space="preserve">Pruritus </w:t>
            </w:r>
            <w:r w:rsidR="009F4BE8" w:rsidRPr="00874DFC">
              <w:rPr>
                <w:rFonts w:ascii="Arial" w:hAnsi="Arial" w:cs="Arial"/>
                <w:sz w:val="20"/>
                <w:lang w:val="en-US" w:eastAsia="en-GB"/>
              </w:rPr>
              <w:t>generalized</w:t>
            </w:r>
          </w:p>
        </w:tc>
        <w:tc>
          <w:tcPr>
            <w:tcW w:w="1485" w:type="dxa"/>
            <w:vAlign w:val="top"/>
          </w:tcPr>
          <w:p w14:paraId="3397C605" w14:textId="71CD0F30"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11 (1.7)</w:t>
            </w:r>
          </w:p>
        </w:tc>
        <w:tc>
          <w:tcPr>
            <w:tcW w:w="1479" w:type="dxa"/>
            <w:vAlign w:val="top"/>
          </w:tcPr>
          <w:p w14:paraId="60947AFE" w14:textId="62CCA191"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7 (1.1)</w:t>
            </w:r>
          </w:p>
        </w:tc>
      </w:tr>
      <w:tr w:rsidR="00DB5FFF" w:rsidRPr="00874DFC" w14:paraId="222F1953"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tcPr>
          <w:p w14:paraId="5CFAD6DD" w14:textId="6DEEF735" w:rsidR="00DB5FFF" w:rsidRPr="00874DFC" w:rsidRDefault="00DB5FFF" w:rsidP="00CE3A13">
            <w:pPr>
              <w:pStyle w:val="TableBodyText-H54"/>
              <w:ind w:left="313"/>
              <w:rPr>
                <w:rFonts w:ascii="Arial" w:hAnsi="Arial" w:cs="Arial"/>
                <w:sz w:val="20"/>
                <w:lang w:val="en-US" w:eastAsia="en-GB"/>
              </w:rPr>
            </w:pPr>
            <w:r w:rsidRPr="00874DFC">
              <w:rPr>
                <w:rFonts w:ascii="Arial" w:hAnsi="Arial" w:cs="Arial"/>
                <w:sz w:val="20"/>
                <w:lang w:val="en-US" w:eastAsia="en-GB"/>
              </w:rPr>
              <w:t>Pruritus</w:t>
            </w:r>
          </w:p>
        </w:tc>
        <w:tc>
          <w:tcPr>
            <w:tcW w:w="1485" w:type="dxa"/>
            <w:vAlign w:val="top"/>
          </w:tcPr>
          <w:p w14:paraId="1E11C869" w14:textId="038E8F03" w:rsidR="00DB5FFF"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 (0.5)</w:t>
            </w:r>
          </w:p>
        </w:tc>
        <w:tc>
          <w:tcPr>
            <w:tcW w:w="1479" w:type="dxa"/>
            <w:vAlign w:val="top"/>
          </w:tcPr>
          <w:p w14:paraId="2B421BBE" w14:textId="0F112927" w:rsidR="00DB5FFF"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9 (1.4)</w:t>
            </w:r>
          </w:p>
        </w:tc>
      </w:tr>
      <w:tr w:rsidR="00F72116" w:rsidRPr="00874DFC" w14:paraId="6B2AC058"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4763043"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General disorders and administration site conditions</w:t>
            </w:r>
          </w:p>
        </w:tc>
        <w:tc>
          <w:tcPr>
            <w:tcW w:w="1485" w:type="dxa"/>
            <w:vAlign w:val="top"/>
          </w:tcPr>
          <w:p w14:paraId="45262F9D" w14:textId="20648673"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36 (5.4)</w:t>
            </w:r>
          </w:p>
        </w:tc>
        <w:tc>
          <w:tcPr>
            <w:tcW w:w="1479" w:type="dxa"/>
            <w:vAlign w:val="top"/>
          </w:tcPr>
          <w:p w14:paraId="64FD797E" w14:textId="4B86B5FB" w:rsidR="00F72116" w:rsidRPr="00874DFC" w:rsidRDefault="00DB5FFF"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39 (5.9)</w:t>
            </w:r>
          </w:p>
        </w:tc>
      </w:tr>
      <w:tr w:rsidR="00F72116" w:rsidRPr="00874DFC" w14:paraId="554E555D"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221ED8C"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Fatigue</w:t>
            </w:r>
          </w:p>
        </w:tc>
        <w:tc>
          <w:tcPr>
            <w:tcW w:w="1485" w:type="dxa"/>
            <w:vAlign w:val="top"/>
          </w:tcPr>
          <w:p w14:paraId="4AA2FE2F" w14:textId="0A002D9C"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9 (1.4)</w:t>
            </w:r>
          </w:p>
        </w:tc>
        <w:tc>
          <w:tcPr>
            <w:tcW w:w="1479" w:type="dxa"/>
            <w:vAlign w:val="top"/>
          </w:tcPr>
          <w:p w14:paraId="69FE213F" w14:textId="43E281D4" w:rsidR="00F72116" w:rsidRPr="00874DFC" w:rsidRDefault="00DB5FFF"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12 (1.8)</w:t>
            </w:r>
          </w:p>
        </w:tc>
      </w:tr>
      <w:tr w:rsidR="00F72116" w:rsidRPr="00874DFC" w14:paraId="3EB1D0B5"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92DA4B5"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Infections and infestations</w:t>
            </w:r>
          </w:p>
        </w:tc>
        <w:tc>
          <w:tcPr>
            <w:tcW w:w="1485" w:type="dxa"/>
            <w:vAlign w:val="top"/>
          </w:tcPr>
          <w:p w14:paraId="27147804" w14:textId="61184A4C" w:rsidR="00F72116" w:rsidRPr="00874DFC" w:rsidRDefault="0076134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91 (13.7)</w:t>
            </w:r>
          </w:p>
        </w:tc>
        <w:tc>
          <w:tcPr>
            <w:tcW w:w="1479" w:type="dxa"/>
            <w:vAlign w:val="top"/>
          </w:tcPr>
          <w:p w14:paraId="574CF723" w14:textId="7BE73985" w:rsidR="00F72116" w:rsidRPr="00874DFC" w:rsidRDefault="0076134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78 (11.8)</w:t>
            </w:r>
          </w:p>
        </w:tc>
      </w:tr>
      <w:tr w:rsidR="00F72116" w:rsidRPr="00874DFC" w14:paraId="68802F9B"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6A0852C" w14:textId="02AC7864" w:rsidR="00F72116" w:rsidRPr="00874DFC" w:rsidRDefault="00761341" w:rsidP="00CE3A13">
            <w:pPr>
              <w:pStyle w:val="TableBodyText-H54"/>
              <w:ind w:left="313"/>
              <w:rPr>
                <w:rFonts w:ascii="Arial" w:hAnsi="Arial" w:cs="Arial"/>
                <w:sz w:val="20"/>
                <w:lang w:val="en-US" w:eastAsia="en-GB"/>
              </w:rPr>
            </w:pPr>
            <w:r w:rsidRPr="00874DFC">
              <w:rPr>
                <w:rFonts w:ascii="Arial" w:hAnsi="Arial" w:cs="Arial"/>
                <w:sz w:val="20"/>
                <w:lang w:val="en-US" w:eastAsia="en-GB"/>
              </w:rPr>
              <w:t>Abscess</w:t>
            </w:r>
          </w:p>
        </w:tc>
        <w:tc>
          <w:tcPr>
            <w:tcW w:w="1485" w:type="dxa"/>
            <w:vAlign w:val="top"/>
          </w:tcPr>
          <w:p w14:paraId="1721C586" w14:textId="76CE6DDB" w:rsidR="00F72116"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35 (5.3)</w:t>
            </w:r>
          </w:p>
        </w:tc>
        <w:tc>
          <w:tcPr>
            <w:tcW w:w="1479" w:type="dxa"/>
            <w:vAlign w:val="top"/>
          </w:tcPr>
          <w:p w14:paraId="05A365AC" w14:textId="685967E9" w:rsidR="00F72116"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26 (3.9)</w:t>
            </w:r>
          </w:p>
        </w:tc>
      </w:tr>
      <w:tr w:rsidR="00761341" w:rsidRPr="00874DFC" w14:paraId="0636E2EE"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tcPr>
          <w:p w14:paraId="77348419" w14:textId="2D934316" w:rsidR="00761341" w:rsidRPr="00874DFC" w:rsidRDefault="00761341" w:rsidP="00CE3A13">
            <w:pPr>
              <w:pStyle w:val="TableBodyText-H54"/>
              <w:ind w:left="313"/>
              <w:rPr>
                <w:rFonts w:ascii="Arial" w:hAnsi="Arial" w:cs="Arial"/>
                <w:sz w:val="20"/>
                <w:lang w:val="en-US" w:eastAsia="en-GB"/>
              </w:rPr>
            </w:pPr>
            <w:r w:rsidRPr="00874DFC">
              <w:rPr>
                <w:rFonts w:ascii="Arial" w:hAnsi="Arial" w:cs="Arial"/>
                <w:sz w:val="20"/>
                <w:lang w:val="en-US" w:eastAsia="en-GB"/>
              </w:rPr>
              <w:t>Cellulitis</w:t>
            </w:r>
          </w:p>
        </w:tc>
        <w:tc>
          <w:tcPr>
            <w:tcW w:w="1485" w:type="dxa"/>
            <w:vAlign w:val="top"/>
          </w:tcPr>
          <w:p w14:paraId="34BC9F81" w14:textId="48F45180" w:rsidR="00761341" w:rsidRPr="00874DFC" w:rsidRDefault="009A651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17 (2.6)</w:t>
            </w:r>
          </w:p>
        </w:tc>
        <w:tc>
          <w:tcPr>
            <w:tcW w:w="1479" w:type="dxa"/>
            <w:vAlign w:val="top"/>
          </w:tcPr>
          <w:p w14:paraId="433FEB69" w14:textId="5FE77F01" w:rsidR="00761341" w:rsidRPr="00874DFC" w:rsidRDefault="009A651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14 (2.1)</w:t>
            </w:r>
          </w:p>
        </w:tc>
      </w:tr>
      <w:tr w:rsidR="00761341" w:rsidRPr="00874DFC" w14:paraId="1BD6AD44"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tcPr>
          <w:p w14:paraId="14C0B8A6" w14:textId="1D5CCCB0" w:rsidR="00761341" w:rsidRPr="00874DFC" w:rsidRDefault="00761341" w:rsidP="00CE3A13">
            <w:pPr>
              <w:pStyle w:val="TableBodyText-H54"/>
              <w:ind w:left="313"/>
              <w:rPr>
                <w:rFonts w:ascii="Arial" w:hAnsi="Arial" w:cs="Arial"/>
                <w:sz w:val="20"/>
                <w:lang w:val="en-US" w:eastAsia="en-GB"/>
              </w:rPr>
            </w:pPr>
            <w:r w:rsidRPr="00874DFC">
              <w:rPr>
                <w:rFonts w:ascii="Arial" w:hAnsi="Arial" w:cs="Arial"/>
                <w:sz w:val="20"/>
                <w:lang w:val="en-US" w:eastAsia="en-GB"/>
              </w:rPr>
              <w:t>Vulvovaginal mycotic infection</w:t>
            </w:r>
          </w:p>
        </w:tc>
        <w:tc>
          <w:tcPr>
            <w:tcW w:w="1485" w:type="dxa"/>
            <w:vAlign w:val="top"/>
          </w:tcPr>
          <w:p w14:paraId="40788435" w14:textId="4F002B98" w:rsidR="00761341"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2 (0.3)</w:t>
            </w:r>
          </w:p>
        </w:tc>
        <w:tc>
          <w:tcPr>
            <w:tcW w:w="1479" w:type="dxa"/>
            <w:vAlign w:val="top"/>
          </w:tcPr>
          <w:p w14:paraId="6A74BF2A" w14:textId="54954514" w:rsidR="00761341"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9 (1.4)</w:t>
            </w:r>
          </w:p>
        </w:tc>
      </w:tr>
      <w:tr w:rsidR="00F72116" w:rsidRPr="00874DFC" w14:paraId="06F4846A"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18AF2906"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Psychiatric disorders</w:t>
            </w:r>
          </w:p>
        </w:tc>
        <w:tc>
          <w:tcPr>
            <w:tcW w:w="1485" w:type="dxa"/>
            <w:vAlign w:val="top"/>
          </w:tcPr>
          <w:p w14:paraId="12C58B3F" w14:textId="7D87E874" w:rsidR="00F72116" w:rsidRPr="00874DFC" w:rsidRDefault="009A651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17 (2.6)</w:t>
            </w:r>
          </w:p>
        </w:tc>
        <w:tc>
          <w:tcPr>
            <w:tcW w:w="1479" w:type="dxa"/>
            <w:vAlign w:val="top"/>
          </w:tcPr>
          <w:p w14:paraId="3F7BAEFA" w14:textId="61EDA253" w:rsidR="00F72116" w:rsidRPr="00874DFC" w:rsidRDefault="009A6511"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8 (1.2)</w:t>
            </w:r>
          </w:p>
        </w:tc>
      </w:tr>
      <w:tr w:rsidR="00F72116" w:rsidRPr="00874DFC" w14:paraId="6AEDE078"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D8896F2" w14:textId="77777777" w:rsidR="00F72116" w:rsidRPr="00874DFC" w:rsidRDefault="00F72116" w:rsidP="00CE3A13">
            <w:pPr>
              <w:pStyle w:val="TableBodyText-H54"/>
              <w:ind w:left="313"/>
              <w:rPr>
                <w:rFonts w:ascii="Arial" w:hAnsi="Arial" w:cs="Arial"/>
                <w:sz w:val="20"/>
                <w:lang w:val="en-US" w:eastAsia="en-GB"/>
              </w:rPr>
            </w:pPr>
            <w:r w:rsidRPr="00874DFC">
              <w:rPr>
                <w:rFonts w:ascii="Arial" w:hAnsi="Arial" w:cs="Arial"/>
                <w:sz w:val="20"/>
                <w:lang w:val="en-US" w:eastAsia="en-GB"/>
              </w:rPr>
              <w:t>Insomnia</w:t>
            </w:r>
          </w:p>
        </w:tc>
        <w:tc>
          <w:tcPr>
            <w:tcW w:w="1485" w:type="dxa"/>
            <w:vAlign w:val="top"/>
          </w:tcPr>
          <w:p w14:paraId="2C13A3D9" w14:textId="7479317A" w:rsidR="00F72116"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10 (1.5)</w:t>
            </w:r>
          </w:p>
        </w:tc>
        <w:tc>
          <w:tcPr>
            <w:tcW w:w="1479" w:type="dxa"/>
            <w:vAlign w:val="top"/>
          </w:tcPr>
          <w:p w14:paraId="08817EE6" w14:textId="686C01AA" w:rsidR="00F72116" w:rsidRPr="00874DFC" w:rsidRDefault="009A6511"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5 (0.8)</w:t>
            </w:r>
          </w:p>
        </w:tc>
      </w:tr>
    </w:tbl>
    <w:p w14:paraId="01DAD3D2" w14:textId="796FB13D" w:rsidR="00F72116" w:rsidRPr="00874DFC" w:rsidRDefault="00F72116" w:rsidP="00F72116">
      <w:pPr>
        <w:pStyle w:val="TableNote-H58"/>
        <w:rPr>
          <w:rFonts w:ascii="Arial" w:hAnsi="Arial" w:cs="Arial"/>
          <w:sz w:val="16"/>
          <w:szCs w:val="16"/>
          <w:lang w:val="en-US"/>
        </w:rPr>
      </w:pPr>
      <w:r w:rsidRPr="00874DFC">
        <w:rPr>
          <w:rFonts w:ascii="Arial" w:hAnsi="Arial" w:cs="Arial"/>
          <w:sz w:val="16"/>
          <w:szCs w:val="16"/>
          <w:lang w:val="en-US"/>
        </w:rPr>
        <w:t>SOURCE:</w:t>
      </w:r>
      <w:r w:rsidR="002A33A2">
        <w:rPr>
          <w:rFonts w:ascii="Arial" w:hAnsi="Arial" w:cs="Arial"/>
          <w:sz w:val="16"/>
          <w:szCs w:val="16"/>
          <w:lang w:val="en-US"/>
        </w:rPr>
        <w:t xml:space="preserve"> </w:t>
      </w:r>
      <w:r w:rsidR="002A33A2">
        <w:rPr>
          <w:rFonts w:ascii="Arial" w:hAnsi="Arial" w:cs="Arial"/>
          <w:sz w:val="16"/>
          <w:szCs w:val="16"/>
          <w:lang w:val="en-US"/>
        </w:rPr>
        <w:fldChar w:fldCharType="begin"/>
      </w:r>
      <w:r w:rsidR="002A33A2">
        <w:rPr>
          <w:rFonts w:ascii="Arial" w:hAnsi="Arial" w:cs="Arial"/>
          <w:sz w:val="16"/>
          <w:szCs w:val="16"/>
          <w:lang w:val="en-US"/>
        </w:rPr>
        <w:instrText xml:space="preserve"> REF _Ref284184350 \r \h </w:instrText>
      </w:r>
      <w:r w:rsidR="002A33A2">
        <w:rPr>
          <w:rFonts w:ascii="Arial" w:hAnsi="Arial" w:cs="Arial"/>
          <w:sz w:val="16"/>
          <w:szCs w:val="16"/>
          <w:lang w:val="en-US"/>
        </w:rPr>
      </w:r>
      <w:r w:rsidR="002A33A2">
        <w:rPr>
          <w:rFonts w:ascii="Arial" w:hAnsi="Arial" w:cs="Arial"/>
          <w:sz w:val="16"/>
          <w:szCs w:val="16"/>
          <w:lang w:val="en-US"/>
        </w:rPr>
        <w:fldChar w:fldCharType="separate"/>
      </w:r>
      <w:r w:rsidR="00151A1C">
        <w:rPr>
          <w:rFonts w:ascii="Arial" w:hAnsi="Arial" w:cs="Arial"/>
          <w:sz w:val="16"/>
          <w:szCs w:val="16"/>
          <w:lang w:val="en-US"/>
        </w:rPr>
        <w:t>52</w:t>
      </w:r>
      <w:r w:rsidR="002A33A2">
        <w:rPr>
          <w:rFonts w:ascii="Arial" w:hAnsi="Arial" w:cs="Arial"/>
          <w:sz w:val="16"/>
          <w:szCs w:val="16"/>
          <w:lang w:val="en-US"/>
        </w:rPr>
        <w:fldChar w:fldCharType="end"/>
      </w:r>
      <w:r w:rsidR="001D4879" w:rsidRPr="00874DFC">
        <w:rPr>
          <w:rFonts w:ascii="Arial" w:hAnsi="Arial" w:cs="Arial"/>
          <w:sz w:val="16"/>
          <w:szCs w:val="16"/>
          <w:lang w:val="en-US"/>
        </w:rPr>
        <w:t>; ISS 2013</w:t>
      </w:r>
      <w:r w:rsidR="002A33A2">
        <w:rPr>
          <w:rFonts w:ascii="Arial" w:hAnsi="Arial" w:cs="Arial"/>
          <w:sz w:val="16"/>
          <w:szCs w:val="16"/>
          <w:lang w:val="en-US"/>
        </w:rPr>
        <w:t xml:space="preserve"> </w:t>
      </w:r>
      <w:r w:rsidR="002A33A2">
        <w:rPr>
          <w:rFonts w:ascii="Arial" w:hAnsi="Arial" w:cs="Arial"/>
          <w:sz w:val="16"/>
          <w:szCs w:val="16"/>
          <w:lang w:val="en-US"/>
        </w:rPr>
        <w:fldChar w:fldCharType="begin"/>
      </w:r>
      <w:r w:rsidR="002A33A2">
        <w:rPr>
          <w:rFonts w:ascii="Arial" w:hAnsi="Arial" w:cs="Arial"/>
          <w:sz w:val="16"/>
          <w:szCs w:val="16"/>
          <w:lang w:val="en-US"/>
        </w:rPr>
        <w:instrText xml:space="preserve"> REF _Ref284184395 \r \h </w:instrText>
      </w:r>
      <w:r w:rsidR="002A33A2">
        <w:rPr>
          <w:rFonts w:ascii="Arial" w:hAnsi="Arial" w:cs="Arial"/>
          <w:sz w:val="16"/>
          <w:szCs w:val="16"/>
          <w:lang w:val="en-US"/>
        </w:rPr>
      </w:r>
      <w:r w:rsidR="002A33A2">
        <w:rPr>
          <w:rFonts w:ascii="Arial" w:hAnsi="Arial" w:cs="Arial"/>
          <w:sz w:val="16"/>
          <w:szCs w:val="16"/>
          <w:lang w:val="en-US"/>
        </w:rPr>
        <w:fldChar w:fldCharType="separate"/>
      </w:r>
      <w:r w:rsidR="00151A1C">
        <w:rPr>
          <w:rFonts w:ascii="Arial" w:hAnsi="Arial" w:cs="Arial"/>
          <w:sz w:val="16"/>
          <w:szCs w:val="16"/>
          <w:lang w:val="en-US"/>
        </w:rPr>
        <w:t>53</w:t>
      </w:r>
      <w:r w:rsidR="002A33A2">
        <w:rPr>
          <w:rFonts w:ascii="Arial" w:hAnsi="Arial" w:cs="Arial"/>
          <w:sz w:val="16"/>
          <w:szCs w:val="16"/>
          <w:lang w:val="en-US"/>
        </w:rPr>
        <w:fldChar w:fldCharType="end"/>
      </w:r>
      <w:r w:rsidR="001D4879" w:rsidRPr="00874DFC">
        <w:rPr>
          <w:rFonts w:ascii="Arial" w:hAnsi="Arial" w:cs="Arial"/>
          <w:sz w:val="16"/>
          <w:szCs w:val="16"/>
          <w:lang w:val="en-US"/>
        </w:rPr>
        <w:t>: section 4.2.2 Table 27</w:t>
      </w:r>
      <w:r w:rsidRPr="00874DFC">
        <w:rPr>
          <w:rFonts w:ascii="Arial" w:hAnsi="Arial" w:cs="Arial"/>
          <w:sz w:val="16"/>
          <w:szCs w:val="16"/>
          <w:lang w:val="en-US"/>
        </w:rPr>
        <w:t xml:space="preserve"> </w:t>
      </w:r>
      <w:r w:rsidR="00025376" w:rsidRPr="00874DFC">
        <w:rPr>
          <w:rFonts w:ascii="Arial" w:hAnsi="Arial" w:cs="Arial"/>
          <w:sz w:val="16"/>
          <w:szCs w:val="16"/>
          <w:lang w:val="en-US"/>
        </w:rPr>
        <w:t xml:space="preserve"> </w:t>
      </w:r>
      <w:r w:rsidRPr="00874DFC">
        <w:rPr>
          <w:rFonts w:ascii="Arial" w:hAnsi="Arial" w:cs="Arial"/>
          <w:sz w:val="16"/>
          <w:szCs w:val="16"/>
          <w:lang w:val="en-US"/>
        </w:rPr>
        <w:t>*Round-off values are equal to 1%</w:t>
      </w:r>
      <w:r w:rsidR="00025376" w:rsidRPr="00874DFC">
        <w:rPr>
          <w:rFonts w:ascii="Arial" w:hAnsi="Arial" w:cs="Arial"/>
          <w:sz w:val="16"/>
          <w:szCs w:val="16"/>
          <w:lang w:val="en-US"/>
        </w:rPr>
        <w:t xml:space="preserve"> </w:t>
      </w:r>
      <w:r w:rsidRPr="00874DFC">
        <w:rPr>
          <w:rFonts w:ascii="Arial" w:hAnsi="Arial" w:cs="Arial"/>
          <w:sz w:val="16"/>
          <w:szCs w:val="16"/>
          <w:lang w:val="en-US"/>
        </w:rPr>
        <w:t>N: Number of patients in population; n: Number of patients in specific category; TEAE: Treatment-emergent adverse event</w:t>
      </w:r>
    </w:p>
    <w:p w14:paraId="6D325388" w14:textId="2BB4B698" w:rsidR="009F3484" w:rsidRPr="00874DFC" w:rsidRDefault="009F3484" w:rsidP="00F72116">
      <w:pPr>
        <w:pStyle w:val="TableNote-H58"/>
        <w:rPr>
          <w:rFonts w:ascii="Arial" w:hAnsi="Arial" w:cs="Arial"/>
          <w:sz w:val="18"/>
          <w:szCs w:val="18"/>
          <w:lang w:val="en-US"/>
        </w:rPr>
      </w:pPr>
      <w:r w:rsidRPr="00874DFC">
        <w:rPr>
          <w:rFonts w:ascii="Arial" w:hAnsi="Arial" w:cs="Arial"/>
          <w:sz w:val="18"/>
          <w:szCs w:val="18"/>
          <w:vertAlign w:val="superscript"/>
          <w:lang w:val="en-US"/>
        </w:rPr>
        <w:lastRenderedPageBreak/>
        <w:t>a</w:t>
      </w:r>
      <w:r w:rsidRPr="00874DFC">
        <w:rPr>
          <w:rFonts w:ascii="Arial" w:hAnsi="Arial" w:cs="Arial"/>
          <w:sz w:val="18"/>
          <w:szCs w:val="18"/>
          <w:lang w:val="en-US"/>
        </w:rPr>
        <w:t xml:space="preserve"> It should be noted that these data are incorrectly labe</w:t>
      </w:r>
      <w:r w:rsidR="00190B14" w:rsidRPr="00874DFC">
        <w:rPr>
          <w:rFonts w:ascii="Arial" w:hAnsi="Arial" w:cs="Arial"/>
          <w:sz w:val="18"/>
          <w:szCs w:val="18"/>
          <w:lang w:val="en-US"/>
        </w:rPr>
        <w:t>l</w:t>
      </w:r>
      <w:r w:rsidRPr="00874DFC">
        <w:rPr>
          <w:rFonts w:ascii="Arial" w:hAnsi="Arial" w:cs="Arial"/>
          <w:sz w:val="18"/>
          <w:szCs w:val="18"/>
          <w:lang w:val="en-US"/>
        </w:rPr>
        <w:t>led in Table 3 of Shorr 2014 as being TEAEs with ≥1%</w:t>
      </w:r>
      <w:r w:rsidRPr="00874DFC">
        <w:rPr>
          <w:rFonts w:ascii="Arial" w:hAnsi="Arial" w:cs="Arial"/>
          <w:sz w:val="18"/>
          <w:szCs w:val="18"/>
          <w:vertAlign w:val="superscript"/>
          <w:lang w:val="en-US"/>
        </w:rPr>
        <w:t xml:space="preserve"> </w:t>
      </w:r>
      <w:r w:rsidRPr="00874DFC">
        <w:rPr>
          <w:rFonts w:ascii="Arial" w:hAnsi="Arial" w:cs="Arial"/>
          <w:sz w:val="18"/>
          <w:szCs w:val="18"/>
          <w:lang w:val="en-US"/>
        </w:rPr>
        <w:t>incidence in the pooled Safety Population.</w:t>
      </w:r>
    </w:p>
    <w:p w14:paraId="42FCCB92" w14:textId="5B5168AF" w:rsidR="00F72116" w:rsidRPr="00874DFC" w:rsidRDefault="00F72116" w:rsidP="00F72116">
      <w:pPr>
        <w:pStyle w:val="Heading5"/>
        <w:rPr>
          <w:rFonts w:ascii="Arial" w:hAnsi="Arial" w:cs="Arial"/>
          <w:b/>
          <w:color w:val="auto"/>
          <w:sz w:val="22"/>
          <w:szCs w:val="22"/>
          <w:lang w:val="en-US"/>
        </w:rPr>
      </w:pPr>
      <w:r w:rsidRPr="00874DFC">
        <w:rPr>
          <w:rFonts w:ascii="Arial" w:hAnsi="Arial" w:cs="Arial"/>
          <w:b/>
          <w:color w:val="auto"/>
          <w:sz w:val="22"/>
          <w:szCs w:val="22"/>
          <w:lang w:val="en-US"/>
        </w:rPr>
        <w:t xml:space="preserve">Severity of adverse events in the pooled analysis </w:t>
      </w:r>
    </w:p>
    <w:p w14:paraId="0E86C720" w14:textId="376F77B6" w:rsidR="00190B14" w:rsidRPr="00874DFC" w:rsidRDefault="00F72116" w:rsidP="00F72116">
      <w:pPr>
        <w:pStyle w:val="BodyText"/>
        <w:rPr>
          <w:rFonts w:cs="Arial"/>
          <w:sz w:val="22"/>
          <w:szCs w:val="22"/>
          <w:lang w:val="en-US"/>
        </w:rPr>
      </w:pPr>
      <w:r w:rsidRPr="00874DFC">
        <w:rPr>
          <w:rFonts w:cs="Arial"/>
          <w:sz w:val="22"/>
          <w:szCs w:val="22"/>
          <w:lang w:val="en-US"/>
        </w:rPr>
        <w:t>The majority of TEAEs in both treatment groups were mild or moderate in severity with a comparable distribution of severity for tedizolid phosphate and linezolid treated patients (</w:t>
      </w:r>
      <w:r w:rsidR="00DE31CD" w:rsidRPr="00874DFC">
        <w:rPr>
          <w:rFonts w:cs="Arial"/>
          <w:sz w:val="22"/>
          <w:szCs w:val="22"/>
          <w:lang w:val="en-US"/>
        </w:rPr>
        <w:fldChar w:fldCharType="begin"/>
      </w:r>
      <w:r w:rsidR="00DE31CD" w:rsidRPr="00874DFC">
        <w:rPr>
          <w:rFonts w:cs="Arial"/>
          <w:sz w:val="22"/>
          <w:szCs w:val="22"/>
          <w:lang w:val="en-US"/>
        </w:rPr>
        <w:instrText xml:space="preserve"> REF _Ref381779375 \h </w:instrText>
      </w:r>
      <w:r w:rsidR="00DE31CD" w:rsidRPr="00874DFC">
        <w:rPr>
          <w:rFonts w:cs="Arial"/>
          <w:sz w:val="22"/>
          <w:szCs w:val="22"/>
          <w:lang w:val="en-US"/>
        </w:rPr>
      </w:r>
      <w:r w:rsidR="00DE31CD" w:rsidRPr="00874DFC">
        <w:rPr>
          <w:rFonts w:cs="Arial"/>
          <w:sz w:val="22"/>
          <w:szCs w:val="22"/>
          <w:lang w:val="en-US"/>
        </w:rPr>
        <w:fldChar w:fldCharType="separate"/>
      </w:r>
      <w:r w:rsidR="00151A1C" w:rsidRPr="00180DA3">
        <w:rPr>
          <w:rFonts w:cs="Arial"/>
          <w:sz w:val="22"/>
          <w:szCs w:val="22"/>
          <w:lang w:val="en-US"/>
        </w:rPr>
        <w:t xml:space="preserve">Table </w:t>
      </w:r>
      <w:r w:rsidR="00151A1C">
        <w:rPr>
          <w:rFonts w:cs="Arial"/>
          <w:noProof/>
          <w:sz w:val="22"/>
          <w:szCs w:val="22"/>
          <w:lang w:val="en-US"/>
        </w:rPr>
        <w:t>39</w:t>
      </w:r>
      <w:r w:rsidR="00DE31CD" w:rsidRPr="00874DFC">
        <w:rPr>
          <w:rFonts w:cs="Arial"/>
          <w:sz w:val="22"/>
          <w:szCs w:val="22"/>
          <w:lang w:val="en-US"/>
        </w:rPr>
        <w:fldChar w:fldCharType="end"/>
      </w:r>
      <w:r w:rsidRPr="00874DFC">
        <w:rPr>
          <w:rFonts w:cs="Arial"/>
          <w:sz w:val="22"/>
          <w:szCs w:val="22"/>
          <w:lang w:val="en-US"/>
        </w:rPr>
        <w:t>). In addition, the overall incidence of SAEs was low and comparable between the treatment groups (1.8% vs. 2.0%)</w:t>
      </w:r>
      <w:r w:rsidR="00190B14" w:rsidRPr="00874DFC">
        <w:rPr>
          <w:rFonts w:cs="Arial"/>
          <w:sz w:val="22"/>
          <w:szCs w:val="22"/>
          <w:lang w:val="en-US"/>
        </w:rPr>
        <w:t>(</w:t>
      </w:r>
      <w:r w:rsidR="002A33A2">
        <w:rPr>
          <w:rFonts w:cs="Arial"/>
          <w:sz w:val="22"/>
          <w:szCs w:val="22"/>
          <w:lang w:val="en-US"/>
        </w:rPr>
        <w:fldChar w:fldCharType="begin"/>
      </w:r>
      <w:r w:rsidR="002A33A2">
        <w:rPr>
          <w:rFonts w:cs="Arial"/>
          <w:sz w:val="22"/>
          <w:szCs w:val="22"/>
          <w:lang w:val="en-US"/>
        </w:rPr>
        <w:instrText xml:space="preserve"> REF _Ref284184395 \r \h </w:instrText>
      </w:r>
      <w:r w:rsidR="002A33A2">
        <w:rPr>
          <w:rFonts w:cs="Arial"/>
          <w:sz w:val="22"/>
          <w:szCs w:val="22"/>
          <w:lang w:val="en-US"/>
        </w:rPr>
      </w:r>
      <w:r w:rsidR="002A33A2">
        <w:rPr>
          <w:rFonts w:cs="Arial"/>
          <w:sz w:val="22"/>
          <w:szCs w:val="22"/>
          <w:lang w:val="en-US"/>
        </w:rPr>
        <w:fldChar w:fldCharType="separate"/>
      </w:r>
      <w:r w:rsidR="00151A1C">
        <w:rPr>
          <w:rFonts w:cs="Arial"/>
          <w:sz w:val="22"/>
          <w:szCs w:val="22"/>
          <w:lang w:val="en-US"/>
        </w:rPr>
        <w:t>53</w:t>
      </w:r>
      <w:r w:rsidR="002A33A2">
        <w:rPr>
          <w:rFonts w:cs="Arial"/>
          <w:sz w:val="22"/>
          <w:szCs w:val="22"/>
          <w:lang w:val="en-US"/>
        </w:rPr>
        <w:fldChar w:fldCharType="end"/>
      </w:r>
      <w:r w:rsidR="00190B14" w:rsidRPr="00874DFC">
        <w:rPr>
          <w:rFonts w:cs="Arial"/>
          <w:sz w:val="22"/>
          <w:szCs w:val="22"/>
          <w:lang w:val="en-US"/>
        </w:rPr>
        <w:t>).</w:t>
      </w:r>
    </w:p>
    <w:p w14:paraId="4FC51E43" w14:textId="72A1C67B" w:rsidR="00F72116" w:rsidRPr="00180DA3" w:rsidRDefault="00F72116" w:rsidP="00F72116">
      <w:pPr>
        <w:pStyle w:val="Caption"/>
        <w:rPr>
          <w:rFonts w:ascii="Arial" w:hAnsi="Arial" w:cs="Arial"/>
          <w:sz w:val="22"/>
          <w:szCs w:val="22"/>
          <w:lang w:val="en-US"/>
        </w:rPr>
      </w:pPr>
      <w:bookmarkStart w:id="173" w:name="_Ref381779375"/>
      <w:bookmarkStart w:id="174" w:name="_Toc396058483"/>
      <w:r w:rsidRPr="00180DA3">
        <w:rPr>
          <w:rFonts w:ascii="Arial" w:hAnsi="Arial" w:cs="Arial"/>
          <w:sz w:val="22"/>
          <w:szCs w:val="22"/>
          <w:lang w:val="en-US"/>
        </w:rPr>
        <w:t xml:space="preserve">Table </w:t>
      </w:r>
      <w:r w:rsidRPr="00180DA3">
        <w:rPr>
          <w:rFonts w:ascii="Arial" w:hAnsi="Arial" w:cs="Arial"/>
          <w:sz w:val="22"/>
          <w:szCs w:val="22"/>
          <w:lang w:val="en-US"/>
        </w:rPr>
        <w:fldChar w:fldCharType="begin"/>
      </w:r>
      <w:r w:rsidRPr="00180DA3">
        <w:rPr>
          <w:rFonts w:ascii="Arial" w:hAnsi="Arial" w:cs="Arial"/>
          <w:sz w:val="22"/>
          <w:szCs w:val="22"/>
          <w:lang w:val="en-US"/>
        </w:rPr>
        <w:instrText xml:space="preserve"> SEQ Table \* ARABIC </w:instrText>
      </w:r>
      <w:r w:rsidRPr="00180DA3">
        <w:rPr>
          <w:rFonts w:ascii="Arial" w:hAnsi="Arial" w:cs="Arial"/>
          <w:sz w:val="22"/>
          <w:szCs w:val="22"/>
          <w:lang w:val="en-US"/>
        </w:rPr>
        <w:fldChar w:fldCharType="separate"/>
      </w:r>
      <w:r w:rsidR="00151A1C">
        <w:rPr>
          <w:rFonts w:ascii="Arial" w:hAnsi="Arial" w:cs="Arial"/>
          <w:noProof/>
          <w:sz w:val="22"/>
          <w:szCs w:val="22"/>
          <w:lang w:val="en-US"/>
        </w:rPr>
        <w:t>39</w:t>
      </w:r>
      <w:r w:rsidRPr="00180DA3">
        <w:rPr>
          <w:rFonts w:ascii="Arial" w:hAnsi="Arial" w:cs="Arial"/>
          <w:sz w:val="22"/>
          <w:szCs w:val="22"/>
          <w:lang w:val="en-US"/>
        </w:rPr>
        <w:fldChar w:fldCharType="end"/>
      </w:r>
      <w:bookmarkEnd w:id="173"/>
      <w:r w:rsidRPr="00180DA3">
        <w:rPr>
          <w:rFonts w:ascii="Arial" w:hAnsi="Arial" w:cs="Arial"/>
          <w:sz w:val="22"/>
          <w:szCs w:val="22"/>
          <w:lang w:val="en-US"/>
        </w:rPr>
        <w:t xml:space="preserve">: Distribution of TEAEs by severity in the pooled analysis </w:t>
      </w:r>
      <w:bookmarkEnd w:id="174"/>
      <w:r w:rsidR="00015AC7">
        <w:rPr>
          <w:rFonts w:ascii="Arial" w:hAnsi="Arial" w:cs="Arial"/>
          <w:sz w:val="22"/>
          <w:szCs w:val="22"/>
          <w:lang w:val="en-US"/>
        </w:rPr>
        <w:t>of safety data</w:t>
      </w:r>
    </w:p>
    <w:tbl>
      <w:tblPr>
        <w:tblStyle w:val="Table-HERONplain"/>
        <w:tblW w:w="0" w:type="auto"/>
        <w:tblLook w:val="04A0" w:firstRow="1" w:lastRow="0" w:firstColumn="1" w:lastColumn="0" w:noHBand="0" w:noVBand="1"/>
      </w:tblPr>
      <w:tblGrid>
        <w:gridCol w:w="6049"/>
        <w:gridCol w:w="1430"/>
        <w:gridCol w:w="1424"/>
      </w:tblGrid>
      <w:tr w:rsidR="00F72116" w:rsidRPr="00180DA3" w14:paraId="16EBFC93" w14:textId="77777777" w:rsidTr="0052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5826DE42" w14:textId="77777777" w:rsidR="00F72116" w:rsidRPr="002B2845" w:rsidRDefault="00F72116" w:rsidP="00CE3A13">
            <w:pPr>
              <w:pStyle w:val="TableBodyText-H54"/>
              <w:rPr>
                <w:rFonts w:ascii="Arial" w:hAnsi="Arial" w:cs="Arial"/>
                <w:sz w:val="20"/>
                <w:lang w:val="en-US" w:eastAsia="en-GB"/>
              </w:rPr>
            </w:pPr>
            <w:r w:rsidRPr="002B2845">
              <w:rPr>
                <w:rFonts w:ascii="Arial" w:hAnsi="Arial" w:cs="Arial"/>
                <w:sz w:val="20"/>
                <w:lang w:val="en-US" w:eastAsia="en-GB"/>
              </w:rPr>
              <w:t>TEAE severity</w:t>
            </w:r>
          </w:p>
        </w:tc>
        <w:tc>
          <w:tcPr>
            <w:tcW w:w="1438" w:type="dxa"/>
            <w:shd w:val="clear" w:color="auto" w:fill="auto"/>
            <w:hideMark/>
          </w:tcPr>
          <w:p w14:paraId="662975B9"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Tedizolid phosphate</w:t>
            </w:r>
          </w:p>
          <w:p w14:paraId="5F961BB0"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(N=662)</w:t>
            </w:r>
          </w:p>
          <w:p w14:paraId="1CB114D8"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 (%)</w:t>
            </w:r>
          </w:p>
        </w:tc>
        <w:tc>
          <w:tcPr>
            <w:tcW w:w="1438" w:type="dxa"/>
            <w:shd w:val="clear" w:color="auto" w:fill="auto"/>
            <w:hideMark/>
          </w:tcPr>
          <w:p w14:paraId="50795725"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Linezolid</w:t>
            </w:r>
          </w:p>
          <w:p w14:paraId="5A10F484"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(N=662)</w:t>
            </w:r>
          </w:p>
          <w:p w14:paraId="57815022" w14:textId="77777777" w:rsidR="00F72116" w:rsidRPr="002B2845"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n (%)</w:t>
            </w:r>
          </w:p>
        </w:tc>
      </w:tr>
      <w:tr w:rsidR="00F72116" w:rsidRPr="00180DA3" w14:paraId="516A76C5"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76454D2B" w14:textId="77777777" w:rsidR="00F72116" w:rsidRPr="002B2845" w:rsidRDefault="00F72116" w:rsidP="00CE3A13">
            <w:pPr>
              <w:pStyle w:val="TableBodyText-H54"/>
              <w:rPr>
                <w:rFonts w:ascii="Arial" w:hAnsi="Arial" w:cs="Arial"/>
                <w:sz w:val="20"/>
                <w:lang w:val="en-US" w:eastAsia="en-GB"/>
              </w:rPr>
            </w:pPr>
            <w:r w:rsidRPr="002B2845">
              <w:rPr>
                <w:rFonts w:ascii="Arial" w:hAnsi="Arial" w:cs="Arial"/>
                <w:sz w:val="20"/>
                <w:lang w:val="en-US" w:eastAsia="en-GB"/>
              </w:rPr>
              <w:t>Mild</w:t>
            </w:r>
          </w:p>
        </w:tc>
        <w:tc>
          <w:tcPr>
            <w:tcW w:w="1438" w:type="dxa"/>
            <w:vAlign w:val="top"/>
            <w:hideMark/>
          </w:tcPr>
          <w:p w14:paraId="5BAE6C8C" w14:textId="77777777" w:rsidR="00F72116" w:rsidRPr="002B2845"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195 (29.5) </w:t>
            </w:r>
          </w:p>
        </w:tc>
        <w:tc>
          <w:tcPr>
            <w:tcW w:w="1438" w:type="dxa"/>
            <w:vAlign w:val="top"/>
            <w:hideMark/>
          </w:tcPr>
          <w:p w14:paraId="4D870F80" w14:textId="77777777" w:rsidR="00F72116" w:rsidRPr="002B2845"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193 (29.2) </w:t>
            </w:r>
          </w:p>
        </w:tc>
      </w:tr>
      <w:tr w:rsidR="00F72116" w:rsidRPr="00180DA3" w14:paraId="19EFB038"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7C5B322A" w14:textId="77777777" w:rsidR="00F72116" w:rsidRPr="002B2845" w:rsidRDefault="00F72116" w:rsidP="00CE3A13">
            <w:pPr>
              <w:pStyle w:val="TableBodyText-H54"/>
              <w:rPr>
                <w:rFonts w:ascii="Arial" w:hAnsi="Arial" w:cs="Arial"/>
                <w:sz w:val="20"/>
                <w:lang w:val="en-US" w:eastAsia="en-GB"/>
              </w:rPr>
            </w:pPr>
            <w:r w:rsidRPr="002B2845">
              <w:rPr>
                <w:rFonts w:ascii="Arial" w:hAnsi="Arial" w:cs="Arial"/>
                <w:sz w:val="20"/>
                <w:lang w:val="en-US" w:eastAsia="en-GB"/>
              </w:rPr>
              <w:t>Moderate</w:t>
            </w:r>
          </w:p>
        </w:tc>
        <w:tc>
          <w:tcPr>
            <w:tcW w:w="1438" w:type="dxa"/>
            <w:vAlign w:val="top"/>
            <w:hideMark/>
          </w:tcPr>
          <w:p w14:paraId="51A063DA" w14:textId="77777777" w:rsidR="00F72116" w:rsidRPr="002B2845"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75 (11.3) </w:t>
            </w:r>
          </w:p>
        </w:tc>
        <w:tc>
          <w:tcPr>
            <w:tcW w:w="1438" w:type="dxa"/>
            <w:vAlign w:val="top"/>
            <w:hideMark/>
          </w:tcPr>
          <w:p w14:paraId="11237FEF" w14:textId="77777777" w:rsidR="00F72116" w:rsidRPr="002B2845"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80 (12.1) </w:t>
            </w:r>
          </w:p>
        </w:tc>
      </w:tr>
      <w:tr w:rsidR="00F72116" w:rsidRPr="00180DA3" w14:paraId="162FFC79" w14:textId="77777777" w:rsidTr="00521E5D">
        <w:tc>
          <w:tcPr>
            <w:cnfStyle w:val="001000000000" w:firstRow="0" w:lastRow="0" w:firstColumn="1" w:lastColumn="0" w:oddVBand="0" w:evenVBand="0" w:oddHBand="0" w:evenHBand="0" w:firstRowFirstColumn="0" w:firstRowLastColumn="0" w:lastRowFirstColumn="0" w:lastRowLastColumn="0"/>
            <w:tcW w:w="6253" w:type="dxa"/>
            <w:shd w:val="clear" w:color="auto" w:fill="auto"/>
            <w:hideMark/>
          </w:tcPr>
          <w:p w14:paraId="1B481742" w14:textId="77777777" w:rsidR="00F72116" w:rsidRPr="002B2845" w:rsidRDefault="00F72116" w:rsidP="00CE3A13">
            <w:pPr>
              <w:pStyle w:val="TableBodyText-H54"/>
              <w:rPr>
                <w:rFonts w:ascii="Arial" w:hAnsi="Arial" w:cs="Arial"/>
                <w:sz w:val="20"/>
                <w:lang w:val="en-US" w:eastAsia="en-GB"/>
              </w:rPr>
            </w:pPr>
            <w:r w:rsidRPr="002B2845">
              <w:rPr>
                <w:rFonts w:ascii="Arial" w:hAnsi="Arial" w:cs="Arial"/>
                <w:sz w:val="20"/>
                <w:lang w:val="en-US" w:eastAsia="en-GB"/>
              </w:rPr>
              <w:t>Severe</w:t>
            </w:r>
          </w:p>
        </w:tc>
        <w:tc>
          <w:tcPr>
            <w:tcW w:w="1438" w:type="dxa"/>
            <w:vAlign w:val="top"/>
            <w:hideMark/>
          </w:tcPr>
          <w:p w14:paraId="37B0FA52" w14:textId="77777777" w:rsidR="00F72116" w:rsidRPr="002B2845"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c>
          <w:tcPr>
            <w:tcW w:w="1438" w:type="dxa"/>
            <w:vAlign w:val="top"/>
            <w:hideMark/>
          </w:tcPr>
          <w:p w14:paraId="1B7FF03C" w14:textId="77777777" w:rsidR="00F72116" w:rsidRPr="002B2845"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2B2845">
              <w:rPr>
                <w:rFonts w:ascii="Arial" w:hAnsi="Arial" w:cs="Arial"/>
                <w:sz w:val="20"/>
                <w:lang w:val="en-US" w:eastAsia="en-GB"/>
              </w:rPr>
              <w:t xml:space="preserve">13 (2.0) </w:t>
            </w:r>
          </w:p>
        </w:tc>
      </w:tr>
    </w:tbl>
    <w:p w14:paraId="69CF4125" w14:textId="6576E238" w:rsidR="00F72116" w:rsidRPr="002B2845" w:rsidRDefault="00F72116" w:rsidP="00F72116">
      <w:pPr>
        <w:pStyle w:val="TableNote-H58"/>
        <w:rPr>
          <w:rFonts w:ascii="Arial" w:hAnsi="Arial" w:cs="Arial"/>
          <w:sz w:val="16"/>
          <w:szCs w:val="16"/>
          <w:lang w:val="en-US"/>
        </w:rPr>
      </w:pPr>
      <w:r w:rsidRPr="002B2845">
        <w:rPr>
          <w:rFonts w:ascii="Arial" w:hAnsi="Arial" w:cs="Arial"/>
          <w:sz w:val="16"/>
          <w:szCs w:val="16"/>
          <w:lang w:val="en-US"/>
        </w:rPr>
        <w:t>SOURCE: ISS 2013</w:t>
      </w:r>
      <w:r w:rsidR="002A33A2">
        <w:rPr>
          <w:rFonts w:ascii="Arial" w:hAnsi="Arial" w:cs="Arial"/>
          <w:sz w:val="16"/>
          <w:szCs w:val="16"/>
          <w:lang w:val="en-US"/>
        </w:rPr>
        <w:t xml:space="preserve"> </w:t>
      </w:r>
      <w:r w:rsidR="002A33A2">
        <w:rPr>
          <w:rFonts w:ascii="Arial" w:hAnsi="Arial" w:cs="Arial"/>
          <w:sz w:val="16"/>
          <w:szCs w:val="16"/>
          <w:lang w:val="en-US"/>
        </w:rPr>
        <w:fldChar w:fldCharType="begin"/>
      </w:r>
      <w:r w:rsidR="002A33A2">
        <w:rPr>
          <w:rFonts w:ascii="Arial" w:hAnsi="Arial" w:cs="Arial"/>
          <w:sz w:val="16"/>
          <w:szCs w:val="16"/>
          <w:lang w:val="en-US"/>
        </w:rPr>
        <w:instrText xml:space="preserve"> REF _Ref284184395 \r \h </w:instrText>
      </w:r>
      <w:r w:rsidR="002A33A2">
        <w:rPr>
          <w:rFonts w:ascii="Arial" w:hAnsi="Arial" w:cs="Arial"/>
          <w:sz w:val="16"/>
          <w:szCs w:val="16"/>
          <w:lang w:val="en-US"/>
        </w:rPr>
      </w:r>
      <w:r w:rsidR="002A33A2">
        <w:rPr>
          <w:rFonts w:ascii="Arial" w:hAnsi="Arial" w:cs="Arial"/>
          <w:sz w:val="16"/>
          <w:szCs w:val="16"/>
          <w:lang w:val="en-US"/>
        </w:rPr>
        <w:fldChar w:fldCharType="separate"/>
      </w:r>
      <w:r w:rsidR="00151A1C">
        <w:rPr>
          <w:rFonts w:ascii="Arial" w:hAnsi="Arial" w:cs="Arial"/>
          <w:sz w:val="16"/>
          <w:szCs w:val="16"/>
          <w:lang w:val="en-US"/>
        </w:rPr>
        <w:t>53</w:t>
      </w:r>
      <w:r w:rsidR="002A33A2">
        <w:rPr>
          <w:rFonts w:ascii="Arial" w:hAnsi="Arial" w:cs="Arial"/>
          <w:sz w:val="16"/>
          <w:szCs w:val="16"/>
          <w:lang w:val="en-US"/>
        </w:rPr>
        <w:fldChar w:fldCharType="end"/>
      </w:r>
      <w:r w:rsidRPr="002B2845">
        <w:rPr>
          <w:rFonts w:ascii="Arial" w:hAnsi="Arial" w:cs="Arial"/>
          <w:sz w:val="16"/>
          <w:szCs w:val="16"/>
          <w:lang w:val="en-US"/>
        </w:rPr>
        <w:t>: section 4.2.2 Table 29 N: Number of patients in population; n: Number of patients in specific category; TEAE: Treatment-emergent adverse event</w:t>
      </w:r>
    </w:p>
    <w:p w14:paraId="4F030B92" w14:textId="57DFD3EA" w:rsidR="00F72116" w:rsidRPr="00180DA3" w:rsidRDefault="00F72116" w:rsidP="00180DA3">
      <w:pPr>
        <w:pStyle w:val="Heading4"/>
        <w:keepLines w:val="0"/>
        <w:spacing w:before="240" w:after="120"/>
        <w:rPr>
          <w:rFonts w:ascii="Arial" w:hAnsi="Arial" w:cs="Arial"/>
          <w:i w:val="0"/>
          <w:color w:val="auto"/>
          <w:sz w:val="22"/>
          <w:szCs w:val="22"/>
          <w:lang w:val="en-US"/>
        </w:rPr>
      </w:pPr>
      <w:bookmarkStart w:id="175" w:name="_Ref382238318"/>
      <w:r w:rsidRPr="00180DA3">
        <w:rPr>
          <w:rFonts w:ascii="Arial" w:hAnsi="Arial" w:cs="Arial"/>
          <w:i w:val="0"/>
          <w:color w:val="auto"/>
          <w:sz w:val="22"/>
          <w:szCs w:val="22"/>
          <w:lang w:val="en-US"/>
        </w:rPr>
        <w:t xml:space="preserve">Tedizolid phosphate had a lower risk of gastrointestinal adverse events compared with linezolid </w:t>
      </w:r>
      <w:bookmarkEnd w:id="175"/>
    </w:p>
    <w:p w14:paraId="42DFC5CB" w14:textId="10EB3E2D" w:rsidR="00F72116" w:rsidRPr="00521E5D" w:rsidRDefault="00F72116" w:rsidP="00F72116">
      <w:pPr>
        <w:pStyle w:val="BodyText"/>
        <w:rPr>
          <w:rFonts w:cs="Arial"/>
          <w:sz w:val="22"/>
          <w:szCs w:val="22"/>
          <w:lang w:val="en-US"/>
        </w:rPr>
      </w:pPr>
      <w:r w:rsidRPr="00521E5D">
        <w:rPr>
          <w:rFonts w:cs="Arial"/>
          <w:sz w:val="22"/>
          <w:szCs w:val="22"/>
          <w:lang w:val="en-US"/>
        </w:rPr>
        <w:t xml:space="preserve">In the pooled analysis, the most commonly reported AEs considered related to </w:t>
      </w:r>
      <w:r w:rsidR="0089562B" w:rsidRPr="00521E5D">
        <w:rPr>
          <w:rFonts w:cs="Arial"/>
          <w:sz w:val="22"/>
          <w:szCs w:val="22"/>
          <w:lang w:val="en-US"/>
        </w:rPr>
        <w:t xml:space="preserve">the </w:t>
      </w:r>
      <w:r w:rsidRPr="00521E5D">
        <w:rPr>
          <w:rFonts w:cs="Arial"/>
          <w:sz w:val="22"/>
          <w:szCs w:val="22"/>
          <w:lang w:val="en-US"/>
        </w:rPr>
        <w:t xml:space="preserve">study </w:t>
      </w:r>
      <w:r w:rsidR="0089562B" w:rsidRPr="00521E5D">
        <w:rPr>
          <w:rFonts w:cs="Arial"/>
          <w:sz w:val="22"/>
          <w:szCs w:val="22"/>
          <w:lang w:val="en-US"/>
        </w:rPr>
        <w:t>medicine</w:t>
      </w:r>
      <w:r w:rsidRPr="00521E5D">
        <w:rPr>
          <w:rFonts w:cs="Arial"/>
          <w:sz w:val="22"/>
          <w:szCs w:val="22"/>
          <w:lang w:val="en-US"/>
        </w:rPr>
        <w:t xml:space="preserve"> in both treatment groups were gastrointestinal disorders, with fewer TEAEs reported by patients treated with tedizolid phosphate compared with linezolid (16.0% vs. 23.0%) (</w:t>
      </w:r>
      <w:r w:rsidR="00DE31CD" w:rsidRPr="00521E5D">
        <w:rPr>
          <w:rFonts w:cs="Arial"/>
          <w:sz w:val="22"/>
          <w:szCs w:val="22"/>
          <w:lang w:val="en-US"/>
        </w:rPr>
        <w:fldChar w:fldCharType="begin"/>
      </w:r>
      <w:r w:rsidR="00DE31CD" w:rsidRPr="00521E5D">
        <w:rPr>
          <w:rFonts w:cs="Arial"/>
          <w:sz w:val="22"/>
          <w:szCs w:val="22"/>
          <w:lang w:val="en-US"/>
        </w:rPr>
        <w:instrText xml:space="preserve"> REF _Ref281835049 \h </w:instrText>
      </w:r>
      <w:r w:rsidR="00DE31CD" w:rsidRPr="00521E5D">
        <w:rPr>
          <w:rFonts w:cs="Arial"/>
          <w:sz w:val="22"/>
          <w:szCs w:val="22"/>
          <w:lang w:val="en-US"/>
        </w:rPr>
      </w:r>
      <w:r w:rsidR="00DE31CD" w:rsidRPr="00521E5D">
        <w:rPr>
          <w:rFonts w:cs="Arial"/>
          <w:sz w:val="22"/>
          <w:szCs w:val="22"/>
          <w:lang w:val="en-US"/>
        </w:rPr>
        <w:fldChar w:fldCharType="separate"/>
      </w:r>
      <w:r w:rsidR="00151A1C" w:rsidRPr="00015AC7">
        <w:rPr>
          <w:rFonts w:cs="Arial"/>
          <w:b/>
          <w:sz w:val="22"/>
          <w:szCs w:val="22"/>
          <w:lang w:val="en-US"/>
        </w:rPr>
        <w:t xml:space="preserve">Table </w:t>
      </w:r>
      <w:r w:rsidR="00151A1C">
        <w:rPr>
          <w:rFonts w:cs="Arial"/>
          <w:b/>
          <w:noProof/>
          <w:sz w:val="22"/>
          <w:szCs w:val="22"/>
          <w:lang w:val="en-US"/>
        </w:rPr>
        <w:t>40</w:t>
      </w:r>
      <w:r w:rsidR="00DE31CD" w:rsidRPr="00521E5D">
        <w:rPr>
          <w:rFonts w:cs="Arial"/>
          <w:sz w:val="22"/>
          <w:szCs w:val="22"/>
          <w:lang w:val="en-US"/>
        </w:rPr>
        <w:fldChar w:fldCharType="end"/>
      </w:r>
      <w:r w:rsidRPr="00521E5D">
        <w:rPr>
          <w:rFonts w:cs="Arial"/>
          <w:sz w:val="22"/>
          <w:szCs w:val="22"/>
          <w:lang w:val="en-US"/>
        </w:rPr>
        <w:t>). A lower incidence was reported for nausea, diarrh</w:t>
      </w:r>
      <w:r w:rsidR="00190B14" w:rsidRPr="00521E5D">
        <w:rPr>
          <w:rFonts w:cs="Arial"/>
          <w:sz w:val="22"/>
          <w:szCs w:val="22"/>
          <w:lang w:val="en-US"/>
        </w:rPr>
        <w:t>o</w:t>
      </w:r>
      <w:r w:rsidRPr="00521E5D">
        <w:rPr>
          <w:rFonts w:cs="Arial"/>
          <w:sz w:val="22"/>
          <w:szCs w:val="22"/>
          <w:lang w:val="en-US"/>
        </w:rPr>
        <w:t>ea, vomiting, constipation, and dyspepsia for patients treated with tedizolid phosphate compared with patients treated with linezolid (</w:t>
      </w:r>
      <w:r w:rsidR="00DE31CD" w:rsidRPr="00521E5D">
        <w:rPr>
          <w:rFonts w:cs="Arial"/>
          <w:sz w:val="22"/>
          <w:szCs w:val="22"/>
          <w:lang w:val="en-US"/>
        </w:rPr>
        <w:fldChar w:fldCharType="begin"/>
      </w:r>
      <w:r w:rsidR="00DE31CD" w:rsidRPr="00521E5D">
        <w:rPr>
          <w:rFonts w:cs="Arial"/>
          <w:sz w:val="22"/>
          <w:szCs w:val="22"/>
          <w:lang w:val="en-US"/>
        </w:rPr>
        <w:instrText xml:space="preserve"> REF _Ref281835049 \h </w:instrText>
      </w:r>
      <w:r w:rsidR="00DE31CD" w:rsidRPr="00521E5D">
        <w:rPr>
          <w:rFonts w:cs="Arial"/>
          <w:sz w:val="22"/>
          <w:szCs w:val="22"/>
          <w:lang w:val="en-US"/>
        </w:rPr>
      </w:r>
      <w:r w:rsidR="00DE31CD" w:rsidRPr="00521E5D">
        <w:rPr>
          <w:rFonts w:cs="Arial"/>
          <w:sz w:val="22"/>
          <w:szCs w:val="22"/>
          <w:lang w:val="en-US"/>
        </w:rPr>
        <w:fldChar w:fldCharType="separate"/>
      </w:r>
      <w:r w:rsidR="00151A1C" w:rsidRPr="00015AC7">
        <w:rPr>
          <w:rFonts w:cs="Arial"/>
          <w:b/>
          <w:sz w:val="22"/>
          <w:szCs w:val="22"/>
          <w:lang w:val="en-US"/>
        </w:rPr>
        <w:t xml:space="preserve">Table </w:t>
      </w:r>
      <w:r w:rsidR="00151A1C">
        <w:rPr>
          <w:rFonts w:cs="Arial"/>
          <w:b/>
          <w:noProof/>
          <w:sz w:val="22"/>
          <w:szCs w:val="22"/>
          <w:lang w:val="en-US"/>
        </w:rPr>
        <w:t>40</w:t>
      </w:r>
      <w:r w:rsidR="00DE31CD" w:rsidRPr="00521E5D">
        <w:rPr>
          <w:rFonts w:cs="Arial"/>
          <w:sz w:val="22"/>
          <w:szCs w:val="22"/>
          <w:lang w:val="en-US"/>
        </w:rPr>
        <w:fldChar w:fldCharType="end"/>
      </w:r>
      <w:r w:rsidR="00190B14" w:rsidRPr="00521E5D">
        <w:rPr>
          <w:rFonts w:cs="Arial"/>
          <w:sz w:val="22"/>
          <w:szCs w:val="22"/>
          <w:lang w:val="en-US"/>
        </w:rPr>
        <w:t xml:space="preserve"> and </w:t>
      </w:r>
      <w:r w:rsidR="00190B14" w:rsidRPr="00521E5D">
        <w:rPr>
          <w:rFonts w:cs="Arial"/>
          <w:sz w:val="22"/>
          <w:szCs w:val="22"/>
          <w:lang w:val="en-US"/>
        </w:rPr>
        <w:fldChar w:fldCharType="begin"/>
      </w:r>
      <w:r w:rsidR="00190B14" w:rsidRPr="00521E5D">
        <w:rPr>
          <w:rFonts w:cs="Arial"/>
          <w:sz w:val="22"/>
          <w:szCs w:val="22"/>
          <w:lang w:val="en-US"/>
        </w:rPr>
        <w:instrText xml:space="preserve"> REF _Ref283568636 \h </w:instrText>
      </w:r>
      <w:r w:rsidR="00190B14" w:rsidRPr="00521E5D">
        <w:rPr>
          <w:rFonts w:cs="Arial"/>
          <w:sz w:val="22"/>
          <w:szCs w:val="22"/>
          <w:lang w:val="en-US"/>
        </w:rPr>
      </w:r>
      <w:r w:rsidR="00190B14" w:rsidRPr="00521E5D">
        <w:rPr>
          <w:rFonts w:cs="Arial"/>
          <w:sz w:val="22"/>
          <w:szCs w:val="22"/>
          <w:lang w:val="en-US"/>
        </w:rPr>
        <w:fldChar w:fldCharType="separate"/>
      </w:r>
      <w:r w:rsidR="00151A1C" w:rsidRPr="00850AED">
        <w:rPr>
          <w:rFonts w:cs="Arial"/>
          <w:sz w:val="22"/>
          <w:szCs w:val="22"/>
          <w:lang w:val="en-US"/>
        </w:rPr>
        <w:t xml:space="preserve">Figure </w:t>
      </w:r>
      <w:r w:rsidR="00151A1C">
        <w:rPr>
          <w:rFonts w:cs="Arial"/>
          <w:noProof/>
          <w:sz w:val="22"/>
          <w:szCs w:val="22"/>
          <w:lang w:val="en-US"/>
        </w:rPr>
        <w:t>13</w:t>
      </w:r>
      <w:r w:rsidR="00190B14" w:rsidRPr="00521E5D">
        <w:rPr>
          <w:rFonts w:cs="Arial"/>
          <w:sz w:val="22"/>
          <w:szCs w:val="22"/>
          <w:lang w:val="en-US"/>
        </w:rPr>
        <w:fldChar w:fldCharType="end"/>
      </w:r>
      <w:r w:rsidR="00190B14" w:rsidRPr="00521E5D">
        <w:rPr>
          <w:rFonts w:cs="Arial"/>
          <w:sz w:val="22"/>
          <w:szCs w:val="22"/>
          <w:lang w:val="en-US"/>
        </w:rPr>
        <w:t>).</w:t>
      </w:r>
    </w:p>
    <w:p w14:paraId="1DB3C9DA" w14:textId="77777777" w:rsidR="00F72116" w:rsidRPr="00850AED" w:rsidRDefault="00F72116" w:rsidP="00F72116">
      <w:pPr>
        <w:pStyle w:val="Caption"/>
        <w:rPr>
          <w:rFonts w:ascii="Arial" w:hAnsi="Arial" w:cs="Arial"/>
          <w:sz w:val="22"/>
          <w:szCs w:val="22"/>
          <w:lang w:val="en-US"/>
        </w:rPr>
      </w:pPr>
      <w:bookmarkStart w:id="176" w:name="_Ref283568636"/>
      <w:bookmarkStart w:id="177" w:name="_Toc396058388"/>
      <w:r w:rsidRPr="00850AED">
        <w:rPr>
          <w:rFonts w:ascii="Arial" w:hAnsi="Arial" w:cs="Arial"/>
          <w:sz w:val="22"/>
          <w:szCs w:val="22"/>
          <w:lang w:val="en-US"/>
        </w:rPr>
        <w:lastRenderedPageBreak/>
        <w:t xml:space="preserve">Figure </w:t>
      </w:r>
      <w:r w:rsidRPr="00850AED">
        <w:rPr>
          <w:rFonts w:ascii="Arial" w:hAnsi="Arial" w:cs="Arial"/>
          <w:sz w:val="22"/>
          <w:szCs w:val="22"/>
          <w:lang w:val="en-US"/>
        </w:rPr>
        <w:fldChar w:fldCharType="begin"/>
      </w:r>
      <w:r w:rsidRPr="00850AED">
        <w:rPr>
          <w:rFonts w:ascii="Arial" w:hAnsi="Arial" w:cs="Arial"/>
          <w:sz w:val="22"/>
          <w:szCs w:val="22"/>
          <w:lang w:val="en-US"/>
        </w:rPr>
        <w:instrText xml:space="preserve"> SEQ Figure \* ARABIC </w:instrText>
      </w:r>
      <w:r w:rsidRPr="00850AED">
        <w:rPr>
          <w:rFonts w:ascii="Arial" w:hAnsi="Arial" w:cs="Arial"/>
          <w:sz w:val="22"/>
          <w:szCs w:val="22"/>
          <w:lang w:val="en-US"/>
        </w:rPr>
        <w:fldChar w:fldCharType="separate"/>
      </w:r>
      <w:r w:rsidR="00151A1C">
        <w:rPr>
          <w:rFonts w:ascii="Arial" w:hAnsi="Arial" w:cs="Arial"/>
          <w:noProof/>
          <w:sz w:val="22"/>
          <w:szCs w:val="22"/>
          <w:lang w:val="en-US"/>
        </w:rPr>
        <w:t>13</w:t>
      </w:r>
      <w:r w:rsidRPr="00850AED">
        <w:rPr>
          <w:rFonts w:ascii="Arial" w:hAnsi="Arial" w:cs="Arial"/>
          <w:sz w:val="22"/>
          <w:szCs w:val="22"/>
          <w:lang w:val="en-US"/>
        </w:rPr>
        <w:fldChar w:fldCharType="end"/>
      </w:r>
      <w:bookmarkEnd w:id="176"/>
      <w:r w:rsidRPr="00850AED">
        <w:rPr>
          <w:rFonts w:ascii="Arial" w:hAnsi="Arial" w:cs="Arial"/>
          <w:sz w:val="22"/>
          <w:szCs w:val="22"/>
          <w:lang w:val="en-US"/>
        </w:rPr>
        <w:t>: Gastrointestinal disorder TEAEs in the pooled analysis of safety data from the Phase 3 trials</w:t>
      </w:r>
      <w:bookmarkEnd w:id="177"/>
    </w:p>
    <w:p w14:paraId="15536027" w14:textId="77777777" w:rsidR="00F72116" w:rsidRPr="00D95C15" w:rsidRDefault="00F72116" w:rsidP="00F72116">
      <w:pPr>
        <w:pStyle w:val="BodyText"/>
        <w:rPr>
          <w:lang w:val="en-US"/>
        </w:rPr>
      </w:pPr>
      <w:r w:rsidRPr="00D95C15">
        <w:rPr>
          <w:noProof/>
          <w:lang w:eastAsia="en-GB"/>
        </w:rPr>
        <w:drawing>
          <wp:inline distT="0" distB="0" distL="0" distR="0" wp14:anchorId="694993D7" wp14:editId="12669075">
            <wp:extent cx="5238750" cy="302598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9C753C" w14:textId="023DCF64" w:rsidR="00F72116" w:rsidRPr="00874DFC" w:rsidRDefault="00F72116" w:rsidP="00F72116">
      <w:pPr>
        <w:pStyle w:val="FigureNote-H23"/>
        <w:rPr>
          <w:rFonts w:ascii="Arial" w:hAnsi="Arial" w:cs="Arial"/>
          <w:sz w:val="16"/>
          <w:lang w:val="en-US"/>
        </w:rPr>
      </w:pPr>
      <w:r w:rsidRPr="00874DFC">
        <w:rPr>
          <w:rFonts w:ascii="Arial" w:hAnsi="Arial" w:cs="Arial"/>
          <w:sz w:val="16"/>
          <w:lang w:val="en-US"/>
        </w:rPr>
        <w:t>SOURCE:</w:t>
      </w:r>
      <w:r w:rsidR="002A33A2">
        <w:rPr>
          <w:rFonts w:ascii="Arial" w:hAnsi="Arial" w:cs="Arial"/>
          <w:sz w:val="16"/>
          <w:lang w:val="en-US"/>
        </w:rPr>
        <w:t xml:space="preserve"> </w:t>
      </w:r>
      <w:r w:rsidR="002A33A2">
        <w:rPr>
          <w:rFonts w:ascii="Arial" w:hAnsi="Arial" w:cs="Arial"/>
          <w:sz w:val="16"/>
          <w:lang w:val="en-US"/>
        </w:rPr>
        <w:fldChar w:fldCharType="begin"/>
      </w:r>
      <w:r w:rsidR="002A33A2">
        <w:rPr>
          <w:rFonts w:ascii="Arial" w:hAnsi="Arial" w:cs="Arial"/>
          <w:sz w:val="16"/>
          <w:lang w:val="en-US"/>
        </w:rPr>
        <w:instrText xml:space="preserve"> REF _Ref284184350 \r \h </w:instrText>
      </w:r>
      <w:r w:rsidR="002A33A2">
        <w:rPr>
          <w:rFonts w:ascii="Arial" w:hAnsi="Arial" w:cs="Arial"/>
          <w:sz w:val="16"/>
          <w:lang w:val="en-US"/>
        </w:rPr>
      </w:r>
      <w:r w:rsidR="002A33A2">
        <w:rPr>
          <w:rFonts w:ascii="Arial" w:hAnsi="Arial" w:cs="Arial"/>
          <w:sz w:val="16"/>
          <w:lang w:val="en-US"/>
        </w:rPr>
        <w:fldChar w:fldCharType="separate"/>
      </w:r>
      <w:r w:rsidR="00151A1C">
        <w:rPr>
          <w:rFonts w:ascii="Arial" w:hAnsi="Arial" w:cs="Arial"/>
          <w:sz w:val="16"/>
          <w:lang w:val="en-US"/>
        </w:rPr>
        <w:t>52</w:t>
      </w:r>
      <w:r w:rsidR="002A33A2">
        <w:rPr>
          <w:rFonts w:ascii="Arial" w:hAnsi="Arial" w:cs="Arial"/>
          <w:sz w:val="16"/>
          <w:lang w:val="en-US"/>
        </w:rPr>
        <w:fldChar w:fldCharType="end"/>
      </w:r>
      <w:r w:rsidR="004748C3" w:rsidRPr="00874DFC">
        <w:rPr>
          <w:rFonts w:ascii="Arial" w:hAnsi="Arial" w:cs="Arial"/>
          <w:sz w:val="16"/>
          <w:lang w:val="en-US"/>
        </w:rPr>
        <w:t xml:space="preserve">; </w:t>
      </w:r>
      <w:r w:rsidRPr="00874DFC">
        <w:rPr>
          <w:rFonts w:ascii="Arial" w:hAnsi="Arial" w:cs="Arial"/>
          <w:sz w:val="16"/>
          <w:lang w:val="en-US"/>
        </w:rPr>
        <w:t>ISS 2013</w:t>
      </w:r>
      <w:r w:rsidR="002A33A2">
        <w:rPr>
          <w:rFonts w:ascii="Arial" w:hAnsi="Arial" w:cs="Arial"/>
          <w:sz w:val="16"/>
          <w:lang w:val="en-US"/>
        </w:rPr>
        <w:t xml:space="preserve"> </w:t>
      </w:r>
      <w:r w:rsidR="002A33A2">
        <w:rPr>
          <w:rFonts w:ascii="Arial" w:hAnsi="Arial" w:cs="Arial"/>
          <w:sz w:val="16"/>
          <w:lang w:val="en-US"/>
        </w:rPr>
        <w:fldChar w:fldCharType="begin"/>
      </w:r>
      <w:r w:rsidR="002A33A2">
        <w:rPr>
          <w:rFonts w:ascii="Arial" w:hAnsi="Arial" w:cs="Arial"/>
          <w:sz w:val="16"/>
          <w:lang w:val="en-US"/>
        </w:rPr>
        <w:instrText xml:space="preserve"> REF _Ref284184395 \r \h </w:instrText>
      </w:r>
      <w:r w:rsidR="002A33A2">
        <w:rPr>
          <w:rFonts w:ascii="Arial" w:hAnsi="Arial" w:cs="Arial"/>
          <w:sz w:val="16"/>
          <w:lang w:val="en-US"/>
        </w:rPr>
      </w:r>
      <w:r w:rsidR="002A33A2">
        <w:rPr>
          <w:rFonts w:ascii="Arial" w:hAnsi="Arial" w:cs="Arial"/>
          <w:sz w:val="16"/>
          <w:lang w:val="en-US"/>
        </w:rPr>
        <w:fldChar w:fldCharType="separate"/>
      </w:r>
      <w:r w:rsidR="00151A1C">
        <w:rPr>
          <w:rFonts w:ascii="Arial" w:hAnsi="Arial" w:cs="Arial"/>
          <w:sz w:val="16"/>
          <w:lang w:val="en-US"/>
        </w:rPr>
        <w:t>53</w:t>
      </w:r>
      <w:r w:rsidR="002A33A2">
        <w:rPr>
          <w:rFonts w:ascii="Arial" w:hAnsi="Arial" w:cs="Arial"/>
          <w:sz w:val="16"/>
          <w:lang w:val="en-US"/>
        </w:rPr>
        <w:fldChar w:fldCharType="end"/>
      </w:r>
      <w:r w:rsidRPr="00874DFC">
        <w:rPr>
          <w:rFonts w:ascii="Arial" w:hAnsi="Arial" w:cs="Arial"/>
          <w:sz w:val="16"/>
          <w:lang w:val="en-US"/>
        </w:rPr>
        <w:t>: section 4.2.2 Table 26</w:t>
      </w:r>
    </w:p>
    <w:p w14:paraId="1F4A5A10" w14:textId="77777777" w:rsidR="00F72116" w:rsidRPr="00850AED" w:rsidRDefault="00F72116" w:rsidP="00F72116">
      <w:pPr>
        <w:pStyle w:val="TableNote-H58"/>
        <w:rPr>
          <w:rFonts w:ascii="Arial" w:hAnsi="Arial" w:cs="Arial"/>
          <w:sz w:val="16"/>
          <w:szCs w:val="16"/>
          <w:lang w:val="en-US"/>
        </w:rPr>
      </w:pPr>
      <w:r w:rsidRPr="00850AED">
        <w:rPr>
          <w:rFonts w:ascii="Arial" w:hAnsi="Arial" w:cs="Arial"/>
          <w:sz w:val="16"/>
          <w:szCs w:val="16"/>
          <w:lang w:val="en-US"/>
        </w:rPr>
        <w:t>N: Number of patients in population; TEAE: Treatment-emergent adverse event</w:t>
      </w:r>
    </w:p>
    <w:p w14:paraId="7B8A7290" w14:textId="77777777" w:rsidR="00015AC7" w:rsidRPr="00025376" w:rsidRDefault="00015AC7" w:rsidP="00015AC7">
      <w:pPr>
        <w:pStyle w:val="Heading4"/>
        <w:keepLines w:val="0"/>
        <w:spacing w:before="240" w:after="120"/>
        <w:rPr>
          <w:rFonts w:ascii="Arial" w:hAnsi="Arial" w:cs="Arial"/>
          <w:i w:val="0"/>
          <w:color w:val="auto"/>
          <w:sz w:val="22"/>
          <w:szCs w:val="22"/>
          <w:lang w:val="en-US"/>
        </w:rPr>
      </w:pPr>
      <w:bookmarkStart w:id="178" w:name="_Ref382238322"/>
      <w:r w:rsidRPr="00025376">
        <w:rPr>
          <w:rFonts w:ascii="Arial" w:hAnsi="Arial" w:cs="Arial"/>
          <w:i w:val="0"/>
          <w:color w:val="auto"/>
          <w:sz w:val="22"/>
          <w:szCs w:val="22"/>
          <w:lang w:val="en-US"/>
        </w:rPr>
        <w:t>Tedizolid phosphate had a lower incidence of platelet counts considered below the LLN compared with linezolid</w:t>
      </w:r>
      <w:r w:rsidRPr="00025376" w:rsidDel="00D950DF">
        <w:rPr>
          <w:rFonts w:ascii="Arial" w:hAnsi="Arial" w:cs="Arial"/>
          <w:i w:val="0"/>
          <w:color w:val="auto"/>
          <w:sz w:val="22"/>
          <w:szCs w:val="22"/>
          <w:lang w:val="en-US"/>
        </w:rPr>
        <w:t xml:space="preserve"> </w:t>
      </w:r>
      <w:r w:rsidRPr="00025376">
        <w:rPr>
          <w:rFonts w:ascii="Arial" w:hAnsi="Arial" w:cs="Arial"/>
          <w:i w:val="0"/>
          <w:color w:val="auto"/>
          <w:sz w:val="22"/>
          <w:szCs w:val="22"/>
          <w:lang w:val="en-US"/>
        </w:rPr>
        <w:t xml:space="preserve">based on the pooled analysis of safety data </w:t>
      </w:r>
      <w:bookmarkEnd w:id="178"/>
    </w:p>
    <w:p w14:paraId="0959FC45" w14:textId="4392FC7D" w:rsidR="00015AC7" w:rsidRPr="00521E5D" w:rsidRDefault="00015AC7" w:rsidP="00015AC7">
      <w:pPr>
        <w:pStyle w:val="BodyText"/>
        <w:rPr>
          <w:rFonts w:cs="Arial"/>
          <w:sz w:val="22"/>
          <w:szCs w:val="22"/>
          <w:lang w:val="en-US"/>
        </w:rPr>
      </w:pPr>
      <w:r w:rsidRPr="00521E5D">
        <w:rPr>
          <w:rFonts w:cs="Arial"/>
          <w:sz w:val="22"/>
          <w:szCs w:val="22"/>
          <w:lang w:val="en-US"/>
        </w:rPr>
        <w:t>Measurement of haematology parameters from the pooled data demonstrates that tedizolid phosphate was associated with lower incidence of abnormal post-baseline haematology laboratory values compared with linezolid. The proportion of patients with post-baseline platelet counts classed as substantially abnormal (defined as &lt;75% of the LLN [&lt;50% of ANC] for values normal at baseline and &lt;75% of the LLN [&lt;50% for ANC] and of baseline for values abnormal at baseline) was low and lower in the tedizolid phosphate group compared with the linezolid group (2.1% vs. 4.5%) (</w:t>
      </w:r>
      <w:r w:rsidR="00E63998" w:rsidRPr="00521E5D">
        <w:rPr>
          <w:rFonts w:cs="Arial"/>
          <w:sz w:val="22"/>
          <w:szCs w:val="22"/>
          <w:lang w:val="en-US"/>
        </w:rPr>
        <w:fldChar w:fldCharType="begin"/>
      </w:r>
      <w:r w:rsidR="00E63998" w:rsidRPr="00521E5D">
        <w:rPr>
          <w:rFonts w:cs="Arial"/>
          <w:sz w:val="22"/>
          <w:szCs w:val="22"/>
          <w:lang w:val="en-US"/>
        </w:rPr>
        <w:instrText xml:space="preserve"> REF _Ref281835152 \h </w:instrText>
      </w:r>
      <w:r w:rsidR="00E63998" w:rsidRPr="00521E5D">
        <w:rPr>
          <w:rFonts w:cs="Arial"/>
          <w:sz w:val="22"/>
          <w:szCs w:val="22"/>
          <w:lang w:val="en-US"/>
        </w:rPr>
      </w:r>
      <w:r w:rsidR="00E63998" w:rsidRPr="00521E5D">
        <w:rPr>
          <w:rFonts w:cs="Arial"/>
          <w:sz w:val="22"/>
          <w:szCs w:val="22"/>
          <w:lang w:val="en-US"/>
        </w:rPr>
        <w:fldChar w:fldCharType="separate"/>
      </w:r>
      <w:r w:rsidR="00151A1C" w:rsidRPr="00874DFC">
        <w:rPr>
          <w:b/>
          <w:sz w:val="22"/>
          <w:szCs w:val="22"/>
          <w:lang w:val="en-US"/>
        </w:rPr>
        <w:t xml:space="preserve">Table </w:t>
      </w:r>
      <w:r w:rsidR="00151A1C">
        <w:rPr>
          <w:b/>
          <w:noProof/>
          <w:sz w:val="22"/>
          <w:szCs w:val="22"/>
          <w:lang w:val="en-US"/>
        </w:rPr>
        <w:t>41</w:t>
      </w:r>
      <w:r w:rsidR="00E63998" w:rsidRPr="00521E5D">
        <w:rPr>
          <w:rFonts w:cs="Arial"/>
          <w:sz w:val="22"/>
          <w:szCs w:val="22"/>
          <w:lang w:val="en-US"/>
        </w:rPr>
        <w:fldChar w:fldCharType="end"/>
      </w:r>
      <w:r w:rsidRPr="00521E5D">
        <w:rPr>
          <w:rFonts w:cs="Arial"/>
          <w:sz w:val="22"/>
          <w:szCs w:val="22"/>
          <w:lang w:val="en-US"/>
        </w:rPr>
        <w:t xml:space="preserve">). The proportion of </w:t>
      </w:r>
      <w:r w:rsidRPr="00521E5D">
        <w:rPr>
          <w:rFonts w:cs="Arial"/>
          <w:sz w:val="22"/>
          <w:szCs w:val="22"/>
          <w:lang w:val="en-US"/>
        </w:rPr>
        <w:lastRenderedPageBreak/>
        <w:t>patients with platelet counts below LLN was also low and lower in the tedizolid phosphate group (6.4%) compared with the linezolid group (12.6%). Further, the proportion of patients with post-baseline ANC counts classed as substantially below LLN was low and lower in the tedizolid phosphate and linezolid group (1.9% vs. 4.7%) (</w:t>
      </w:r>
      <w:r w:rsidR="00E63998" w:rsidRPr="00521E5D">
        <w:rPr>
          <w:rFonts w:cs="Arial"/>
          <w:sz w:val="22"/>
          <w:szCs w:val="22"/>
          <w:lang w:val="en-US"/>
        </w:rPr>
        <w:fldChar w:fldCharType="begin"/>
      </w:r>
      <w:r w:rsidR="00E63998" w:rsidRPr="00521E5D">
        <w:rPr>
          <w:rFonts w:cs="Arial"/>
          <w:sz w:val="22"/>
          <w:szCs w:val="22"/>
          <w:lang w:val="en-US"/>
        </w:rPr>
        <w:instrText xml:space="preserve"> REF _Ref281835152 \h </w:instrText>
      </w:r>
      <w:r w:rsidR="00E63998" w:rsidRPr="00521E5D">
        <w:rPr>
          <w:rFonts w:cs="Arial"/>
          <w:sz w:val="22"/>
          <w:szCs w:val="22"/>
          <w:lang w:val="en-US"/>
        </w:rPr>
      </w:r>
      <w:r w:rsidR="00E63998" w:rsidRPr="00521E5D">
        <w:rPr>
          <w:rFonts w:cs="Arial"/>
          <w:sz w:val="22"/>
          <w:szCs w:val="22"/>
          <w:lang w:val="en-US"/>
        </w:rPr>
        <w:fldChar w:fldCharType="separate"/>
      </w:r>
      <w:r w:rsidR="00151A1C" w:rsidRPr="00874DFC">
        <w:rPr>
          <w:b/>
          <w:sz w:val="22"/>
          <w:szCs w:val="22"/>
          <w:lang w:val="en-US"/>
        </w:rPr>
        <w:t xml:space="preserve">Table </w:t>
      </w:r>
      <w:r w:rsidR="00151A1C">
        <w:rPr>
          <w:b/>
          <w:noProof/>
          <w:sz w:val="22"/>
          <w:szCs w:val="22"/>
          <w:lang w:val="en-US"/>
        </w:rPr>
        <w:t>41</w:t>
      </w:r>
      <w:r w:rsidR="00E63998" w:rsidRPr="00521E5D">
        <w:rPr>
          <w:rFonts w:cs="Arial"/>
          <w:sz w:val="22"/>
          <w:szCs w:val="22"/>
          <w:lang w:val="en-US"/>
        </w:rPr>
        <w:fldChar w:fldCharType="end"/>
      </w:r>
      <w:r w:rsidRPr="00521E5D">
        <w:rPr>
          <w:rFonts w:cs="Arial"/>
          <w:sz w:val="22"/>
          <w:szCs w:val="22"/>
          <w:lang w:val="en-US"/>
        </w:rPr>
        <w:t>). For haemoglobin, the incidence values of below LLN was slightly lower in the tedizolid phosphate group compared with the linezolid group (</w:t>
      </w:r>
      <w:r w:rsidR="00E63998" w:rsidRPr="00521E5D">
        <w:rPr>
          <w:rFonts w:cs="Arial"/>
          <w:sz w:val="22"/>
          <w:szCs w:val="22"/>
          <w:lang w:val="en-US"/>
        </w:rPr>
        <w:fldChar w:fldCharType="begin"/>
      </w:r>
      <w:r w:rsidR="00E63998" w:rsidRPr="00521E5D">
        <w:rPr>
          <w:rFonts w:cs="Arial"/>
          <w:sz w:val="22"/>
          <w:szCs w:val="22"/>
          <w:lang w:val="en-US"/>
        </w:rPr>
        <w:instrText xml:space="preserve"> REF _Ref281835152 \h </w:instrText>
      </w:r>
      <w:r w:rsidR="00E63998" w:rsidRPr="00521E5D">
        <w:rPr>
          <w:rFonts w:cs="Arial"/>
          <w:sz w:val="22"/>
          <w:szCs w:val="22"/>
          <w:lang w:val="en-US"/>
        </w:rPr>
      </w:r>
      <w:r w:rsidR="00E63998" w:rsidRPr="00521E5D">
        <w:rPr>
          <w:rFonts w:cs="Arial"/>
          <w:sz w:val="22"/>
          <w:szCs w:val="22"/>
          <w:lang w:val="en-US"/>
        </w:rPr>
        <w:fldChar w:fldCharType="separate"/>
      </w:r>
      <w:r w:rsidR="00151A1C" w:rsidRPr="00874DFC">
        <w:rPr>
          <w:b/>
          <w:sz w:val="22"/>
          <w:szCs w:val="22"/>
          <w:lang w:val="en-US"/>
        </w:rPr>
        <w:t xml:space="preserve">Table </w:t>
      </w:r>
      <w:r w:rsidR="00151A1C">
        <w:rPr>
          <w:b/>
          <w:noProof/>
          <w:sz w:val="22"/>
          <w:szCs w:val="22"/>
          <w:lang w:val="en-US"/>
        </w:rPr>
        <w:t>41</w:t>
      </w:r>
      <w:r w:rsidR="00E63998" w:rsidRPr="00521E5D">
        <w:rPr>
          <w:rFonts w:cs="Arial"/>
          <w:sz w:val="22"/>
          <w:szCs w:val="22"/>
          <w:lang w:val="en-US"/>
        </w:rPr>
        <w:fldChar w:fldCharType="end"/>
      </w:r>
      <w:r w:rsidRPr="00521E5D">
        <w:rPr>
          <w:rFonts w:cs="Arial"/>
          <w:sz w:val="22"/>
          <w:szCs w:val="22"/>
          <w:lang w:val="en-US"/>
        </w:rPr>
        <w:t>).</w:t>
      </w:r>
      <w:r w:rsidR="00E63998" w:rsidRPr="00521E5D">
        <w:rPr>
          <w:rFonts w:cs="Arial"/>
          <w:sz w:val="22"/>
          <w:szCs w:val="22"/>
          <w:lang w:val="en-US"/>
        </w:rPr>
        <w:t xml:space="preserve"> </w:t>
      </w:r>
    </w:p>
    <w:p w14:paraId="184B2338" w14:textId="77777777" w:rsidR="00015AC7" w:rsidRDefault="00015AC7" w:rsidP="00015AC7">
      <w:pPr>
        <w:rPr>
          <w:lang w:val="en-US"/>
        </w:rPr>
      </w:pPr>
      <w:bookmarkStart w:id="179" w:name="_Ref381780101"/>
      <w:bookmarkStart w:id="180" w:name="_Toc396058484"/>
    </w:p>
    <w:p w14:paraId="4A7B57C7" w14:textId="2E0F3403" w:rsidR="00F72116" w:rsidRDefault="00F72116" w:rsidP="00015AC7">
      <w:pPr>
        <w:rPr>
          <w:rFonts w:cs="Arial"/>
          <w:b/>
          <w:sz w:val="22"/>
          <w:szCs w:val="22"/>
          <w:lang w:val="en-US"/>
        </w:rPr>
      </w:pPr>
      <w:bookmarkStart w:id="181" w:name="_Ref281835049"/>
      <w:r w:rsidRPr="00015AC7">
        <w:rPr>
          <w:rFonts w:cs="Arial"/>
          <w:b/>
          <w:sz w:val="22"/>
          <w:szCs w:val="22"/>
          <w:lang w:val="en-US"/>
        </w:rPr>
        <w:t xml:space="preserve">Table </w:t>
      </w:r>
      <w:r w:rsidRPr="00015AC7">
        <w:rPr>
          <w:rFonts w:cs="Arial"/>
          <w:b/>
          <w:sz w:val="22"/>
          <w:szCs w:val="22"/>
          <w:lang w:val="en-US"/>
        </w:rPr>
        <w:fldChar w:fldCharType="begin"/>
      </w:r>
      <w:r w:rsidRPr="00015AC7">
        <w:rPr>
          <w:rFonts w:cs="Arial"/>
          <w:b/>
          <w:sz w:val="22"/>
          <w:szCs w:val="22"/>
          <w:lang w:val="en-US"/>
        </w:rPr>
        <w:instrText xml:space="preserve"> SEQ Table \* ARABIC </w:instrText>
      </w:r>
      <w:r w:rsidRPr="00015AC7">
        <w:rPr>
          <w:rFonts w:cs="Arial"/>
          <w:b/>
          <w:sz w:val="22"/>
          <w:szCs w:val="22"/>
          <w:lang w:val="en-US"/>
        </w:rPr>
        <w:fldChar w:fldCharType="separate"/>
      </w:r>
      <w:r w:rsidR="00151A1C">
        <w:rPr>
          <w:rFonts w:cs="Arial"/>
          <w:b/>
          <w:noProof/>
          <w:sz w:val="22"/>
          <w:szCs w:val="22"/>
          <w:lang w:val="en-US"/>
        </w:rPr>
        <w:t>40</w:t>
      </w:r>
      <w:r w:rsidRPr="00015AC7">
        <w:rPr>
          <w:rFonts w:cs="Arial"/>
          <w:b/>
          <w:sz w:val="22"/>
          <w:szCs w:val="22"/>
          <w:lang w:val="en-US"/>
        </w:rPr>
        <w:fldChar w:fldCharType="end"/>
      </w:r>
      <w:bookmarkEnd w:id="179"/>
      <w:bookmarkEnd w:id="181"/>
      <w:r w:rsidRPr="00015AC7">
        <w:rPr>
          <w:rFonts w:cs="Arial"/>
          <w:b/>
          <w:sz w:val="22"/>
          <w:szCs w:val="22"/>
          <w:lang w:val="en-US"/>
        </w:rPr>
        <w:t xml:space="preserve">: Gastrointestinal disorder TEAEs in the pooled analysis of safety data </w:t>
      </w:r>
      <w:bookmarkEnd w:id="180"/>
    </w:p>
    <w:p w14:paraId="1592E3CD" w14:textId="77777777" w:rsidR="00015AC7" w:rsidRPr="00015AC7" w:rsidRDefault="00015AC7" w:rsidP="00015AC7">
      <w:pPr>
        <w:rPr>
          <w:b/>
          <w:lang w:val="en-US"/>
        </w:rPr>
      </w:pPr>
    </w:p>
    <w:tbl>
      <w:tblPr>
        <w:tblStyle w:val="Table-HERONplain"/>
        <w:tblW w:w="0" w:type="auto"/>
        <w:tblLook w:val="04A0" w:firstRow="1" w:lastRow="0" w:firstColumn="1" w:lastColumn="0" w:noHBand="0" w:noVBand="1"/>
      </w:tblPr>
      <w:tblGrid>
        <w:gridCol w:w="5970"/>
        <w:gridCol w:w="1473"/>
        <w:gridCol w:w="1460"/>
      </w:tblGrid>
      <w:tr w:rsidR="00F72116" w:rsidRPr="00015AC7" w14:paraId="236B1607" w14:textId="77777777" w:rsidTr="0052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8E342A3" w14:textId="77777777" w:rsidR="00F72116" w:rsidRPr="008A5922" w:rsidRDefault="00F72116" w:rsidP="00CE3A13">
            <w:pPr>
              <w:pStyle w:val="TableBodyText-H54"/>
              <w:rPr>
                <w:rFonts w:ascii="Arial" w:hAnsi="Arial" w:cs="Arial"/>
                <w:sz w:val="20"/>
                <w:lang w:val="en-US" w:eastAsia="en-GB"/>
              </w:rPr>
            </w:pPr>
            <w:r w:rsidRPr="008A5922">
              <w:rPr>
                <w:rFonts w:ascii="Arial" w:hAnsi="Arial" w:cs="Arial"/>
                <w:sz w:val="20"/>
                <w:lang w:val="en-US" w:eastAsia="en-GB"/>
              </w:rPr>
              <w:t>Category</w:t>
            </w:r>
          </w:p>
        </w:tc>
        <w:tc>
          <w:tcPr>
            <w:tcW w:w="1485" w:type="dxa"/>
            <w:shd w:val="clear" w:color="auto" w:fill="auto"/>
            <w:hideMark/>
          </w:tcPr>
          <w:p w14:paraId="418053C9"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Tedizolid phosphate</w:t>
            </w:r>
          </w:p>
          <w:p w14:paraId="731B2780"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(N=662)</w:t>
            </w:r>
          </w:p>
          <w:p w14:paraId="73C73F66"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n (%)</w:t>
            </w:r>
          </w:p>
        </w:tc>
        <w:tc>
          <w:tcPr>
            <w:tcW w:w="1479" w:type="dxa"/>
            <w:shd w:val="clear" w:color="auto" w:fill="auto"/>
            <w:hideMark/>
          </w:tcPr>
          <w:p w14:paraId="3DD82D75"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Linezolid</w:t>
            </w:r>
          </w:p>
          <w:p w14:paraId="2954AFA8"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(N=662)</w:t>
            </w:r>
          </w:p>
          <w:p w14:paraId="30E384D1" w14:textId="77777777" w:rsidR="00F72116" w:rsidRPr="008A592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n (%)</w:t>
            </w:r>
          </w:p>
        </w:tc>
      </w:tr>
      <w:tr w:rsidR="00F72116" w:rsidRPr="00015AC7" w14:paraId="0163BBC0"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E38C4B0" w14:textId="77777777" w:rsidR="00F72116" w:rsidRPr="008A5922" w:rsidRDefault="00F72116" w:rsidP="00CE3A13">
            <w:pPr>
              <w:pStyle w:val="TableBodyText-H54"/>
              <w:rPr>
                <w:rFonts w:ascii="Arial" w:hAnsi="Arial" w:cs="Arial"/>
                <w:sz w:val="20"/>
                <w:lang w:val="en-US" w:eastAsia="en-GB"/>
              </w:rPr>
            </w:pPr>
            <w:r w:rsidRPr="008A5922">
              <w:rPr>
                <w:rFonts w:ascii="Arial" w:hAnsi="Arial" w:cs="Arial"/>
                <w:sz w:val="20"/>
                <w:lang w:val="en-US" w:eastAsia="en-GB"/>
              </w:rPr>
              <w:t>Gastrointestinal disorder TEAEs:</w:t>
            </w:r>
          </w:p>
        </w:tc>
        <w:tc>
          <w:tcPr>
            <w:tcW w:w="1485" w:type="dxa"/>
            <w:hideMark/>
          </w:tcPr>
          <w:p w14:paraId="42DE6BFA"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106 (16.0)</w:t>
            </w:r>
          </w:p>
        </w:tc>
        <w:tc>
          <w:tcPr>
            <w:tcW w:w="1479" w:type="dxa"/>
            <w:hideMark/>
          </w:tcPr>
          <w:p w14:paraId="69E14011"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152 (23.0)</w:t>
            </w:r>
          </w:p>
        </w:tc>
      </w:tr>
      <w:tr w:rsidR="00F72116" w:rsidRPr="00015AC7" w14:paraId="00E63931"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A26539E"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Nausea</w:t>
            </w:r>
          </w:p>
        </w:tc>
        <w:tc>
          <w:tcPr>
            <w:tcW w:w="1485" w:type="dxa"/>
            <w:hideMark/>
          </w:tcPr>
          <w:p w14:paraId="5B62CE4E"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54 (8.2)</w:t>
            </w:r>
          </w:p>
        </w:tc>
        <w:tc>
          <w:tcPr>
            <w:tcW w:w="1479" w:type="dxa"/>
            <w:hideMark/>
          </w:tcPr>
          <w:p w14:paraId="78917FF1"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81 (12.2)</w:t>
            </w:r>
          </w:p>
        </w:tc>
      </w:tr>
      <w:tr w:rsidR="00F72116" w:rsidRPr="00015AC7" w14:paraId="7BD9B78C"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B2CAB00" w14:textId="6A83D608" w:rsidR="00F72116" w:rsidRPr="008A5922" w:rsidRDefault="006F4C8B" w:rsidP="00CE3A13">
            <w:pPr>
              <w:pStyle w:val="TableBodyText-H54"/>
              <w:ind w:left="313"/>
              <w:rPr>
                <w:rFonts w:ascii="Arial" w:hAnsi="Arial" w:cs="Arial"/>
                <w:sz w:val="20"/>
                <w:lang w:val="en-US" w:eastAsia="en-GB"/>
              </w:rPr>
            </w:pPr>
            <w:r>
              <w:rPr>
                <w:rFonts w:ascii="Arial" w:hAnsi="Arial" w:cs="Arial"/>
                <w:sz w:val="20"/>
                <w:lang w:val="en-US" w:eastAsia="en-GB"/>
              </w:rPr>
              <w:t>Diarrhoea</w:t>
            </w:r>
          </w:p>
        </w:tc>
        <w:tc>
          <w:tcPr>
            <w:tcW w:w="1485" w:type="dxa"/>
            <w:hideMark/>
          </w:tcPr>
          <w:p w14:paraId="1BA8DA32"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26 (3.9) </w:t>
            </w:r>
          </w:p>
        </w:tc>
        <w:tc>
          <w:tcPr>
            <w:tcW w:w="1479" w:type="dxa"/>
            <w:hideMark/>
          </w:tcPr>
          <w:p w14:paraId="37C7822D"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35 (5.3) </w:t>
            </w:r>
          </w:p>
        </w:tc>
      </w:tr>
      <w:tr w:rsidR="00F72116" w:rsidRPr="00015AC7" w14:paraId="48B8FC1C"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A636B0C"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Vomiting</w:t>
            </w:r>
          </w:p>
        </w:tc>
        <w:tc>
          <w:tcPr>
            <w:tcW w:w="1485" w:type="dxa"/>
            <w:hideMark/>
          </w:tcPr>
          <w:p w14:paraId="030E8880"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19 (2.9)</w:t>
            </w:r>
          </w:p>
        </w:tc>
        <w:tc>
          <w:tcPr>
            <w:tcW w:w="1479" w:type="dxa"/>
            <w:hideMark/>
          </w:tcPr>
          <w:p w14:paraId="5F974182"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37 (5.6)</w:t>
            </w:r>
          </w:p>
        </w:tc>
      </w:tr>
      <w:tr w:rsidR="00F72116" w:rsidRPr="00015AC7" w14:paraId="38116F03"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BAC8D85"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Constipation</w:t>
            </w:r>
          </w:p>
        </w:tc>
        <w:tc>
          <w:tcPr>
            <w:tcW w:w="1485" w:type="dxa"/>
            <w:hideMark/>
          </w:tcPr>
          <w:p w14:paraId="25BE0EDF"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9 (1.4)</w:t>
            </w:r>
          </w:p>
        </w:tc>
        <w:tc>
          <w:tcPr>
            <w:tcW w:w="1479" w:type="dxa"/>
            <w:hideMark/>
          </w:tcPr>
          <w:p w14:paraId="074D35B1"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6 (0.9)</w:t>
            </w:r>
          </w:p>
        </w:tc>
      </w:tr>
      <w:tr w:rsidR="00F72116" w:rsidRPr="00015AC7" w14:paraId="42BB873B"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FDCAA46"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Dyspepsia</w:t>
            </w:r>
          </w:p>
        </w:tc>
        <w:tc>
          <w:tcPr>
            <w:tcW w:w="1485" w:type="dxa"/>
            <w:hideMark/>
          </w:tcPr>
          <w:p w14:paraId="1F7CED4A"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4 (0.6)</w:t>
            </w:r>
          </w:p>
        </w:tc>
        <w:tc>
          <w:tcPr>
            <w:tcW w:w="1479" w:type="dxa"/>
            <w:hideMark/>
          </w:tcPr>
          <w:p w14:paraId="16A7E9A8"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8 (1.2)</w:t>
            </w:r>
          </w:p>
        </w:tc>
      </w:tr>
      <w:tr w:rsidR="00F72116" w:rsidRPr="00015AC7" w14:paraId="47D6F551"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F3FBAED" w14:textId="77777777" w:rsidR="00F72116" w:rsidRPr="008A5922" w:rsidRDefault="00F72116" w:rsidP="00CE3A13">
            <w:pPr>
              <w:pStyle w:val="TableBodyText-H54"/>
              <w:rPr>
                <w:rFonts w:ascii="Arial" w:hAnsi="Arial" w:cs="Arial"/>
                <w:sz w:val="20"/>
                <w:lang w:val="en-US" w:eastAsia="en-GB"/>
              </w:rPr>
            </w:pPr>
            <w:r w:rsidRPr="008A5922">
              <w:rPr>
                <w:rFonts w:ascii="Arial" w:hAnsi="Arial" w:cs="Arial"/>
                <w:sz w:val="20"/>
                <w:lang w:val="en-US" w:eastAsia="en-GB"/>
              </w:rPr>
              <w:t>Gastrointestinal disorder SAEs:</w:t>
            </w:r>
          </w:p>
        </w:tc>
        <w:tc>
          <w:tcPr>
            <w:tcW w:w="1485" w:type="dxa"/>
            <w:vAlign w:val="top"/>
            <w:hideMark/>
          </w:tcPr>
          <w:p w14:paraId="3AF2DD6E"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2 (0.3) </w:t>
            </w:r>
          </w:p>
        </w:tc>
        <w:tc>
          <w:tcPr>
            <w:tcW w:w="1479" w:type="dxa"/>
            <w:hideMark/>
          </w:tcPr>
          <w:p w14:paraId="12259BCE"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r w:rsidR="00F72116" w:rsidRPr="00015AC7" w14:paraId="772A1087"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C8E0935"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 xml:space="preserve">Upper gastrointestinal hemorrhage </w:t>
            </w:r>
          </w:p>
        </w:tc>
        <w:tc>
          <w:tcPr>
            <w:tcW w:w="1485" w:type="dxa"/>
            <w:vAlign w:val="top"/>
            <w:hideMark/>
          </w:tcPr>
          <w:p w14:paraId="1003F57F"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1 (0.2) </w:t>
            </w:r>
          </w:p>
        </w:tc>
        <w:tc>
          <w:tcPr>
            <w:tcW w:w="1479" w:type="dxa"/>
            <w:hideMark/>
          </w:tcPr>
          <w:p w14:paraId="02EDC84E"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r w:rsidR="00F72116" w:rsidRPr="00015AC7" w14:paraId="166EA058"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3C91417"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 xml:space="preserve">Vomiting </w:t>
            </w:r>
          </w:p>
        </w:tc>
        <w:tc>
          <w:tcPr>
            <w:tcW w:w="1485" w:type="dxa"/>
            <w:vAlign w:val="top"/>
            <w:hideMark/>
          </w:tcPr>
          <w:p w14:paraId="7414894C"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1 (0.2) </w:t>
            </w:r>
          </w:p>
        </w:tc>
        <w:tc>
          <w:tcPr>
            <w:tcW w:w="1479" w:type="dxa"/>
            <w:hideMark/>
          </w:tcPr>
          <w:p w14:paraId="52E42BBC"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r w:rsidR="00F72116" w:rsidRPr="00015AC7" w14:paraId="4AC45DA8"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D0A09AA" w14:textId="77777777" w:rsidR="00F72116" w:rsidRPr="008A5922" w:rsidRDefault="00F72116" w:rsidP="00CE3A13">
            <w:pPr>
              <w:pStyle w:val="TableBodyText-H54"/>
              <w:rPr>
                <w:rFonts w:ascii="Arial" w:hAnsi="Arial" w:cs="Arial"/>
                <w:sz w:val="20"/>
                <w:lang w:val="en-US" w:eastAsia="en-GB"/>
              </w:rPr>
            </w:pPr>
            <w:r w:rsidRPr="008A5922">
              <w:rPr>
                <w:rFonts w:ascii="Arial" w:hAnsi="Arial" w:cs="Arial"/>
                <w:sz w:val="20"/>
                <w:lang w:val="en-US" w:eastAsia="en-GB"/>
              </w:rPr>
              <w:t>Gastrointestinal disorders TEAEs leading to discontinuation:</w:t>
            </w:r>
          </w:p>
        </w:tc>
        <w:tc>
          <w:tcPr>
            <w:tcW w:w="1485" w:type="dxa"/>
            <w:hideMark/>
          </w:tcPr>
          <w:p w14:paraId="75219359"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 xml:space="preserve">2 (0.3) </w:t>
            </w:r>
          </w:p>
        </w:tc>
        <w:tc>
          <w:tcPr>
            <w:tcW w:w="1479" w:type="dxa"/>
            <w:hideMark/>
          </w:tcPr>
          <w:p w14:paraId="241EC04F"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3 (0.5)</w:t>
            </w:r>
          </w:p>
        </w:tc>
      </w:tr>
      <w:tr w:rsidR="00F72116" w:rsidRPr="00015AC7" w14:paraId="73E7B45F"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A49D064"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 xml:space="preserve">Abdominal discomfort </w:t>
            </w:r>
          </w:p>
        </w:tc>
        <w:tc>
          <w:tcPr>
            <w:tcW w:w="1485" w:type="dxa"/>
            <w:hideMark/>
          </w:tcPr>
          <w:p w14:paraId="2CCC8EC8"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 (0.2)</w:t>
            </w:r>
          </w:p>
        </w:tc>
        <w:tc>
          <w:tcPr>
            <w:tcW w:w="1479" w:type="dxa"/>
            <w:hideMark/>
          </w:tcPr>
          <w:p w14:paraId="3E8E4B33"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r w:rsidR="00F72116" w:rsidRPr="00015AC7" w14:paraId="699E99F1"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AFFA058" w14:textId="583B443D"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Diarrh</w:t>
            </w:r>
            <w:r w:rsidR="00E63998">
              <w:rPr>
                <w:rFonts w:ascii="Arial" w:hAnsi="Arial" w:cs="Arial"/>
                <w:sz w:val="20"/>
                <w:lang w:val="en-US" w:eastAsia="en-GB"/>
              </w:rPr>
              <w:t>o</w:t>
            </w:r>
            <w:r w:rsidRPr="008A5922">
              <w:rPr>
                <w:rFonts w:ascii="Arial" w:hAnsi="Arial" w:cs="Arial"/>
                <w:sz w:val="20"/>
                <w:lang w:val="en-US" w:eastAsia="en-GB"/>
              </w:rPr>
              <w:t>ea</w:t>
            </w:r>
          </w:p>
        </w:tc>
        <w:tc>
          <w:tcPr>
            <w:tcW w:w="1485" w:type="dxa"/>
            <w:hideMark/>
          </w:tcPr>
          <w:p w14:paraId="5BB6FEF3"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 (0.2)</w:t>
            </w:r>
          </w:p>
        </w:tc>
        <w:tc>
          <w:tcPr>
            <w:tcW w:w="1479" w:type="dxa"/>
            <w:hideMark/>
          </w:tcPr>
          <w:p w14:paraId="165F85D9"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r w:rsidR="00F72116" w:rsidRPr="00015AC7" w14:paraId="1CDBF543"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48490AA"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Vomiting</w:t>
            </w:r>
          </w:p>
        </w:tc>
        <w:tc>
          <w:tcPr>
            <w:tcW w:w="1485" w:type="dxa"/>
            <w:hideMark/>
          </w:tcPr>
          <w:p w14:paraId="6CAE82A0"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1 (0.2)</w:t>
            </w:r>
          </w:p>
        </w:tc>
        <w:tc>
          <w:tcPr>
            <w:tcW w:w="1479" w:type="dxa"/>
            <w:hideMark/>
          </w:tcPr>
          <w:p w14:paraId="7DD62F27"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3 (0.5)</w:t>
            </w:r>
          </w:p>
        </w:tc>
      </w:tr>
      <w:tr w:rsidR="00F72116" w:rsidRPr="00015AC7" w14:paraId="1D2E0D2B"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D5CDC30" w14:textId="77777777" w:rsidR="00F72116" w:rsidRPr="008A5922" w:rsidRDefault="00F72116" w:rsidP="00CE3A13">
            <w:pPr>
              <w:pStyle w:val="TableBodyText-H54"/>
              <w:ind w:left="313"/>
              <w:rPr>
                <w:rFonts w:ascii="Arial" w:hAnsi="Arial" w:cs="Arial"/>
                <w:sz w:val="20"/>
                <w:lang w:val="en-US" w:eastAsia="en-GB"/>
              </w:rPr>
            </w:pPr>
            <w:r w:rsidRPr="008A5922">
              <w:rPr>
                <w:rFonts w:ascii="Arial" w:hAnsi="Arial" w:cs="Arial"/>
                <w:sz w:val="20"/>
                <w:lang w:val="en-US" w:eastAsia="en-GB"/>
              </w:rPr>
              <w:t>Nausea</w:t>
            </w:r>
          </w:p>
        </w:tc>
        <w:tc>
          <w:tcPr>
            <w:tcW w:w="1485" w:type="dxa"/>
            <w:hideMark/>
          </w:tcPr>
          <w:p w14:paraId="2E77F6E7"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c>
          <w:tcPr>
            <w:tcW w:w="1479" w:type="dxa"/>
            <w:hideMark/>
          </w:tcPr>
          <w:p w14:paraId="4B47D11C" w14:textId="77777777" w:rsidR="00F72116" w:rsidRPr="008A592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3 (0.5)</w:t>
            </w:r>
          </w:p>
        </w:tc>
      </w:tr>
      <w:tr w:rsidR="00F72116" w:rsidRPr="00015AC7" w14:paraId="52EF1D68"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ABBF6FA" w14:textId="77777777" w:rsidR="00F72116" w:rsidRPr="008A5922" w:rsidRDefault="00F72116" w:rsidP="00CE3A13">
            <w:pPr>
              <w:pStyle w:val="TableBodyText-H54"/>
              <w:rPr>
                <w:rFonts w:ascii="Arial" w:hAnsi="Arial" w:cs="Arial"/>
                <w:sz w:val="20"/>
                <w:lang w:val="en-US" w:eastAsia="en-GB"/>
              </w:rPr>
            </w:pPr>
            <w:r w:rsidRPr="008A5922">
              <w:rPr>
                <w:rFonts w:ascii="Arial" w:hAnsi="Arial" w:cs="Arial"/>
                <w:sz w:val="20"/>
                <w:lang w:val="en-US" w:eastAsia="en-GB"/>
              </w:rPr>
              <w:t>Gastrointestinal disorders leading to death</w:t>
            </w:r>
          </w:p>
        </w:tc>
        <w:tc>
          <w:tcPr>
            <w:tcW w:w="1485" w:type="dxa"/>
            <w:hideMark/>
          </w:tcPr>
          <w:p w14:paraId="67FE8BD1"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c>
          <w:tcPr>
            <w:tcW w:w="1479" w:type="dxa"/>
            <w:hideMark/>
          </w:tcPr>
          <w:p w14:paraId="2B46B734" w14:textId="77777777" w:rsidR="00F72116" w:rsidRPr="008A592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A5922">
              <w:rPr>
                <w:rFonts w:ascii="Arial" w:hAnsi="Arial" w:cs="Arial"/>
                <w:sz w:val="20"/>
                <w:lang w:val="en-US" w:eastAsia="en-GB"/>
              </w:rPr>
              <w:t>0</w:t>
            </w:r>
          </w:p>
        </w:tc>
      </w:tr>
    </w:tbl>
    <w:p w14:paraId="76FFB316" w14:textId="029501A9" w:rsidR="00F72116" w:rsidRPr="005C3361" w:rsidRDefault="002A33A2" w:rsidP="00F72116">
      <w:pPr>
        <w:pStyle w:val="TableNote-H58"/>
        <w:rPr>
          <w:rFonts w:ascii="Arial" w:hAnsi="Arial" w:cs="Arial"/>
          <w:sz w:val="16"/>
          <w:szCs w:val="16"/>
          <w:lang w:val="en-US"/>
        </w:rPr>
      </w:pPr>
      <w:r>
        <w:rPr>
          <w:rFonts w:ascii="Arial" w:hAnsi="Arial" w:cs="Arial"/>
          <w:sz w:val="16"/>
          <w:szCs w:val="16"/>
          <w:lang w:val="en-US"/>
        </w:rPr>
        <w:t>SOURCE</w:t>
      </w:r>
      <w:r>
        <w:rPr>
          <w:rFonts w:ascii="Arial" w:hAnsi="Arial" w:cs="Arial"/>
          <w:sz w:val="16"/>
          <w:lang w:val="en-US"/>
        </w:rPr>
        <w:t xml:space="preserve"> </w:t>
      </w:r>
      <w:r>
        <w:rPr>
          <w:rFonts w:ascii="Arial" w:hAnsi="Arial" w:cs="Arial"/>
          <w:sz w:val="16"/>
          <w:lang w:val="en-US"/>
        </w:rPr>
        <w:fldChar w:fldCharType="begin"/>
      </w:r>
      <w:r>
        <w:rPr>
          <w:rFonts w:ascii="Arial" w:hAnsi="Arial" w:cs="Arial"/>
          <w:sz w:val="16"/>
          <w:lang w:val="en-US"/>
        </w:rPr>
        <w:instrText xml:space="preserve"> REF _Ref284184350 \r \h </w:instrText>
      </w:r>
      <w:r>
        <w:rPr>
          <w:rFonts w:ascii="Arial" w:hAnsi="Arial" w:cs="Arial"/>
          <w:sz w:val="16"/>
          <w:lang w:val="en-US"/>
        </w:rPr>
      </w:r>
      <w:r>
        <w:rPr>
          <w:rFonts w:ascii="Arial" w:hAnsi="Arial" w:cs="Arial"/>
          <w:sz w:val="16"/>
          <w:lang w:val="en-US"/>
        </w:rPr>
        <w:fldChar w:fldCharType="separate"/>
      </w:r>
      <w:r w:rsidR="00151A1C">
        <w:rPr>
          <w:rFonts w:ascii="Arial" w:hAnsi="Arial" w:cs="Arial"/>
          <w:sz w:val="16"/>
          <w:lang w:val="en-US"/>
        </w:rPr>
        <w:t>52</w:t>
      </w:r>
      <w:r>
        <w:rPr>
          <w:rFonts w:ascii="Arial" w:hAnsi="Arial" w:cs="Arial"/>
          <w:sz w:val="16"/>
          <w:lang w:val="en-US"/>
        </w:rPr>
        <w:fldChar w:fldCharType="end"/>
      </w:r>
      <w:r w:rsidRPr="00874DFC">
        <w:rPr>
          <w:rFonts w:ascii="Arial" w:hAnsi="Arial" w:cs="Arial"/>
          <w:sz w:val="16"/>
          <w:lang w:val="en-US"/>
        </w:rPr>
        <w:t>; ISS 2013</w:t>
      </w:r>
      <w:r>
        <w:rPr>
          <w:rFonts w:ascii="Arial" w:hAnsi="Arial" w:cs="Arial"/>
          <w:sz w:val="16"/>
          <w:lang w:val="en-US"/>
        </w:rPr>
        <w:t xml:space="preserve"> </w:t>
      </w:r>
      <w:r>
        <w:rPr>
          <w:rFonts w:ascii="Arial" w:hAnsi="Arial" w:cs="Arial"/>
          <w:sz w:val="16"/>
          <w:lang w:val="en-US"/>
        </w:rPr>
        <w:fldChar w:fldCharType="begin"/>
      </w:r>
      <w:r>
        <w:rPr>
          <w:rFonts w:ascii="Arial" w:hAnsi="Arial" w:cs="Arial"/>
          <w:sz w:val="16"/>
          <w:lang w:val="en-US"/>
        </w:rPr>
        <w:instrText xml:space="preserve"> REF _Ref284184395 \r \h </w:instrText>
      </w:r>
      <w:r>
        <w:rPr>
          <w:rFonts w:ascii="Arial" w:hAnsi="Arial" w:cs="Arial"/>
          <w:sz w:val="16"/>
          <w:lang w:val="en-US"/>
        </w:rPr>
      </w:r>
      <w:r>
        <w:rPr>
          <w:rFonts w:ascii="Arial" w:hAnsi="Arial" w:cs="Arial"/>
          <w:sz w:val="16"/>
          <w:lang w:val="en-US"/>
        </w:rPr>
        <w:fldChar w:fldCharType="separate"/>
      </w:r>
      <w:r w:rsidR="00151A1C">
        <w:rPr>
          <w:rFonts w:ascii="Arial" w:hAnsi="Arial" w:cs="Arial"/>
          <w:sz w:val="16"/>
          <w:lang w:val="en-US"/>
        </w:rPr>
        <w:t>53</w:t>
      </w:r>
      <w:r>
        <w:rPr>
          <w:rFonts w:ascii="Arial" w:hAnsi="Arial" w:cs="Arial"/>
          <w:sz w:val="16"/>
          <w:lang w:val="en-US"/>
        </w:rPr>
        <w:fldChar w:fldCharType="end"/>
      </w:r>
      <w:r w:rsidR="00F72116" w:rsidRPr="005C3361">
        <w:rPr>
          <w:rFonts w:ascii="Arial" w:hAnsi="Arial" w:cs="Arial"/>
          <w:sz w:val="16"/>
          <w:szCs w:val="16"/>
          <w:lang w:val="en-US"/>
        </w:rPr>
        <w:t>: section 4.2</w:t>
      </w:r>
      <w:r w:rsidR="005C3361">
        <w:rPr>
          <w:rFonts w:ascii="Arial" w:hAnsi="Arial" w:cs="Arial"/>
          <w:sz w:val="16"/>
          <w:szCs w:val="16"/>
          <w:lang w:val="en-US"/>
        </w:rPr>
        <w:t>.2 Table 26, Table 32, Table 35</w:t>
      </w:r>
      <w:r w:rsidR="00B44601" w:rsidRPr="005C3361">
        <w:rPr>
          <w:rFonts w:ascii="Arial" w:hAnsi="Arial" w:cs="Arial"/>
          <w:sz w:val="16"/>
          <w:szCs w:val="16"/>
          <w:lang w:val="en-US"/>
        </w:rPr>
        <w:t xml:space="preserve"> </w:t>
      </w:r>
      <w:r w:rsidR="00F72116" w:rsidRPr="005C3361">
        <w:rPr>
          <w:rFonts w:ascii="Arial" w:hAnsi="Arial" w:cs="Arial"/>
          <w:sz w:val="16"/>
          <w:szCs w:val="16"/>
          <w:lang w:val="en-US"/>
        </w:rPr>
        <w:t>N: Number of patients in population; n: Number of patients in specific category; SAE: Serious adverse event; TEAE: Treatment-emergent adverse event</w:t>
      </w:r>
    </w:p>
    <w:p w14:paraId="4DB1318B" w14:textId="77777777" w:rsidR="00015AC7" w:rsidRPr="00874DFC" w:rsidRDefault="00015AC7" w:rsidP="00015AC7">
      <w:pPr>
        <w:rPr>
          <w:lang w:val="en-US"/>
        </w:rPr>
      </w:pPr>
      <w:bookmarkStart w:id="182" w:name="_Ref381781938"/>
      <w:bookmarkStart w:id="183" w:name="_Toc396058485"/>
    </w:p>
    <w:p w14:paraId="15DF369D" w14:textId="5BE72632" w:rsidR="00F72116" w:rsidRPr="00874DFC" w:rsidRDefault="00F72116" w:rsidP="00015AC7">
      <w:pPr>
        <w:rPr>
          <w:b/>
          <w:sz w:val="22"/>
          <w:szCs w:val="22"/>
          <w:lang w:val="en-US"/>
        </w:rPr>
      </w:pPr>
      <w:bookmarkStart w:id="184" w:name="_Ref281835152"/>
      <w:r w:rsidRPr="00874DFC">
        <w:rPr>
          <w:b/>
          <w:sz w:val="22"/>
          <w:szCs w:val="22"/>
          <w:lang w:val="en-US"/>
        </w:rPr>
        <w:t xml:space="preserve">Table </w:t>
      </w:r>
      <w:r w:rsidRPr="00874DFC">
        <w:rPr>
          <w:b/>
          <w:sz w:val="22"/>
          <w:szCs w:val="22"/>
          <w:lang w:val="en-US"/>
        </w:rPr>
        <w:fldChar w:fldCharType="begin"/>
      </w:r>
      <w:r w:rsidRPr="00874DFC">
        <w:rPr>
          <w:b/>
          <w:sz w:val="22"/>
          <w:szCs w:val="22"/>
          <w:lang w:val="en-US"/>
        </w:rPr>
        <w:instrText xml:space="preserve"> SEQ Table \* ARABIC </w:instrText>
      </w:r>
      <w:r w:rsidRPr="00874DFC">
        <w:rPr>
          <w:b/>
          <w:sz w:val="22"/>
          <w:szCs w:val="22"/>
          <w:lang w:val="en-US"/>
        </w:rPr>
        <w:fldChar w:fldCharType="separate"/>
      </w:r>
      <w:r w:rsidR="00151A1C">
        <w:rPr>
          <w:b/>
          <w:noProof/>
          <w:sz w:val="22"/>
          <w:szCs w:val="22"/>
          <w:lang w:val="en-US"/>
        </w:rPr>
        <w:t>41</w:t>
      </w:r>
      <w:r w:rsidRPr="00874DFC">
        <w:rPr>
          <w:b/>
          <w:sz w:val="22"/>
          <w:szCs w:val="22"/>
          <w:lang w:val="en-US"/>
        </w:rPr>
        <w:fldChar w:fldCharType="end"/>
      </w:r>
      <w:bookmarkEnd w:id="182"/>
      <w:bookmarkEnd w:id="184"/>
      <w:r w:rsidRPr="00874DFC">
        <w:rPr>
          <w:b/>
          <w:sz w:val="22"/>
          <w:szCs w:val="22"/>
          <w:lang w:val="en-US"/>
        </w:rPr>
        <w:t xml:space="preserve">: Post-baseline </w:t>
      </w:r>
      <w:r w:rsidR="00015AC7" w:rsidRPr="00874DFC">
        <w:rPr>
          <w:b/>
          <w:sz w:val="22"/>
          <w:szCs w:val="22"/>
          <w:lang w:val="en-US"/>
        </w:rPr>
        <w:t>haematology</w:t>
      </w:r>
      <w:r w:rsidRPr="00874DFC">
        <w:rPr>
          <w:b/>
          <w:sz w:val="22"/>
          <w:szCs w:val="22"/>
          <w:lang w:val="en-US"/>
        </w:rPr>
        <w:t xml:space="preserve"> laboratory values in the pooled analysis of safety data from the Phase 3 trials</w:t>
      </w:r>
      <w:bookmarkEnd w:id="183"/>
    </w:p>
    <w:tbl>
      <w:tblPr>
        <w:tblStyle w:val="Table-HERONplain"/>
        <w:tblW w:w="0" w:type="auto"/>
        <w:tblLook w:val="04A0" w:firstRow="1" w:lastRow="0" w:firstColumn="1" w:lastColumn="0" w:noHBand="0" w:noVBand="1"/>
      </w:tblPr>
      <w:tblGrid>
        <w:gridCol w:w="5967"/>
        <w:gridCol w:w="1474"/>
        <w:gridCol w:w="1462"/>
      </w:tblGrid>
      <w:tr w:rsidR="00F72116" w:rsidRPr="00874DFC" w14:paraId="4F87D03B" w14:textId="77777777" w:rsidTr="0052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F3EDC55" w14:textId="0C148619" w:rsidR="00F72116" w:rsidRPr="00874DFC" w:rsidRDefault="00F72116" w:rsidP="0089562B">
            <w:pPr>
              <w:pStyle w:val="TableBodyText-H54"/>
              <w:rPr>
                <w:rFonts w:ascii="Arial" w:hAnsi="Arial" w:cs="Arial"/>
                <w:sz w:val="20"/>
                <w:lang w:val="en-US" w:eastAsia="en-GB"/>
              </w:rPr>
            </w:pPr>
            <w:r w:rsidRPr="00874DFC">
              <w:rPr>
                <w:rFonts w:ascii="Arial" w:hAnsi="Arial" w:cs="Arial"/>
                <w:sz w:val="20"/>
                <w:lang w:val="en-US" w:eastAsia="en-GB"/>
              </w:rPr>
              <w:t xml:space="preserve">Post-baseline </w:t>
            </w:r>
            <w:r w:rsidR="00015AC7" w:rsidRPr="00874DFC">
              <w:rPr>
                <w:rFonts w:ascii="Arial" w:hAnsi="Arial" w:cs="Arial"/>
                <w:sz w:val="20"/>
                <w:lang w:val="en-US" w:eastAsia="en-GB"/>
              </w:rPr>
              <w:t>haematology</w:t>
            </w:r>
            <w:r w:rsidRPr="00874DFC">
              <w:rPr>
                <w:rFonts w:ascii="Arial" w:hAnsi="Arial" w:cs="Arial"/>
                <w:sz w:val="20"/>
                <w:lang w:val="en-US" w:eastAsia="en-GB"/>
              </w:rPr>
              <w:t xml:space="preserve"> laboratory values through last dose of active study </w:t>
            </w:r>
            <w:r w:rsidR="0089562B" w:rsidRPr="00874DFC">
              <w:rPr>
                <w:rFonts w:ascii="Arial" w:hAnsi="Arial" w:cs="Arial"/>
                <w:sz w:val="20"/>
                <w:lang w:val="en-US" w:eastAsia="en-GB"/>
              </w:rPr>
              <w:t>medicine</w:t>
            </w:r>
          </w:p>
        </w:tc>
        <w:tc>
          <w:tcPr>
            <w:tcW w:w="1485" w:type="dxa"/>
            <w:shd w:val="clear" w:color="auto" w:fill="auto"/>
            <w:hideMark/>
          </w:tcPr>
          <w:p w14:paraId="199784AB"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Tedizolid phosphate</w:t>
            </w:r>
          </w:p>
          <w:p w14:paraId="64C95B27"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N=662</w:t>
            </w:r>
          </w:p>
          <w:p w14:paraId="1BBAC881"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 (%)</w:t>
            </w:r>
          </w:p>
        </w:tc>
        <w:tc>
          <w:tcPr>
            <w:tcW w:w="1479" w:type="dxa"/>
            <w:shd w:val="clear" w:color="auto" w:fill="auto"/>
            <w:hideMark/>
          </w:tcPr>
          <w:p w14:paraId="67AAAE77"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Linezolid</w:t>
            </w:r>
          </w:p>
          <w:p w14:paraId="19F3EE83"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N=662</w:t>
            </w:r>
          </w:p>
          <w:p w14:paraId="3E11E4EB" w14:textId="77777777" w:rsidR="00F72116" w:rsidRPr="00874DFC"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n (%)</w:t>
            </w:r>
          </w:p>
        </w:tc>
      </w:tr>
      <w:tr w:rsidR="00F72116" w:rsidRPr="00874DFC" w14:paraId="4D539A77"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84C3E81" w14:textId="46E3BB9B"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H</w:t>
            </w:r>
            <w:r w:rsidR="00850AED" w:rsidRPr="00874DFC">
              <w:rPr>
                <w:rFonts w:ascii="Arial" w:hAnsi="Arial" w:cs="Arial"/>
                <w:sz w:val="20"/>
                <w:lang w:val="en-US" w:eastAsia="en-GB"/>
              </w:rPr>
              <w:t>a</w:t>
            </w:r>
            <w:r w:rsidRPr="00874DFC">
              <w:rPr>
                <w:rFonts w:ascii="Arial" w:hAnsi="Arial" w:cs="Arial"/>
                <w:sz w:val="20"/>
                <w:lang w:val="en-US" w:eastAsia="en-GB"/>
              </w:rPr>
              <w:t>emoglobin, N1</w:t>
            </w:r>
          </w:p>
        </w:tc>
        <w:tc>
          <w:tcPr>
            <w:tcW w:w="1485" w:type="dxa"/>
            <w:vAlign w:val="top"/>
            <w:hideMark/>
          </w:tcPr>
          <w:p w14:paraId="100690E4"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632 </w:t>
            </w:r>
          </w:p>
        </w:tc>
        <w:tc>
          <w:tcPr>
            <w:tcW w:w="1479" w:type="dxa"/>
            <w:vAlign w:val="top"/>
            <w:hideMark/>
          </w:tcPr>
          <w:p w14:paraId="66F12CE1"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633 </w:t>
            </w:r>
          </w:p>
        </w:tc>
      </w:tr>
      <w:tr w:rsidR="00F72116" w:rsidRPr="00874DFC" w14:paraId="301223FF"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1B59A232"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Below LLN</w:t>
            </w:r>
          </w:p>
        </w:tc>
        <w:tc>
          <w:tcPr>
            <w:tcW w:w="1485" w:type="dxa"/>
            <w:vAlign w:val="top"/>
            <w:hideMark/>
          </w:tcPr>
          <w:p w14:paraId="58B01F45"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254 (40.2) </w:t>
            </w:r>
          </w:p>
        </w:tc>
        <w:tc>
          <w:tcPr>
            <w:tcW w:w="1479" w:type="dxa"/>
            <w:vAlign w:val="top"/>
            <w:hideMark/>
          </w:tcPr>
          <w:p w14:paraId="77AC825D"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282 (44.5) </w:t>
            </w:r>
          </w:p>
        </w:tc>
      </w:tr>
      <w:tr w:rsidR="00F72116" w:rsidRPr="00874DFC" w14:paraId="153663EF"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2FBAB01"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Substantially abnormal</w:t>
            </w:r>
          </w:p>
        </w:tc>
        <w:tc>
          <w:tcPr>
            <w:tcW w:w="1485" w:type="dxa"/>
            <w:vAlign w:val="top"/>
            <w:hideMark/>
          </w:tcPr>
          <w:p w14:paraId="4BDC1623"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18 (2.8) </w:t>
            </w:r>
          </w:p>
        </w:tc>
        <w:tc>
          <w:tcPr>
            <w:tcW w:w="1479" w:type="dxa"/>
            <w:vAlign w:val="top"/>
            <w:hideMark/>
          </w:tcPr>
          <w:p w14:paraId="554A0F36"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22 (3.5) </w:t>
            </w:r>
          </w:p>
        </w:tc>
      </w:tr>
      <w:tr w:rsidR="00F72116" w:rsidRPr="00874DFC" w14:paraId="66E181A2"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2A48F14"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ANC, N1</w:t>
            </w:r>
          </w:p>
        </w:tc>
        <w:tc>
          <w:tcPr>
            <w:tcW w:w="1485" w:type="dxa"/>
            <w:vAlign w:val="top"/>
            <w:hideMark/>
          </w:tcPr>
          <w:p w14:paraId="5E11E880"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618 </w:t>
            </w:r>
          </w:p>
        </w:tc>
        <w:tc>
          <w:tcPr>
            <w:tcW w:w="1479" w:type="dxa"/>
            <w:vAlign w:val="top"/>
            <w:hideMark/>
          </w:tcPr>
          <w:p w14:paraId="70116877"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617 </w:t>
            </w:r>
          </w:p>
        </w:tc>
      </w:tr>
      <w:tr w:rsidR="00F72116" w:rsidRPr="00874DFC" w14:paraId="172B213E"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4370CF9"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Below LLN</w:t>
            </w:r>
          </w:p>
        </w:tc>
        <w:tc>
          <w:tcPr>
            <w:tcW w:w="1485" w:type="dxa"/>
            <w:vAlign w:val="top"/>
            <w:hideMark/>
          </w:tcPr>
          <w:p w14:paraId="7EF9A696"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12 (1.9) </w:t>
            </w:r>
          </w:p>
        </w:tc>
        <w:tc>
          <w:tcPr>
            <w:tcW w:w="1479" w:type="dxa"/>
            <w:vAlign w:val="top"/>
            <w:hideMark/>
          </w:tcPr>
          <w:p w14:paraId="4A78CBB1"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29 (4.7) </w:t>
            </w:r>
          </w:p>
        </w:tc>
      </w:tr>
      <w:tr w:rsidR="00F72116" w:rsidRPr="00874DFC" w14:paraId="742AA54A"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CA6F620"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Substantially abnormal</w:t>
            </w:r>
          </w:p>
        </w:tc>
        <w:tc>
          <w:tcPr>
            <w:tcW w:w="1485" w:type="dxa"/>
            <w:vAlign w:val="top"/>
            <w:hideMark/>
          </w:tcPr>
          <w:p w14:paraId="5C3D2914"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3 (0.5) </w:t>
            </w:r>
          </w:p>
        </w:tc>
        <w:tc>
          <w:tcPr>
            <w:tcW w:w="1479" w:type="dxa"/>
            <w:vAlign w:val="top"/>
            <w:hideMark/>
          </w:tcPr>
          <w:p w14:paraId="315DBD0F"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4 (0.6) </w:t>
            </w:r>
          </w:p>
        </w:tc>
      </w:tr>
      <w:tr w:rsidR="00F72116" w:rsidRPr="00874DFC" w14:paraId="72C98933"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313F49B" w14:textId="77777777" w:rsidR="00F72116" w:rsidRPr="00874DFC" w:rsidRDefault="00F72116" w:rsidP="00CE3A13">
            <w:pPr>
              <w:pStyle w:val="TableBodyText-H54"/>
              <w:rPr>
                <w:rFonts w:ascii="Arial" w:hAnsi="Arial" w:cs="Arial"/>
                <w:sz w:val="20"/>
                <w:lang w:val="en-US" w:eastAsia="en-GB"/>
              </w:rPr>
            </w:pPr>
            <w:r w:rsidRPr="00874DFC">
              <w:rPr>
                <w:rFonts w:ascii="Arial" w:hAnsi="Arial" w:cs="Arial"/>
                <w:sz w:val="20"/>
                <w:lang w:val="en-US" w:eastAsia="en-GB"/>
              </w:rPr>
              <w:t>Platelets, N1</w:t>
            </w:r>
          </w:p>
        </w:tc>
        <w:tc>
          <w:tcPr>
            <w:tcW w:w="1485" w:type="dxa"/>
            <w:vAlign w:val="top"/>
            <w:hideMark/>
          </w:tcPr>
          <w:p w14:paraId="4F9BA75D"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627</w:t>
            </w:r>
          </w:p>
        </w:tc>
        <w:tc>
          <w:tcPr>
            <w:tcW w:w="1479" w:type="dxa"/>
            <w:vAlign w:val="top"/>
            <w:hideMark/>
          </w:tcPr>
          <w:p w14:paraId="21707873"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626</w:t>
            </w:r>
          </w:p>
        </w:tc>
      </w:tr>
      <w:tr w:rsidR="00F72116" w:rsidRPr="00874DFC" w14:paraId="393CC15C" w14:textId="77777777" w:rsidTr="0052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8A156EC"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Below LLN</w:t>
            </w:r>
          </w:p>
        </w:tc>
        <w:tc>
          <w:tcPr>
            <w:tcW w:w="1485" w:type="dxa"/>
            <w:vAlign w:val="top"/>
            <w:hideMark/>
          </w:tcPr>
          <w:p w14:paraId="20907D12"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40 (6.4) </w:t>
            </w:r>
          </w:p>
        </w:tc>
        <w:tc>
          <w:tcPr>
            <w:tcW w:w="1479" w:type="dxa"/>
            <w:vAlign w:val="top"/>
            <w:hideMark/>
          </w:tcPr>
          <w:p w14:paraId="621ACD24" w14:textId="77777777" w:rsidR="00F72116" w:rsidRPr="00874DFC"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79 (12.6) </w:t>
            </w:r>
          </w:p>
        </w:tc>
      </w:tr>
      <w:tr w:rsidR="00F72116" w:rsidRPr="00874DFC" w14:paraId="06F2E2EC" w14:textId="77777777" w:rsidTr="00521E5D">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AD2B3BF" w14:textId="77777777" w:rsidR="00F72116" w:rsidRPr="00874DFC" w:rsidRDefault="00F72116" w:rsidP="00CE3A13">
            <w:pPr>
              <w:pStyle w:val="TableBodyText-H54"/>
              <w:rPr>
                <w:rFonts w:ascii="Arial" w:hAnsi="Arial" w:cs="Arial"/>
                <w:b w:val="0"/>
                <w:sz w:val="20"/>
                <w:lang w:val="en-US" w:eastAsia="en-GB"/>
              </w:rPr>
            </w:pPr>
            <w:r w:rsidRPr="00874DFC">
              <w:rPr>
                <w:rFonts w:ascii="Arial" w:hAnsi="Arial" w:cs="Arial"/>
                <w:sz w:val="20"/>
                <w:lang w:val="en-US" w:eastAsia="en-GB"/>
              </w:rPr>
              <w:t>Substantially abnormal</w:t>
            </w:r>
          </w:p>
        </w:tc>
        <w:tc>
          <w:tcPr>
            <w:tcW w:w="1485" w:type="dxa"/>
            <w:vAlign w:val="top"/>
            <w:hideMark/>
          </w:tcPr>
          <w:p w14:paraId="3046919C"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13 (2.1) </w:t>
            </w:r>
          </w:p>
        </w:tc>
        <w:tc>
          <w:tcPr>
            <w:tcW w:w="1479" w:type="dxa"/>
            <w:vAlign w:val="top"/>
            <w:hideMark/>
          </w:tcPr>
          <w:p w14:paraId="1E4CE4D1" w14:textId="77777777" w:rsidR="00F72116" w:rsidRPr="00874DFC"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eastAsia="en-GB"/>
              </w:rPr>
            </w:pPr>
            <w:r w:rsidRPr="00874DFC">
              <w:rPr>
                <w:rFonts w:ascii="Arial" w:hAnsi="Arial" w:cs="Arial"/>
                <w:sz w:val="20"/>
                <w:lang w:val="en-US" w:eastAsia="en-GB"/>
              </w:rPr>
              <w:t xml:space="preserve">28 (4.5) </w:t>
            </w:r>
          </w:p>
        </w:tc>
      </w:tr>
    </w:tbl>
    <w:p w14:paraId="5984BC5D" w14:textId="245BFB28" w:rsidR="00F72116" w:rsidRPr="005C3361" w:rsidRDefault="00F72116" w:rsidP="00F72116">
      <w:pPr>
        <w:pStyle w:val="TableNote-H58"/>
        <w:rPr>
          <w:rFonts w:ascii="Arial" w:hAnsi="Arial"/>
          <w:sz w:val="16"/>
          <w:szCs w:val="16"/>
          <w:lang w:val="en-US"/>
        </w:rPr>
      </w:pPr>
      <w:r w:rsidRPr="005C3361">
        <w:rPr>
          <w:rFonts w:ascii="Arial" w:hAnsi="Arial"/>
          <w:sz w:val="16"/>
          <w:szCs w:val="16"/>
          <w:lang w:val="en-US"/>
        </w:rPr>
        <w:t xml:space="preserve">SOURCE: </w:t>
      </w:r>
      <w:r w:rsidR="002A33A2" w:rsidRPr="00874DFC">
        <w:rPr>
          <w:rFonts w:ascii="Arial" w:hAnsi="Arial" w:cs="Arial"/>
          <w:sz w:val="16"/>
          <w:lang w:val="en-US"/>
        </w:rPr>
        <w:t>ISS 2013</w:t>
      </w:r>
      <w:r w:rsidR="002A33A2">
        <w:rPr>
          <w:rFonts w:ascii="Arial" w:hAnsi="Arial" w:cs="Arial"/>
          <w:sz w:val="16"/>
          <w:lang w:val="en-US"/>
        </w:rPr>
        <w:t xml:space="preserve"> </w:t>
      </w:r>
      <w:r w:rsidR="002A33A2">
        <w:rPr>
          <w:rFonts w:ascii="Arial" w:hAnsi="Arial" w:cs="Arial"/>
          <w:sz w:val="16"/>
          <w:lang w:val="en-US"/>
        </w:rPr>
        <w:fldChar w:fldCharType="begin"/>
      </w:r>
      <w:r w:rsidR="002A33A2">
        <w:rPr>
          <w:rFonts w:ascii="Arial" w:hAnsi="Arial" w:cs="Arial"/>
          <w:sz w:val="16"/>
          <w:lang w:val="en-US"/>
        </w:rPr>
        <w:instrText xml:space="preserve"> REF _Ref284184395 \r \h </w:instrText>
      </w:r>
      <w:r w:rsidR="002A33A2">
        <w:rPr>
          <w:rFonts w:ascii="Arial" w:hAnsi="Arial" w:cs="Arial"/>
          <w:sz w:val="16"/>
          <w:lang w:val="en-US"/>
        </w:rPr>
      </w:r>
      <w:r w:rsidR="002A33A2">
        <w:rPr>
          <w:rFonts w:ascii="Arial" w:hAnsi="Arial" w:cs="Arial"/>
          <w:sz w:val="16"/>
          <w:lang w:val="en-US"/>
        </w:rPr>
        <w:fldChar w:fldCharType="separate"/>
      </w:r>
      <w:r w:rsidR="00151A1C">
        <w:rPr>
          <w:rFonts w:ascii="Arial" w:hAnsi="Arial" w:cs="Arial"/>
          <w:sz w:val="16"/>
          <w:lang w:val="en-US"/>
        </w:rPr>
        <w:t>53</w:t>
      </w:r>
      <w:r w:rsidR="002A33A2">
        <w:rPr>
          <w:rFonts w:ascii="Arial" w:hAnsi="Arial" w:cs="Arial"/>
          <w:sz w:val="16"/>
          <w:lang w:val="en-US"/>
        </w:rPr>
        <w:fldChar w:fldCharType="end"/>
      </w:r>
      <w:r w:rsidR="002A33A2">
        <w:rPr>
          <w:rFonts w:ascii="Arial" w:hAnsi="Arial" w:cs="Arial"/>
          <w:sz w:val="16"/>
          <w:lang w:val="en-US"/>
        </w:rPr>
        <w:t xml:space="preserve"> </w:t>
      </w:r>
      <w:r w:rsidRPr="005C3361">
        <w:rPr>
          <w:rFonts w:ascii="Arial" w:hAnsi="Arial"/>
          <w:sz w:val="16"/>
          <w:szCs w:val="16"/>
          <w:lang w:val="en-US"/>
        </w:rPr>
        <w:t>section 5.1.2 Table 41</w:t>
      </w:r>
      <w:r w:rsidR="00B44601" w:rsidRPr="005C3361">
        <w:rPr>
          <w:rFonts w:ascii="Arial" w:hAnsi="Arial"/>
          <w:sz w:val="16"/>
          <w:szCs w:val="16"/>
          <w:lang w:val="en-US"/>
        </w:rPr>
        <w:t xml:space="preserve"> </w:t>
      </w:r>
      <w:r w:rsidRPr="005C3361">
        <w:rPr>
          <w:rFonts w:ascii="Arial" w:hAnsi="Arial"/>
          <w:sz w:val="16"/>
          <w:szCs w:val="16"/>
          <w:lang w:val="en-US"/>
        </w:rPr>
        <w:t xml:space="preserve">Note: Substantially abnormal is defined as </w:t>
      </w:r>
      <w:r w:rsidRPr="005C3361">
        <w:rPr>
          <w:rFonts w:ascii="Arial" w:eastAsia="TimesNewRoman" w:hAnsi="Arial"/>
          <w:sz w:val="16"/>
          <w:szCs w:val="16"/>
          <w:lang w:val="en-US"/>
        </w:rPr>
        <w:t>&lt;75% of the LLN</w:t>
      </w:r>
      <w:r w:rsidRPr="005C3361">
        <w:rPr>
          <w:rFonts w:ascii="Arial" w:hAnsi="Arial"/>
          <w:sz w:val="16"/>
          <w:szCs w:val="16"/>
          <w:lang w:val="en-US"/>
        </w:rPr>
        <w:t xml:space="preserve"> (&lt;50% of ANC) for values normal at baseline and &lt;75% of the LLN (&lt;50% for ANC) and of baseline for values abnormal at baseline</w:t>
      </w:r>
      <w:r w:rsidR="00B44601" w:rsidRPr="005C3361">
        <w:rPr>
          <w:rFonts w:ascii="Arial" w:hAnsi="Arial"/>
          <w:sz w:val="16"/>
          <w:szCs w:val="16"/>
          <w:lang w:val="en-US"/>
        </w:rPr>
        <w:t xml:space="preserve"> </w:t>
      </w:r>
      <w:r w:rsidRPr="005C3361">
        <w:rPr>
          <w:rFonts w:ascii="Arial" w:hAnsi="Arial"/>
          <w:sz w:val="16"/>
          <w:szCs w:val="16"/>
          <w:lang w:val="en-US"/>
        </w:rPr>
        <w:t xml:space="preserve">ANC: Absolute neutrophil count; LLN: Lower limit of normal; N: Number of patients in the safety population; N1: Number of patients with non-missing data at the </w:t>
      </w:r>
      <w:r w:rsidR="00350BE0" w:rsidRPr="005C3361">
        <w:rPr>
          <w:rFonts w:ascii="Arial" w:hAnsi="Arial"/>
          <w:sz w:val="16"/>
          <w:szCs w:val="16"/>
          <w:lang w:val="en-US"/>
        </w:rPr>
        <w:t>summarise</w:t>
      </w:r>
      <w:r w:rsidRPr="005C3361">
        <w:rPr>
          <w:rFonts w:ascii="Arial" w:hAnsi="Arial"/>
          <w:sz w:val="16"/>
          <w:szCs w:val="16"/>
          <w:lang w:val="en-US"/>
        </w:rPr>
        <w:t>d visit; n: Number of patients in specific category</w:t>
      </w:r>
    </w:p>
    <w:p w14:paraId="21C6721F" w14:textId="77777777" w:rsidR="00015AC7" w:rsidRPr="00874DFC" w:rsidRDefault="00015AC7" w:rsidP="00F72116">
      <w:pPr>
        <w:pStyle w:val="BodyText"/>
        <w:rPr>
          <w:sz w:val="22"/>
          <w:szCs w:val="22"/>
          <w:lang w:val="en-US"/>
        </w:rPr>
      </w:pPr>
    </w:p>
    <w:p w14:paraId="543B14A6" w14:textId="13DB3830" w:rsidR="00F72116" w:rsidRPr="00874DFC" w:rsidRDefault="00F72116" w:rsidP="00F72116">
      <w:pPr>
        <w:pStyle w:val="BodyText"/>
        <w:rPr>
          <w:sz w:val="22"/>
          <w:szCs w:val="22"/>
          <w:lang w:val="en-US"/>
        </w:rPr>
      </w:pPr>
      <w:r w:rsidRPr="00874DFC">
        <w:rPr>
          <w:sz w:val="22"/>
          <w:szCs w:val="22"/>
          <w:lang w:val="en-US"/>
        </w:rPr>
        <w:t>The incidence of abnormal and substantially abnormal platelet counts was determined at several time</w:t>
      </w:r>
      <w:r w:rsidR="00C42757" w:rsidRPr="00874DFC">
        <w:rPr>
          <w:sz w:val="22"/>
          <w:szCs w:val="22"/>
          <w:lang w:val="en-US"/>
        </w:rPr>
        <w:t xml:space="preserve"> </w:t>
      </w:r>
      <w:r w:rsidRPr="00874DFC">
        <w:rPr>
          <w:sz w:val="22"/>
          <w:szCs w:val="22"/>
          <w:lang w:val="en-US"/>
        </w:rPr>
        <w:t>points during the study (</w:t>
      </w:r>
      <w:r w:rsidR="00C42757" w:rsidRPr="00874DFC">
        <w:rPr>
          <w:sz w:val="22"/>
          <w:szCs w:val="22"/>
          <w:lang w:val="en-US"/>
        </w:rPr>
        <w:fldChar w:fldCharType="begin"/>
      </w:r>
      <w:r w:rsidR="00C42757" w:rsidRPr="00874DFC">
        <w:rPr>
          <w:sz w:val="22"/>
          <w:szCs w:val="22"/>
          <w:lang w:val="en-US"/>
        </w:rPr>
        <w:instrText xml:space="preserve"> REF _Ref390706410 \h </w:instrText>
      </w:r>
      <w:r w:rsidR="00C42757" w:rsidRPr="00874DFC">
        <w:rPr>
          <w:sz w:val="22"/>
          <w:szCs w:val="22"/>
          <w:lang w:val="en-US"/>
        </w:rPr>
      </w:r>
      <w:r w:rsidR="00C42757" w:rsidRPr="00874DFC">
        <w:rPr>
          <w:sz w:val="22"/>
          <w:szCs w:val="22"/>
          <w:lang w:val="en-US"/>
        </w:rPr>
        <w:fldChar w:fldCharType="separate"/>
      </w:r>
      <w:r w:rsidR="00151A1C" w:rsidRPr="00874DFC">
        <w:rPr>
          <w:rFonts w:cs="Arial"/>
          <w:sz w:val="22"/>
          <w:szCs w:val="22"/>
          <w:lang w:val="en-US"/>
        </w:rPr>
        <w:t xml:space="preserve">Table </w:t>
      </w:r>
      <w:r w:rsidR="00151A1C">
        <w:rPr>
          <w:rFonts w:cs="Arial"/>
          <w:noProof/>
          <w:sz w:val="22"/>
          <w:szCs w:val="22"/>
          <w:lang w:val="en-US"/>
        </w:rPr>
        <w:t>42</w:t>
      </w:r>
      <w:r w:rsidR="00C42757" w:rsidRPr="00874DFC">
        <w:rPr>
          <w:sz w:val="22"/>
          <w:szCs w:val="22"/>
          <w:lang w:val="en-US"/>
        </w:rPr>
        <w:fldChar w:fldCharType="end"/>
      </w:r>
      <w:r w:rsidRPr="00874DFC">
        <w:rPr>
          <w:sz w:val="22"/>
          <w:szCs w:val="22"/>
          <w:lang w:val="en-US"/>
        </w:rPr>
        <w:t xml:space="preserve">). The incidence of counts below LLN increased from 5.6% at Day 7 to Day 9 to 10.8% at Day 11 to Day13 in the linezolid group compared to 3.2% to 4.9% in the tedizolid phosphate </w:t>
      </w:r>
      <w:r w:rsidRPr="00950A50">
        <w:rPr>
          <w:sz w:val="22"/>
          <w:szCs w:val="22"/>
          <w:lang w:val="en-US"/>
        </w:rPr>
        <w:t>group</w:t>
      </w:r>
      <w:r w:rsidR="004748C3" w:rsidRPr="00950A50">
        <w:rPr>
          <w:sz w:val="22"/>
          <w:szCs w:val="22"/>
          <w:lang w:val="en-US"/>
        </w:rPr>
        <w:t xml:space="preserve"> </w:t>
      </w:r>
      <w:r w:rsidR="00950A50" w:rsidRPr="00950A50">
        <w:rPr>
          <w:sz w:val="22"/>
          <w:szCs w:val="22"/>
          <w:lang w:val="en-US"/>
        </w:rPr>
        <w:t>(</w:t>
      </w:r>
      <w:r w:rsidR="00950A50" w:rsidRPr="00950A50">
        <w:rPr>
          <w:rFonts w:cs="Arial"/>
          <w:sz w:val="22"/>
          <w:szCs w:val="22"/>
          <w:lang w:val="en-US"/>
        </w:rPr>
        <w:fldChar w:fldCharType="begin"/>
      </w:r>
      <w:r w:rsidR="00950A50" w:rsidRPr="00950A50">
        <w:rPr>
          <w:rFonts w:cs="Arial"/>
          <w:sz w:val="22"/>
          <w:szCs w:val="22"/>
          <w:lang w:val="en-US"/>
        </w:rPr>
        <w:instrText xml:space="preserve"> REF _Ref284184350 \r \h </w:instrText>
      </w:r>
      <w:r w:rsidR="00950A50" w:rsidRPr="00950A50">
        <w:rPr>
          <w:rFonts w:cs="Arial"/>
          <w:sz w:val="22"/>
          <w:szCs w:val="22"/>
          <w:lang w:val="en-US"/>
        </w:rPr>
      </w:r>
      <w:r w:rsidR="00950A50" w:rsidRPr="00950A50">
        <w:rPr>
          <w:rFonts w:cs="Arial"/>
          <w:sz w:val="22"/>
          <w:szCs w:val="22"/>
          <w:lang w:val="en-US"/>
        </w:rPr>
        <w:fldChar w:fldCharType="separate"/>
      </w:r>
      <w:r w:rsidR="00151A1C">
        <w:rPr>
          <w:rFonts w:cs="Arial"/>
          <w:sz w:val="22"/>
          <w:szCs w:val="22"/>
          <w:lang w:val="en-US"/>
        </w:rPr>
        <w:t>52</w:t>
      </w:r>
      <w:r w:rsidR="00950A50" w:rsidRPr="00950A50">
        <w:rPr>
          <w:rFonts w:cs="Arial"/>
          <w:sz w:val="22"/>
          <w:szCs w:val="22"/>
          <w:lang w:val="en-US"/>
        </w:rPr>
        <w:fldChar w:fldCharType="end"/>
      </w:r>
      <w:r w:rsidR="00950A50" w:rsidRPr="00950A50">
        <w:rPr>
          <w:rFonts w:cs="Arial"/>
          <w:sz w:val="22"/>
          <w:szCs w:val="22"/>
          <w:lang w:val="en-US"/>
        </w:rPr>
        <w:t>;</w:t>
      </w:r>
      <w:r w:rsidR="00950A50" w:rsidRPr="00950A50">
        <w:rPr>
          <w:rFonts w:cs="Arial"/>
          <w:sz w:val="22"/>
          <w:szCs w:val="22"/>
          <w:lang w:val="en-US"/>
        </w:rPr>
        <w:fldChar w:fldCharType="begin"/>
      </w:r>
      <w:r w:rsidR="00950A50" w:rsidRPr="00950A50">
        <w:rPr>
          <w:rFonts w:cs="Arial"/>
          <w:sz w:val="22"/>
          <w:szCs w:val="22"/>
          <w:lang w:val="en-US"/>
        </w:rPr>
        <w:instrText xml:space="preserve"> REF _Ref284184395 \r \h </w:instrText>
      </w:r>
      <w:r w:rsidR="00950A50" w:rsidRPr="00950A50">
        <w:rPr>
          <w:rFonts w:cs="Arial"/>
          <w:sz w:val="22"/>
          <w:szCs w:val="22"/>
          <w:lang w:val="en-US"/>
        </w:rPr>
      </w:r>
      <w:r w:rsidR="00950A50" w:rsidRPr="00950A50">
        <w:rPr>
          <w:rFonts w:cs="Arial"/>
          <w:sz w:val="22"/>
          <w:szCs w:val="22"/>
          <w:lang w:val="en-US"/>
        </w:rPr>
        <w:fldChar w:fldCharType="separate"/>
      </w:r>
      <w:r w:rsidR="00151A1C">
        <w:rPr>
          <w:rFonts w:cs="Arial"/>
          <w:sz w:val="22"/>
          <w:szCs w:val="22"/>
          <w:lang w:val="en-US"/>
        </w:rPr>
        <w:t>53</w:t>
      </w:r>
      <w:r w:rsidR="00950A50" w:rsidRPr="00950A50">
        <w:rPr>
          <w:rFonts w:cs="Arial"/>
          <w:sz w:val="22"/>
          <w:szCs w:val="22"/>
          <w:lang w:val="en-US"/>
        </w:rPr>
        <w:fldChar w:fldCharType="end"/>
      </w:r>
      <w:r w:rsidR="004748C3" w:rsidRPr="00950A50">
        <w:rPr>
          <w:sz w:val="22"/>
          <w:szCs w:val="22"/>
          <w:lang w:val="en-US"/>
        </w:rPr>
        <w:t>)</w:t>
      </w:r>
      <w:r w:rsidRPr="00950A50">
        <w:rPr>
          <w:sz w:val="22"/>
          <w:szCs w:val="22"/>
          <w:lang w:val="en-US"/>
        </w:rPr>
        <w:t>.</w:t>
      </w:r>
      <w:r w:rsidRPr="00874DFC">
        <w:rPr>
          <w:sz w:val="22"/>
          <w:szCs w:val="22"/>
          <w:lang w:val="en-US"/>
        </w:rPr>
        <w:t xml:space="preserve"> The incidence of substantially abnormal counts increased in the linezolid group but was stable in the tedizolid </w:t>
      </w:r>
      <w:r w:rsidR="00570945">
        <w:rPr>
          <w:sz w:val="22"/>
          <w:szCs w:val="22"/>
          <w:lang w:val="en-US"/>
        </w:rPr>
        <w:t xml:space="preserve">phosphate </w:t>
      </w:r>
      <w:r w:rsidRPr="00874DFC">
        <w:rPr>
          <w:sz w:val="22"/>
          <w:szCs w:val="22"/>
          <w:lang w:val="en-US"/>
        </w:rPr>
        <w:t>group.</w:t>
      </w:r>
      <w:r w:rsidR="00C42757" w:rsidRPr="00874DFC">
        <w:rPr>
          <w:sz w:val="22"/>
          <w:szCs w:val="22"/>
          <w:lang w:val="en-US"/>
        </w:rPr>
        <w:t xml:space="preserve"> </w:t>
      </w:r>
    </w:p>
    <w:p w14:paraId="799419F0" w14:textId="4C8D74DC" w:rsidR="00F72116" w:rsidRPr="008A5922" w:rsidRDefault="00F72116" w:rsidP="00F72116">
      <w:pPr>
        <w:pStyle w:val="Caption"/>
        <w:rPr>
          <w:rFonts w:ascii="Arial" w:hAnsi="Arial" w:cs="Arial"/>
          <w:sz w:val="22"/>
          <w:szCs w:val="22"/>
          <w:lang w:val="en-US"/>
        </w:rPr>
      </w:pPr>
      <w:bookmarkStart w:id="185" w:name="_Ref390706410"/>
      <w:bookmarkStart w:id="186" w:name="_Toc396058486"/>
      <w:r w:rsidRPr="00874DFC">
        <w:rPr>
          <w:rFonts w:ascii="Arial" w:hAnsi="Arial" w:cs="Arial"/>
          <w:sz w:val="22"/>
          <w:szCs w:val="22"/>
          <w:lang w:val="en-US"/>
        </w:rPr>
        <w:lastRenderedPageBreak/>
        <w:t xml:space="preserve">Table </w:t>
      </w:r>
      <w:r w:rsidRPr="00874DFC">
        <w:rPr>
          <w:rFonts w:ascii="Arial" w:hAnsi="Arial" w:cs="Arial"/>
          <w:sz w:val="22"/>
          <w:szCs w:val="22"/>
          <w:lang w:val="en-US"/>
        </w:rPr>
        <w:fldChar w:fldCharType="begin"/>
      </w:r>
      <w:r w:rsidRPr="00874DFC">
        <w:rPr>
          <w:rFonts w:ascii="Arial" w:hAnsi="Arial" w:cs="Arial"/>
          <w:sz w:val="22"/>
          <w:szCs w:val="22"/>
          <w:lang w:val="en-US"/>
        </w:rPr>
        <w:instrText xml:space="preserve"> SEQ Table \* ARABIC </w:instrText>
      </w:r>
      <w:r w:rsidRPr="00874DFC">
        <w:rPr>
          <w:rFonts w:ascii="Arial" w:hAnsi="Arial" w:cs="Arial"/>
          <w:sz w:val="22"/>
          <w:szCs w:val="22"/>
          <w:lang w:val="en-US"/>
        </w:rPr>
        <w:fldChar w:fldCharType="separate"/>
      </w:r>
      <w:r w:rsidR="00151A1C">
        <w:rPr>
          <w:rFonts w:ascii="Arial" w:hAnsi="Arial" w:cs="Arial"/>
          <w:noProof/>
          <w:sz w:val="22"/>
          <w:szCs w:val="22"/>
          <w:lang w:val="en-US"/>
        </w:rPr>
        <w:t>42</w:t>
      </w:r>
      <w:r w:rsidRPr="00874DFC">
        <w:rPr>
          <w:rFonts w:ascii="Arial" w:hAnsi="Arial" w:cs="Arial"/>
          <w:noProof/>
          <w:sz w:val="22"/>
          <w:szCs w:val="22"/>
          <w:lang w:val="en-US"/>
        </w:rPr>
        <w:fldChar w:fldCharType="end"/>
      </w:r>
      <w:bookmarkEnd w:id="185"/>
      <w:r w:rsidRPr="00874DFC">
        <w:rPr>
          <w:rFonts w:ascii="Arial" w:hAnsi="Arial" w:cs="Arial"/>
          <w:sz w:val="22"/>
          <w:szCs w:val="22"/>
          <w:lang w:val="en-US"/>
        </w:rPr>
        <w:t>: Incidence of abnormal platelet counts at several</w:t>
      </w:r>
      <w:r w:rsidRPr="008A5922">
        <w:rPr>
          <w:rFonts w:ascii="Arial" w:hAnsi="Arial" w:cs="Arial"/>
          <w:sz w:val="22"/>
          <w:szCs w:val="22"/>
          <w:lang w:val="en-US"/>
        </w:rPr>
        <w:t xml:space="preserve"> time points</w:t>
      </w:r>
      <w:bookmarkEnd w:id="186"/>
    </w:p>
    <w:tbl>
      <w:tblPr>
        <w:tblStyle w:val="Table-HERONplain7"/>
        <w:tblW w:w="5000" w:type="pct"/>
        <w:tblLook w:val="04A0" w:firstRow="1" w:lastRow="0" w:firstColumn="1" w:lastColumn="0" w:noHBand="0" w:noVBand="1"/>
      </w:tblPr>
      <w:tblGrid>
        <w:gridCol w:w="1377"/>
        <w:gridCol w:w="2193"/>
        <w:gridCol w:w="1816"/>
        <w:gridCol w:w="1816"/>
        <w:gridCol w:w="1814"/>
      </w:tblGrid>
      <w:tr w:rsidR="00F72116" w:rsidRPr="00534572" w14:paraId="75528A16" w14:textId="77777777" w:rsidTr="00521E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 w:type="pct"/>
            <w:shd w:val="clear" w:color="auto" w:fill="auto"/>
            <w:hideMark/>
          </w:tcPr>
          <w:p w14:paraId="41B41322" w14:textId="77777777" w:rsidR="00F72116" w:rsidRPr="00534572" w:rsidRDefault="00F72116" w:rsidP="00CE3A13">
            <w:pPr>
              <w:pStyle w:val="TableBodyText-H54"/>
              <w:rPr>
                <w:rFonts w:ascii="Arial" w:hAnsi="Arial" w:cs="Arial"/>
                <w:sz w:val="20"/>
                <w:lang w:val="en-US"/>
              </w:rPr>
            </w:pPr>
            <w:r w:rsidRPr="00534572">
              <w:rPr>
                <w:rFonts w:ascii="Arial" w:hAnsi="Arial" w:cs="Arial"/>
                <w:sz w:val="20"/>
                <w:lang w:val="en-US"/>
              </w:rPr>
              <w:t xml:space="preserve">Parameter </w:t>
            </w:r>
          </w:p>
        </w:tc>
        <w:tc>
          <w:tcPr>
            <w:tcW w:w="1216" w:type="pct"/>
            <w:shd w:val="clear" w:color="auto" w:fill="auto"/>
            <w:hideMark/>
          </w:tcPr>
          <w:p w14:paraId="344EDE70" w14:textId="77777777" w:rsidR="00F72116" w:rsidRPr="00534572" w:rsidRDefault="00F72116" w:rsidP="00CE3A13">
            <w:pPr>
              <w:pStyle w:val="TableBodyText-H54"/>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Time Point </w:t>
            </w:r>
          </w:p>
        </w:tc>
        <w:tc>
          <w:tcPr>
            <w:tcW w:w="1007" w:type="pct"/>
            <w:shd w:val="clear" w:color="auto" w:fill="auto"/>
          </w:tcPr>
          <w:p w14:paraId="50B8356B" w14:textId="77777777" w:rsidR="00F72116" w:rsidRPr="00534572" w:rsidRDefault="00F72116" w:rsidP="00CE3A13">
            <w:pPr>
              <w:pStyle w:val="TableBodyText-H54"/>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p>
        </w:tc>
        <w:tc>
          <w:tcPr>
            <w:tcW w:w="1007" w:type="pct"/>
            <w:shd w:val="clear" w:color="auto" w:fill="auto"/>
            <w:hideMark/>
          </w:tcPr>
          <w:p w14:paraId="45E635B1"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Tedizolid phosphate </w:t>
            </w:r>
          </w:p>
          <w:p w14:paraId="2BA6AFC1"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(N=662) </w:t>
            </w:r>
          </w:p>
          <w:p w14:paraId="34B13A88"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 (%)</w:t>
            </w:r>
          </w:p>
        </w:tc>
        <w:tc>
          <w:tcPr>
            <w:tcW w:w="1006" w:type="pct"/>
            <w:shd w:val="clear" w:color="auto" w:fill="auto"/>
            <w:hideMark/>
          </w:tcPr>
          <w:p w14:paraId="0E1F4ED2"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Linezolid </w:t>
            </w:r>
          </w:p>
          <w:p w14:paraId="621F98D7"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 (N=662) </w:t>
            </w:r>
          </w:p>
          <w:p w14:paraId="7137660A" w14:textId="77777777" w:rsidR="00F72116" w:rsidRPr="00534572" w:rsidRDefault="00F72116" w:rsidP="00CE3A13">
            <w:pPr>
              <w:pStyle w:val="TableBodyCentered-H52"/>
              <w:cnfStyle w:val="100000000000" w:firstRow="1"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 (%)</w:t>
            </w:r>
          </w:p>
        </w:tc>
      </w:tr>
      <w:tr w:rsidR="00F72116" w:rsidRPr="00534572" w14:paraId="3494A4FA"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764" w:type="pct"/>
            <w:vMerge w:val="restart"/>
            <w:shd w:val="clear" w:color="auto" w:fill="auto"/>
            <w:hideMark/>
          </w:tcPr>
          <w:p w14:paraId="7A8862F4" w14:textId="77777777" w:rsidR="00F72116" w:rsidRPr="00534572" w:rsidRDefault="00F72116" w:rsidP="00CE3A13">
            <w:pPr>
              <w:pStyle w:val="TableBodyText-H54"/>
              <w:rPr>
                <w:rFonts w:ascii="Arial" w:hAnsi="Arial" w:cs="Arial"/>
                <w:sz w:val="20"/>
                <w:lang w:val="en-US"/>
              </w:rPr>
            </w:pPr>
            <w:r w:rsidRPr="00534572">
              <w:rPr>
                <w:rFonts w:ascii="Arial" w:hAnsi="Arial" w:cs="Arial"/>
                <w:sz w:val="20"/>
                <w:lang w:val="en-US"/>
              </w:rPr>
              <w:t xml:space="preserve">Platelets </w:t>
            </w:r>
          </w:p>
        </w:tc>
        <w:tc>
          <w:tcPr>
            <w:tcW w:w="1216" w:type="pct"/>
            <w:vMerge w:val="restart"/>
            <w:shd w:val="clear" w:color="auto" w:fill="auto"/>
            <w:hideMark/>
          </w:tcPr>
          <w:p w14:paraId="5D49194F"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Study Day 7-9 </w:t>
            </w:r>
          </w:p>
        </w:tc>
        <w:tc>
          <w:tcPr>
            <w:tcW w:w="1007" w:type="pct"/>
            <w:shd w:val="clear" w:color="auto" w:fill="auto"/>
            <w:vAlign w:val="top"/>
            <w:hideMark/>
          </w:tcPr>
          <w:p w14:paraId="585CD07A"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N1</w:t>
            </w:r>
          </w:p>
        </w:tc>
        <w:tc>
          <w:tcPr>
            <w:tcW w:w="1007" w:type="pct"/>
            <w:shd w:val="clear" w:color="auto" w:fill="auto"/>
            <w:hideMark/>
          </w:tcPr>
          <w:p w14:paraId="7BB6BDEB"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554</w:t>
            </w:r>
          </w:p>
        </w:tc>
        <w:tc>
          <w:tcPr>
            <w:tcW w:w="1006" w:type="pct"/>
            <w:shd w:val="clear" w:color="auto" w:fill="auto"/>
            <w:hideMark/>
          </w:tcPr>
          <w:p w14:paraId="2CA0EC44"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551</w:t>
            </w:r>
          </w:p>
        </w:tc>
      </w:tr>
      <w:tr w:rsidR="00F72116" w:rsidRPr="00534572" w14:paraId="3594F692"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589CE1B" w14:textId="77777777" w:rsidR="00F72116" w:rsidRPr="00534572" w:rsidRDefault="00F72116" w:rsidP="00CE3A13">
            <w:pPr>
              <w:rPr>
                <w:rFonts w:cs="Arial"/>
                <w:sz w:val="20"/>
                <w:lang w:val="en-US"/>
              </w:rPr>
            </w:pPr>
          </w:p>
        </w:tc>
        <w:tc>
          <w:tcPr>
            <w:tcW w:w="0" w:type="auto"/>
            <w:vMerge/>
            <w:shd w:val="clear" w:color="auto" w:fill="auto"/>
            <w:hideMark/>
          </w:tcPr>
          <w:p w14:paraId="52B4BFFE" w14:textId="77777777" w:rsidR="00F72116" w:rsidRPr="00534572" w:rsidRDefault="00F72116" w:rsidP="00CE3A1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07" w:type="pct"/>
            <w:shd w:val="clear" w:color="auto" w:fill="auto"/>
            <w:vAlign w:val="top"/>
            <w:hideMark/>
          </w:tcPr>
          <w:p w14:paraId="7B365979"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Below LLN</w:t>
            </w:r>
          </w:p>
        </w:tc>
        <w:tc>
          <w:tcPr>
            <w:tcW w:w="1007" w:type="pct"/>
            <w:shd w:val="clear" w:color="auto" w:fill="auto"/>
            <w:hideMark/>
          </w:tcPr>
          <w:p w14:paraId="6F136DDE"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18 (3.2) </w:t>
            </w:r>
          </w:p>
        </w:tc>
        <w:tc>
          <w:tcPr>
            <w:tcW w:w="1006" w:type="pct"/>
            <w:shd w:val="clear" w:color="auto" w:fill="auto"/>
            <w:hideMark/>
          </w:tcPr>
          <w:p w14:paraId="576AC1AD"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31 (5.6)</w:t>
            </w:r>
          </w:p>
        </w:tc>
      </w:tr>
      <w:tr w:rsidR="00F72116" w:rsidRPr="00534572" w14:paraId="13396B5C"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EC40805" w14:textId="77777777" w:rsidR="00F72116" w:rsidRPr="00534572" w:rsidRDefault="00F72116" w:rsidP="00CE3A13">
            <w:pPr>
              <w:rPr>
                <w:rFonts w:cs="Arial"/>
                <w:sz w:val="20"/>
                <w:lang w:val="en-US"/>
              </w:rPr>
            </w:pPr>
          </w:p>
        </w:tc>
        <w:tc>
          <w:tcPr>
            <w:tcW w:w="0" w:type="auto"/>
            <w:vMerge/>
            <w:shd w:val="clear" w:color="auto" w:fill="auto"/>
            <w:hideMark/>
          </w:tcPr>
          <w:p w14:paraId="31747E82" w14:textId="77777777" w:rsidR="00F72116" w:rsidRPr="00534572" w:rsidRDefault="00F72116" w:rsidP="00CE3A13">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07" w:type="pct"/>
            <w:shd w:val="clear" w:color="auto" w:fill="auto"/>
            <w:vAlign w:val="top"/>
            <w:hideMark/>
          </w:tcPr>
          <w:p w14:paraId="5D262122"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Substantially abnormal (&lt;75% LLN)</w:t>
            </w:r>
          </w:p>
        </w:tc>
        <w:tc>
          <w:tcPr>
            <w:tcW w:w="1007" w:type="pct"/>
            <w:shd w:val="clear" w:color="auto" w:fill="auto"/>
            <w:hideMark/>
          </w:tcPr>
          <w:p w14:paraId="1AD20260"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8 (1.4)</w:t>
            </w:r>
          </w:p>
        </w:tc>
        <w:tc>
          <w:tcPr>
            <w:tcW w:w="1006" w:type="pct"/>
            <w:shd w:val="clear" w:color="auto" w:fill="auto"/>
            <w:hideMark/>
          </w:tcPr>
          <w:p w14:paraId="05B1DB5E"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12 (2.2)</w:t>
            </w:r>
          </w:p>
        </w:tc>
      </w:tr>
      <w:tr w:rsidR="00F72116" w:rsidRPr="00534572" w14:paraId="61D2567C"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CD86378" w14:textId="77777777" w:rsidR="00F72116" w:rsidRPr="00534572" w:rsidRDefault="00F72116" w:rsidP="00CE3A13">
            <w:pPr>
              <w:rPr>
                <w:rFonts w:cs="Arial"/>
                <w:sz w:val="20"/>
                <w:lang w:val="en-US"/>
              </w:rPr>
            </w:pPr>
          </w:p>
        </w:tc>
        <w:tc>
          <w:tcPr>
            <w:tcW w:w="1216" w:type="pct"/>
            <w:vMerge w:val="restart"/>
            <w:shd w:val="clear" w:color="auto" w:fill="auto"/>
            <w:hideMark/>
          </w:tcPr>
          <w:p w14:paraId="346CAB2A"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Study Day 11-13</w:t>
            </w:r>
          </w:p>
        </w:tc>
        <w:tc>
          <w:tcPr>
            <w:tcW w:w="1007" w:type="pct"/>
            <w:shd w:val="clear" w:color="auto" w:fill="auto"/>
            <w:vAlign w:val="top"/>
            <w:hideMark/>
          </w:tcPr>
          <w:p w14:paraId="47EF496B"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N1</w:t>
            </w:r>
          </w:p>
        </w:tc>
        <w:tc>
          <w:tcPr>
            <w:tcW w:w="1007" w:type="pct"/>
            <w:shd w:val="clear" w:color="auto" w:fill="auto"/>
            <w:hideMark/>
          </w:tcPr>
          <w:p w14:paraId="41E05B92"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552</w:t>
            </w:r>
          </w:p>
        </w:tc>
        <w:tc>
          <w:tcPr>
            <w:tcW w:w="1006" w:type="pct"/>
            <w:shd w:val="clear" w:color="auto" w:fill="auto"/>
            <w:hideMark/>
          </w:tcPr>
          <w:p w14:paraId="5725D7BD"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537</w:t>
            </w:r>
          </w:p>
        </w:tc>
      </w:tr>
      <w:tr w:rsidR="00F72116" w:rsidRPr="00534572" w14:paraId="612A22C9"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D4CB14E" w14:textId="77777777" w:rsidR="00F72116" w:rsidRPr="00534572" w:rsidRDefault="00F72116" w:rsidP="00CE3A13">
            <w:pPr>
              <w:rPr>
                <w:rFonts w:cs="Arial"/>
                <w:sz w:val="20"/>
                <w:lang w:val="en-US"/>
              </w:rPr>
            </w:pPr>
          </w:p>
        </w:tc>
        <w:tc>
          <w:tcPr>
            <w:tcW w:w="0" w:type="auto"/>
            <w:vMerge/>
            <w:shd w:val="clear" w:color="auto" w:fill="auto"/>
            <w:hideMark/>
          </w:tcPr>
          <w:p w14:paraId="623AEA81" w14:textId="77777777" w:rsidR="00F72116" w:rsidRPr="00534572" w:rsidRDefault="00F72116" w:rsidP="00CE3A13">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07" w:type="pct"/>
            <w:shd w:val="clear" w:color="auto" w:fill="auto"/>
            <w:vAlign w:val="top"/>
            <w:hideMark/>
          </w:tcPr>
          <w:p w14:paraId="094349A8"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Below LLN</w:t>
            </w:r>
          </w:p>
        </w:tc>
        <w:tc>
          <w:tcPr>
            <w:tcW w:w="1007" w:type="pct"/>
            <w:shd w:val="clear" w:color="auto" w:fill="auto"/>
            <w:hideMark/>
          </w:tcPr>
          <w:p w14:paraId="756D6FFE"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27 (4.9) </w:t>
            </w:r>
          </w:p>
        </w:tc>
        <w:tc>
          <w:tcPr>
            <w:tcW w:w="1006" w:type="pct"/>
            <w:shd w:val="clear" w:color="auto" w:fill="auto"/>
            <w:hideMark/>
          </w:tcPr>
          <w:p w14:paraId="026E6BCC"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58 (10.8) </w:t>
            </w:r>
          </w:p>
        </w:tc>
      </w:tr>
      <w:tr w:rsidR="00F72116" w:rsidRPr="00534572" w14:paraId="5988BD8B"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8856346" w14:textId="77777777" w:rsidR="00F72116" w:rsidRPr="00534572" w:rsidRDefault="00F72116" w:rsidP="00CE3A13">
            <w:pPr>
              <w:rPr>
                <w:rFonts w:cs="Arial"/>
                <w:sz w:val="20"/>
                <w:lang w:val="en-US"/>
              </w:rPr>
            </w:pPr>
          </w:p>
        </w:tc>
        <w:tc>
          <w:tcPr>
            <w:tcW w:w="0" w:type="auto"/>
            <w:vMerge/>
            <w:shd w:val="clear" w:color="auto" w:fill="auto"/>
            <w:hideMark/>
          </w:tcPr>
          <w:p w14:paraId="203E2E47" w14:textId="77777777" w:rsidR="00F72116" w:rsidRPr="00534572" w:rsidRDefault="00F72116" w:rsidP="00CE3A1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07" w:type="pct"/>
            <w:shd w:val="clear" w:color="auto" w:fill="auto"/>
            <w:vAlign w:val="top"/>
            <w:hideMark/>
          </w:tcPr>
          <w:p w14:paraId="0C8215F7"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Substantially abnormal (&lt;75% LLN)</w:t>
            </w:r>
          </w:p>
        </w:tc>
        <w:tc>
          <w:tcPr>
            <w:tcW w:w="1007" w:type="pct"/>
            <w:shd w:val="clear" w:color="auto" w:fill="auto"/>
            <w:hideMark/>
          </w:tcPr>
          <w:p w14:paraId="759152BC"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7 (1.3)</w:t>
            </w:r>
          </w:p>
        </w:tc>
        <w:tc>
          <w:tcPr>
            <w:tcW w:w="1006" w:type="pct"/>
            <w:shd w:val="clear" w:color="auto" w:fill="auto"/>
            <w:hideMark/>
          </w:tcPr>
          <w:p w14:paraId="631FE45D"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20 (3.7)</w:t>
            </w:r>
          </w:p>
        </w:tc>
      </w:tr>
      <w:tr w:rsidR="00F72116" w:rsidRPr="00534572" w14:paraId="22307EE0"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DDC5DB4" w14:textId="77777777" w:rsidR="00F72116" w:rsidRPr="00534572" w:rsidRDefault="00F72116" w:rsidP="00CE3A13">
            <w:pPr>
              <w:rPr>
                <w:rFonts w:cs="Arial"/>
                <w:sz w:val="20"/>
                <w:lang w:val="en-US"/>
              </w:rPr>
            </w:pPr>
          </w:p>
        </w:tc>
        <w:tc>
          <w:tcPr>
            <w:tcW w:w="1216" w:type="pct"/>
            <w:vMerge w:val="restart"/>
            <w:shd w:val="clear" w:color="auto" w:fill="auto"/>
            <w:hideMark/>
          </w:tcPr>
          <w:p w14:paraId="3A03A4EC"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Last dose of Active Drug</w:t>
            </w:r>
          </w:p>
        </w:tc>
        <w:tc>
          <w:tcPr>
            <w:tcW w:w="1007" w:type="pct"/>
            <w:shd w:val="clear" w:color="auto" w:fill="auto"/>
            <w:vAlign w:val="top"/>
            <w:hideMark/>
          </w:tcPr>
          <w:p w14:paraId="38DAC62E"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N1</w:t>
            </w:r>
          </w:p>
        </w:tc>
        <w:tc>
          <w:tcPr>
            <w:tcW w:w="1007" w:type="pct"/>
            <w:shd w:val="clear" w:color="auto" w:fill="auto"/>
            <w:hideMark/>
          </w:tcPr>
          <w:p w14:paraId="3BF1A163"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546</w:t>
            </w:r>
          </w:p>
        </w:tc>
        <w:tc>
          <w:tcPr>
            <w:tcW w:w="1006" w:type="pct"/>
            <w:shd w:val="clear" w:color="auto" w:fill="auto"/>
            <w:hideMark/>
          </w:tcPr>
          <w:p w14:paraId="3FC9222A"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520</w:t>
            </w:r>
          </w:p>
        </w:tc>
      </w:tr>
      <w:tr w:rsidR="00F72116" w:rsidRPr="00534572" w14:paraId="6E4A4D6F"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9801424" w14:textId="77777777" w:rsidR="00F72116" w:rsidRPr="00534572" w:rsidRDefault="00F72116" w:rsidP="00CE3A13">
            <w:pPr>
              <w:rPr>
                <w:rFonts w:cs="Arial"/>
                <w:sz w:val="20"/>
                <w:lang w:val="en-US"/>
              </w:rPr>
            </w:pPr>
          </w:p>
        </w:tc>
        <w:tc>
          <w:tcPr>
            <w:tcW w:w="0" w:type="auto"/>
            <w:vMerge/>
            <w:shd w:val="clear" w:color="auto" w:fill="auto"/>
            <w:hideMark/>
          </w:tcPr>
          <w:p w14:paraId="01918ED6" w14:textId="77777777" w:rsidR="00F72116" w:rsidRPr="00534572" w:rsidRDefault="00F72116" w:rsidP="00CE3A1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07" w:type="pct"/>
            <w:shd w:val="clear" w:color="auto" w:fill="auto"/>
            <w:vAlign w:val="top"/>
            <w:hideMark/>
          </w:tcPr>
          <w:p w14:paraId="48214E7B"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Below LLN</w:t>
            </w:r>
          </w:p>
        </w:tc>
        <w:tc>
          <w:tcPr>
            <w:tcW w:w="1007" w:type="pct"/>
            <w:shd w:val="clear" w:color="auto" w:fill="auto"/>
            <w:hideMark/>
          </w:tcPr>
          <w:p w14:paraId="40CC9B01"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20 (3.7) </w:t>
            </w:r>
          </w:p>
        </w:tc>
        <w:tc>
          <w:tcPr>
            <w:tcW w:w="1006" w:type="pct"/>
            <w:shd w:val="clear" w:color="auto" w:fill="auto"/>
            <w:hideMark/>
          </w:tcPr>
          <w:p w14:paraId="04633DE6"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56 (10.8)</w:t>
            </w:r>
          </w:p>
        </w:tc>
      </w:tr>
      <w:tr w:rsidR="00F72116" w:rsidRPr="00534572" w14:paraId="1BA35E2D"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38993F6" w14:textId="77777777" w:rsidR="00F72116" w:rsidRPr="00534572" w:rsidRDefault="00F72116" w:rsidP="00CE3A13">
            <w:pPr>
              <w:rPr>
                <w:rFonts w:cs="Arial"/>
                <w:sz w:val="20"/>
                <w:lang w:val="en-US"/>
              </w:rPr>
            </w:pPr>
          </w:p>
        </w:tc>
        <w:tc>
          <w:tcPr>
            <w:tcW w:w="0" w:type="auto"/>
            <w:vMerge/>
            <w:shd w:val="clear" w:color="auto" w:fill="auto"/>
            <w:hideMark/>
          </w:tcPr>
          <w:p w14:paraId="3FFE08ED" w14:textId="77777777" w:rsidR="00F72116" w:rsidRPr="00534572" w:rsidRDefault="00F72116" w:rsidP="00CE3A13">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07" w:type="pct"/>
            <w:shd w:val="clear" w:color="auto" w:fill="auto"/>
            <w:vAlign w:val="top"/>
            <w:hideMark/>
          </w:tcPr>
          <w:p w14:paraId="0FA94DA8"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Substantially abnormal (&lt;75% LLN)</w:t>
            </w:r>
          </w:p>
        </w:tc>
        <w:tc>
          <w:tcPr>
            <w:tcW w:w="1007" w:type="pct"/>
            <w:shd w:val="clear" w:color="auto" w:fill="auto"/>
            <w:hideMark/>
          </w:tcPr>
          <w:p w14:paraId="6D14EC89"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9 (1.6)</w:t>
            </w:r>
          </w:p>
        </w:tc>
        <w:tc>
          <w:tcPr>
            <w:tcW w:w="1006" w:type="pct"/>
            <w:shd w:val="clear" w:color="auto" w:fill="auto"/>
            <w:hideMark/>
          </w:tcPr>
          <w:p w14:paraId="56C3410C"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17 (3.3) </w:t>
            </w:r>
          </w:p>
        </w:tc>
      </w:tr>
      <w:tr w:rsidR="00F72116" w:rsidRPr="00534572" w14:paraId="280B3FFB"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5609EA4" w14:textId="77777777" w:rsidR="00F72116" w:rsidRPr="00534572" w:rsidRDefault="00F72116" w:rsidP="00CE3A13">
            <w:pPr>
              <w:rPr>
                <w:rFonts w:cs="Arial"/>
                <w:sz w:val="20"/>
                <w:lang w:val="en-US"/>
              </w:rPr>
            </w:pPr>
          </w:p>
        </w:tc>
        <w:tc>
          <w:tcPr>
            <w:tcW w:w="1216" w:type="pct"/>
            <w:vMerge w:val="restart"/>
            <w:shd w:val="clear" w:color="auto" w:fill="auto"/>
            <w:hideMark/>
          </w:tcPr>
          <w:p w14:paraId="46B2DF8E"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Any Post-Baseline through Last Dose of Active Drug </w:t>
            </w:r>
          </w:p>
        </w:tc>
        <w:tc>
          <w:tcPr>
            <w:tcW w:w="1007" w:type="pct"/>
            <w:shd w:val="clear" w:color="auto" w:fill="auto"/>
            <w:vAlign w:val="top"/>
            <w:hideMark/>
          </w:tcPr>
          <w:p w14:paraId="57372C97"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N1</w:t>
            </w:r>
          </w:p>
        </w:tc>
        <w:tc>
          <w:tcPr>
            <w:tcW w:w="1007" w:type="pct"/>
            <w:shd w:val="clear" w:color="auto" w:fill="auto"/>
            <w:hideMark/>
          </w:tcPr>
          <w:p w14:paraId="7AB68D2B"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627</w:t>
            </w:r>
          </w:p>
        </w:tc>
        <w:tc>
          <w:tcPr>
            <w:tcW w:w="1006" w:type="pct"/>
            <w:shd w:val="clear" w:color="auto" w:fill="auto"/>
            <w:hideMark/>
          </w:tcPr>
          <w:p w14:paraId="4852B58A"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626</w:t>
            </w:r>
          </w:p>
        </w:tc>
      </w:tr>
      <w:tr w:rsidR="00F72116" w:rsidRPr="00534572" w14:paraId="63DA6606" w14:textId="77777777" w:rsidTr="00521E5D">
        <w:trPr>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2A259A6" w14:textId="77777777" w:rsidR="00F72116" w:rsidRPr="00534572" w:rsidRDefault="00F72116" w:rsidP="00CE3A13">
            <w:pPr>
              <w:rPr>
                <w:rFonts w:cs="Arial"/>
                <w:sz w:val="20"/>
                <w:lang w:val="en-US"/>
              </w:rPr>
            </w:pPr>
          </w:p>
        </w:tc>
        <w:tc>
          <w:tcPr>
            <w:tcW w:w="0" w:type="auto"/>
            <w:vMerge/>
            <w:shd w:val="clear" w:color="auto" w:fill="auto"/>
            <w:hideMark/>
          </w:tcPr>
          <w:p w14:paraId="39560A80" w14:textId="77777777" w:rsidR="00F72116" w:rsidRPr="00534572" w:rsidRDefault="00F72116" w:rsidP="00CE3A13">
            <w:pPr>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007" w:type="pct"/>
            <w:shd w:val="clear" w:color="auto" w:fill="auto"/>
            <w:vAlign w:val="top"/>
            <w:hideMark/>
          </w:tcPr>
          <w:p w14:paraId="34DD9822" w14:textId="77777777" w:rsidR="00F72116" w:rsidRPr="00534572" w:rsidRDefault="00F72116" w:rsidP="00CE3A13">
            <w:pPr>
              <w:pStyle w:val="TableBodyText-H54"/>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Below LLN</w:t>
            </w:r>
          </w:p>
        </w:tc>
        <w:tc>
          <w:tcPr>
            <w:tcW w:w="1007" w:type="pct"/>
            <w:shd w:val="clear" w:color="auto" w:fill="auto"/>
            <w:hideMark/>
          </w:tcPr>
          <w:p w14:paraId="34221CB4"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 xml:space="preserve">40 (6.4) </w:t>
            </w:r>
          </w:p>
        </w:tc>
        <w:tc>
          <w:tcPr>
            <w:tcW w:w="1006" w:type="pct"/>
            <w:shd w:val="clear" w:color="auto" w:fill="auto"/>
            <w:hideMark/>
          </w:tcPr>
          <w:p w14:paraId="1BB402C1" w14:textId="77777777" w:rsidR="00F72116" w:rsidRPr="00534572" w:rsidRDefault="00F72116" w:rsidP="00CE3A13">
            <w:pPr>
              <w:pStyle w:val="TableBodyCentered-H52"/>
              <w:cnfStyle w:val="000000000000" w:firstRow="0" w:lastRow="0" w:firstColumn="0" w:lastColumn="0" w:oddVBand="0" w:evenVBand="0" w:oddHBand="0" w:evenHBand="0"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79 (12.6)</w:t>
            </w:r>
          </w:p>
        </w:tc>
      </w:tr>
      <w:tr w:rsidR="00F72116" w:rsidRPr="00534572" w14:paraId="03DAF195" w14:textId="77777777" w:rsidTr="00521E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C88F20F" w14:textId="77777777" w:rsidR="00F72116" w:rsidRPr="00534572" w:rsidRDefault="00F72116" w:rsidP="00CE3A13">
            <w:pPr>
              <w:rPr>
                <w:rFonts w:cs="Arial"/>
                <w:sz w:val="20"/>
                <w:lang w:val="en-US"/>
              </w:rPr>
            </w:pPr>
          </w:p>
        </w:tc>
        <w:tc>
          <w:tcPr>
            <w:tcW w:w="0" w:type="auto"/>
            <w:vMerge/>
            <w:shd w:val="clear" w:color="auto" w:fill="auto"/>
            <w:hideMark/>
          </w:tcPr>
          <w:p w14:paraId="3CBB0948" w14:textId="77777777" w:rsidR="00F72116" w:rsidRPr="00534572" w:rsidRDefault="00F72116" w:rsidP="00CE3A13">
            <w:pPr>
              <w:cnfStyle w:val="000000010000" w:firstRow="0" w:lastRow="0" w:firstColumn="0" w:lastColumn="0" w:oddVBand="0" w:evenVBand="0" w:oddHBand="0" w:evenHBand="1" w:firstRowFirstColumn="0" w:firstRowLastColumn="0" w:lastRowFirstColumn="0" w:lastRowLastColumn="0"/>
              <w:rPr>
                <w:rFonts w:cs="Arial"/>
                <w:sz w:val="20"/>
                <w:lang w:val="en-US"/>
              </w:rPr>
            </w:pPr>
          </w:p>
        </w:tc>
        <w:tc>
          <w:tcPr>
            <w:tcW w:w="1007" w:type="pct"/>
            <w:shd w:val="clear" w:color="auto" w:fill="auto"/>
            <w:vAlign w:val="top"/>
            <w:hideMark/>
          </w:tcPr>
          <w:p w14:paraId="6E5FF535" w14:textId="77777777" w:rsidR="00F72116" w:rsidRPr="00534572" w:rsidRDefault="00F72116" w:rsidP="00CE3A13">
            <w:pPr>
              <w:pStyle w:val="TableBodyText-H54"/>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Substantially abnormal (&lt;75% LLN)</w:t>
            </w:r>
          </w:p>
        </w:tc>
        <w:tc>
          <w:tcPr>
            <w:tcW w:w="1007" w:type="pct"/>
            <w:shd w:val="clear" w:color="auto" w:fill="auto"/>
            <w:hideMark/>
          </w:tcPr>
          <w:p w14:paraId="724EDB3A"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13 (2.1)</w:t>
            </w:r>
          </w:p>
        </w:tc>
        <w:tc>
          <w:tcPr>
            <w:tcW w:w="1006" w:type="pct"/>
            <w:shd w:val="clear" w:color="auto" w:fill="auto"/>
            <w:hideMark/>
          </w:tcPr>
          <w:p w14:paraId="563D2C57" w14:textId="77777777" w:rsidR="00F72116" w:rsidRPr="00534572" w:rsidRDefault="00F72116" w:rsidP="00CE3A13">
            <w:pPr>
              <w:pStyle w:val="TableBodyCentered-H52"/>
              <w:cnfStyle w:val="000000010000" w:firstRow="0" w:lastRow="0" w:firstColumn="0" w:lastColumn="0" w:oddVBand="0" w:evenVBand="0" w:oddHBand="0" w:evenHBand="1" w:firstRowFirstColumn="0" w:firstRowLastColumn="0" w:lastRowFirstColumn="0" w:lastRowLastColumn="0"/>
              <w:rPr>
                <w:rFonts w:ascii="Arial" w:eastAsia="Tahoma" w:hAnsi="Arial" w:cs="Arial"/>
                <w:sz w:val="20"/>
                <w:lang w:val="en-US"/>
              </w:rPr>
            </w:pPr>
            <w:r w:rsidRPr="00534572">
              <w:rPr>
                <w:rFonts w:ascii="Arial" w:eastAsia="Tahoma" w:hAnsi="Arial" w:cs="Arial"/>
                <w:sz w:val="20"/>
                <w:lang w:val="en-US"/>
              </w:rPr>
              <w:t>28 (4.5)</w:t>
            </w:r>
          </w:p>
        </w:tc>
      </w:tr>
    </w:tbl>
    <w:p w14:paraId="5166B63C" w14:textId="36793C2D" w:rsidR="005C3361" w:rsidRPr="005C3361" w:rsidRDefault="002A33A2" w:rsidP="005C3361">
      <w:pPr>
        <w:pStyle w:val="TableNote-H58"/>
        <w:spacing w:before="0" w:after="0"/>
        <w:rPr>
          <w:rFonts w:ascii="Arial" w:hAnsi="Arial"/>
          <w:sz w:val="16"/>
          <w:szCs w:val="16"/>
          <w:lang w:val="en-US"/>
        </w:rPr>
      </w:pPr>
      <w:r>
        <w:rPr>
          <w:rFonts w:ascii="Arial" w:hAnsi="Arial"/>
          <w:sz w:val="16"/>
          <w:szCs w:val="16"/>
          <w:lang w:val="en-US"/>
        </w:rPr>
        <w:t>Source:</w:t>
      </w:r>
      <w:r>
        <w:rPr>
          <w:rFonts w:ascii="Arial" w:hAnsi="Arial" w:cs="Arial"/>
          <w:sz w:val="16"/>
          <w:lang w:val="en-US"/>
        </w:rPr>
        <w:t xml:space="preserve"> </w:t>
      </w:r>
      <w:r>
        <w:rPr>
          <w:rFonts w:ascii="Arial" w:hAnsi="Arial" w:cs="Arial"/>
          <w:sz w:val="16"/>
          <w:lang w:val="en-US"/>
        </w:rPr>
        <w:fldChar w:fldCharType="begin"/>
      </w:r>
      <w:r>
        <w:rPr>
          <w:rFonts w:ascii="Arial" w:hAnsi="Arial" w:cs="Arial"/>
          <w:sz w:val="16"/>
          <w:lang w:val="en-US"/>
        </w:rPr>
        <w:instrText xml:space="preserve"> REF _Ref284184350 \r \h </w:instrText>
      </w:r>
      <w:r>
        <w:rPr>
          <w:rFonts w:ascii="Arial" w:hAnsi="Arial" w:cs="Arial"/>
          <w:sz w:val="16"/>
          <w:lang w:val="en-US"/>
        </w:rPr>
      </w:r>
      <w:r>
        <w:rPr>
          <w:rFonts w:ascii="Arial" w:hAnsi="Arial" w:cs="Arial"/>
          <w:sz w:val="16"/>
          <w:lang w:val="en-US"/>
        </w:rPr>
        <w:fldChar w:fldCharType="separate"/>
      </w:r>
      <w:r w:rsidR="00151A1C">
        <w:rPr>
          <w:rFonts w:ascii="Arial" w:hAnsi="Arial" w:cs="Arial"/>
          <w:sz w:val="16"/>
          <w:lang w:val="en-US"/>
        </w:rPr>
        <w:t>52</w:t>
      </w:r>
      <w:r>
        <w:rPr>
          <w:rFonts w:ascii="Arial" w:hAnsi="Arial" w:cs="Arial"/>
          <w:sz w:val="16"/>
          <w:lang w:val="en-US"/>
        </w:rPr>
        <w:fldChar w:fldCharType="end"/>
      </w:r>
      <w:r w:rsidRPr="00874DFC">
        <w:rPr>
          <w:rFonts w:ascii="Arial" w:hAnsi="Arial" w:cs="Arial"/>
          <w:sz w:val="16"/>
          <w:lang w:val="en-US"/>
        </w:rPr>
        <w:t>; ISS 2013</w:t>
      </w:r>
      <w:r>
        <w:rPr>
          <w:rFonts w:ascii="Arial" w:hAnsi="Arial" w:cs="Arial"/>
          <w:sz w:val="16"/>
          <w:lang w:val="en-US"/>
        </w:rPr>
        <w:t xml:space="preserve"> </w:t>
      </w:r>
      <w:r>
        <w:rPr>
          <w:rFonts w:ascii="Arial" w:hAnsi="Arial" w:cs="Arial"/>
          <w:sz w:val="16"/>
          <w:lang w:val="en-US"/>
        </w:rPr>
        <w:fldChar w:fldCharType="begin"/>
      </w:r>
      <w:r>
        <w:rPr>
          <w:rFonts w:ascii="Arial" w:hAnsi="Arial" w:cs="Arial"/>
          <w:sz w:val="16"/>
          <w:lang w:val="en-US"/>
        </w:rPr>
        <w:instrText xml:space="preserve"> REF _Ref284184395 \r \h </w:instrText>
      </w:r>
      <w:r>
        <w:rPr>
          <w:rFonts w:ascii="Arial" w:hAnsi="Arial" w:cs="Arial"/>
          <w:sz w:val="16"/>
          <w:lang w:val="en-US"/>
        </w:rPr>
      </w:r>
      <w:r>
        <w:rPr>
          <w:rFonts w:ascii="Arial" w:hAnsi="Arial" w:cs="Arial"/>
          <w:sz w:val="16"/>
          <w:lang w:val="en-US"/>
        </w:rPr>
        <w:fldChar w:fldCharType="separate"/>
      </w:r>
      <w:r w:rsidR="00151A1C">
        <w:rPr>
          <w:rFonts w:ascii="Arial" w:hAnsi="Arial" w:cs="Arial"/>
          <w:sz w:val="16"/>
          <w:lang w:val="en-US"/>
        </w:rPr>
        <w:t>53</w:t>
      </w:r>
      <w:r>
        <w:rPr>
          <w:rFonts w:ascii="Arial" w:hAnsi="Arial" w:cs="Arial"/>
          <w:sz w:val="16"/>
          <w:lang w:val="en-US"/>
        </w:rPr>
        <w:fldChar w:fldCharType="end"/>
      </w:r>
    </w:p>
    <w:p w14:paraId="224340ED" w14:textId="05771F87" w:rsidR="00F72116" w:rsidRPr="005C3361" w:rsidRDefault="00F72116" w:rsidP="00ED7FDC">
      <w:pPr>
        <w:pStyle w:val="TableNote-H58"/>
        <w:spacing w:before="0" w:after="0"/>
        <w:rPr>
          <w:rFonts w:ascii="Arial" w:hAnsi="Arial"/>
          <w:sz w:val="16"/>
          <w:szCs w:val="16"/>
          <w:lang w:val="en-US"/>
        </w:rPr>
      </w:pPr>
      <w:r w:rsidRPr="005C3361">
        <w:rPr>
          <w:rFonts w:ascii="Arial" w:hAnsi="Arial"/>
          <w:sz w:val="16"/>
          <w:szCs w:val="16"/>
          <w:lang w:val="en-US"/>
        </w:rPr>
        <w:t xml:space="preserve">LLN: Lower limit of normal; N: Number of patients in the safety population; N1: Number of patients with non-missing data at the </w:t>
      </w:r>
      <w:r w:rsidR="00350BE0" w:rsidRPr="005C3361">
        <w:rPr>
          <w:rFonts w:ascii="Arial" w:hAnsi="Arial"/>
          <w:sz w:val="16"/>
          <w:szCs w:val="16"/>
          <w:lang w:val="en-US"/>
        </w:rPr>
        <w:t>summarise</w:t>
      </w:r>
      <w:r w:rsidRPr="005C3361">
        <w:rPr>
          <w:rFonts w:ascii="Arial" w:hAnsi="Arial"/>
          <w:sz w:val="16"/>
          <w:szCs w:val="16"/>
          <w:lang w:val="en-US"/>
        </w:rPr>
        <w:t>d visit; n: Number of patients in specific category</w:t>
      </w:r>
    </w:p>
    <w:p w14:paraId="091E79E7" w14:textId="77777777" w:rsidR="00F72116" w:rsidRPr="00874DFC" w:rsidRDefault="00F72116" w:rsidP="000E299F">
      <w:pPr>
        <w:pStyle w:val="Heading4"/>
        <w:keepLines w:val="0"/>
        <w:spacing w:before="240" w:after="120"/>
        <w:rPr>
          <w:rFonts w:ascii="Arial" w:hAnsi="Arial" w:cs="Arial"/>
          <w:i w:val="0"/>
          <w:color w:val="auto"/>
          <w:sz w:val="22"/>
          <w:szCs w:val="22"/>
          <w:lang w:val="en-US"/>
        </w:rPr>
      </w:pPr>
      <w:bookmarkStart w:id="187" w:name="_Ref384391578"/>
      <w:r w:rsidRPr="00874DFC">
        <w:rPr>
          <w:rFonts w:ascii="Arial" w:hAnsi="Arial" w:cs="Arial"/>
          <w:i w:val="0"/>
          <w:color w:val="auto"/>
          <w:sz w:val="22"/>
          <w:szCs w:val="22"/>
          <w:lang w:val="en-US"/>
        </w:rPr>
        <w:lastRenderedPageBreak/>
        <w:t xml:space="preserve">Tedizolid phosphate had no observed risk of nephrotoxicity </w:t>
      </w:r>
      <w:bookmarkEnd w:id="187"/>
      <w:r w:rsidRPr="00874DFC">
        <w:rPr>
          <w:rFonts w:ascii="Arial" w:hAnsi="Arial" w:cs="Arial"/>
          <w:i w:val="0"/>
          <w:color w:val="auto"/>
          <w:sz w:val="22"/>
          <w:szCs w:val="22"/>
          <w:lang w:val="en-US"/>
        </w:rPr>
        <w:t>based on the pooled analysis of safety data from the Phase 3 trials</w:t>
      </w:r>
    </w:p>
    <w:p w14:paraId="71373B90" w14:textId="34A9F42B" w:rsidR="00F72116" w:rsidRPr="00874DFC" w:rsidRDefault="00F72116" w:rsidP="00F72116">
      <w:pPr>
        <w:pStyle w:val="CommentText"/>
        <w:rPr>
          <w:rFonts w:ascii="Arial" w:hAnsi="Arial" w:cs="Arial"/>
          <w:sz w:val="22"/>
          <w:szCs w:val="22"/>
          <w:lang w:val="en-US"/>
        </w:rPr>
      </w:pPr>
      <w:r w:rsidRPr="00874DFC">
        <w:rPr>
          <w:rFonts w:ascii="Arial" w:hAnsi="Arial" w:cs="Arial"/>
          <w:sz w:val="22"/>
          <w:szCs w:val="22"/>
          <w:lang w:val="en-US"/>
        </w:rPr>
        <w:t>Measurement of laboratory parameters in the pooled Phase 3 trials demonstrated that tedizolid phosphate was associated with no observed risk of nephrotoxicity. The proportion of patients with substantially abnormal post-baseline serum creatinine (0.2% vs. 0.5%) and BUN values (0% vs. 0.3%) was comparable in both the tedizolid phosphate and linezolid groups</w:t>
      </w:r>
      <w:r w:rsidR="00C42757" w:rsidRPr="00874DFC">
        <w:rPr>
          <w:rFonts w:ascii="Arial" w:hAnsi="Arial" w:cs="Arial"/>
          <w:sz w:val="22"/>
          <w:szCs w:val="22"/>
          <w:lang w:val="en-US"/>
        </w:rPr>
        <w:t xml:space="preserve"> (</w:t>
      </w:r>
      <w:r w:rsidR="00950A50">
        <w:rPr>
          <w:rFonts w:ascii="Arial" w:hAnsi="Arial" w:cs="Arial"/>
          <w:sz w:val="22"/>
          <w:szCs w:val="22"/>
          <w:lang w:val="en-US"/>
        </w:rPr>
        <w:fldChar w:fldCharType="begin"/>
      </w:r>
      <w:r w:rsidR="00950A50">
        <w:rPr>
          <w:rFonts w:ascii="Arial" w:hAnsi="Arial" w:cs="Arial"/>
          <w:sz w:val="22"/>
          <w:szCs w:val="22"/>
          <w:lang w:val="en-US"/>
        </w:rPr>
        <w:instrText xml:space="preserve"> REF _Ref284184395 \r \h </w:instrText>
      </w:r>
      <w:r w:rsidR="00950A50">
        <w:rPr>
          <w:rFonts w:ascii="Arial" w:hAnsi="Arial" w:cs="Arial"/>
          <w:sz w:val="22"/>
          <w:szCs w:val="22"/>
          <w:lang w:val="en-US"/>
        </w:rPr>
      </w:r>
      <w:r w:rsidR="00950A50">
        <w:rPr>
          <w:rFonts w:ascii="Arial" w:hAnsi="Arial" w:cs="Arial"/>
          <w:sz w:val="22"/>
          <w:szCs w:val="22"/>
          <w:lang w:val="en-US"/>
        </w:rPr>
        <w:fldChar w:fldCharType="separate"/>
      </w:r>
      <w:r w:rsidR="00151A1C">
        <w:rPr>
          <w:rFonts w:ascii="Arial" w:hAnsi="Arial" w:cs="Arial"/>
          <w:sz w:val="22"/>
          <w:szCs w:val="22"/>
          <w:lang w:val="en-US"/>
        </w:rPr>
        <w:t>53</w:t>
      </w:r>
      <w:r w:rsidR="00950A50">
        <w:rPr>
          <w:rFonts w:ascii="Arial" w:hAnsi="Arial" w:cs="Arial"/>
          <w:sz w:val="22"/>
          <w:szCs w:val="22"/>
          <w:lang w:val="en-US"/>
        </w:rPr>
        <w:fldChar w:fldCharType="end"/>
      </w:r>
      <w:r w:rsidR="00C42757" w:rsidRPr="00874DFC">
        <w:rPr>
          <w:rFonts w:ascii="Arial" w:hAnsi="Arial" w:cs="Arial"/>
          <w:sz w:val="22"/>
          <w:szCs w:val="22"/>
          <w:lang w:val="en-US"/>
        </w:rPr>
        <w:t xml:space="preserve">). </w:t>
      </w:r>
    </w:p>
    <w:p w14:paraId="6EF5050C" w14:textId="77777777" w:rsidR="00F72116" w:rsidRPr="00874DFC" w:rsidRDefault="00F72116" w:rsidP="00323DD9">
      <w:pPr>
        <w:pStyle w:val="Heading4"/>
        <w:keepLines w:val="0"/>
        <w:spacing w:before="240" w:after="120"/>
        <w:rPr>
          <w:rFonts w:ascii="Arial" w:hAnsi="Arial" w:cs="Arial"/>
          <w:i w:val="0"/>
          <w:color w:val="auto"/>
          <w:sz w:val="22"/>
          <w:szCs w:val="22"/>
          <w:lang w:val="en-US"/>
        </w:rPr>
      </w:pPr>
      <w:r w:rsidRPr="00874DFC">
        <w:rPr>
          <w:rFonts w:ascii="Arial" w:hAnsi="Arial" w:cs="Arial"/>
          <w:i w:val="0"/>
          <w:color w:val="auto"/>
          <w:sz w:val="22"/>
          <w:szCs w:val="22"/>
          <w:lang w:val="en-US"/>
        </w:rPr>
        <w:t>Tedizolid phosphate had a low incidence of neurologic adverse events</w:t>
      </w:r>
    </w:p>
    <w:p w14:paraId="48CF9E03" w14:textId="538B09FA" w:rsidR="00F72116" w:rsidRPr="00874DFC" w:rsidRDefault="00F72116" w:rsidP="00F72116">
      <w:pPr>
        <w:pStyle w:val="BodyText"/>
        <w:rPr>
          <w:rFonts w:cs="Arial"/>
          <w:sz w:val="22"/>
          <w:szCs w:val="22"/>
          <w:lang w:val="en-US"/>
        </w:rPr>
      </w:pPr>
      <w:r w:rsidRPr="00874DFC">
        <w:rPr>
          <w:rFonts w:cs="Arial"/>
          <w:sz w:val="22"/>
          <w:szCs w:val="22"/>
          <w:lang w:val="en-US"/>
        </w:rPr>
        <w:t>Analysis of the pooled Phase 3 data indicated there was limited potential for optic or peripheral neurologic toxicity for tedizolid phosphate or linezolid, as evidenced by low and similar TEAE incidence between groups. The small numbers preclude meaningful comparison by specific TEAE; most identified events were mild, generally transient, with a spontaneous resolution and none were considered to be evidence of optic or peripheral neurotoxicity on expert medical review</w:t>
      </w:r>
      <w:r w:rsidR="00950A50" w:rsidRPr="00874DFC">
        <w:rPr>
          <w:rFonts w:cs="Arial"/>
          <w:sz w:val="22"/>
          <w:szCs w:val="22"/>
          <w:lang w:val="en-US"/>
        </w:rPr>
        <w:t>(</w:t>
      </w:r>
      <w:r w:rsidR="00950A50">
        <w:rPr>
          <w:rFonts w:cs="Arial"/>
          <w:sz w:val="22"/>
          <w:szCs w:val="22"/>
          <w:lang w:val="en-US"/>
        </w:rPr>
        <w:fldChar w:fldCharType="begin"/>
      </w:r>
      <w:r w:rsidR="00950A50">
        <w:rPr>
          <w:rFonts w:cs="Arial"/>
          <w:sz w:val="22"/>
          <w:szCs w:val="22"/>
          <w:lang w:val="en-US"/>
        </w:rPr>
        <w:instrText xml:space="preserve"> REF _Ref284184395 \r \h </w:instrText>
      </w:r>
      <w:r w:rsidR="00950A50">
        <w:rPr>
          <w:rFonts w:cs="Arial"/>
          <w:sz w:val="22"/>
          <w:szCs w:val="22"/>
          <w:lang w:val="en-US"/>
        </w:rPr>
      </w:r>
      <w:r w:rsidR="00950A50">
        <w:rPr>
          <w:rFonts w:cs="Arial"/>
          <w:sz w:val="22"/>
          <w:szCs w:val="22"/>
          <w:lang w:val="en-US"/>
        </w:rPr>
        <w:fldChar w:fldCharType="separate"/>
      </w:r>
      <w:r w:rsidR="00151A1C">
        <w:rPr>
          <w:rFonts w:cs="Arial"/>
          <w:sz w:val="22"/>
          <w:szCs w:val="22"/>
          <w:lang w:val="en-US"/>
        </w:rPr>
        <w:t>53</w:t>
      </w:r>
      <w:r w:rsidR="00950A50">
        <w:rPr>
          <w:rFonts w:cs="Arial"/>
          <w:sz w:val="22"/>
          <w:szCs w:val="22"/>
          <w:lang w:val="en-US"/>
        </w:rPr>
        <w:fldChar w:fldCharType="end"/>
      </w:r>
      <w:r w:rsidR="00950A50" w:rsidRPr="00874DFC">
        <w:rPr>
          <w:rFonts w:cs="Arial"/>
          <w:sz w:val="22"/>
          <w:szCs w:val="22"/>
          <w:lang w:val="en-US"/>
        </w:rPr>
        <w:t>).</w:t>
      </w:r>
    </w:p>
    <w:p w14:paraId="74829C14" w14:textId="77777777" w:rsidR="00323DD9" w:rsidRPr="00874DFC" w:rsidRDefault="00323DD9" w:rsidP="00F72116">
      <w:pPr>
        <w:pStyle w:val="BodyText"/>
        <w:rPr>
          <w:rFonts w:cs="Arial"/>
          <w:sz w:val="22"/>
          <w:szCs w:val="22"/>
          <w:lang w:val="en-US"/>
        </w:rPr>
      </w:pPr>
    </w:p>
    <w:p w14:paraId="5FEDAE48" w14:textId="514CBFC5" w:rsidR="00F72116" w:rsidRPr="00874DFC" w:rsidRDefault="00F72116" w:rsidP="00F72116">
      <w:pPr>
        <w:pStyle w:val="BodyText"/>
        <w:rPr>
          <w:rFonts w:cs="Arial"/>
          <w:sz w:val="22"/>
          <w:szCs w:val="22"/>
          <w:lang w:val="en-US"/>
        </w:rPr>
      </w:pPr>
      <w:r w:rsidRPr="00874DFC">
        <w:rPr>
          <w:rFonts w:cs="Arial"/>
          <w:sz w:val="22"/>
          <w:szCs w:val="22"/>
          <w:lang w:val="en-US"/>
        </w:rPr>
        <w:t>Results from the pooled analysis showed that eight patients (1.2%) in the tedizolid phosphate group and five patients (0.8%) in the linezolid group experience at least 1 peripheral neuropathy/cranial nerve disorders TEAE. Events were hypoesthesia, paresthesia, VIIth nerve paralysis (tedizolid phosphate only), and sensory loss and tinnitus (linezolid only)</w:t>
      </w:r>
      <w:r w:rsidR="00950A50" w:rsidRPr="00874DFC">
        <w:rPr>
          <w:rFonts w:cs="Arial"/>
          <w:sz w:val="22"/>
          <w:szCs w:val="22"/>
          <w:lang w:val="en-US"/>
        </w:rPr>
        <w:t>(</w:t>
      </w:r>
      <w:r w:rsidR="00950A50">
        <w:rPr>
          <w:rFonts w:cs="Arial"/>
          <w:sz w:val="22"/>
          <w:szCs w:val="22"/>
          <w:lang w:val="en-US"/>
        </w:rPr>
        <w:fldChar w:fldCharType="begin"/>
      </w:r>
      <w:r w:rsidR="00950A50">
        <w:rPr>
          <w:rFonts w:cs="Arial"/>
          <w:sz w:val="22"/>
          <w:szCs w:val="22"/>
          <w:lang w:val="en-US"/>
        </w:rPr>
        <w:instrText xml:space="preserve"> REF _Ref284184395 \r \h </w:instrText>
      </w:r>
      <w:r w:rsidR="00950A50">
        <w:rPr>
          <w:rFonts w:cs="Arial"/>
          <w:sz w:val="22"/>
          <w:szCs w:val="22"/>
          <w:lang w:val="en-US"/>
        </w:rPr>
      </w:r>
      <w:r w:rsidR="00950A50">
        <w:rPr>
          <w:rFonts w:cs="Arial"/>
          <w:sz w:val="22"/>
          <w:szCs w:val="22"/>
          <w:lang w:val="en-US"/>
        </w:rPr>
        <w:fldChar w:fldCharType="separate"/>
      </w:r>
      <w:r w:rsidR="00151A1C">
        <w:rPr>
          <w:rFonts w:cs="Arial"/>
          <w:sz w:val="22"/>
          <w:szCs w:val="22"/>
          <w:lang w:val="en-US"/>
        </w:rPr>
        <w:t>53</w:t>
      </w:r>
      <w:r w:rsidR="00950A50">
        <w:rPr>
          <w:rFonts w:cs="Arial"/>
          <w:sz w:val="22"/>
          <w:szCs w:val="22"/>
          <w:lang w:val="en-US"/>
        </w:rPr>
        <w:fldChar w:fldCharType="end"/>
      </w:r>
      <w:r w:rsidR="00950A50" w:rsidRPr="00874DFC">
        <w:rPr>
          <w:rFonts w:cs="Arial"/>
          <w:sz w:val="22"/>
          <w:szCs w:val="22"/>
          <w:lang w:val="en-US"/>
        </w:rPr>
        <w:t>).</w:t>
      </w:r>
    </w:p>
    <w:p w14:paraId="51AA8FAB" w14:textId="77777777" w:rsidR="00323DD9" w:rsidRPr="00874DFC" w:rsidRDefault="00323DD9" w:rsidP="00F72116">
      <w:pPr>
        <w:pStyle w:val="BodyText"/>
        <w:rPr>
          <w:rFonts w:cs="Arial"/>
          <w:sz w:val="22"/>
          <w:szCs w:val="22"/>
          <w:lang w:val="en-US"/>
        </w:rPr>
      </w:pPr>
    </w:p>
    <w:p w14:paraId="3C43EE27" w14:textId="068DBDF1" w:rsidR="00F72116" w:rsidRPr="00874DFC" w:rsidRDefault="00F72116" w:rsidP="00F72116">
      <w:pPr>
        <w:pStyle w:val="BodyText"/>
        <w:rPr>
          <w:rFonts w:cs="Arial"/>
          <w:sz w:val="22"/>
          <w:szCs w:val="22"/>
          <w:lang w:val="en-US"/>
        </w:rPr>
      </w:pPr>
      <w:r w:rsidRPr="00874DFC">
        <w:rPr>
          <w:rFonts w:cs="Arial"/>
          <w:sz w:val="22"/>
          <w:szCs w:val="22"/>
          <w:lang w:val="en-US"/>
        </w:rPr>
        <w:t>An analysis for potential events suggesting optic nerve disorders showed two TEAEs in the tedizolid phosphate group and one TEAE in the linezolid group. Events were visual acuity reduced and visual impairment (tedizolid phosphate only)</w:t>
      </w:r>
      <w:r w:rsidR="00950A50" w:rsidRPr="00874DFC">
        <w:rPr>
          <w:rFonts w:cs="Arial"/>
          <w:sz w:val="22"/>
          <w:szCs w:val="22"/>
          <w:lang w:val="en-US"/>
        </w:rPr>
        <w:t>(</w:t>
      </w:r>
      <w:r w:rsidR="00950A50">
        <w:rPr>
          <w:rFonts w:cs="Arial"/>
          <w:sz w:val="22"/>
          <w:szCs w:val="22"/>
          <w:lang w:val="en-US"/>
        </w:rPr>
        <w:fldChar w:fldCharType="begin"/>
      </w:r>
      <w:r w:rsidR="00950A50">
        <w:rPr>
          <w:rFonts w:cs="Arial"/>
          <w:sz w:val="22"/>
          <w:szCs w:val="22"/>
          <w:lang w:val="en-US"/>
        </w:rPr>
        <w:instrText xml:space="preserve"> REF _Ref284184395 \r \h </w:instrText>
      </w:r>
      <w:r w:rsidR="00950A50">
        <w:rPr>
          <w:rFonts w:cs="Arial"/>
          <w:sz w:val="22"/>
          <w:szCs w:val="22"/>
          <w:lang w:val="en-US"/>
        </w:rPr>
      </w:r>
      <w:r w:rsidR="00950A50">
        <w:rPr>
          <w:rFonts w:cs="Arial"/>
          <w:sz w:val="22"/>
          <w:szCs w:val="22"/>
          <w:lang w:val="en-US"/>
        </w:rPr>
        <w:fldChar w:fldCharType="separate"/>
      </w:r>
      <w:r w:rsidR="00151A1C">
        <w:rPr>
          <w:rFonts w:cs="Arial"/>
          <w:sz w:val="22"/>
          <w:szCs w:val="22"/>
          <w:lang w:val="en-US"/>
        </w:rPr>
        <w:t>53</w:t>
      </w:r>
      <w:r w:rsidR="00950A50">
        <w:rPr>
          <w:rFonts w:cs="Arial"/>
          <w:sz w:val="22"/>
          <w:szCs w:val="22"/>
          <w:lang w:val="en-US"/>
        </w:rPr>
        <w:fldChar w:fldCharType="end"/>
      </w:r>
      <w:r w:rsidR="00950A50" w:rsidRPr="00874DFC">
        <w:rPr>
          <w:rFonts w:cs="Arial"/>
          <w:sz w:val="22"/>
          <w:szCs w:val="22"/>
          <w:lang w:val="en-US"/>
        </w:rPr>
        <w:t>).</w:t>
      </w:r>
    </w:p>
    <w:p w14:paraId="77608744" w14:textId="77777777" w:rsidR="00BF379E" w:rsidRPr="00874DFC" w:rsidRDefault="00BF379E" w:rsidP="00F72116">
      <w:pPr>
        <w:pStyle w:val="BodyText"/>
        <w:rPr>
          <w:rFonts w:cs="Arial"/>
          <w:sz w:val="22"/>
          <w:szCs w:val="22"/>
          <w:lang w:val="en-US"/>
        </w:rPr>
      </w:pPr>
    </w:p>
    <w:p w14:paraId="4D322B92" w14:textId="5AA491BC" w:rsidR="00BF379E" w:rsidRPr="00874DFC" w:rsidRDefault="00BF379E" w:rsidP="00F72116">
      <w:pPr>
        <w:pStyle w:val="BodyText"/>
        <w:rPr>
          <w:rFonts w:cs="Arial"/>
          <w:b/>
          <w:sz w:val="22"/>
          <w:szCs w:val="22"/>
          <w:lang w:val="en-US"/>
        </w:rPr>
      </w:pPr>
      <w:r w:rsidRPr="00874DFC">
        <w:rPr>
          <w:rFonts w:cs="Arial"/>
          <w:b/>
          <w:sz w:val="22"/>
          <w:szCs w:val="22"/>
          <w:lang w:val="en-US"/>
        </w:rPr>
        <w:t>Deaths</w:t>
      </w:r>
    </w:p>
    <w:p w14:paraId="01940DDB" w14:textId="710C5819" w:rsidR="00713763" w:rsidRPr="00874DFC" w:rsidRDefault="00CE691B" w:rsidP="00CE691B">
      <w:pPr>
        <w:widowControl w:val="0"/>
        <w:autoSpaceDE w:val="0"/>
        <w:autoSpaceDN w:val="0"/>
        <w:adjustRightInd w:val="0"/>
        <w:rPr>
          <w:rFonts w:cs="Arial"/>
          <w:sz w:val="22"/>
          <w:szCs w:val="22"/>
          <w:lang w:val="en-US" w:eastAsia="ja-JP"/>
        </w:rPr>
      </w:pPr>
      <w:r w:rsidRPr="00874DFC">
        <w:rPr>
          <w:rFonts w:cs="Arial"/>
          <w:sz w:val="22"/>
          <w:szCs w:val="22"/>
          <w:lang w:val="en-US" w:eastAsia="ja-JP"/>
        </w:rPr>
        <w:t xml:space="preserve">In total there were 3 deaths in the development program which all occurred in the Phase 3 studies. Two occurred in patients who received tedizolid phosphate; both were elderly patients with cSSTI and multiple comorbidities. An 86-year-old male hospitalized with pneumonia 21 days post-treatment developed septic shock 5 days after admission. The patient was stabilized but developed fatal septic shock with multiorgan system failure, and death 25 days after admission. The second patient, an 84-year-old male with a prior </w:t>
      </w:r>
      <w:r w:rsidRPr="00874DFC">
        <w:rPr>
          <w:rFonts w:cs="Arial"/>
          <w:sz w:val="22"/>
          <w:szCs w:val="22"/>
          <w:lang w:val="en-US" w:eastAsia="ja-JP"/>
        </w:rPr>
        <w:lastRenderedPageBreak/>
        <w:t xml:space="preserve">history of MI, experienced a further MI 4 days after final administration of study </w:t>
      </w:r>
      <w:r w:rsidR="0089562B" w:rsidRPr="00874DFC">
        <w:rPr>
          <w:rFonts w:cs="Arial"/>
          <w:sz w:val="22"/>
          <w:szCs w:val="22"/>
          <w:lang w:val="en-US" w:eastAsia="ja-JP"/>
        </w:rPr>
        <w:t>medicine</w:t>
      </w:r>
      <w:r w:rsidRPr="00874DFC">
        <w:rPr>
          <w:rFonts w:cs="Arial"/>
          <w:sz w:val="22"/>
          <w:szCs w:val="22"/>
          <w:lang w:val="en-US" w:eastAsia="ja-JP"/>
        </w:rPr>
        <w:t>, and died 4 days later. One death in the linezolid group occurred in a 33-year-old HIV-positive female who developed tuberculous meningitis. None of the deaths was regarded as related to study treatment</w:t>
      </w:r>
      <w:r w:rsidR="00190B14" w:rsidRPr="00874DFC">
        <w:rPr>
          <w:rFonts w:cs="Arial"/>
          <w:sz w:val="22"/>
          <w:szCs w:val="22"/>
          <w:lang w:val="en-US" w:eastAsia="ja-JP"/>
        </w:rPr>
        <w:t xml:space="preserve"> (</w:t>
      </w:r>
      <w:r w:rsidR="00950A50">
        <w:rPr>
          <w:rFonts w:cs="Arial"/>
          <w:sz w:val="22"/>
          <w:szCs w:val="22"/>
          <w:lang w:val="en-US" w:eastAsia="ja-JP"/>
        </w:rPr>
        <w:fldChar w:fldCharType="begin"/>
      </w:r>
      <w:r w:rsidR="00950A50">
        <w:rPr>
          <w:rFonts w:cs="Arial"/>
          <w:sz w:val="22"/>
          <w:szCs w:val="22"/>
          <w:lang w:val="en-US" w:eastAsia="ja-JP"/>
        </w:rPr>
        <w:instrText xml:space="preserve"> REF _Ref284184350 \r \h </w:instrText>
      </w:r>
      <w:r w:rsidR="00950A50">
        <w:rPr>
          <w:rFonts w:cs="Arial"/>
          <w:sz w:val="22"/>
          <w:szCs w:val="22"/>
          <w:lang w:val="en-US" w:eastAsia="ja-JP"/>
        </w:rPr>
      </w:r>
      <w:r w:rsidR="00950A50">
        <w:rPr>
          <w:rFonts w:cs="Arial"/>
          <w:sz w:val="22"/>
          <w:szCs w:val="22"/>
          <w:lang w:val="en-US" w:eastAsia="ja-JP"/>
        </w:rPr>
        <w:fldChar w:fldCharType="separate"/>
      </w:r>
      <w:r w:rsidR="00151A1C">
        <w:rPr>
          <w:rFonts w:cs="Arial"/>
          <w:sz w:val="22"/>
          <w:szCs w:val="22"/>
          <w:lang w:val="en-US" w:eastAsia="ja-JP"/>
        </w:rPr>
        <w:t>52</w:t>
      </w:r>
      <w:r w:rsidR="00950A50">
        <w:rPr>
          <w:rFonts w:cs="Arial"/>
          <w:sz w:val="22"/>
          <w:szCs w:val="22"/>
          <w:lang w:val="en-US" w:eastAsia="ja-JP"/>
        </w:rPr>
        <w:fldChar w:fldCharType="end"/>
      </w:r>
      <w:r w:rsidR="00950A50">
        <w:rPr>
          <w:rFonts w:cs="Arial"/>
          <w:sz w:val="22"/>
          <w:szCs w:val="22"/>
          <w:lang w:val="en-US" w:eastAsia="ja-JP"/>
        </w:rPr>
        <w:t>;</w:t>
      </w:r>
      <w:r w:rsidR="00950A50">
        <w:rPr>
          <w:rFonts w:cs="Arial"/>
          <w:sz w:val="22"/>
          <w:szCs w:val="22"/>
          <w:lang w:val="en-US"/>
        </w:rPr>
        <w:fldChar w:fldCharType="begin"/>
      </w:r>
      <w:r w:rsidR="00950A50">
        <w:rPr>
          <w:rFonts w:cs="Arial"/>
          <w:sz w:val="22"/>
          <w:szCs w:val="22"/>
          <w:lang w:val="en-US"/>
        </w:rPr>
        <w:instrText xml:space="preserve"> REF _Ref284184395 \r \h </w:instrText>
      </w:r>
      <w:r w:rsidR="00950A50">
        <w:rPr>
          <w:rFonts w:cs="Arial"/>
          <w:sz w:val="22"/>
          <w:szCs w:val="22"/>
          <w:lang w:val="en-US"/>
        </w:rPr>
      </w:r>
      <w:r w:rsidR="00950A50">
        <w:rPr>
          <w:rFonts w:cs="Arial"/>
          <w:sz w:val="22"/>
          <w:szCs w:val="22"/>
          <w:lang w:val="en-US"/>
        </w:rPr>
        <w:fldChar w:fldCharType="separate"/>
      </w:r>
      <w:r w:rsidR="00151A1C">
        <w:rPr>
          <w:rFonts w:cs="Arial"/>
          <w:sz w:val="22"/>
          <w:szCs w:val="22"/>
          <w:lang w:val="en-US"/>
        </w:rPr>
        <w:t>53</w:t>
      </w:r>
      <w:r w:rsidR="00950A50">
        <w:rPr>
          <w:rFonts w:cs="Arial"/>
          <w:sz w:val="22"/>
          <w:szCs w:val="22"/>
          <w:lang w:val="en-US"/>
        </w:rPr>
        <w:fldChar w:fldCharType="end"/>
      </w:r>
      <w:r w:rsidR="00950A50">
        <w:rPr>
          <w:rFonts w:cs="Arial"/>
          <w:sz w:val="22"/>
          <w:szCs w:val="22"/>
          <w:lang w:val="en-US"/>
        </w:rPr>
        <w:t>).</w:t>
      </w:r>
    </w:p>
    <w:p w14:paraId="2F64FEFF" w14:textId="77777777" w:rsidR="008A5922" w:rsidRPr="00874DFC" w:rsidRDefault="008A5922" w:rsidP="00713763">
      <w:pPr>
        <w:autoSpaceDE w:val="0"/>
        <w:autoSpaceDN w:val="0"/>
        <w:adjustRightInd w:val="0"/>
        <w:rPr>
          <w:rFonts w:eastAsia="SimSun"/>
          <w:b/>
          <w:iCs/>
          <w:szCs w:val="22"/>
          <w:lang w:val="en-US" w:eastAsia="sv-SE"/>
        </w:rPr>
      </w:pPr>
    </w:p>
    <w:p w14:paraId="40346FAA" w14:textId="77777777" w:rsidR="00F72116" w:rsidRPr="00874DFC" w:rsidRDefault="00F72116" w:rsidP="008E4E92">
      <w:pPr>
        <w:pStyle w:val="BodyText"/>
        <w:tabs>
          <w:tab w:val="num" w:pos="1134"/>
        </w:tabs>
        <w:ind w:left="1134" w:hanging="567"/>
        <w:jc w:val="both"/>
        <w:rPr>
          <w:rFonts w:cs="Arial"/>
          <w:iCs/>
          <w:sz w:val="22"/>
          <w:szCs w:val="22"/>
        </w:rPr>
      </w:pPr>
    </w:p>
    <w:p w14:paraId="55E6826F" w14:textId="77777777" w:rsidR="008E4E92" w:rsidRPr="00874DFC" w:rsidRDefault="008E4E92" w:rsidP="008E4E92">
      <w:pPr>
        <w:pStyle w:val="BodyText"/>
        <w:numPr>
          <w:ilvl w:val="0"/>
          <w:numId w:val="5"/>
        </w:numPr>
        <w:tabs>
          <w:tab w:val="clear" w:pos="1080"/>
          <w:tab w:val="num" w:pos="1134"/>
        </w:tabs>
        <w:ind w:left="1134" w:hanging="567"/>
        <w:jc w:val="both"/>
        <w:rPr>
          <w:rFonts w:cs="Arial"/>
          <w:i/>
          <w:iCs/>
          <w:sz w:val="22"/>
          <w:szCs w:val="22"/>
        </w:rPr>
      </w:pPr>
      <w:r w:rsidRPr="00874DFC">
        <w:rPr>
          <w:rFonts w:cs="Arial"/>
          <w:i/>
          <w:iCs/>
          <w:sz w:val="22"/>
          <w:szCs w:val="22"/>
        </w:rPr>
        <w:t xml:space="preserve">For placebo-controlled and uncontrolled studies, which primarily assessed an efficacy outcome, provide details of the type and frequency of adverse effects that might be expected in clinical practice with the medicine in the indication(s) under review. </w:t>
      </w:r>
    </w:p>
    <w:p w14:paraId="3C741D2E" w14:textId="77777777" w:rsidR="00D94C0C" w:rsidRPr="00874DFC" w:rsidRDefault="00D94C0C" w:rsidP="00D94C0C">
      <w:pPr>
        <w:pStyle w:val="BodyText"/>
        <w:jc w:val="both"/>
        <w:rPr>
          <w:rFonts w:cs="Arial"/>
          <w:iCs/>
          <w:sz w:val="22"/>
          <w:szCs w:val="22"/>
        </w:rPr>
      </w:pPr>
    </w:p>
    <w:p w14:paraId="4D904F7E" w14:textId="160B0791" w:rsidR="00D94C0C" w:rsidRPr="00874DFC" w:rsidRDefault="00713763" w:rsidP="00D94C0C">
      <w:pPr>
        <w:pStyle w:val="BodyText"/>
        <w:jc w:val="both"/>
        <w:rPr>
          <w:rFonts w:cs="Arial"/>
          <w:iCs/>
          <w:sz w:val="22"/>
          <w:szCs w:val="22"/>
        </w:rPr>
      </w:pPr>
      <w:r w:rsidRPr="00874DFC">
        <w:rPr>
          <w:rFonts w:cs="Arial"/>
          <w:iCs/>
          <w:sz w:val="22"/>
          <w:szCs w:val="22"/>
        </w:rPr>
        <w:t xml:space="preserve">Not applicable. </w:t>
      </w:r>
    </w:p>
    <w:p w14:paraId="2EA1A0ED" w14:textId="77777777" w:rsidR="00D94C0C" w:rsidRPr="00874DFC" w:rsidRDefault="00D94C0C" w:rsidP="00D94C0C">
      <w:pPr>
        <w:pStyle w:val="BodyText"/>
        <w:jc w:val="both"/>
        <w:rPr>
          <w:rFonts w:cs="Arial"/>
          <w:iCs/>
          <w:sz w:val="22"/>
          <w:szCs w:val="22"/>
        </w:rPr>
      </w:pPr>
    </w:p>
    <w:p w14:paraId="0726C6E0" w14:textId="77777777" w:rsidR="008E4E92" w:rsidRPr="00874DFC" w:rsidRDefault="008E4E92" w:rsidP="008E4E92">
      <w:pPr>
        <w:pStyle w:val="BodyText"/>
        <w:jc w:val="both"/>
        <w:rPr>
          <w:rFonts w:cs="Arial"/>
          <w:iCs/>
          <w:sz w:val="22"/>
          <w:szCs w:val="22"/>
        </w:rPr>
      </w:pPr>
    </w:p>
    <w:p w14:paraId="75A83E16" w14:textId="77777777" w:rsidR="008E4E92" w:rsidRPr="00874DFC" w:rsidRDefault="008E4E92" w:rsidP="008E4E92">
      <w:pPr>
        <w:numPr>
          <w:ilvl w:val="0"/>
          <w:numId w:val="4"/>
        </w:numPr>
        <w:tabs>
          <w:tab w:val="clear" w:pos="720"/>
          <w:tab w:val="num" w:pos="567"/>
        </w:tabs>
        <w:ind w:left="567" w:hanging="567"/>
        <w:jc w:val="both"/>
        <w:rPr>
          <w:rFonts w:cs="Arial"/>
          <w:i/>
          <w:iCs/>
          <w:sz w:val="22"/>
          <w:szCs w:val="22"/>
        </w:rPr>
      </w:pPr>
      <w:r w:rsidRPr="00874DFC">
        <w:rPr>
          <w:rFonts w:cs="Arial"/>
          <w:i/>
          <w:iCs/>
          <w:sz w:val="22"/>
          <w:szCs w:val="22"/>
        </w:rPr>
        <w:t xml:space="preserve">Provide details of any additional safety issues for the medicine in the indication(s) under review compared to relevant active comparator(s), which were not identified in the studies described previously.   </w:t>
      </w:r>
    </w:p>
    <w:p w14:paraId="5262D378" w14:textId="77777777" w:rsidR="008E4E92" w:rsidRPr="00874DFC" w:rsidRDefault="008E4E92" w:rsidP="008E4E92">
      <w:pPr>
        <w:pStyle w:val="BodyText"/>
        <w:rPr>
          <w:rFonts w:cs="Arial"/>
          <w:iCs/>
          <w:sz w:val="22"/>
          <w:szCs w:val="22"/>
        </w:rPr>
      </w:pPr>
    </w:p>
    <w:p w14:paraId="345777A3" w14:textId="232027B0" w:rsidR="008E4E92" w:rsidRPr="00874DFC" w:rsidRDefault="00D5091B" w:rsidP="008E4E92">
      <w:pPr>
        <w:pStyle w:val="BodyText"/>
        <w:rPr>
          <w:rFonts w:cs="Arial"/>
          <w:iCs/>
          <w:sz w:val="22"/>
          <w:szCs w:val="22"/>
        </w:rPr>
      </w:pPr>
      <w:r w:rsidRPr="00874DFC">
        <w:rPr>
          <w:rFonts w:cs="Arial"/>
          <w:iCs/>
          <w:sz w:val="22"/>
          <w:szCs w:val="22"/>
        </w:rPr>
        <w:t>The manufacturer is not aware of any additional</w:t>
      </w:r>
      <w:r w:rsidR="00736BD2" w:rsidRPr="00874DFC">
        <w:rPr>
          <w:rFonts w:cs="Arial"/>
          <w:iCs/>
          <w:sz w:val="22"/>
          <w:szCs w:val="22"/>
        </w:rPr>
        <w:t xml:space="preserve"> safety issues</w:t>
      </w:r>
      <w:r w:rsidR="003C702C" w:rsidRPr="00874DFC">
        <w:rPr>
          <w:rFonts w:cs="Arial"/>
          <w:iCs/>
          <w:sz w:val="22"/>
          <w:szCs w:val="22"/>
        </w:rPr>
        <w:t xml:space="preserve"> </w:t>
      </w:r>
      <w:r w:rsidR="00EE72A2" w:rsidRPr="00874DFC">
        <w:rPr>
          <w:rFonts w:cs="Arial"/>
          <w:iCs/>
          <w:sz w:val="22"/>
          <w:szCs w:val="22"/>
        </w:rPr>
        <w:t>other than as</w:t>
      </w:r>
      <w:r w:rsidR="003C702C" w:rsidRPr="00874DFC">
        <w:rPr>
          <w:rFonts w:cs="Arial"/>
          <w:iCs/>
          <w:sz w:val="22"/>
          <w:szCs w:val="22"/>
        </w:rPr>
        <w:t xml:space="preserve"> previously described or identified</w:t>
      </w:r>
      <w:r w:rsidR="00736BD2" w:rsidRPr="00874DFC">
        <w:rPr>
          <w:rFonts w:cs="Arial"/>
          <w:iCs/>
          <w:sz w:val="22"/>
          <w:szCs w:val="22"/>
        </w:rPr>
        <w:t>.</w:t>
      </w:r>
    </w:p>
    <w:p w14:paraId="1A958847" w14:textId="77777777" w:rsidR="008E4E92" w:rsidRPr="00874DFC" w:rsidRDefault="008E4E92" w:rsidP="008E4E92">
      <w:pPr>
        <w:rPr>
          <w:rFonts w:cs="Arial"/>
          <w:sz w:val="22"/>
          <w:szCs w:val="22"/>
        </w:rPr>
      </w:pPr>
    </w:p>
    <w:p w14:paraId="13FBB6B5" w14:textId="0D8DC467" w:rsidR="008E4E92" w:rsidRPr="009C16E5" w:rsidRDefault="008E4E92" w:rsidP="009C16E5">
      <w:pPr>
        <w:pBdr>
          <w:top w:val="single" w:sz="4" w:space="0" w:color="auto"/>
          <w:bottom w:val="single" w:sz="4" w:space="1" w:color="auto"/>
        </w:pBdr>
        <w:tabs>
          <w:tab w:val="left" w:pos="567"/>
        </w:tabs>
        <w:spacing w:line="360" w:lineRule="auto"/>
        <w:rPr>
          <w:rFonts w:cs="Arial"/>
          <w:b/>
          <w:sz w:val="28"/>
          <w:szCs w:val="28"/>
        </w:rPr>
      </w:pPr>
      <w:r w:rsidRPr="00874DFC">
        <w:rPr>
          <w:rFonts w:cs="Arial"/>
          <w:sz w:val="22"/>
          <w:szCs w:val="22"/>
        </w:rPr>
        <w:br w:type="page"/>
      </w:r>
      <w:r w:rsidRPr="009C16E5">
        <w:rPr>
          <w:rFonts w:cs="Arial"/>
          <w:b/>
          <w:sz w:val="28"/>
          <w:szCs w:val="28"/>
        </w:rPr>
        <w:lastRenderedPageBreak/>
        <w:t>5.</w:t>
      </w:r>
      <w:r w:rsidRPr="009C16E5">
        <w:rPr>
          <w:rFonts w:cs="Arial"/>
          <w:b/>
          <w:sz w:val="28"/>
          <w:szCs w:val="28"/>
        </w:rPr>
        <w:tab/>
      </w:r>
      <w:bookmarkStart w:id="188" w:name="Clinical_Effectiveness"/>
      <w:r w:rsidRPr="009C16E5">
        <w:rPr>
          <w:rFonts w:cs="Arial"/>
          <w:b/>
          <w:sz w:val="28"/>
          <w:szCs w:val="28"/>
        </w:rPr>
        <w:t>Clinical Effectiveness</w:t>
      </w:r>
      <w:bookmarkEnd w:id="188"/>
    </w:p>
    <w:p w14:paraId="3CA0A12A" w14:textId="77777777" w:rsidR="004573F3" w:rsidRDefault="004573F3" w:rsidP="004573F3">
      <w:pPr>
        <w:widowControl w:val="0"/>
        <w:autoSpaceDE w:val="0"/>
        <w:autoSpaceDN w:val="0"/>
        <w:adjustRightInd w:val="0"/>
        <w:rPr>
          <w:rFonts w:ascii="Consolas" w:hAnsi="Consolas" w:cs="Consolas"/>
          <w:szCs w:val="24"/>
          <w:lang w:val="en-US" w:eastAsia="ja-JP"/>
        </w:rPr>
      </w:pPr>
    </w:p>
    <w:p w14:paraId="6E1A7BFE" w14:textId="3480E442" w:rsid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b/>
          <w:sz w:val="22"/>
          <w:szCs w:val="22"/>
          <w:lang w:val="en-US" w:eastAsia="ja-JP"/>
        </w:rPr>
      </w:pPr>
      <w:r>
        <w:rPr>
          <w:rFonts w:cs="Arial"/>
          <w:b/>
          <w:sz w:val="22"/>
          <w:szCs w:val="22"/>
          <w:lang w:val="en-US" w:eastAsia="ja-JP"/>
        </w:rPr>
        <w:t>Summary of clinical effectiveness</w:t>
      </w:r>
    </w:p>
    <w:p w14:paraId="7E32AB39" w14:textId="77777777" w:rsidR="004573F3" w:rsidRP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b/>
          <w:sz w:val="22"/>
          <w:szCs w:val="22"/>
          <w:lang w:val="en-US" w:eastAsia="ja-JP"/>
        </w:rPr>
      </w:pPr>
    </w:p>
    <w:p w14:paraId="72F9B58F" w14:textId="64825DB3" w:rsidR="004573F3" w:rsidRPr="004573F3" w:rsidRDefault="004573F3"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4573F3">
        <w:rPr>
          <w:rFonts w:cs="Arial"/>
          <w:sz w:val="22"/>
          <w:szCs w:val="22"/>
          <w:lang w:val="en-US" w:eastAsia="ja-JP"/>
        </w:rPr>
        <w:t xml:space="preserve">Both the Phase 3 non-inferiority study design and study endpoints were determined in accordance with the preferences of both European </w:t>
      </w:r>
      <w:r w:rsidR="00CE443D">
        <w:rPr>
          <w:rFonts w:cs="Arial"/>
          <w:sz w:val="22"/>
          <w:szCs w:val="22"/>
          <w:lang w:val="en-US" w:eastAsia="ja-JP"/>
        </w:rPr>
        <w:t xml:space="preserve">and US </w:t>
      </w:r>
      <w:r w:rsidRPr="004573F3">
        <w:rPr>
          <w:rFonts w:cs="Arial"/>
          <w:sz w:val="22"/>
          <w:szCs w:val="22"/>
          <w:lang w:val="en-US" w:eastAsia="ja-JP"/>
        </w:rPr>
        <w:t>regulators.</w:t>
      </w:r>
    </w:p>
    <w:p w14:paraId="70B724CF" w14:textId="77777777" w:rsidR="004573F3" w:rsidRP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3D0C0EC3" w14:textId="77777777" w:rsidR="004573F3" w:rsidRPr="004573F3" w:rsidRDefault="004573F3"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4573F3">
        <w:rPr>
          <w:rFonts w:cs="Arial"/>
          <w:sz w:val="22"/>
          <w:szCs w:val="22"/>
          <w:lang w:val="en-US" w:eastAsia="ja-JP"/>
        </w:rPr>
        <w:t>The study endpoints were clinically relevant and patients recruited into the Phase 3 studies had FDA-defined ABSSSI at baseline, with no meaningful differences in patient demographics or disease characteristics at baseline. The EMA has adopted the same definition of ABSSSI and the study participants are representative of patients with MRSA-caused ABSSSIs treated in NHS Scotland.</w:t>
      </w:r>
    </w:p>
    <w:p w14:paraId="129F2888" w14:textId="77777777" w:rsidR="004573F3" w:rsidRP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7EE2AD23" w14:textId="77777777" w:rsidR="004573F3" w:rsidRPr="004573F3" w:rsidRDefault="004573F3"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4573F3">
        <w:rPr>
          <w:rFonts w:cs="Arial"/>
          <w:sz w:val="22"/>
          <w:szCs w:val="22"/>
          <w:lang w:val="en-US" w:eastAsia="ja-JP"/>
        </w:rPr>
        <w:t>Vancomycin, daptomycin, tigecycline, teicoplanin, ceftaroline and linezolid are all approved for the treatment of cSSTIs or ABSSSIs in the UK and Europe. Daptomycin, tigecycline and ceftaroline are all accepted for restricted use in NHS Scotland by the SMC. The launch of linezolid in NHS Scotland predates the SMC.</w:t>
      </w:r>
    </w:p>
    <w:p w14:paraId="59191FB5" w14:textId="77777777" w:rsidR="004573F3" w:rsidRP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2275CDD8" w14:textId="4E6E3C5C" w:rsidR="0051476C" w:rsidRDefault="004573F3"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606B25">
        <w:rPr>
          <w:rFonts w:cs="Arial"/>
          <w:sz w:val="22"/>
          <w:szCs w:val="22"/>
          <w:lang w:val="en-US" w:eastAsia="ja-JP"/>
        </w:rPr>
        <w:t>UK and Scottish guidelines recommend glycopeptides (usually vancomycin) as first-line treatment for all S</w:t>
      </w:r>
      <w:r w:rsidR="00245356">
        <w:rPr>
          <w:rFonts w:cs="Arial"/>
          <w:sz w:val="22"/>
          <w:szCs w:val="22"/>
          <w:lang w:val="en-US" w:eastAsia="ja-JP"/>
        </w:rPr>
        <w:t>ST</w:t>
      </w:r>
      <w:r w:rsidRPr="00606B25">
        <w:rPr>
          <w:rFonts w:cs="Arial"/>
          <w:sz w:val="22"/>
          <w:szCs w:val="22"/>
          <w:lang w:val="en-US" w:eastAsia="ja-JP"/>
        </w:rPr>
        <w:t>Is where MRSA is proven or suspected. Linezolid can be given on expert advice where a glycopeptide is unsuitable.  Both vancomycin and linezolid are frequently used for inpatient management of MRSA-caused cSSTI</w:t>
      </w:r>
      <w:r w:rsidR="00527988">
        <w:rPr>
          <w:rFonts w:cs="Arial"/>
          <w:sz w:val="22"/>
          <w:szCs w:val="22"/>
          <w:lang w:val="en-US" w:eastAsia="ja-JP"/>
        </w:rPr>
        <w:t>s</w:t>
      </w:r>
      <w:r w:rsidRPr="00606B25">
        <w:rPr>
          <w:rFonts w:cs="Arial"/>
          <w:sz w:val="22"/>
          <w:szCs w:val="22"/>
          <w:lang w:val="en-US" w:eastAsia="ja-JP"/>
        </w:rPr>
        <w:t xml:space="preserve"> in the UK and elsewhere. </w:t>
      </w:r>
      <w:r w:rsidR="0069731A">
        <w:rPr>
          <w:rFonts w:cs="Arial"/>
          <w:sz w:val="22"/>
          <w:szCs w:val="22"/>
          <w:lang w:val="en-US" w:eastAsia="ja-JP"/>
        </w:rPr>
        <w:t>T</w:t>
      </w:r>
      <w:r w:rsidRPr="00606B25">
        <w:rPr>
          <w:rFonts w:cs="Arial"/>
          <w:sz w:val="22"/>
          <w:szCs w:val="22"/>
          <w:lang w:val="en-US" w:eastAsia="ja-JP"/>
        </w:rPr>
        <w:t xml:space="preserve">he other agents are used less frequently in Scotland for reasons </w:t>
      </w:r>
      <w:r w:rsidR="00606B25" w:rsidRPr="00606B25">
        <w:rPr>
          <w:rFonts w:cs="Arial"/>
          <w:sz w:val="22"/>
          <w:szCs w:val="22"/>
          <w:lang w:val="en-US" w:eastAsia="ja-JP"/>
        </w:rPr>
        <w:t>including</w:t>
      </w:r>
      <w:r w:rsidRPr="00606B25">
        <w:rPr>
          <w:rFonts w:cs="Arial"/>
          <w:sz w:val="22"/>
          <w:szCs w:val="22"/>
          <w:lang w:val="en-US" w:eastAsia="ja-JP"/>
        </w:rPr>
        <w:t xml:space="preserve"> concerns about decreasing efficacy and/or increasing antibiotic resistance.</w:t>
      </w:r>
    </w:p>
    <w:p w14:paraId="57428158" w14:textId="77777777" w:rsidR="00606B25" w:rsidRPr="00606B25" w:rsidRDefault="00606B25" w:rsidP="00606B25">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30D314EB" w14:textId="76B744B3" w:rsidR="0051476C" w:rsidRPr="0051476C" w:rsidRDefault="004573F3"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51476C">
        <w:rPr>
          <w:rFonts w:cs="Arial"/>
          <w:sz w:val="22"/>
          <w:szCs w:val="22"/>
          <w:lang w:val="en-US" w:eastAsia="ja-JP"/>
        </w:rPr>
        <w:t xml:space="preserve">Tedizolid phosphate offers </w:t>
      </w:r>
      <w:r w:rsidRPr="00F85B68">
        <w:rPr>
          <w:rFonts w:cs="Arial"/>
          <w:sz w:val="22"/>
          <w:szCs w:val="22"/>
          <w:lang w:val="en-US" w:eastAsia="ja-JP"/>
        </w:rPr>
        <w:t xml:space="preserve">convenient, </w:t>
      </w:r>
      <w:r w:rsidR="0070569F" w:rsidRPr="00F85B68">
        <w:rPr>
          <w:rFonts w:cs="Arial"/>
          <w:sz w:val="22"/>
          <w:szCs w:val="22"/>
          <w:lang w:val="en-US" w:eastAsia="ja-JP"/>
        </w:rPr>
        <w:t xml:space="preserve">200mg </w:t>
      </w:r>
      <w:r w:rsidRPr="00F85B68">
        <w:rPr>
          <w:rFonts w:cs="Arial"/>
          <w:sz w:val="22"/>
          <w:szCs w:val="22"/>
          <w:lang w:val="en-US" w:eastAsia="ja-JP"/>
        </w:rPr>
        <w:t xml:space="preserve">once-daily administration with no dose adjustment necessary when switching from </w:t>
      </w:r>
      <w:r w:rsidR="0070569F" w:rsidRPr="00F85B68">
        <w:rPr>
          <w:rFonts w:cs="Arial"/>
          <w:sz w:val="22"/>
          <w:szCs w:val="22"/>
          <w:lang w:val="en-US" w:eastAsia="ja-JP"/>
        </w:rPr>
        <w:t xml:space="preserve">intravenous to oral formulation, including in special populations (elderly patients and patients with renal or hepatic impairment), </w:t>
      </w:r>
      <w:r w:rsidRPr="00F85B68">
        <w:rPr>
          <w:rFonts w:cs="Arial"/>
          <w:sz w:val="22"/>
          <w:szCs w:val="22"/>
          <w:lang w:val="en-US" w:eastAsia="ja-JP"/>
        </w:rPr>
        <w:t xml:space="preserve">and </w:t>
      </w:r>
      <w:r w:rsidR="0070569F" w:rsidRPr="00F85B68">
        <w:rPr>
          <w:rFonts w:cs="Arial"/>
          <w:sz w:val="22"/>
          <w:szCs w:val="22"/>
          <w:lang w:val="en-US" w:eastAsia="ja-JP"/>
        </w:rPr>
        <w:t xml:space="preserve">with </w:t>
      </w:r>
      <w:r w:rsidRPr="00F85B68">
        <w:rPr>
          <w:rFonts w:cs="Arial"/>
          <w:sz w:val="22"/>
          <w:szCs w:val="22"/>
          <w:lang w:val="en-US" w:eastAsia="ja-JP"/>
        </w:rPr>
        <w:t>no requirement for additional monitoring.</w:t>
      </w:r>
      <w:r w:rsidR="0051476C" w:rsidRPr="0051476C">
        <w:rPr>
          <w:rFonts w:cs="Arial"/>
          <w:sz w:val="22"/>
          <w:szCs w:val="22"/>
        </w:rPr>
        <w:t xml:space="preserve"> </w:t>
      </w:r>
    </w:p>
    <w:p w14:paraId="3100BECC" w14:textId="77777777" w:rsidR="0051476C" w:rsidRPr="0051476C" w:rsidRDefault="0051476C" w:rsidP="005147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rPr>
      </w:pPr>
    </w:p>
    <w:p w14:paraId="7AE22056" w14:textId="355AB750" w:rsidR="004573F3" w:rsidRPr="0051476C" w:rsidRDefault="0051476C" w:rsidP="00C35C1F">
      <w:pPr>
        <w:pStyle w:val="ListParagraph"/>
        <w:widowControl w:val="0"/>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ind w:left="360"/>
        <w:rPr>
          <w:rFonts w:cs="Arial"/>
          <w:sz w:val="22"/>
          <w:szCs w:val="22"/>
          <w:lang w:val="en-US" w:eastAsia="ja-JP"/>
        </w:rPr>
      </w:pPr>
      <w:r w:rsidRPr="0051476C">
        <w:rPr>
          <w:rFonts w:cs="Arial"/>
          <w:sz w:val="22"/>
          <w:szCs w:val="22"/>
        </w:rPr>
        <w:t xml:space="preserve">The shorter course of IV treatment and ease of IV to oral switch means that use of </w:t>
      </w:r>
      <w:r w:rsidRPr="0051476C">
        <w:rPr>
          <w:rFonts w:cs="Arial"/>
          <w:sz w:val="22"/>
          <w:szCs w:val="22"/>
        </w:rPr>
        <w:lastRenderedPageBreak/>
        <w:t xml:space="preserve">tedizolid phosphate could facilitate early discharge from hospital for </w:t>
      </w:r>
      <w:r w:rsidR="00016279">
        <w:rPr>
          <w:rFonts w:cs="Arial"/>
          <w:sz w:val="22"/>
          <w:szCs w:val="22"/>
        </w:rPr>
        <w:t>appropriate</w:t>
      </w:r>
      <w:r w:rsidRPr="0051476C">
        <w:rPr>
          <w:rFonts w:cs="Arial"/>
          <w:sz w:val="22"/>
          <w:szCs w:val="22"/>
        </w:rPr>
        <w:t xml:space="preserve"> patients, </w:t>
      </w:r>
      <w:r w:rsidR="00016279">
        <w:rPr>
          <w:rFonts w:cs="Arial"/>
          <w:sz w:val="22"/>
          <w:szCs w:val="22"/>
        </w:rPr>
        <w:t>with the potential to reduce</w:t>
      </w:r>
      <w:r w:rsidRPr="0051476C">
        <w:rPr>
          <w:rFonts w:cs="Arial"/>
          <w:sz w:val="22"/>
          <w:szCs w:val="22"/>
        </w:rPr>
        <w:t xml:space="preserve"> the associated length of sta</w:t>
      </w:r>
      <w:r w:rsidR="00016279">
        <w:rPr>
          <w:rFonts w:cs="Arial"/>
          <w:sz w:val="22"/>
          <w:szCs w:val="22"/>
        </w:rPr>
        <w:t>y (LOS) in hospital and reduce</w:t>
      </w:r>
      <w:r w:rsidRPr="0051476C">
        <w:rPr>
          <w:rFonts w:cs="Arial"/>
          <w:sz w:val="22"/>
          <w:szCs w:val="22"/>
        </w:rPr>
        <w:t xml:space="preserve"> costs, particularly in terms of hospital bed days.</w:t>
      </w:r>
    </w:p>
    <w:p w14:paraId="14C4E7CF" w14:textId="77777777" w:rsidR="004573F3" w:rsidRPr="004573F3" w:rsidRDefault="004573F3" w:rsidP="004573F3">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22"/>
          <w:lang w:val="en-US" w:eastAsia="ja-JP"/>
        </w:rPr>
      </w:pPr>
    </w:p>
    <w:p w14:paraId="26260DC6" w14:textId="77777777" w:rsidR="0002439A" w:rsidRDefault="0002439A" w:rsidP="008E4E92">
      <w:pPr>
        <w:jc w:val="both"/>
        <w:rPr>
          <w:rFonts w:cs="Arial"/>
          <w:i/>
          <w:sz w:val="22"/>
          <w:szCs w:val="22"/>
        </w:rPr>
      </w:pPr>
    </w:p>
    <w:p w14:paraId="31F35534" w14:textId="4AE09E4F" w:rsidR="008E4E92" w:rsidRPr="0002439A" w:rsidRDefault="0002439A" w:rsidP="008E4E92">
      <w:pPr>
        <w:jc w:val="both"/>
        <w:rPr>
          <w:rFonts w:cs="Arial"/>
          <w:i/>
          <w:sz w:val="22"/>
          <w:szCs w:val="22"/>
        </w:rPr>
      </w:pPr>
      <w:r w:rsidRPr="0002439A">
        <w:rPr>
          <w:rFonts w:cs="Arial"/>
          <w:i/>
          <w:sz w:val="22"/>
          <w:szCs w:val="22"/>
        </w:rPr>
        <w:t>Describe any limitations of the study methodology and conduct affecting the quality of the evidence of clinical benefits and adverse effects with the medicine in the indication(s) under review (with respect to the proposed positioning of the product within the submission, if relevant).</w:t>
      </w:r>
    </w:p>
    <w:p w14:paraId="2E72EC69" w14:textId="77777777" w:rsidR="0002439A" w:rsidRPr="00BA2319" w:rsidRDefault="0002439A" w:rsidP="008E4E92">
      <w:pPr>
        <w:jc w:val="both"/>
        <w:rPr>
          <w:rFonts w:cs="Arial"/>
          <w:i/>
          <w:sz w:val="22"/>
          <w:szCs w:val="22"/>
        </w:rPr>
      </w:pPr>
    </w:p>
    <w:p w14:paraId="5F18686E" w14:textId="126F1761" w:rsidR="008E4E92"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BA2319">
        <w:rPr>
          <w:rFonts w:ascii="Arial" w:hAnsi="Arial" w:cs="Arial"/>
          <w:b w:val="0"/>
          <w:i/>
          <w:color w:val="auto"/>
          <w:sz w:val="22"/>
          <w:szCs w:val="22"/>
        </w:rPr>
        <w:t xml:space="preserve">Relative to relevant active comparator(s). </w:t>
      </w:r>
    </w:p>
    <w:p w14:paraId="112FD4F0" w14:textId="77777777" w:rsidR="00A71870" w:rsidRDefault="00A71870" w:rsidP="00F143FC">
      <w:pPr>
        <w:rPr>
          <w:sz w:val="22"/>
          <w:szCs w:val="22"/>
        </w:rPr>
      </w:pPr>
    </w:p>
    <w:p w14:paraId="383F64A5" w14:textId="54F74717" w:rsidR="00A71870" w:rsidRPr="00352771" w:rsidRDefault="00A71870" w:rsidP="00F143FC">
      <w:pPr>
        <w:rPr>
          <w:sz w:val="22"/>
          <w:szCs w:val="22"/>
        </w:rPr>
      </w:pPr>
      <w:r w:rsidRPr="00352771">
        <w:rPr>
          <w:sz w:val="22"/>
          <w:szCs w:val="22"/>
        </w:rPr>
        <w:t xml:space="preserve">Both the study design and the choice of primary </w:t>
      </w:r>
      <w:r w:rsidR="00554E19" w:rsidRPr="00352771">
        <w:rPr>
          <w:sz w:val="22"/>
          <w:szCs w:val="22"/>
        </w:rPr>
        <w:t xml:space="preserve">and secondary </w:t>
      </w:r>
      <w:r w:rsidRPr="00352771">
        <w:rPr>
          <w:sz w:val="22"/>
          <w:szCs w:val="22"/>
        </w:rPr>
        <w:t xml:space="preserve">efficacy endpoints in </w:t>
      </w:r>
      <w:r w:rsidR="000B2A90" w:rsidRPr="00352771">
        <w:rPr>
          <w:sz w:val="22"/>
          <w:szCs w:val="22"/>
        </w:rPr>
        <w:t xml:space="preserve">the Phase 3 studies </w:t>
      </w:r>
      <w:r w:rsidRPr="00352771">
        <w:rPr>
          <w:sz w:val="22"/>
          <w:szCs w:val="22"/>
        </w:rPr>
        <w:t>were determined in accordance with the preferences of</w:t>
      </w:r>
      <w:r w:rsidR="00D27643" w:rsidRPr="00352771">
        <w:rPr>
          <w:sz w:val="22"/>
          <w:szCs w:val="22"/>
        </w:rPr>
        <w:t xml:space="preserve"> </w:t>
      </w:r>
      <w:r w:rsidR="007B42FB" w:rsidRPr="00352771">
        <w:rPr>
          <w:sz w:val="22"/>
          <w:szCs w:val="22"/>
        </w:rPr>
        <w:t xml:space="preserve">US and </w:t>
      </w:r>
      <w:r w:rsidRPr="00352771">
        <w:rPr>
          <w:sz w:val="22"/>
          <w:szCs w:val="22"/>
        </w:rPr>
        <w:t xml:space="preserve">European </w:t>
      </w:r>
      <w:r w:rsidR="007B42FB" w:rsidRPr="00352771">
        <w:rPr>
          <w:sz w:val="22"/>
          <w:szCs w:val="22"/>
        </w:rPr>
        <w:t xml:space="preserve">medicines </w:t>
      </w:r>
      <w:r w:rsidRPr="00352771">
        <w:rPr>
          <w:sz w:val="22"/>
          <w:szCs w:val="22"/>
        </w:rPr>
        <w:t>regulators.</w:t>
      </w:r>
    </w:p>
    <w:p w14:paraId="7304E049" w14:textId="77777777" w:rsidR="00A71870" w:rsidRPr="00352771" w:rsidRDefault="00A71870" w:rsidP="00F143FC">
      <w:pPr>
        <w:rPr>
          <w:sz w:val="22"/>
          <w:szCs w:val="22"/>
        </w:rPr>
      </w:pPr>
    </w:p>
    <w:p w14:paraId="12C3F168" w14:textId="77777777" w:rsidR="00F143FC" w:rsidRPr="00352771" w:rsidRDefault="00F143FC" w:rsidP="00C24317">
      <w:pPr>
        <w:pStyle w:val="ListParagraph"/>
        <w:numPr>
          <w:ilvl w:val="0"/>
          <w:numId w:val="13"/>
        </w:numPr>
        <w:rPr>
          <w:b/>
          <w:sz w:val="22"/>
          <w:szCs w:val="22"/>
        </w:rPr>
      </w:pPr>
      <w:r w:rsidRPr="00352771">
        <w:rPr>
          <w:b/>
          <w:sz w:val="22"/>
          <w:szCs w:val="22"/>
        </w:rPr>
        <w:t>Non-inferiority study design</w:t>
      </w:r>
    </w:p>
    <w:p w14:paraId="0210DE81" w14:textId="77777777" w:rsidR="00F143FC" w:rsidRPr="00352771" w:rsidRDefault="00F143FC" w:rsidP="00F143FC">
      <w:pPr>
        <w:rPr>
          <w:sz w:val="22"/>
          <w:szCs w:val="22"/>
          <w:u w:val="single"/>
        </w:rPr>
      </w:pPr>
    </w:p>
    <w:p w14:paraId="5C34A56C" w14:textId="170F8154" w:rsidR="00F143FC" w:rsidRPr="00352771" w:rsidRDefault="00F143FC" w:rsidP="00F143FC">
      <w:pPr>
        <w:rPr>
          <w:sz w:val="22"/>
          <w:szCs w:val="22"/>
        </w:rPr>
      </w:pPr>
      <w:r w:rsidRPr="00352771">
        <w:rPr>
          <w:sz w:val="22"/>
          <w:szCs w:val="22"/>
        </w:rPr>
        <w:t xml:space="preserve">The comparative Phase 3 studies were designed to establish the non-inferiority of tedizolid phosphate versus linezolid and to compare the safety of both agents. </w:t>
      </w:r>
      <w:r w:rsidR="00A71870" w:rsidRPr="00352771">
        <w:rPr>
          <w:sz w:val="22"/>
          <w:szCs w:val="22"/>
        </w:rPr>
        <w:t>T</w:t>
      </w:r>
      <w:r w:rsidRPr="00352771">
        <w:rPr>
          <w:sz w:val="22"/>
          <w:szCs w:val="22"/>
        </w:rPr>
        <w:t xml:space="preserve">he non-inferiority study design of ESTABLISH-1 and ESTABLISH-2 </w:t>
      </w:r>
      <w:r w:rsidR="00A71870" w:rsidRPr="00352771">
        <w:rPr>
          <w:sz w:val="22"/>
          <w:szCs w:val="22"/>
        </w:rPr>
        <w:t>was</w:t>
      </w:r>
      <w:r w:rsidRPr="00352771">
        <w:rPr>
          <w:sz w:val="22"/>
          <w:szCs w:val="22"/>
        </w:rPr>
        <w:t xml:space="preserve"> in accordance with FDA recommendations for the development of </w:t>
      </w:r>
      <w:r w:rsidR="00A71870" w:rsidRPr="00352771">
        <w:rPr>
          <w:sz w:val="22"/>
          <w:szCs w:val="22"/>
        </w:rPr>
        <w:t xml:space="preserve">novel </w:t>
      </w:r>
      <w:r w:rsidRPr="00352771">
        <w:rPr>
          <w:sz w:val="22"/>
          <w:szCs w:val="22"/>
        </w:rPr>
        <w:t>systemic medicines to treat ABSSSIs. Secondly, it is generally accepted that clinical studies assessing novel antibiotics for treatment of ABSSSIs should use a non-inferiority design because placebo-controlled studies would be unethical in the context of this indication and in view of the high rates of treatment response with antibacterial medicines (</w:t>
      </w:r>
      <w:r w:rsidR="00643BBB">
        <w:rPr>
          <w:sz w:val="22"/>
          <w:szCs w:val="22"/>
        </w:rPr>
        <w:fldChar w:fldCharType="begin"/>
      </w:r>
      <w:r w:rsidR="00643BBB">
        <w:rPr>
          <w:sz w:val="22"/>
          <w:szCs w:val="22"/>
        </w:rPr>
        <w:instrText xml:space="preserve"> REF _Ref284168857 \r \h </w:instrText>
      </w:r>
      <w:r w:rsidR="00643BBB">
        <w:rPr>
          <w:sz w:val="22"/>
          <w:szCs w:val="22"/>
        </w:rPr>
      </w:r>
      <w:r w:rsidR="00643BBB">
        <w:rPr>
          <w:sz w:val="22"/>
          <w:szCs w:val="22"/>
        </w:rPr>
        <w:fldChar w:fldCharType="separate"/>
      </w:r>
      <w:r w:rsidR="00151A1C">
        <w:rPr>
          <w:sz w:val="22"/>
          <w:szCs w:val="22"/>
        </w:rPr>
        <w:t>7</w:t>
      </w:r>
      <w:r w:rsidR="00643BBB">
        <w:rPr>
          <w:sz w:val="22"/>
          <w:szCs w:val="22"/>
        </w:rPr>
        <w:fldChar w:fldCharType="end"/>
      </w:r>
      <w:r w:rsidRPr="00352771">
        <w:rPr>
          <w:sz w:val="22"/>
          <w:szCs w:val="22"/>
        </w:rPr>
        <w:t>;</w:t>
      </w:r>
      <w:r w:rsidR="00643BBB">
        <w:rPr>
          <w:sz w:val="22"/>
          <w:szCs w:val="22"/>
        </w:rPr>
        <w:fldChar w:fldCharType="begin"/>
      </w:r>
      <w:r w:rsidR="00643BBB">
        <w:rPr>
          <w:sz w:val="22"/>
          <w:szCs w:val="22"/>
        </w:rPr>
        <w:instrText xml:space="preserve"> REF _Ref284184925 \r \h </w:instrText>
      </w:r>
      <w:r w:rsidR="00643BBB">
        <w:rPr>
          <w:sz w:val="22"/>
          <w:szCs w:val="22"/>
        </w:rPr>
      </w:r>
      <w:r w:rsidR="00643BBB">
        <w:rPr>
          <w:sz w:val="22"/>
          <w:szCs w:val="22"/>
        </w:rPr>
        <w:fldChar w:fldCharType="separate"/>
      </w:r>
      <w:r w:rsidR="00151A1C">
        <w:rPr>
          <w:sz w:val="22"/>
          <w:szCs w:val="22"/>
        </w:rPr>
        <w:t>54</w:t>
      </w:r>
      <w:r w:rsidR="00643BBB">
        <w:rPr>
          <w:sz w:val="22"/>
          <w:szCs w:val="22"/>
        </w:rPr>
        <w:fldChar w:fldCharType="end"/>
      </w:r>
      <w:r w:rsidRPr="00352771">
        <w:rPr>
          <w:sz w:val="22"/>
          <w:szCs w:val="22"/>
        </w:rPr>
        <w:t>;</w:t>
      </w:r>
      <w:r w:rsidR="00643BBB">
        <w:rPr>
          <w:sz w:val="22"/>
          <w:szCs w:val="22"/>
        </w:rPr>
        <w:fldChar w:fldCharType="begin"/>
      </w:r>
      <w:r w:rsidR="00643BBB">
        <w:rPr>
          <w:sz w:val="22"/>
          <w:szCs w:val="22"/>
        </w:rPr>
        <w:instrText xml:space="preserve"> REF _Ref284172760 \r \h </w:instrText>
      </w:r>
      <w:r w:rsidR="00643BBB">
        <w:rPr>
          <w:sz w:val="22"/>
          <w:szCs w:val="22"/>
        </w:rPr>
      </w:r>
      <w:r w:rsidR="00643BBB">
        <w:rPr>
          <w:sz w:val="22"/>
          <w:szCs w:val="22"/>
        </w:rPr>
        <w:fldChar w:fldCharType="separate"/>
      </w:r>
      <w:r w:rsidR="00151A1C">
        <w:rPr>
          <w:sz w:val="22"/>
          <w:szCs w:val="22"/>
        </w:rPr>
        <w:t>49</w:t>
      </w:r>
      <w:r w:rsidR="00643BBB">
        <w:rPr>
          <w:sz w:val="22"/>
          <w:szCs w:val="22"/>
        </w:rPr>
        <w:fldChar w:fldCharType="end"/>
      </w:r>
      <w:r w:rsidRPr="00352771">
        <w:rPr>
          <w:sz w:val="22"/>
          <w:szCs w:val="22"/>
        </w:rPr>
        <w:t>).</w:t>
      </w:r>
    </w:p>
    <w:p w14:paraId="6ABB00AB" w14:textId="77777777" w:rsidR="00F143FC" w:rsidRPr="00352771" w:rsidRDefault="00F143FC" w:rsidP="00F143FC">
      <w:pPr>
        <w:rPr>
          <w:sz w:val="22"/>
          <w:szCs w:val="22"/>
        </w:rPr>
      </w:pPr>
    </w:p>
    <w:p w14:paraId="482D9C24" w14:textId="6341FC8E" w:rsidR="002507B1" w:rsidRPr="00352771" w:rsidRDefault="002507B1" w:rsidP="00C24317">
      <w:pPr>
        <w:pStyle w:val="EndnoteText"/>
        <w:numPr>
          <w:ilvl w:val="0"/>
          <w:numId w:val="13"/>
        </w:numPr>
        <w:tabs>
          <w:tab w:val="clear" w:pos="567"/>
          <w:tab w:val="num" w:pos="0"/>
        </w:tabs>
        <w:rPr>
          <w:rFonts w:ascii="Arial" w:hAnsi="Arial" w:cs="Arial"/>
          <w:b/>
          <w:szCs w:val="22"/>
        </w:rPr>
      </w:pPr>
      <w:r w:rsidRPr="00352771">
        <w:rPr>
          <w:rFonts w:ascii="Arial" w:hAnsi="Arial" w:cs="Arial"/>
          <w:b/>
          <w:szCs w:val="22"/>
        </w:rPr>
        <w:t>Choice of endpoints</w:t>
      </w:r>
    </w:p>
    <w:p w14:paraId="18BA258E" w14:textId="77777777" w:rsidR="00A71870" w:rsidRPr="00352771" w:rsidRDefault="00A71870" w:rsidP="002507B1">
      <w:pPr>
        <w:widowControl w:val="0"/>
        <w:autoSpaceDE w:val="0"/>
        <w:autoSpaceDN w:val="0"/>
        <w:adjustRightInd w:val="0"/>
      </w:pPr>
    </w:p>
    <w:p w14:paraId="28AE06AB" w14:textId="47DE5100" w:rsidR="002507B1" w:rsidRPr="00352771" w:rsidRDefault="002507B1" w:rsidP="002507B1">
      <w:pPr>
        <w:widowControl w:val="0"/>
        <w:autoSpaceDE w:val="0"/>
        <w:autoSpaceDN w:val="0"/>
        <w:adjustRightInd w:val="0"/>
        <w:rPr>
          <w:sz w:val="22"/>
          <w:szCs w:val="22"/>
        </w:rPr>
      </w:pPr>
      <w:r w:rsidRPr="00352771">
        <w:rPr>
          <w:sz w:val="22"/>
          <w:szCs w:val="22"/>
        </w:rPr>
        <w:t>The EMA guidance on the evaluation of medicinal products in bacterial infections (</w:t>
      </w:r>
      <w:r w:rsidR="00643BBB">
        <w:rPr>
          <w:sz w:val="22"/>
          <w:szCs w:val="22"/>
        </w:rPr>
        <w:fldChar w:fldCharType="begin"/>
      </w:r>
      <w:r w:rsidR="00643BBB">
        <w:rPr>
          <w:sz w:val="22"/>
          <w:szCs w:val="22"/>
        </w:rPr>
        <w:instrText xml:space="preserve"> REF _Ref284171496 \r \h </w:instrText>
      </w:r>
      <w:r w:rsidR="00643BBB">
        <w:rPr>
          <w:sz w:val="22"/>
          <w:szCs w:val="22"/>
        </w:rPr>
      </w:r>
      <w:r w:rsidR="00643BBB">
        <w:rPr>
          <w:sz w:val="22"/>
          <w:szCs w:val="22"/>
        </w:rPr>
        <w:fldChar w:fldCharType="separate"/>
      </w:r>
      <w:r w:rsidR="00151A1C">
        <w:rPr>
          <w:sz w:val="22"/>
          <w:szCs w:val="22"/>
        </w:rPr>
        <w:t>42</w:t>
      </w:r>
      <w:r w:rsidR="00643BBB">
        <w:rPr>
          <w:sz w:val="22"/>
          <w:szCs w:val="22"/>
        </w:rPr>
        <w:fldChar w:fldCharType="end"/>
      </w:r>
      <w:r w:rsidRPr="00352771">
        <w:rPr>
          <w:sz w:val="22"/>
          <w:szCs w:val="22"/>
        </w:rPr>
        <w:t>) recommends the use of investigator assessments of clinical response at post</w:t>
      </w:r>
      <w:r w:rsidR="00932E3A" w:rsidRPr="00352771">
        <w:rPr>
          <w:sz w:val="22"/>
          <w:szCs w:val="22"/>
        </w:rPr>
        <w:t>-</w:t>
      </w:r>
      <w:r w:rsidRPr="00352771">
        <w:rPr>
          <w:sz w:val="22"/>
          <w:szCs w:val="22"/>
        </w:rPr>
        <w:t>treatment evaluations (</w:t>
      </w:r>
      <w:r w:rsidR="003431DD" w:rsidRPr="00352771">
        <w:rPr>
          <w:sz w:val="22"/>
          <w:szCs w:val="22"/>
        </w:rPr>
        <w:t>PTE, also known as ‘</w:t>
      </w:r>
      <w:r w:rsidRPr="00352771">
        <w:rPr>
          <w:sz w:val="22"/>
          <w:szCs w:val="22"/>
        </w:rPr>
        <w:t>Test of Cure</w:t>
      </w:r>
      <w:r w:rsidR="003431DD" w:rsidRPr="00352771">
        <w:rPr>
          <w:sz w:val="22"/>
          <w:szCs w:val="22"/>
        </w:rPr>
        <w:t>’</w:t>
      </w:r>
      <w:r w:rsidRPr="00352771">
        <w:rPr>
          <w:sz w:val="22"/>
          <w:szCs w:val="22"/>
        </w:rPr>
        <w:t>) as the primary endpoint. By contrast, the FDA draft</w:t>
      </w:r>
      <w:r w:rsidR="003431DD" w:rsidRPr="00352771">
        <w:rPr>
          <w:sz w:val="22"/>
          <w:szCs w:val="22"/>
        </w:rPr>
        <w:t xml:space="preserve"> </w:t>
      </w:r>
      <w:r w:rsidRPr="00352771">
        <w:rPr>
          <w:sz w:val="22"/>
          <w:szCs w:val="22"/>
        </w:rPr>
        <w:t>guidelines (</w:t>
      </w:r>
      <w:r w:rsidR="00643BBB">
        <w:rPr>
          <w:sz w:val="22"/>
          <w:szCs w:val="22"/>
        </w:rPr>
        <w:fldChar w:fldCharType="begin"/>
      </w:r>
      <w:r w:rsidR="00643BBB">
        <w:rPr>
          <w:sz w:val="22"/>
          <w:szCs w:val="22"/>
        </w:rPr>
        <w:instrText xml:space="preserve"> REF _Ref284168857 \r \h </w:instrText>
      </w:r>
      <w:r w:rsidR="00643BBB">
        <w:rPr>
          <w:sz w:val="22"/>
          <w:szCs w:val="22"/>
        </w:rPr>
      </w:r>
      <w:r w:rsidR="00643BBB">
        <w:rPr>
          <w:sz w:val="22"/>
          <w:szCs w:val="22"/>
        </w:rPr>
        <w:fldChar w:fldCharType="separate"/>
      </w:r>
      <w:r w:rsidR="00151A1C">
        <w:rPr>
          <w:sz w:val="22"/>
          <w:szCs w:val="22"/>
        </w:rPr>
        <w:t>7</w:t>
      </w:r>
      <w:r w:rsidR="00643BBB">
        <w:rPr>
          <w:sz w:val="22"/>
          <w:szCs w:val="22"/>
        </w:rPr>
        <w:fldChar w:fldCharType="end"/>
      </w:r>
      <w:r w:rsidRPr="00352771">
        <w:rPr>
          <w:sz w:val="22"/>
          <w:szCs w:val="22"/>
        </w:rPr>
        <w:t>) recommend early clinical</w:t>
      </w:r>
      <w:r w:rsidR="00932E3A" w:rsidRPr="00352771">
        <w:rPr>
          <w:sz w:val="22"/>
          <w:szCs w:val="22"/>
        </w:rPr>
        <w:t xml:space="preserve"> </w:t>
      </w:r>
      <w:r w:rsidRPr="00352771">
        <w:rPr>
          <w:sz w:val="22"/>
          <w:szCs w:val="22"/>
        </w:rPr>
        <w:t>response assessments (48-72 hours on treatment) for the primary analysis of efficacy.</w:t>
      </w:r>
    </w:p>
    <w:p w14:paraId="3DA4854C" w14:textId="77777777" w:rsidR="00932E3A" w:rsidRPr="00352771" w:rsidRDefault="00932E3A" w:rsidP="002507B1">
      <w:pPr>
        <w:widowControl w:val="0"/>
        <w:autoSpaceDE w:val="0"/>
        <w:autoSpaceDN w:val="0"/>
        <w:adjustRightInd w:val="0"/>
        <w:rPr>
          <w:sz w:val="22"/>
          <w:szCs w:val="22"/>
        </w:rPr>
      </w:pPr>
    </w:p>
    <w:p w14:paraId="59090468" w14:textId="21DBC2CE" w:rsidR="009E7B4D" w:rsidRPr="00352771" w:rsidRDefault="002507B1" w:rsidP="009E7B4D">
      <w:pPr>
        <w:widowControl w:val="0"/>
        <w:autoSpaceDE w:val="0"/>
        <w:autoSpaceDN w:val="0"/>
        <w:adjustRightInd w:val="0"/>
        <w:rPr>
          <w:sz w:val="22"/>
          <w:szCs w:val="22"/>
        </w:rPr>
      </w:pPr>
      <w:r w:rsidRPr="00352771">
        <w:rPr>
          <w:sz w:val="22"/>
          <w:szCs w:val="22"/>
        </w:rPr>
        <w:t xml:space="preserve">Given this </w:t>
      </w:r>
      <w:r w:rsidR="00932E3A" w:rsidRPr="00352771">
        <w:rPr>
          <w:sz w:val="22"/>
          <w:szCs w:val="22"/>
        </w:rPr>
        <w:t>difference in preferred endpoints for cSSTI studies</w:t>
      </w:r>
      <w:r w:rsidRPr="00352771">
        <w:rPr>
          <w:sz w:val="22"/>
          <w:szCs w:val="22"/>
        </w:rPr>
        <w:t>, the manufacturer designed the Phase 3 studies of tedizolid</w:t>
      </w:r>
      <w:r w:rsidR="00932E3A" w:rsidRPr="00352771">
        <w:rPr>
          <w:sz w:val="22"/>
          <w:szCs w:val="22"/>
        </w:rPr>
        <w:t xml:space="preserve"> </w:t>
      </w:r>
      <w:r w:rsidRPr="00352771">
        <w:rPr>
          <w:sz w:val="22"/>
          <w:szCs w:val="22"/>
        </w:rPr>
        <w:t xml:space="preserve">phosphate to collect data </w:t>
      </w:r>
      <w:r w:rsidR="00932E3A" w:rsidRPr="00352771">
        <w:rPr>
          <w:sz w:val="22"/>
          <w:szCs w:val="22"/>
        </w:rPr>
        <w:t xml:space="preserve">to </w:t>
      </w:r>
      <w:r w:rsidRPr="00352771">
        <w:rPr>
          <w:sz w:val="22"/>
          <w:szCs w:val="22"/>
        </w:rPr>
        <w:t>support</w:t>
      </w:r>
      <w:r w:rsidR="00932E3A" w:rsidRPr="00352771">
        <w:rPr>
          <w:sz w:val="22"/>
          <w:szCs w:val="22"/>
        </w:rPr>
        <w:t xml:space="preserve"> a marketing authorisation </w:t>
      </w:r>
      <w:r w:rsidRPr="00352771">
        <w:rPr>
          <w:sz w:val="22"/>
          <w:szCs w:val="22"/>
        </w:rPr>
        <w:t xml:space="preserve">in both </w:t>
      </w:r>
      <w:r w:rsidR="00932E3A" w:rsidRPr="00352771">
        <w:rPr>
          <w:sz w:val="22"/>
          <w:szCs w:val="22"/>
        </w:rPr>
        <w:t>the US and Europe</w:t>
      </w:r>
      <w:r w:rsidR="003431DD" w:rsidRPr="00352771">
        <w:rPr>
          <w:sz w:val="22"/>
          <w:szCs w:val="22"/>
        </w:rPr>
        <w:t xml:space="preserve"> which included the outcomes measures</w:t>
      </w:r>
      <w:r w:rsidRPr="00352771">
        <w:rPr>
          <w:sz w:val="22"/>
          <w:szCs w:val="22"/>
        </w:rPr>
        <w:t xml:space="preserve"> suggested in December 2011 guidance </w:t>
      </w:r>
      <w:r w:rsidR="00932E3A" w:rsidRPr="00352771">
        <w:rPr>
          <w:sz w:val="22"/>
          <w:szCs w:val="22"/>
        </w:rPr>
        <w:t xml:space="preserve">from the EMA CHMP </w:t>
      </w:r>
      <w:r w:rsidRPr="00352771">
        <w:rPr>
          <w:sz w:val="22"/>
          <w:szCs w:val="22"/>
        </w:rPr>
        <w:t>(</w:t>
      </w:r>
      <w:r w:rsidR="00643BBB">
        <w:rPr>
          <w:sz w:val="22"/>
          <w:szCs w:val="22"/>
        </w:rPr>
        <w:fldChar w:fldCharType="begin"/>
      </w:r>
      <w:r w:rsidR="00643BBB">
        <w:rPr>
          <w:sz w:val="22"/>
          <w:szCs w:val="22"/>
        </w:rPr>
        <w:instrText xml:space="preserve"> REF _Ref284171522 \r \h </w:instrText>
      </w:r>
      <w:r w:rsidR="00643BBB">
        <w:rPr>
          <w:sz w:val="22"/>
          <w:szCs w:val="22"/>
        </w:rPr>
      </w:r>
      <w:r w:rsidR="00643BBB">
        <w:rPr>
          <w:sz w:val="22"/>
          <w:szCs w:val="22"/>
        </w:rPr>
        <w:fldChar w:fldCharType="separate"/>
      </w:r>
      <w:r w:rsidR="00151A1C">
        <w:rPr>
          <w:sz w:val="22"/>
          <w:szCs w:val="22"/>
        </w:rPr>
        <w:t>44</w:t>
      </w:r>
      <w:r w:rsidR="00643BBB">
        <w:rPr>
          <w:sz w:val="22"/>
          <w:szCs w:val="22"/>
        </w:rPr>
        <w:fldChar w:fldCharType="end"/>
      </w:r>
      <w:r w:rsidRPr="00352771">
        <w:rPr>
          <w:sz w:val="22"/>
          <w:szCs w:val="22"/>
        </w:rPr>
        <w:t>).</w:t>
      </w:r>
      <w:r w:rsidR="00932E3A" w:rsidRPr="00352771">
        <w:rPr>
          <w:sz w:val="22"/>
          <w:szCs w:val="22"/>
        </w:rPr>
        <w:t xml:space="preserve"> </w:t>
      </w:r>
      <w:r w:rsidR="009E7B4D" w:rsidRPr="00352771">
        <w:rPr>
          <w:sz w:val="22"/>
          <w:szCs w:val="22"/>
        </w:rPr>
        <w:t>Co</w:t>
      </w:r>
      <w:r w:rsidR="00932E3A" w:rsidRPr="00352771">
        <w:rPr>
          <w:sz w:val="22"/>
          <w:szCs w:val="22"/>
        </w:rPr>
        <w:t xml:space="preserve">nsistent with current guidance, </w:t>
      </w:r>
      <w:r w:rsidR="009E7B4D" w:rsidRPr="00352771">
        <w:rPr>
          <w:sz w:val="22"/>
          <w:szCs w:val="22"/>
        </w:rPr>
        <w:t>separate</w:t>
      </w:r>
      <w:r w:rsidR="003431DD" w:rsidRPr="00352771">
        <w:rPr>
          <w:sz w:val="22"/>
          <w:szCs w:val="22"/>
        </w:rPr>
        <w:t xml:space="preserve"> </w:t>
      </w:r>
      <w:r w:rsidR="009E7B4D" w:rsidRPr="00352771">
        <w:rPr>
          <w:sz w:val="22"/>
          <w:szCs w:val="22"/>
        </w:rPr>
        <w:t>S</w:t>
      </w:r>
      <w:r w:rsidR="00932E3A" w:rsidRPr="00352771">
        <w:rPr>
          <w:sz w:val="22"/>
          <w:szCs w:val="22"/>
        </w:rPr>
        <w:t xml:space="preserve">tatistical </w:t>
      </w:r>
      <w:r w:rsidR="009E7B4D" w:rsidRPr="00352771">
        <w:rPr>
          <w:sz w:val="22"/>
          <w:szCs w:val="22"/>
        </w:rPr>
        <w:t>A</w:t>
      </w:r>
      <w:r w:rsidR="00932E3A" w:rsidRPr="00352771">
        <w:rPr>
          <w:sz w:val="22"/>
          <w:szCs w:val="22"/>
        </w:rPr>
        <w:t xml:space="preserve">nalysis </w:t>
      </w:r>
      <w:r w:rsidR="009E7B4D" w:rsidRPr="00352771">
        <w:rPr>
          <w:sz w:val="22"/>
          <w:szCs w:val="22"/>
        </w:rPr>
        <w:t>P</w:t>
      </w:r>
      <w:r w:rsidR="00932E3A" w:rsidRPr="00352771">
        <w:rPr>
          <w:sz w:val="22"/>
          <w:szCs w:val="22"/>
        </w:rPr>
        <w:t>lan</w:t>
      </w:r>
      <w:r w:rsidR="009E7B4D" w:rsidRPr="00352771">
        <w:rPr>
          <w:sz w:val="22"/>
          <w:szCs w:val="22"/>
        </w:rPr>
        <w:t xml:space="preserve">s </w:t>
      </w:r>
      <w:r w:rsidR="00932E3A" w:rsidRPr="00352771">
        <w:rPr>
          <w:sz w:val="22"/>
          <w:szCs w:val="22"/>
        </w:rPr>
        <w:t xml:space="preserve">(SAPs) </w:t>
      </w:r>
      <w:r w:rsidR="009E7B4D" w:rsidRPr="00352771">
        <w:rPr>
          <w:sz w:val="22"/>
          <w:szCs w:val="22"/>
        </w:rPr>
        <w:t>were prospectively developed for the study analyses for each region.</w:t>
      </w:r>
    </w:p>
    <w:p w14:paraId="7193C672" w14:textId="77777777" w:rsidR="003431DD" w:rsidRPr="00352771" w:rsidRDefault="003431DD" w:rsidP="009E7B4D">
      <w:pPr>
        <w:widowControl w:val="0"/>
        <w:autoSpaceDE w:val="0"/>
        <w:autoSpaceDN w:val="0"/>
        <w:adjustRightInd w:val="0"/>
        <w:rPr>
          <w:sz w:val="22"/>
          <w:szCs w:val="22"/>
        </w:rPr>
      </w:pPr>
    </w:p>
    <w:p w14:paraId="23158833" w14:textId="77777777" w:rsidR="00F143FC" w:rsidRPr="00352771" w:rsidRDefault="00F143FC" w:rsidP="00C24317">
      <w:pPr>
        <w:pStyle w:val="EndnoteText"/>
        <w:numPr>
          <w:ilvl w:val="0"/>
          <w:numId w:val="13"/>
        </w:numPr>
        <w:tabs>
          <w:tab w:val="clear" w:pos="567"/>
          <w:tab w:val="num" w:pos="0"/>
        </w:tabs>
        <w:rPr>
          <w:rFonts w:ascii="Arial" w:hAnsi="Arial" w:cs="Arial"/>
          <w:szCs w:val="22"/>
        </w:rPr>
      </w:pPr>
      <w:r w:rsidRPr="00352771">
        <w:rPr>
          <w:rFonts w:ascii="Arial" w:hAnsi="Arial" w:cs="Arial"/>
          <w:b/>
          <w:szCs w:val="22"/>
        </w:rPr>
        <w:t xml:space="preserve">Uncertainties associated with the primary endpoint of early clinical response </w:t>
      </w:r>
    </w:p>
    <w:p w14:paraId="0C16CB78" w14:textId="77777777" w:rsidR="00F143FC" w:rsidRPr="00352771" w:rsidRDefault="00F143FC" w:rsidP="00F143FC">
      <w:pPr>
        <w:pStyle w:val="EndnoteText"/>
        <w:tabs>
          <w:tab w:val="clear" w:pos="567"/>
          <w:tab w:val="num" w:pos="0"/>
        </w:tabs>
        <w:ind w:left="360"/>
        <w:rPr>
          <w:rFonts w:ascii="Arial" w:hAnsi="Arial" w:cs="Arial"/>
          <w:szCs w:val="22"/>
        </w:rPr>
      </w:pPr>
    </w:p>
    <w:p w14:paraId="6188843F" w14:textId="4DCEFC84" w:rsidR="00F143FC" w:rsidRPr="00352771" w:rsidRDefault="00F143FC" w:rsidP="00F143FC">
      <w:pPr>
        <w:pStyle w:val="EndnoteText"/>
        <w:tabs>
          <w:tab w:val="clear" w:pos="567"/>
          <w:tab w:val="num" w:pos="0"/>
        </w:tabs>
        <w:rPr>
          <w:rFonts w:ascii="Arial" w:eastAsia="MS Gothic" w:hAnsi="Arial" w:cs="Arial"/>
        </w:rPr>
      </w:pPr>
      <w:r w:rsidRPr="00352771">
        <w:rPr>
          <w:rFonts w:ascii="Arial" w:eastAsia="MS Gothic" w:hAnsi="Arial" w:cs="Arial"/>
        </w:rPr>
        <w:t xml:space="preserve">In 2013, new FDA draft guidance redefined the clinical response criteria and changed the primary non-inferiority endpoint from evaluation 7-14 days after completion of therapy to early assessment of clinical response during therapy. </w:t>
      </w:r>
      <w:r w:rsidRPr="00352771">
        <w:rPr>
          <w:rFonts w:ascii="Arial" w:hAnsi="Arial" w:cs="Arial"/>
          <w:szCs w:val="22"/>
        </w:rPr>
        <w:t>The primary endpoint in both ESTABLISH-1 and ESTABLISH-2 was early clinical response at the 48-to-72 hour assessment</w:t>
      </w:r>
      <w:r w:rsidR="00A71870" w:rsidRPr="00352771">
        <w:rPr>
          <w:rFonts w:ascii="Arial" w:hAnsi="Arial" w:cs="Arial"/>
          <w:szCs w:val="22"/>
        </w:rPr>
        <w:t xml:space="preserve"> (although the criteria for response differed between the two studies)</w:t>
      </w:r>
      <w:r w:rsidRPr="00352771">
        <w:rPr>
          <w:rFonts w:ascii="Arial" w:hAnsi="Arial" w:cs="Arial"/>
          <w:szCs w:val="22"/>
        </w:rPr>
        <w:t xml:space="preserve">. </w:t>
      </w:r>
    </w:p>
    <w:p w14:paraId="4D4653EE" w14:textId="77777777" w:rsidR="00F143FC" w:rsidRPr="00352771" w:rsidRDefault="00F143FC" w:rsidP="00F143FC">
      <w:pPr>
        <w:pStyle w:val="EndnoteText"/>
        <w:tabs>
          <w:tab w:val="clear" w:pos="567"/>
          <w:tab w:val="num" w:pos="0"/>
        </w:tabs>
        <w:rPr>
          <w:rFonts w:ascii="Arial" w:eastAsia="MS Gothic" w:hAnsi="Arial" w:cs="Arial"/>
        </w:rPr>
      </w:pPr>
    </w:p>
    <w:p w14:paraId="1E0EB2A5" w14:textId="0AD061E1" w:rsidR="00F143FC" w:rsidRPr="00352771" w:rsidRDefault="00F143FC" w:rsidP="00F143FC">
      <w:pPr>
        <w:pStyle w:val="EndnoteText"/>
        <w:tabs>
          <w:tab w:val="clear" w:pos="567"/>
          <w:tab w:val="num" w:pos="0"/>
        </w:tabs>
        <w:rPr>
          <w:rFonts w:ascii="Arial" w:eastAsia="MS Gothic" w:hAnsi="Arial" w:cs="Arial"/>
        </w:rPr>
      </w:pPr>
      <w:r w:rsidRPr="00352771">
        <w:rPr>
          <w:rFonts w:ascii="Arial" w:hAnsi="Arial" w:cs="Arial"/>
          <w:szCs w:val="22"/>
        </w:rPr>
        <w:t xml:space="preserve">In ESTABLISH-1, early clinical response was based on draft 2010 FDA guidance and was defined as no increase in lesion surface area from baseline and an oral temperature of </w:t>
      </w:r>
      <w:r w:rsidRPr="00352771">
        <w:rPr>
          <w:rFonts w:ascii="Arial" w:eastAsia="MS Gothic" w:hAnsi="Arial" w:cs="Arial"/>
        </w:rPr>
        <w:t>≤37.6</w:t>
      </w:r>
      <w:r w:rsidRPr="00352771">
        <w:rPr>
          <w:rFonts w:ascii="Arial" w:eastAsia="MS Gothic" w:hAnsi="Arial" w:cs="Arial"/>
          <w:vertAlign w:val="superscript"/>
        </w:rPr>
        <w:t>o</w:t>
      </w:r>
      <w:r w:rsidRPr="00352771">
        <w:rPr>
          <w:rFonts w:ascii="Arial" w:eastAsia="MS Gothic" w:hAnsi="Arial" w:cs="Arial"/>
        </w:rPr>
        <w:t xml:space="preserve">C, confirmed by a second temperature measurement within 24 hours. The study authors stated that there was uncertainty associated with reliable, well-defined primary efficacy endpoints in non-inferiority studies of ABSSIs. In order to address this </w:t>
      </w:r>
      <w:r w:rsidR="00833B59" w:rsidRPr="00352771">
        <w:rPr>
          <w:rFonts w:ascii="Arial" w:eastAsia="MS Gothic" w:hAnsi="Arial" w:cs="Arial"/>
        </w:rPr>
        <w:t xml:space="preserve">potential </w:t>
      </w:r>
      <w:r w:rsidRPr="00352771">
        <w:rPr>
          <w:rFonts w:ascii="Arial" w:eastAsia="MS Gothic" w:hAnsi="Arial" w:cs="Arial"/>
        </w:rPr>
        <w:t>uncertainty, clinical response in the study was analysed using a variety of endpoint definitions</w:t>
      </w:r>
      <w:r w:rsidR="00833B59" w:rsidRPr="00352771">
        <w:rPr>
          <w:rFonts w:ascii="Arial" w:eastAsia="MS Gothic" w:hAnsi="Arial" w:cs="Arial"/>
        </w:rPr>
        <w:t>,</w:t>
      </w:r>
      <w:r w:rsidRPr="00352771">
        <w:rPr>
          <w:rFonts w:ascii="Arial" w:eastAsia="MS Gothic" w:hAnsi="Arial" w:cs="Arial"/>
        </w:rPr>
        <w:t xml:space="preserve"> response criteria</w:t>
      </w:r>
      <w:r w:rsidR="00833B59" w:rsidRPr="00352771">
        <w:rPr>
          <w:rFonts w:ascii="Arial" w:eastAsia="MS Gothic" w:hAnsi="Arial" w:cs="Arial"/>
        </w:rPr>
        <w:t xml:space="preserve"> and analysis sets</w:t>
      </w:r>
      <w:r w:rsidRPr="00352771">
        <w:rPr>
          <w:rFonts w:ascii="Arial" w:eastAsia="MS Gothic" w:hAnsi="Arial" w:cs="Arial"/>
        </w:rPr>
        <w:t xml:space="preserve"> (see NPAF section 3.2.8, clinical efficacy).</w:t>
      </w:r>
    </w:p>
    <w:p w14:paraId="34E82DF9" w14:textId="77777777" w:rsidR="00F143FC" w:rsidRPr="00352771" w:rsidRDefault="00F143FC" w:rsidP="00F143FC">
      <w:pPr>
        <w:rPr>
          <w:b/>
          <w:sz w:val="22"/>
          <w:szCs w:val="22"/>
        </w:rPr>
      </w:pPr>
    </w:p>
    <w:p w14:paraId="4A386E9E" w14:textId="1DC7BD93" w:rsidR="00F143FC" w:rsidRPr="00352771" w:rsidRDefault="00F143FC" w:rsidP="00C24317">
      <w:pPr>
        <w:pStyle w:val="ListParagraph"/>
        <w:numPr>
          <w:ilvl w:val="0"/>
          <w:numId w:val="13"/>
        </w:numPr>
        <w:rPr>
          <w:b/>
          <w:sz w:val="22"/>
          <w:szCs w:val="22"/>
        </w:rPr>
      </w:pPr>
      <w:r w:rsidRPr="00352771">
        <w:rPr>
          <w:b/>
          <w:sz w:val="22"/>
          <w:szCs w:val="22"/>
        </w:rPr>
        <w:t xml:space="preserve">4% of </w:t>
      </w:r>
      <w:r w:rsidR="00BF379E" w:rsidRPr="00352771">
        <w:rPr>
          <w:b/>
          <w:sz w:val="22"/>
          <w:szCs w:val="22"/>
        </w:rPr>
        <w:t>ESTABLISH-1 patients had</w:t>
      </w:r>
      <w:r w:rsidRPr="00352771">
        <w:rPr>
          <w:b/>
          <w:sz w:val="22"/>
          <w:szCs w:val="22"/>
        </w:rPr>
        <w:t xml:space="preserve"> small lesion size</w:t>
      </w:r>
    </w:p>
    <w:p w14:paraId="71F86FF9" w14:textId="77777777" w:rsidR="00F143FC" w:rsidRPr="00352771" w:rsidRDefault="00F143FC" w:rsidP="00F143FC">
      <w:pPr>
        <w:rPr>
          <w:b/>
          <w:sz w:val="22"/>
          <w:szCs w:val="22"/>
        </w:rPr>
      </w:pPr>
    </w:p>
    <w:p w14:paraId="62EC95B9" w14:textId="551BC9EF" w:rsidR="00F143FC" w:rsidRPr="00352771" w:rsidRDefault="00F143FC" w:rsidP="00F143FC">
      <w:pPr>
        <w:rPr>
          <w:sz w:val="22"/>
          <w:szCs w:val="22"/>
        </w:rPr>
      </w:pPr>
      <w:r w:rsidRPr="00352771">
        <w:rPr>
          <w:sz w:val="22"/>
          <w:szCs w:val="22"/>
        </w:rPr>
        <w:t>Participants were eligible for enrolment into the ESTABLISH-1 study if the patient had cellulitis/erysipelas, major cutaneous abscess, or wound infection surrounded by erythema with a minimum total lesion surface area of 75cm</w:t>
      </w:r>
      <w:r w:rsidRPr="00352771">
        <w:rPr>
          <w:sz w:val="22"/>
          <w:szCs w:val="22"/>
          <w:vertAlign w:val="superscript"/>
        </w:rPr>
        <w:t>2</w:t>
      </w:r>
      <w:r w:rsidRPr="00352771">
        <w:rPr>
          <w:sz w:val="22"/>
          <w:szCs w:val="22"/>
        </w:rPr>
        <w:t xml:space="preserve">. However, some patients were enrolled in the study prior to the protocol amendment, which clarified the minimum lesion size. As a result, both the tedizolid phosphate and linezolid treatment groups included approximately 4% of patients with a total lesion surface area of less than </w:t>
      </w:r>
      <w:r w:rsidR="00CD27BE" w:rsidRPr="00352771">
        <w:rPr>
          <w:sz w:val="22"/>
          <w:szCs w:val="22"/>
        </w:rPr>
        <w:t>75cm</w:t>
      </w:r>
      <w:r w:rsidR="00CD27BE" w:rsidRPr="00352771">
        <w:rPr>
          <w:sz w:val="22"/>
          <w:szCs w:val="22"/>
          <w:vertAlign w:val="superscript"/>
        </w:rPr>
        <w:t>2</w:t>
      </w:r>
      <w:r w:rsidRPr="00352771">
        <w:rPr>
          <w:sz w:val="22"/>
          <w:szCs w:val="22"/>
        </w:rPr>
        <w:t>.</w:t>
      </w:r>
    </w:p>
    <w:p w14:paraId="33E1BB2A" w14:textId="77777777" w:rsidR="00B151B8" w:rsidRPr="00352771" w:rsidRDefault="00B151B8" w:rsidP="00F143FC">
      <w:pPr>
        <w:rPr>
          <w:sz w:val="22"/>
          <w:szCs w:val="22"/>
        </w:rPr>
      </w:pPr>
    </w:p>
    <w:p w14:paraId="75D60290" w14:textId="4559C386" w:rsidR="00B151B8" w:rsidRPr="00550AB3" w:rsidRDefault="00B151B8" w:rsidP="00F143FC">
      <w:pPr>
        <w:rPr>
          <w:sz w:val="22"/>
          <w:szCs w:val="22"/>
        </w:rPr>
      </w:pPr>
      <w:r w:rsidRPr="00352771">
        <w:rPr>
          <w:sz w:val="22"/>
          <w:szCs w:val="22"/>
        </w:rPr>
        <w:lastRenderedPageBreak/>
        <w:t xml:space="preserve">The authors of ESTABLISH-2 identified reliability and accuracy of measuring lesion size with a ruler as one potential area of difficulty, but noted that any variability would not be expected to differ between the two </w:t>
      </w:r>
      <w:r w:rsidR="007C0E6D" w:rsidRPr="00352771">
        <w:rPr>
          <w:sz w:val="22"/>
          <w:szCs w:val="22"/>
        </w:rPr>
        <w:t>treatment groups (</w:t>
      </w:r>
      <w:r w:rsidR="00643BBB">
        <w:rPr>
          <w:sz w:val="22"/>
          <w:szCs w:val="22"/>
        </w:rPr>
        <w:fldChar w:fldCharType="begin"/>
      </w:r>
      <w:r w:rsidR="00643BBB">
        <w:rPr>
          <w:sz w:val="22"/>
          <w:szCs w:val="22"/>
        </w:rPr>
        <w:instrText xml:space="preserve"> REF _Ref284170919 \r \h </w:instrText>
      </w:r>
      <w:r w:rsidR="00643BBB">
        <w:rPr>
          <w:sz w:val="22"/>
          <w:szCs w:val="22"/>
        </w:rPr>
      </w:r>
      <w:r w:rsidR="00643BBB">
        <w:rPr>
          <w:sz w:val="22"/>
          <w:szCs w:val="22"/>
        </w:rPr>
        <w:fldChar w:fldCharType="separate"/>
      </w:r>
      <w:r w:rsidR="00151A1C">
        <w:rPr>
          <w:sz w:val="22"/>
          <w:szCs w:val="22"/>
        </w:rPr>
        <w:t>40</w:t>
      </w:r>
      <w:r w:rsidR="00643BBB">
        <w:rPr>
          <w:sz w:val="22"/>
          <w:szCs w:val="22"/>
        </w:rPr>
        <w:fldChar w:fldCharType="end"/>
      </w:r>
      <w:r w:rsidR="008C7196">
        <w:rPr>
          <w:sz w:val="22"/>
          <w:szCs w:val="22"/>
        </w:rPr>
        <w:t>)</w:t>
      </w:r>
      <w:r w:rsidR="007C0E6D" w:rsidRPr="00352771">
        <w:rPr>
          <w:sz w:val="22"/>
          <w:szCs w:val="22"/>
        </w:rPr>
        <w:t>.</w:t>
      </w:r>
    </w:p>
    <w:p w14:paraId="2938B433" w14:textId="77777777" w:rsidR="00F143FC" w:rsidRPr="00550AB3" w:rsidRDefault="00F143FC" w:rsidP="00F143FC">
      <w:pPr>
        <w:rPr>
          <w:sz w:val="22"/>
          <w:szCs w:val="22"/>
        </w:rPr>
      </w:pPr>
    </w:p>
    <w:p w14:paraId="7F65C1C5" w14:textId="77777777" w:rsidR="00F143FC" w:rsidRPr="00550AB3" w:rsidRDefault="00F143FC" w:rsidP="00C24317">
      <w:pPr>
        <w:pStyle w:val="ListParagraph"/>
        <w:numPr>
          <w:ilvl w:val="0"/>
          <w:numId w:val="13"/>
        </w:numPr>
        <w:rPr>
          <w:b/>
          <w:sz w:val="22"/>
          <w:szCs w:val="22"/>
        </w:rPr>
      </w:pPr>
      <w:r w:rsidRPr="00550AB3">
        <w:rPr>
          <w:b/>
          <w:sz w:val="22"/>
          <w:szCs w:val="22"/>
        </w:rPr>
        <w:t>Fever as a component of the primary efficacy outcome measure</w:t>
      </w:r>
    </w:p>
    <w:p w14:paraId="7DC79A13" w14:textId="77777777" w:rsidR="00F143FC" w:rsidRPr="00550AB3" w:rsidRDefault="00F143FC" w:rsidP="00F143FC">
      <w:pPr>
        <w:rPr>
          <w:b/>
          <w:sz w:val="22"/>
          <w:szCs w:val="22"/>
        </w:rPr>
      </w:pPr>
    </w:p>
    <w:p w14:paraId="6D6EC050" w14:textId="2CFFB76D" w:rsidR="00F143FC" w:rsidRPr="00550AB3" w:rsidRDefault="00F143FC" w:rsidP="00F143FC">
      <w:pPr>
        <w:widowControl w:val="0"/>
        <w:autoSpaceDE w:val="0"/>
        <w:autoSpaceDN w:val="0"/>
        <w:adjustRightInd w:val="0"/>
        <w:rPr>
          <w:rFonts w:cs="Arial"/>
          <w:sz w:val="22"/>
          <w:szCs w:val="22"/>
          <w:lang w:val="en-US"/>
        </w:rPr>
      </w:pPr>
      <w:r w:rsidRPr="00550AB3">
        <w:rPr>
          <w:rFonts w:cs="Arial"/>
          <w:sz w:val="22"/>
          <w:szCs w:val="22"/>
          <w:lang w:val="en-US"/>
        </w:rPr>
        <w:t>In ESTABLISH-1, the main reason for treatment failure at the early 48- to 72-hour assessment in either treatment group was missing temperature data within that period. The validity of fever as a component of the primary efficacy outcome</w:t>
      </w:r>
      <w:r w:rsidR="007C0E6D" w:rsidRPr="00550AB3">
        <w:rPr>
          <w:rFonts w:cs="Arial"/>
          <w:sz w:val="22"/>
          <w:szCs w:val="22"/>
          <w:lang w:val="en-US"/>
        </w:rPr>
        <w:t xml:space="preserve"> </w:t>
      </w:r>
      <w:r w:rsidRPr="00550AB3">
        <w:rPr>
          <w:rFonts w:cs="Arial"/>
          <w:sz w:val="22"/>
          <w:szCs w:val="22"/>
          <w:lang w:val="en-US"/>
        </w:rPr>
        <w:t>measure in ABSSSIs has been disputed (</w:t>
      </w:r>
      <w:r w:rsidR="00643BBB">
        <w:rPr>
          <w:rFonts w:cs="Arial"/>
          <w:sz w:val="22"/>
          <w:szCs w:val="22"/>
          <w:lang w:val="en-US"/>
        </w:rPr>
        <w:fldChar w:fldCharType="begin"/>
      </w:r>
      <w:r w:rsidR="00643BBB">
        <w:rPr>
          <w:rFonts w:cs="Arial"/>
          <w:sz w:val="22"/>
          <w:szCs w:val="22"/>
          <w:lang w:val="en-US"/>
        </w:rPr>
        <w:instrText xml:space="preserve"> REF _Ref284172760 \r \h </w:instrText>
      </w:r>
      <w:r w:rsidR="00643BBB">
        <w:rPr>
          <w:rFonts w:cs="Arial"/>
          <w:sz w:val="22"/>
          <w:szCs w:val="22"/>
          <w:lang w:val="en-US"/>
        </w:rPr>
      </w:r>
      <w:r w:rsidR="00643BBB">
        <w:rPr>
          <w:rFonts w:cs="Arial"/>
          <w:sz w:val="22"/>
          <w:szCs w:val="22"/>
          <w:lang w:val="en-US"/>
        </w:rPr>
        <w:fldChar w:fldCharType="separate"/>
      </w:r>
      <w:r w:rsidR="00151A1C">
        <w:rPr>
          <w:rFonts w:cs="Arial"/>
          <w:sz w:val="22"/>
          <w:szCs w:val="22"/>
          <w:lang w:val="en-US"/>
        </w:rPr>
        <w:t>49</w:t>
      </w:r>
      <w:r w:rsidR="00643BBB">
        <w:rPr>
          <w:rFonts w:cs="Arial"/>
          <w:sz w:val="22"/>
          <w:szCs w:val="22"/>
          <w:lang w:val="en-US"/>
        </w:rPr>
        <w:fldChar w:fldCharType="end"/>
      </w:r>
      <w:r w:rsidRPr="00550AB3">
        <w:rPr>
          <w:rFonts w:cs="Arial"/>
          <w:sz w:val="22"/>
          <w:szCs w:val="22"/>
          <w:lang w:val="en-US"/>
        </w:rPr>
        <w:t xml:space="preserve">; </w:t>
      </w:r>
      <w:r w:rsidR="00643BBB">
        <w:rPr>
          <w:rFonts w:cs="Arial"/>
          <w:sz w:val="22"/>
          <w:szCs w:val="22"/>
          <w:lang w:val="en-US"/>
        </w:rPr>
        <w:fldChar w:fldCharType="begin"/>
      </w:r>
      <w:r w:rsidR="00643BBB">
        <w:rPr>
          <w:rFonts w:cs="Arial"/>
          <w:sz w:val="22"/>
          <w:szCs w:val="22"/>
          <w:lang w:val="en-US"/>
        </w:rPr>
        <w:instrText xml:space="preserve"> REF _Ref284185158 \r \h </w:instrText>
      </w:r>
      <w:r w:rsidR="00643BBB">
        <w:rPr>
          <w:rFonts w:cs="Arial"/>
          <w:sz w:val="22"/>
          <w:szCs w:val="22"/>
          <w:lang w:val="en-US"/>
        </w:rPr>
      </w:r>
      <w:r w:rsidR="00643BBB">
        <w:rPr>
          <w:rFonts w:cs="Arial"/>
          <w:sz w:val="22"/>
          <w:szCs w:val="22"/>
          <w:lang w:val="en-US"/>
        </w:rPr>
        <w:fldChar w:fldCharType="separate"/>
      </w:r>
      <w:r w:rsidR="00151A1C">
        <w:rPr>
          <w:rFonts w:cs="Arial"/>
          <w:sz w:val="22"/>
          <w:szCs w:val="22"/>
          <w:lang w:val="en-US"/>
        </w:rPr>
        <w:t>55</w:t>
      </w:r>
      <w:r w:rsidR="00643BBB">
        <w:rPr>
          <w:rFonts w:cs="Arial"/>
          <w:sz w:val="22"/>
          <w:szCs w:val="22"/>
          <w:lang w:val="en-US"/>
        </w:rPr>
        <w:fldChar w:fldCharType="end"/>
      </w:r>
      <w:r w:rsidRPr="00550AB3">
        <w:rPr>
          <w:rFonts w:cs="Arial"/>
          <w:sz w:val="22"/>
          <w:szCs w:val="22"/>
          <w:lang w:val="en-US"/>
        </w:rPr>
        <w:t>;</w:t>
      </w:r>
      <w:r w:rsidR="00643BBB">
        <w:rPr>
          <w:rFonts w:cs="Arial"/>
          <w:sz w:val="22"/>
          <w:szCs w:val="22"/>
          <w:lang w:val="en-US"/>
        </w:rPr>
        <w:fldChar w:fldCharType="begin"/>
      </w:r>
      <w:r w:rsidR="00643BBB">
        <w:rPr>
          <w:rFonts w:cs="Arial"/>
          <w:sz w:val="22"/>
          <w:szCs w:val="22"/>
          <w:lang w:val="en-US"/>
        </w:rPr>
        <w:instrText xml:space="preserve"> REF _Ref284185180 \r \h </w:instrText>
      </w:r>
      <w:r w:rsidR="00643BBB">
        <w:rPr>
          <w:rFonts w:cs="Arial"/>
          <w:sz w:val="22"/>
          <w:szCs w:val="22"/>
          <w:lang w:val="en-US"/>
        </w:rPr>
      </w:r>
      <w:r w:rsidR="00643BBB">
        <w:rPr>
          <w:rFonts w:cs="Arial"/>
          <w:sz w:val="22"/>
          <w:szCs w:val="22"/>
          <w:lang w:val="en-US"/>
        </w:rPr>
        <w:fldChar w:fldCharType="separate"/>
      </w:r>
      <w:r w:rsidR="00151A1C">
        <w:rPr>
          <w:rFonts w:cs="Arial"/>
          <w:sz w:val="22"/>
          <w:szCs w:val="22"/>
          <w:lang w:val="en-US"/>
        </w:rPr>
        <w:t>56</w:t>
      </w:r>
      <w:r w:rsidR="00643BBB">
        <w:rPr>
          <w:rFonts w:cs="Arial"/>
          <w:sz w:val="22"/>
          <w:szCs w:val="22"/>
          <w:lang w:val="en-US"/>
        </w:rPr>
        <w:fldChar w:fldCharType="end"/>
      </w:r>
      <w:r w:rsidR="0054212B">
        <w:rPr>
          <w:rFonts w:cs="Arial"/>
          <w:sz w:val="22"/>
          <w:szCs w:val="22"/>
          <w:lang w:val="en-US"/>
        </w:rPr>
        <w:t xml:space="preserve">; </w:t>
      </w:r>
      <w:r w:rsidR="0054212B">
        <w:rPr>
          <w:rFonts w:cs="Arial"/>
          <w:sz w:val="22"/>
          <w:szCs w:val="22"/>
          <w:lang w:val="en-US"/>
        </w:rPr>
        <w:fldChar w:fldCharType="begin"/>
      </w:r>
      <w:r w:rsidR="0054212B">
        <w:rPr>
          <w:rFonts w:cs="Arial"/>
          <w:sz w:val="22"/>
          <w:szCs w:val="22"/>
          <w:lang w:val="en-US"/>
        </w:rPr>
        <w:instrText xml:space="preserve"> REF _Ref284438568 \r \h </w:instrText>
      </w:r>
      <w:r w:rsidR="0054212B">
        <w:rPr>
          <w:rFonts w:cs="Arial"/>
          <w:sz w:val="22"/>
          <w:szCs w:val="22"/>
          <w:lang w:val="en-US"/>
        </w:rPr>
      </w:r>
      <w:r w:rsidR="0054212B">
        <w:rPr>
          <w:rFonts w:cs="Arial"/>
          <w:sz w:val="22"/>
          <w:szCs w:val="22"/>
          <w:lang w:val="en-US"/>
        </w:rPr>
        <w:fldChar w:fldCharType="separate"/>
      </w:r>
      <w:r w:rsidR="00151A1C">
        <w:rPr>
          <w:rFonts w:cs="Arial"/>
          <w:sz w:val="22"/>
          <w:szCs w:val="22"/>
          <w:lang w:val="en-US"/>
        </w:rPr>
        <w:t>57</w:t>
      </w:r>
      <w:r w:rsidR="0054212B">
        <w:rPr>
          <w:rFonts w:cs="Arial"/>
          <w:sz w:val="22"/>
          <w:szCs w:val="22"/>
          <w:lang w:val="en-US"/>
        </w:rPr>
        <w:fldChar w:fldCharType="end"/>
      </w:r>
      <w:r w:rsidR="005F7DDC">
        <w:rPr>
          <w:rFonts w:cs="Arial"/>
          <w:sz w:val="22"/>
          <w:szCs w:val="22"/>
          <w:lang w:val="en-US"/>
        </w:rPr>
        <w:t xml:space="preserve">) </w:t>
      </w:r>
      <w:r w:rsidRPr="00550AB3">
        <w:rPr>
          <w:rFonts w:cs="Arial"/>
          <w:sz w:val="22"/>
          <w:szCs w:val="22"/>
          <w:lang w:val="en-US"/>
        </w:rPr>
        <w:t>Only 18% of patients in ESTABLISH-1 had fever at baseline and 10% of patients were missing temperature measurements for the early treatment response end point (</w:t>
      </w:r>
      <w:r w:rsidR="00582249">
        <w:rPr>
          <w:rFonts w:cs="Arial"/>
          <w:sz w:val="22"/>
          <w:szCs w:val="22"/>
          <w:lang w:val="en-US"/>
        </w:rPr>
        <w:fldChar w:fldCharType="begin"/>
      </w:r>
      <w:r w:rsidR="00582249">
        <w:rPr>
          <w:rFonts w:cs="Arial"/>
          <w:sz w:val="22"/>
          <w:szCs w:val="22"/>
          <w:lang w:val="en-US"/>
        </w:rPr>
        <w:instrText xml:space="preserve"> REF _Ref284485921 \r \h </w:instrText>
      </w:r>
      <w:r w:rsidR="00582249">
        <w:rPr>
          <w:rFonts w:cs="Arial"/>
          <w:sz w:val="22"/>
          <w:szCs w:val="22"/>
          <w:lang w:val="en-US"/>
        </w:rPr>
      </w:r>
      <w:r w:rsidR="00582249">
        <w:rPr>
          <w:rFonts w:cs="Arial"/>
          <w:sz w:val="22"/>
          <w:szCs w:val="22"/>
          <w:lang w:val="en-US"/>
        </w:rPr>
        <w:fldChar w:fldCharType="separate"/>
      </w:r>
      <w:r w:rsidR="00151A1C">
        <w:rPr>
          <w:rFonts w:cs="Arial"/>
          <w:sz w:val="22"/>
          <w:szCs w:val="22"/>
          <w:lang w:val="en-US"/>
        </w:rPr>
        <w:t>39</w:t>
      </w:r>
      <w:r w:rsidR="00582249">
        <w:rPr>
          <w:rFonts w:cs="Arial"/>
          <w:sz w:val="22"/>
          <w:szCs w:val="22"/>
          <w:lang w:val="en-US"/>
        </w:rPr>
        <w:fldChar w:fldCharType="end"/>
      </w:r>
      <w:r w:rsidRPr="00550AB3">
        <w:rPr>
          <w:rFonts w:cs="Arial"/>
          <w:sz w:val="22"/>
          <w:szCs w:val="22"/>
          <w:lang w:val="en-US"/>
        </w:rPr>
        <w:t>).</w:t>
      </w:r>
    </w:p>
    <w:p w14:paraId="4CD4AF2E" w14:textId="77777777" w:rsidR="00F143FC" w:rsidRPr="00550AB3" w:rsidRDefault="00F143FC" w:rsidP="00F143FC">
      <w:pPr>
        <w:widowControl w:val="0"/>
        <w:autoSpaceDE w:val="0"/>
        <w:autoSpaceDN w:val="0"/>
        <w:adjustRightInd w:val="0"/>
        <w:rPr>
          <w:rFonts w:cs="Arial"/>
          <w:sz w:val="22"/>
          <w:szCs w:val="22"/>
          <w:lang w:val="en-US"/>
        </w:rPr>
      </w:pPr>
    </w:p>
    <w:p w14:paraId="165143C4" w14:textId="77777777" w:rsidR="00F143FC" w:rsidRPr="00550AB3" w:rsidRDefault="00F143FC" w:rsidP="00F143FC">
      <w:pPr>
        <w:widowControl w:val="0"/>
        <w:autoSpaceDE w:val="0"/>
        <w:autoSpaceDN w:val="0"/>
        <w:adjustRightInd w:val="0"/>
        <w:rPr>
          <w:rFonts w:cs="Arial"/>
          <w:sz w:val="22"/>
          <w:szCs w:val="22"/>
          <w:lang w:val="en-US"/>
        </w:rPr>
      </w:pPr>
      <w:r w:rsidRPr="00550AB3">
        <w:rPr>
          <w:rFonts w:cs="Arial"/>
          <w:sz w:val="22"/>
          <w:szCs w:val="22"/>
          <w:lang w:val="en-US"/>
        </w:rPr>
        <w:t xml:space="preserve">ESTABLISH-2 followed updated 2013 FDA guidance in which temperature or fever was no longer a criterion of early clinical response. Instead, early clinical response was defined in ESTABLISH-2 as ≥20% decrease in lesion size with no fever criteria. </w:t>
      </w:r>
    </w:p>
    <w:p w14:paraId="1507DB1F" w14:textId="77777777" w:rsidR="004D28D5" w:rsidRPr="00550AB3" w:rsidRDefault="004D28D5" w:rsidP="00F143FC">
      <w:pPr>
        <w:widowControl w:val="0"/>
        <w:autoSpaceDE w:val="0"/>
        <w:autoSpaceDN w:val="0"/>
        <w:adjustRightInd w:val="0"/>
        <w:rPr>
          <w:rFonts w:cs="Arial"/>
          <w:sz w:val="22"/>
          <w:szCs w:val="22"/>
          <w:lang w:val="en-US"/>
        </w:rPr>
      </w:pPr>
    </w:p>
    <w:p w14:paraId="4D13AFCD" w14:textId="36CC30F5" w:rsidR="00DA76ED" w:rsidRPr="00550AB3" w:rsidRDefault="00DA76ED" w:rsidP="00C24317">
      <w:pPr>
        <w:pStyle w:val="ListParagraph"/>
        <w:numPr>
          <w:ilvl w:val="0"/>
          <w:numId w:val="13"/>
        </w:numPr>
        <w:suppressLineNumbers/>
        <w:rPr>
          <w:sz w:val="22"/>
          <w:szCs w:val="22"/>
        </w:rPr>
      </w:pPr>
      <w:r w:rsidRPr="00550AB3">
        <w:rPr>
          <w:b/>
          <w:sz w:val="22"/>
          <w:szCs w:val="22"/>
        </w:rPr>
        <w:t>Data limitations identified by the EMA</w:t>
      </w:r>
    </w:p>
    <w:p w14:paraId="0A6744EF" w14:textId="77777777" w:rsidR="00DA76ED" w:rsidRPr="00550AB3" w:rsidRDefault="00DA76ED" w:rsidP="00DA76ED">
      <w:pPr>
        <w:suppressLineNumbers/>
        <w:rPr>
          <w:sz w:val="22"/>
          <w:szCs w:val="22"/>
        </w:rPr>
      </w:pPr>
    </w:p>
    <w:p w14:paraId="7948DCFE" w14:textId="707592EB" w:rsidR="004D28D5" w:rsidRPr="00550AB3" w:rsidRDefault="004D28D5" w:rsidP="004D28D5">
      <w:pPr>
        <w:suppressLineNumbers/>
        <w:rPr>
          <w:sz w:val="22"/>
          <w:szCs w:val="22"/>
        </w:rPr>
      </w:pPr>
      <w:r w:rsidRPr="00550AB3">
        <w:rPr>
          <w:sz w:val="22"/>
          <w:szCs w:val="22"/>
        </w:rPr>
        <w:t xml:space="preserve">In addition, the </w:t>
      </w:r>
      <w:r w:rsidR="002D328E">
        <w:rPr>
          <w:sz w:val="22"/>
          <w:szCs w:val="22"/>
        </w:rPr>
        <w:t>EU</w:t>
      </w:r>
      <w:r w:rsidR="00D90D2F" w:rsidRPr="00550AB3">
        <w:rPr>
          <w:sz w:val="22"/>
          <w:szCs w:val="22"/>
        </w:rPr>
        <w:t xml:space="preserve"> </w:t>
      </w:r>
      <w:r w:rsidRPr="00550AB3">
        <w:rPr>
          <w:sz w:val="22"/>
          <w:szCs w:val="22"/>
        </w:rPr>
        <w:t xml:space="preserve">Summary of Product Characteristics </w:t>
      </w:r>
      <w:r w:rsidR="00B151B8" w:rsidRPr="00550AB3">
        <w:rPr>
          <w:sz w:val="22"/>
          <w:szCs w:val="22"/>
        </w:rPr>
        <w:t>summarises</w:t>
      </w:r>
      <w:r w:rsidRPr="00550AB3">
        <w:rPr>
          <w:sz w:val="22"/>
          <w:szCs w:val="22"/>
        </w:rPr>
        <w:t xml:space="preserve"> the limitations of the clinical data as follows:</w:t>
      </w:r>
    </w:p>
    <w:p w14:paraId="7B52F74D" w14:textId="77777777" w:rsidR="004D28D5" w:rsidRPr="00550AB3" w:rsidRDefault="004D28D5" w:rsidP="004D28D5">
      <w:pPr>
        <w:suppressLineNumbers/>
        <w:rPr>
          <w:sz w:val="22"/>
          <w:szCs w:val="22"/>
        </w:rPr>
      </w:pPr>
    </w:p>
    <w:p w14:paraId="2D5FF4AD" w14:textId="77777777" w:rsidR="004D28D5" w:rsidRPr="00550AB3" w:rsidRDefault="004D28D5" w:rsidP="00C24317">
      <w:pPr>
        <w:pStyle w:val="ListParagraph"/>
        <w:numPr>
          <w:ilvl w:val="0"/>
          <w:numId w:val="13"/>
        </w:numPr>
        <w:suppressLineNumbers/>
        <w:rPr>
          <w:noProof/>
          <w:sz w:val="22"/>
          <w:szCs w:val="22"/>
        </w:rPr>
      </w:pPr>
      <w:r w:rsidRPr="00550AB3">
        <w:rPr>
          <w:noProof/>
          <w:sz w:val="22"/>
          <w:szCs w:val="22"/>
        </w:rPr>
        <w:t>The safety and efficacy of tedizolid phosphate when administered for periods longer than 6 days have not been established.</w:t>
      </w:r>
    </w:p>
    <w:p w14:paraId="2159740D" w14:textId="77777777" w:rsidR="004D28D5" w:rsidRPr="00550AB3" w:rsidRDefault="004D28D5" w:rsidP="00C24317">
      <w:pPr>
        <w:pStyle w:val="ListParagraph"/>
        <w:numPr>
          <w:ilvl w:val="0"/>
          <w:numId w:val="13"/>
        </w:numPr>
        <w:suppressLineNumbers/>
        <w:rPr>
          <w:noProof/>
          <w:sz w:val="22"/>
          <w:szCs w:val="22"/>
        </w:rPr>
      </w:pPr>
      <w:r w:rsidRPr="00550AB3">
        <w:rPr>
          <w:noProof/>
          <w:sz w:val="22"/>
          <w:szCs w:val="22"/>
        </w:rPr>
        <w:t>There is limited experience with tedizolid phosphate in the treatment of patients with concomitant acute bacterial skin and skin structure infections and secondary bacteremia and no experience in the treatment of ABSSSI with severe sepsis or septic shock.</w:t>
      </w:r>
    </w:p>
    <w:p w14:paraId="112D0D7F" w14:textId="77777777" w:rsidR="004D28D5" w:rsidRPr="00550AB3" w:rsidRDefault="004D28D5" w:rsidP="00C24317">
      <w:pPr>
        <w:pStyle w:val="ListParagraph"/>
        <w:numPr>
          <w:ilvl w:val="0"/>
          <w:numId w:val="13"/>
        </w:numPr>
        <w:suppressLineNumbers/>
        <w:rPr>
          <w:noProof/>
          <w:sz w:val="22"/>
          <w:szCs w:val="22"/>
        </w:rPr>
      </w:pPr>
      <w:r w:rsidRPr="00550AB3">
        <w:rPr>
          <w:noProof/>
          <w:sz w:val="22"/>
          <w:szCs w:val="22"/>
        </w:rPr>
        <w:t>Controlled clinical studies did not include patients with diabetic foot infections, decubitus or ischaemic skin ulcers, bone or joint infections, severe burns, necrotising fasciatis or gangrene.</w:t>
      </w:r>
    </w:p>
    <w:p w14:paraId="6CA1EDC6" w14:textId="086B82A1" w:rsidR="004D28D5" w:rsidRPr="00550AB3" w:rsidRDefault="004D28D5" w:rsidP="00C24317">
      <w:pPr>
        <w:pStyle w:val="ListParagraph"/>
        <w:numPr>
          <w:ilvl w:val="0"/>
          <w:numId w:val="13"/>
        </w:numPr>
        <w:suppressLineNumbers/>
        <w:rPr>
          <w:noProof/>
          <w:sz w:val="22"/>
          <w:szCs w:val="22"/>
        </w:rPr>
      </w:pPr>
      <w:r w:rsidRPr="00550AB3">
        <w:rPr>
          <w:noProof/>
          <w:sz w:val="22"/>
          <w:szCs w:val="22"/>
        </w:rPr>
        <w:t>Controlled clinical studies did not include patients with neutropenia (neutrophil counts &lt;1000 cells/mm</w:t>
      </w:r>
      <w:r w:rsidRPr="00550AB3">
        <w:rPr>
          <w:noProof/>
          <w:sz w:val="22"/>
          <w:szCs w:val="22"/>
          <w:vertAlign w:val="superscript"/>
        </w:rPr>
        <w:t>3</w:t>
      </w:r>
      <w:r w:rsidRPr="00550AB3">
        <w:rPr>
          <w:noProof/>
          <w:sz w:val="22"/>
          <w:szCs w:val="22"/>
        </w:rPr>
        <w:t>) or severely immunocompromised patients.</w:t>
      </w:r>
    </w:p>
    <w:p w14:paraId="36E0DA63" w14:textId="77777777" w:rsidR="00862D96" w:rsidRPr="00550AB3" w:rsidRDefault="00862D96" w:rsidP="00F143FC">
      <w:pPr>
        <w:widowControl w:val="0"/>
        <w:autoSpaceDE w:val="0"/>
        <w:autoSpaceDN w:val="0"/>
        <w:adjustRightInd w:val="0"/>
        <w:rPr>
          <w:rFonts w:cs="Arial"/>
          <w:sz w:val="22"/>
          <w:szCs w:val="22"/>
          <w:lang w:val="en-US"/>
        </w:rPr>
      </w:pPr>
    </w:p>
    <w:p w14:paraId="466B3B2C" w14:textId="64D2B5A1" w:rsidR="008E4E92" w:rsidRPr="00550AB3" w:rsidRDefault="00DA76ED" w:rsidP="00862D96">
      <w:pPr>
        <w:widowControl w:val="0"/>
        <w:autoSpaceDE w:val="0"/>
        <w:autoSpaceDN w:val="0"/>
        <w:adjustRightInd w:val="0"/>
        <w:rPr>
          <w:rFonts w:cs="Arial"/>
          <w:sz w:val="22"/>
          <w:szCs w:val="22"/>
          <w:lang w:val="en-US"/>
        </w:rPr>
      </w:pPr>
      <w:r w:rsidRPr="00550AB3">
        <w:rPr>
          <w:rFonts w:cs="Arial"/>
          <w:sz w:val="22"/>
          <w:szCs w:val="22"/>
          <w:lang w:val="en-US"/>
        </w:rPr>
        <w:lastRenderedPageBreak/>
        <w:t>The manufacturer does not anticipate</w:t>
      </w:r>
      <w:r w:rsidR="00862D96" w:rsidRPr="00550AB3">
        <w:rPr>
          <w:rFonts w:cs="Arial"/>
          <w:sz w:val="22"/>
          <w:szCs w:val="22"/>
          <w:lang w:val="en-US"/>
        </w:rPr>
        <w:t xml:space="preserve"> that any of these limitations </w:t>
      </w:r>
      <w:r w:rsidRPr="00550AB3">
        <w:rPr>
          <w:rFonts w:cs="Arial"/>
          <w:sz w:val="22"/>
          <w:szCs w:val="22"/>
          <w:lang w:val="en-US"/>
        </w:rPr>
        <w:t xml:space="preserve">would </w:t>
      </w:r>
      <w:r w:rsidR="00862D96" w:rsidRPr="00550AB3">
        <w:rPr>
          <w:rFonts w:cs="Arial"/>
          <w:sz w:val="22"/>
          <w:szCs w:val="22"/>
          <w:lang w:val="en-US"/>
        </w:rPr>
        <w:t xml:space="preserve">affect the </w:t>
      </w:r>
      <w:r w:rsidR="00D90D2F" w:rsidRPr="00550AB3">
        <w:rPr>
          <w:rFonts w:cs="Arial"/>
          <w:sz w:val="22"/>
          <w:szCs w:val="22"/>
          <w:lang w:val="en-US"/>
        </w:rPr>
        <w:t>validity, robustness</w:t>
      </w:r>
      <w:r w:rsidR="00862D96" w:rsidRPr="00550AB3">
        <w:rPr>
          <w:rFonts w:cs="Arial"/>
          <w:sz w:val="22"/>
          <w:szCs w:val="22"/>
          <w:lang w:val="en-US"/>
        </w:rPr>
        <w:t xml:space="preserve"> or significance of the outcomes of the Phase 3 studies, nor their relevance or </w:t>
      </w:r>
      <w:r w:rsidR="00820A51" w:rsidRPr="00550AB3">
        <w:rPr>
          <w:rFonts w:cs="Arial"/>
          <w:sz w:val="22"/>
          <w:szCs w:val="22"/>
          <w:lang w:val="en-US"/>
        </w:rPr>
        <w:t>applicability to Scottish clinical practice.</w:t>
      </w:r>
      <w:r w:rsidR="00820A51">
        <w:rPr>
          <w:rFonts w:cs="Arial"/>
          <w:sz w:val="22"/>
          <w:szCs w:val="22"/>
          <w:lang w:val="en-US"/>
        </w:rPr>
        <w:t xml:space="preserve"> </w:t>
      </w:r>
      <w:r w:rsidR="0064173B">
        <w:rPr>
          <w:rFonts w:cs="Arial"/>
          <w:sz w:val="22"/>
          <w:szCs w:val="22"/>
          <w:lang w:val="en-US"/>
        </w:rPr>
        <w:t>Scottish clinical experts consulted by the manufacturer commented favourably on the good design of the Phase 3 studies.</w:t>
      </w:r>
    </w:p>
    <w:p w14:paraId="14AAED1A" w14:textId="77777777" w:rsidR="00862D96" w:rsidRPr="008E4E92" w:rsidRDefault="00862D96" w:rsidP="00862D96">
      <w:pPr>
        <w:widowControl w:val="0"/>
        <w:autoSpaceDE w:val="0"/>
        <w:autoSpaceDN w:val="0"/>
        <w:adjustRightInd w:val="0"/>
        <w:rPr>
          <w:rFonts w:cs="Arial"/>
          <w:szCs w:val="22"/>
        </w:rPr>
      </w:pPr>
    </w:p>
    <w:p w14:paraId="1AC9E074" w14:textId="77777777" w:rsidR="008E4E92"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FB0D23">
        <w:rPr>
          <w:rFonts w:ascii="Arial" w:hAnsi="Arial" w:cs="Arial"/>
          <w:b w:val="0"/>
          <w:i/>
          <w:color w:val="auto"/>
          <w:sz w:val="22"/>
          <w:szCs w:val="22"/>
        </w:rPr>
        <w:t>Describe the relevance of the outcomes assessed in clinical studies to clinical benefits and adverse effects expected in practice.</w:t>
      </w:r>
    </w:p>
    <w:p w14:paraId="1776ECD7" w14:textId="77777777" w:rsidR="00FB0D23" w:rsidRDefault="00FB0D23" w:rsidP="00FB0D23"/>
    <w:p w14:paraId="6C3036F8" w14:textId="04EA577D" w:rsidR="007151FA" w:rsidRPr="00550AB3" w:rsidRDefault="00BF379E" w:rsidP="00C24317">
      <w:pPr>
        <w:pStyle w:val="EndnoteText"/>
        <w:numPr>
          <w:ilvl w:val="0"/>
          <w:numId w:val="13"/>
        </w:numPr>
        <w:tabs>
          <w:tab w:val="clear" w:pos="567"/>
        </w:tabs>
        <w:rPr>
          <w:rFonts w:ascii="Arial" w:hAnsi="Arial" w:cs="Arial"/>
          <w:b/>
          <w:szCs w:val="22"/>
        </w:rPr>
      </w:pPr>
      <w:r w:rsidRPr="00550AB3">
        <w:rPr>
          <w:rFonts w:ascii="Arial" w:hAnsi="Arial" w:cs="Arial"/>
          <w:b/>
          <w:szCs w:val="22"/>
        </w:rPr>
        <w:t>Study e</w:t>
      </w:r>
      <w:r w:rsidR="007151FA" w:rsidRPr="00550AB3">
        <w:rPr>
          <w:rFonts w:ascii="Arial" w:hAnsi="Arial" w:cs="Arial"/>
          <w:b/>
          <w:szCs w:val="22"/>
        </w:rPr>
        <w:t xml:space="preserve">ndpoints are clinically relevant </w:t>
      </w:r>
    </w:p>
    <w:p w14:paraId="10B9AB3A" w14:textId="77777777" w:rsidR="007151FA" w:rsidRPr="00550AB3" w:rsidRDefault="007151FA" w:rsidP="007151FA">
      <w:pPr>
        <w:pStyle w:val="EndnoteText"/>
        <w:tabs>
          <w:tab w:val="clear" w:pos="567"/>
        </w:tabs>
        <w:ind w:left="360"/>
        <w:rPr>
          <w:rFonts w:ascii="Arial" w:hAnsi="Arial" w:cs="Arial"/>
          <w:szCs w:val="22"/>
        </w:rPr>
      </w:pPr>
    </w:p>
    <w:p w14:paraId="0D1F7C1B" w14:textId="22348CCC" w:rsidR="009C03BD" w:rsidRPr="00550AB3" w:rsidRDefault="007151FA" w:rsidP="007151FA">
      <w:pPr>
        <w:widowControl w:val="0"/>
        <w:autoSpaceDE w:val="0"/>
        <w:autoSpaceDN w:val="0"/>
        <w:adjustRightInd w:val="0"/>
        <w:rPr>
          <w:rFonts w:cs="Arial"/>
          <w:sz w:val="22"/>
          <w:szCs w:val="22"/>
        </w:rPr>
      </w:pPr>
      <w:r w:rsidRPr="00550AB3">
        <w:rPr>
          <w:rFonts w:cs="Arial"/>
          <w:sz w:val="22"/>
          <w:szCs w:val="22"/>
        </w:rPr>
        <w:t xml:space="preserve">The outcomes assessed in the Phase 3 studies are highly relevant to clinical practice and are clinically meaningful. </w:t>
      </w:r>
    </w:p>
    <w:p w14:paraId="7BBD4D58" w14:textId="77777777" w:rsidR="009C03BD" w:rsidRPr="00550AB3" w:rsidRDefault="009C03BD" w:rsidP="007151FA">
      <w:pPr>
        <w:widowControl w:val="0"/>
        <w:autoSpaceDE w:val="0"/>
        <w:autoSpaceDN w:val="0"/>
        <w:adjustRightInd w:val="0"/>
        <w:rPr>
          <w:rFonts w:cs="Arial"/>
          <w:sz w:val="22"/>
          <w:szCs w:val="22"/>
        </w:rPr>
      </w:pPr>
    </w:p>
    <w:p w14:paraId="0D0B432F" w14:textId="550A3D9B" w:rsidR="00980616" w:rsidRPr="00550AB3" w:rsidRDefault="00980616" w:rsidP="00980616">
      <w:pPr>
        <w:widowControl w:val="0"/>
        <w:autoSpaceDE w:val="0"/>
        <w:autoSpaceDN w:val="0"/>
        <w:adjustRightInd w:val="0"/>
        <w:rPr>
          <w:sz w:val="22"/>
          <w:szCs w:val="22"/>
        </w:rPr>
      </w:pPr>
      <w:r w:rsidRPr="00550AB3">
        <w:rPr>
          <w:sz w:val="22"/>
          <w:szCs w:val="22"/>
        </w:rPr>
        <w:t>The primary efficacy outcome analysis of the Phase 3 studies for the EU licence was the</w:t>
      </w:r>
    </w:p>
    <w:p w14:paraId="07B77A78" w14:textId="46F0B917" w:rsidR="00980616" w:rsidRPr="00550AB3" w:rsidRDefault="00980616" w:rsidP="00980616">
      <w:pPr>
        <w:widowControl w:val="0"/>
        <w:autoSpaceDE w:val="0"/>
        <w:autoSpaceDN w:val="0"/>
        <w:adjustRightInd w:val="0"/>
        <w:rPr>
          <w:sz w:val="22"/>
          <w:szCs w:val="22"/>
        </w:rPr>
      </w:pPr>
      <w:r w:rsidRPr="00550AB3">
        <w:rPr>
          <w:sz w:val="22"/>
          <w:szCs w:val="22"/>
        </w:rPr>
        <w:t>Investigator’s assessment of clinical success of tedizolid phosphate (oral in ESTABLISH-1 and IV with possible switch to oral in ESTABLISH-2) compared with that of 10-day</w:t>
      </w:r>
      <w:r w:rsidR="00670ABA">
        <w:rPr>
          <w:sz w:val="22"/>
          <w:szCs w:val="22"/>
        </w:rPr>
        <w:t xml:space="preserve"> </w:t>
      </w:r>
      <w:r w:rsidRPr="00550AB3">
        <w:rPr>
          <w:sz w:val="22"/>
          <w:szCs w:val="22"/>
        </w:rPr>
        <w:t>linezolid treatment at the PTE Visit in the ITT and CE-PTE Analysis Sets. This assessment was timed to occur 7 to 14 days after the EOT Visit and thus compared the response to tedizolid phosphate and linezolid at an equivalent timepoint after the completion of the</w:t>
      </w:r>
      <w:r w:rsidR="00670ABA">
        <w:rPr>
          <w:sz w:val="22"/>
          <w:szCs w:val="22"/>
        </w:rPr>
        <w:t xml:space="preserve"> </w:t>
      </w:r>
      <w:r w:rsidRPr="00550AB3">
        <w:rPr>
          <w:sz w:val="22"/>
          <w:szCs w:val="22"/>
        </w:rPr>
        <w:t>protocol-specified therapy. Overall clinical response at PTE was determined from the</w:t>
      </w:r>
      <w:r w:rsidR="00670ABA">
        <w:rPr>
          <w:sz w:val="22"/>
          <w:szCs w:val="22"/>
        </w:rPr>
        <w:t xml:space="preserve"> </w:t>
      </w:r>
      <w:r w:rsidRPr="00550AB3">
        <w:rPr>
          <w:sz w:val="22"/>
          <w:szCs w:val="22"/>
        </w:rPr>
        <w:t>assessments at the EOT and PTE Visit.</w:t>
      </w:r>
    </w:p>
    <w:p w14:paraId="4096CC2A" w14:textId="77777777" w:rsidR="00980616" w:rsidRPr="00550AB3" w:rsidRDefault="00980616" w:rsidP="00980616">
      <w:pPr>
        <w:widowControl w:val="0"/>
        <w:autoSpaceDE w:val="0"/>
        <w:autoSpaceDN w:val="0"/>
        <w:adjustRightInd w:val="0"/>
        <w:rPr>
          <w:sz w:val="22"/>
          <w:szCs w:val="22"/>
        </w:rPr>
      </w:pPr>
    </w:p>
    <w:p w14:paraId="6B804212" w14:textId="497F104F" w:rsidR="00980616" w:rsidRPr="00550AB3" w:rsidRDefault="00980616" w:rsidP="00980616">
      <w:pPr>
        <w:widowControl w:val="0"/>
        <w:autoSpaceDE w:val="0"/>
        <w:autoSpaceDN w:val="0"/>
        <w:adjustRightInd w:val="0"/>
        <w:rPr>
          <w:sz w:val="22"/>
          <w:szCs w:val="22"/>
        </w:rPr>
      </w:pPr>
      <w:r w:rsidRPr="00550AB3">
        <w:rPr>
          <w:sz w:val="22"/>
          <w:szCs w:val="22"/>
        </w:rPr>
        <w:t>The seco</w:t>
      </w:r>
      <w:r w:rsidR="00BF379E" w:rsidRPr="00550AB3">
        <w:rPr>
          <w:sz w:val="22"/>
          <w:szCs w:val="22"/>
        </w:rPr>
        <w:t>ndary efficacy outcome analyses</w:t>
      </w:r>
      <w:r w:rsidRPr="00550AB3">
        <w:rPr>
          <w:sz w:val="22"/>
          <w:szCs w:val="22"/>
        </w:rPr>
        <w:t xml:space="preserve"> included per-patient and per-pathogen favourable microbiological response rates and the Investigator’s assessments of early (48-72 hours) responses and EOT clinical responses. The availability of the early assessments also facilitated an analysis of the concordance of the outcomes defined as the early clinical response at the 48-72 hour visit and the EU primary efficacy analysis of the Investigator’s</w:t>
      </w:r>
      <w:r w:rsidR="00021F54">
        <w:rPr>
          <w:sz w:val="22"/>
          <w:szCs w:val="22"/>
        </w:rPr>
        <w:t xml:space="preserve"> assessment of response at PTE.</w:t>
      </w:r>
    </w:p>
    <w:p w14:paraId="7CC79549" w14:textId="77777777" w:rsidR="00980616" w:rsidRPr="00550AB3" w:rsidRDefault="00980616" w:rsidP="00980616">
      <w:pPr>
        <w:widowControl w:val="0"/>
        <w:autoSpaceDE w:val="0"/>
        <w:autoSpaceDN w:val="0"/>
        <w:adjustRightInd w:val="0"/>
        <w:rPr>
          <w:sz w:val="22"/>
          <w:szCs w:val="22"/>
        </w:rPr>
      </w:pPr>
    </w:p>
    <w:p w14:paraId="3273AE3E" w14:textId="7A611848" w:rsidR="00980616" w:rsidRPr="00550AB3" w:rsidRDefault="00980616" w:rsidP="00980616">
      <w:pPr>
        <w:widowControl w:val="0"/>
        <w:autoSpaceDE w:val="0"/>
        <w:autoSpaceDN w:val="0"/>
        <w:adjustRightInd w:val="0"/>
        <w:rPr>
          <w:sz w:val="22"/>
          <w:szCs w:val="22"/>
        </w:rPr>
      </w:pPr>
      <w:r w:rsidRPr="00550AB3">
        <w:rPr>
          <w:sz w:val="22"/>
          <w:szCs w:val="22"/>
        </w:rPr>
        <w:t>A number of additional outcomes were analysed including the early (48-72 hours) and</w:t>
      </w:r>
    </w:p>
    <w:p w14:paraId="1AF04430" w14:textId="77777777" w:rsidR="00980616" w:rsidRPr="00550AB3" w:rsidRDefault="00980616" w:rsidP="00980616">
      <w:pPr>
        <w:widowControl w:val="0"/>
        <w:autoSpaceDE w:val="0"/>
        <w:autoSpaceDN w:val="0"/>
        <w:adjustRightInd w:val="0"/>
        <w:rPr>
          <w:sz w:val="22"/>
          <w:szCs w:val="22"/>
        </w:rPr>
      </w:pPr>
      <w:r w:rsidRPr="00550AB3">
        <w:rPr>
          <w:sz w:val="22"/>
          <w:szCs w:val="22"/>
        </w:rPr>
        <w:t>EOT clinical responses, patient reported pain and the overall and per-pathogen</w:t>
      </w:r>
    </w:p>
    <w:p w14:paraId="0E7499BE" w14:textId="77777777" w:rsidR="00980616" w:rsidRPr="00550AB3" w:rsidRDefault="00980616" w:rsidP="00980616">
      <w:pPr>
        <w:widowControl w:val="0"/>
        <w:autoSpaceDE w:val="0"/>
        <w:autoSpaceDN w:val="0"/>
        <w:adjustRightInd w:val="0"/>
        <w:rPr>
          <w:sz w:val="22"/>
          <w:szCs w:val="22"/>
        </w:rPr>
      </w:pPr>
      <w:r w:rsidRPr="00550AB3">
        <w:rPr>
          <w:sz w:val="22"/>
          <w:szCs w:val="22"/>
        </w:rPr>
        <w:t>Investigator’s assessment of clinical response in the MITT and Microbiologically</w:t>
      </w:r>
    </w:p>
    <w:p w14:paraId="5B107A66" w14:textId="34AAAAB4" w:rsidR="00980616" w:rsidRPr="00550AB3" w:rsidRDefault="00980616" w:rsidP="00980616">
      <w:pPr>
        <w:widowControl w:val="0"/>
        <w:autoSpaceDE w:val="0"/>
        <w:autoSpaceDN w:val="0"/>
        <w:adjustRightInd w:val="0"/>
        <w:rPr>
          <w:sz w:val="22"/>
          <w:szCs w:val="22"/>
        </w:rPr>
      </w:pPr>
      <w:r w:rsidRPr="00550AB3">
        <w:rPr>
          <w:sz w:val="22"/>
          <w:szCs w:val="22"/>
        </w:rPr>
        <w:lastRenderedPageBreak/>
        <w:t xml:space="preserve">Evaluable (ME) datasets. The studies also included a LFU visit for the evaluation of clinical relapse and microbiological recurrence 18 to 25 days post-treatment. </w:t>
      </w:r>
    </w:p>
    <w:p w14:paraId="73CA6491" w14:textId="77777777" w:rsidR="00980616" w:rsidRPr="00550AB3" w:rsidRDefault="00980616" w:rsidP="007151FA">
      <w:pPr>
        <w:widowControl w:val="0"/>
        <w:autoSpaceDE w:val="0"/>
        <w:autoSpaceDN w:val="0"/>
        <w:adjustRightInd w:val="0"/>
        <w:rPr>
          <w:rFonts w:cs="Arial"/>
          <w:sz w:val="22"/>
          <w:szCs w:val="22"/>
        </w:rPr>
      </w:pPr>
    </w:p>
    <w:p w14:paraId="2BADC774" w14:textId="5D45BC31" w:rsidR="00980616" w:rsidRPr="00550AB3" w:rsidRDefault="007151FA" w:rsidP="007151FA">
      <w:pPr>
        <w:widowControl w:val="0"/>
        <w:autoSpaceDE w:val="0"/>
        <w:autoSpaceDN w:val="0"/>
        <w:adjustRightInd w:val="0"/>
        <w:rPr>
          <w:rFonts w:cs="Arial"/>
          <w:sz w:val="22"/>
          <w:szCs w:val="22"/>
          <w:lang w:val="en-US"/>
        </w:rPr>
      </w:pPr>
      <w:r w:rsidRPr="00550AB3">
        <w:rPr>
          <w:rFonts w:cs="Arial"/>
          <w:sz w:val="22"/>
          <w:szCs w:val="22"/>
        </w:rPr>
        <w:t xml:space="preserve">In </w:t>
      </w:r>
      <w:r w:rsidR="00550AB3">
        <w:rPr>
          <w:rFonts w:cs="Arial"/>
          <w:sz w:val="22"/>
          <w:szCs w:val="22"/>
        </w:rPr>
        <w:t xml:space="preserve">both </w:t>
      </w:r>
      <w:r w:rsidRPr="00550AB3">
        <w:rPr>
          <w:rFonts w:cs="Arial"/>
          <w:sz w:val="22"/>
          <w:szCs w:val="22"/>
        </w:rPr>
        <w:t>ESTABLISH 1</w:t>
      </w:r>
      <w:r w:rsidR="00550AB3">
        <w:rPr>
          <w:rFonts w:cs="Arial"/>
          <w:sz w:val="22"/>
          <w:szCs w:val="22"/>
        </w:rPr>
        <w:t xml:space="preserve"> and ESTABLISH-2</w:t>
      </w:r>
      <w:r w:rsidRPr="00550AB3">
        <w:rPr>
          <w:rFonts w:cs="Arial"/>
          <w:sz w:val="22"/>
          <w:szCs w:val="22"/>
        </w:rPr>
        <w:t xml:space="preserve">, treatment with 200mg of tedizolid phosphate once daily for 6 days was statistically non-inferior in efficacy to 600mg of linezolid twice daily for 10 days at both early and late time points and was generally well tolerated. </w:t>
      </w:r>
      <w:r w:rsidRPr="00550AB3">
        <w:rPr>
          <w:rFonts w:cs="Arial"/>
          <w:sz w:val="22"/>
          <w:szCs w:val="22"/>
          <w:lang w:val="en-US"/>
        </w:rPr>
        <w:t>Secondary outcome assessments at the EOT and PTE evaluation time points also established that 6 days of treatment with tedizolid phosphate was non-inferior to 10 days of treatment with linezolid.</w:t>
      </w:r>
      <w:r w:rsidR="00980616" w:rsidRPr="00550AB3">
        <w:rPr>
          <w:rFonts w:cs="Arial"/>
          <w:sz w:val="22"/>
          <w:szCs w:val="22"/>
          <w:lang w:val="en-US"/>
        </w:rPr>
        <w:t xml:space="preserve">  </w:t>
      </w:r>
    </w:p>
    <w:p w14:paraId="3859E843" w14:textId="77777777" w:rsidR="007151FA" w:rsidRPr="00550AB3" w:rsidRDefault="007151FA" w:rsidP="00764936">
      <w:pPr>
        <w:pStyle w:val="EndnoteText"/>
        <w:tabs>
          <w:tab w:val="clear" w:pos="567"/>
        </w:tabs>
        <w:rPr>
          <w:rFonts w:ascii="Arial" w:hAnsi="Arial" w:cs="Arial"/>
          <w:b/>
          <w:szCs w:val="22"/>
        </w:rPr>
      </w:pPr>
    </w:p>
    <w:p w14:paraId="3A17FBD7" w14:textId="77777777" w:rsidR="00F14EC3" w:rsidRPr="00550AB3" w:rsidRDefault="00F14EC3" w:rsidP="00C24317">
      <w:pPr>
        <w:pStyle w:val="EndnoteText"/>
        <w:numPr>
          <w:ilvl w:val="0"/>
          <w:numId w:val="13"/>
        </w:numPr>
        <w:tabs>
          <w:tab w:val="clear" w:pos="567"/>
        </w:tabs>
        <w:rPr>
          <w:rFonts w:ascii="Arial" w:hAnsi="Arial" w:cs="Arial"/>
          <w:b/>
          <w:szCs w:val="22"/>
        </w:rPr>
      </w:pPr>
      <w:r w:rsidRPr="00550AB3">
        <w:rPr>
          <w:rFonts w:ascii="Arial" w:hAnsi="Arial" w:cs="Arial"/>
          <w:b/>
          <w:szCs w:val="22"/>
        </w:rPr>
        <w:t xml:space="preserve">Presence of MRSA pathogen in study participants </w:t>
      </w:r>
    </w:p>
    <w:p w14:paraId="452548F6" w14:textId="77777777" w:rsidR="00F14EC3" w:rsidRPr="00550AB3" w:rsidRDefault="00F14EC3" w:rsidP="00F14EC3">
      <w:pPr>
        <w:pStyle w:val="EndnoteText"/>
        <w:tabs>
          <w:tab w:val="clear" w:pos="567"/>
        </w:tabs>
        <w:rPr>
          <w:rFonts w:ascii="Arial" w:hAnsi="Arial" w:cs="Arial"/>
          <w:b/>
          <w:szCs w:val="22"/>
        </w:rPr>
      </w:pPr>
    </w:p>
    <w:p w14:paraId="426CE7C0" w14:textId="0F2A483B" w:rsidR="00F14EC3" w:rsidRPr="00550AB3" w:rsidRDefault="00F14EC3" w:rsidP="00F14EC3">
      <w:pPr>
        <w:widowControl w:val="0"/>
        <w:autoSpaceDE w:val="0"/>
        <w:autoSpaceDN w:val="0"/>
        <w:adjustRightInd w:val="0"/>
        <w:rPr>
          <w:rFonts w:cs="Arial"/>
          <w:sz w:val="22"/>
          <w:szCs w:val="22"/>
          <w:lang w:val="en-US"/>
        </w:rPr>
      </w:pPr>
      <w:r w:rsidRPr="00550AB3">
        <w:rPr>
          <w:rFonts w:cs="Arial"/>
          <w:sz w:val="22"/>
          <w:szCs w:val="22"/>
        </w:rPr>
        <w:t xml:space="preserve">In ESTABLISH-1, </w:t>
      </w:r>
      <w:r w:rsidRPr="00550AB3">
        <w:rPr>
          <w:rFonts w:cs="Arial"/>
          <w:sz w:val="22"/>
          <w:szCs w:val="22"/>
          <w:lang w:val="en-US"/>
        </w:rPr>
        <w:t xml:space="preserve">at least 1 pathogen was isolated from the primary infection site in approximately 63% of patients and most pathogens isolated were gram-positive aerobes (98.6%). Pathogens were isolated from blood from 8 patients (4 in each treatment group). The most common pathogen isolated from the primary ABSSSI site was </w:t>
      </w:r>
      <w:r w:rsidR="007D6373" w:rsidRPr="007D6373">
        <w:rPr>
          <w:rFonts w:cs="Arial"/>
          <w:i/>
          <w:sz w:val="22"/>
          <w:szCs w:val="22"/>
          <w:lang w:val="en-US"/>
        </w:rPr>
        <w:t>Staph. aureus</w:t>
      </w:r>
      <w:r w:rsidRPr="00550AB3">
        <w:rPr>
          <w:rFonts w:cs="Arial"/>
          <w:sz w:val="22"/>
          <w:szCs w:val="22"/>
          <w:lang w:val="en-US"/>
        </w:rPr>
        <w:t xml:space="preserve"> (82.8%) with MRSA identified in 42.1% of infections in the tedizolid phosphate group and 43.1% of infections in the linezolid group (</w:t>
      </w:r>
      <w:r w:rsidR="00582249">
        <w:rPr>
          <w:rFonts w:cs="Arial"/>
          <w:sz w:val="22"/>
          <w:szCs w:val="22"/>
          <w:lang w:val="en-US"/>
        </w:rPr>
        <w:fldChar w:fldCharType="begin"/>
      </w:r>
      <w:r w:rsidR="00582249">
        <w:rPr>
          <w:rFonts w:cs="Arial"/>
          <w:sz w:val="22"/>
          <w:szCs w:val="22"/>
          <w:lang w:val="en-US"/>
        </w:rPr>
        <w:instrText xml:space="preserve"> REF _Ref284485921 \r \h </w:instrText>
      </w:r>
      <w:r w:rsidR="00582249">
        <w:rPr>
          <w:rFonts w:cs="Arial"/>
          <w:sz w:val="22"/>
          <w:szCs w:val="22"/>
          <w:lang w:val="en-US"/>
        </w:rPr>
      </w:r>
      <w:r w:rsidR="00582249">
        <w:rPr>
          <w:rFonts w:cs="Arial"/>
          <w:sz w:val="22"/>
          <w:szCs w:val="22"/>
          <w:lang w:val="en-US"/>
        </w:rPr>
        <w:fldChar w:fldCharType="separate"/>
      </w:r>
      <w:r w:rsidR="00151A1C">
        <w:rPr>
          <w:rFonts w:cs="Arial"/>
          <w:sz w:val="22"/>
          <w:szCs w:val="22"/>
          <w:lang w:val="en-US"/>
        </w:rPr>
        <w:t>39</w:t>
      </w:r>
      <w:r w:rsidR="00582249">
        <w:rPr>
          <w:rFonts w:cs="Arial"/>
          <w:sz w:val="22"/>
          <w:szCs w:val="22"/>
          <w:lang w:val="en-US"/>
        </w:rPr>
        <w:fldChar w:fldCharType="end"/>
      </w:r>
      <w:r w:rsidRPr="00550AB3">
        <w:rPr>
          <w:rFonts w:cs="Arial"/>
          <w:sz w:val="22"/>
          <w:szCs w:val="22"/>
          <w:lang w:val="en-US"/>
        </w:rPr>
        <w:t>).</w:t>
      </w:r>
    </w:p>
    <w:p w14:paraId="3B7FC5EC" w14:textId="77777777" w:rsidR="00286D8E" w:rsidRPr="00550AB3" w:rsidRDefault="00286D8E" w:rsidP="00F14EC3">
      <w:pPr>
        <w:widowControl w:val="0"/>
        <w:autoSpaceDE w:val="0"/>
        <w:autoSpaceDN w:val="0"/>
        <w:adjustRightInd w:val="0"/>
        <w:rPr>
          <w:rFonts w:cs="Arial"/>
          <w:sz w:val="22"/>
          <w:szCs w:val="22"/>
          <w:lang w:val="en-US"/>
        </w:rPr>
      </w:pPr>
    </w:p>
    <w:p w14:paraId="6703772E" w14:textId="092D2665" w:rsidR="00F14EC3" w:rsidRPr="00550AB3" w:rsidRDefault="002C7F79" w:rsidP="00F14EC3">
      <w:pPr>
        <w:widowControl w:val="0"/>
        <w:autoSpaceDE w:val="0"/>
        <w:autoSpaceDN w:val="0"/>
        <w:adjustRightInd w:val="0"/>
        <w:rPr>
          <w:rFonts w:cs="Arial"/>
          <w:sz w:val="22"/>
          <w:szCs w:val="22"/>
          <w:lang w:val="en-US"/>
        </w:rPr>
      </w:pPr>
      <w:r w:rsidRPr="00550AB3">
        <w:rPr>
          <w:rFonts w:cs="Arial"/>
          <w:sz w:val="22"/>
          <w:szCs w:val="22"/>
          <w:lang w:val="en-US"/>
        </w:rPr>
        <w:t xml:space="preserve">In ESTABLISH-2, </w:t>
      </w:r>
      <w:r w:rsidR="007D6373" w:rsidRPr="007D6373">
        <w:rPr>
          <w:rFonts w:cs="Arial"/>
          <w:i/>
          <w:sz w:val="22"/>
          <w:szCs w:val="22"/>
          <w:lang w:val="en-US"/>
        </w:rPr>
        <w:t>Staph. aureus</w:t>
      </w:r>
      <w:r w:rsidR="007D6373" w:rsidRPr="00550AB3">
        <w:rPr>
          <w:rFonts w:cs="Arial"/>
          <w:sz w:val="22"/>
          <w:szCs w:val="22"/>
          <w:lang w:val="en-US"/>
        </w:rPr>
        <w:t xml:space="preserve"> </w:t>
      </w:r>
      <w:r w:rsidRPr="00550AB3">
        <w:rPr>
          <w:rFonts w:cs="Arial"/>
          <w:sz w:val="22"/>
          <w:szCs w:val="22"/>
          <w:lang w:val="en-US"/>
        </w:rPr>
        <w:t>was the pathogenic organism identified from the primary ABSSSI in 80.2% of the tedizolid phosphate and 82.7% of the linezolid treatment group</w:t>
      </w:r>
      <w:r w:rsidR="00033F91" w:rsidRPr="00550AB3">
        <w:rPr>
          <w:rFonts w:cs="Arial"/>
          <w:sz w:val="22"/>
          <w:szCs w:val="22"/>
          <w:lang w:val="en-US"/>
        </w:rPr>
        <w:t xml:space="preserve"> (</w:t>
      </w:r>
      <w:r w:rsidR="00C2574B">
        <w:rPr>
          <w:rFonts w:cs="Arial"/>
          <w:sz w:val="22"/>
          <w:szCs w:val="22"/>
          <w:lang w:val="en-US"/>
        </w:rPr>
        <w:fldChar w:fldCharType="begin"/>
      </w:r>
      <w:r w:rsidR="00C2574B">
        <w:rPr>
          <w:rFonts w:cs="Arial"/>
          <w:sz w:val="22"/>
          <w:szCs w:val="22"/>
          <w:lang w:val="en-US"/>
        </w:rPr>
        <w:instrText xml:space="preserve"> REF _Ref284170919 \r \h </w:instrText>
      </w:r>
      <w:r w:rsidR="00C2574B">
        <w:rPr>
          <w:rFonts w:cs="Arial"/>
          <w:sz w:val="22"/>
          <w:szCs w:val="22"/>
          <w:lang w:val="en-US"/>
        </w:rPr>
      </w:r>
      <w:r w:rsidR="00C2574B">
        <w:rPr>
          <w:rFonts w:cs="Arial"/>
          <w:sz w:val="22"/>
          <w:szCs w:val="22"/>
          <w:lang w:val="en-US"/>
        </w:rPr>
        <w:fldChar w:fldCharType="separate"/>
      </w:r>
      <w:r w:rsidR="00151A1C">
        <w:rPr>
          <w:rFonts w:cs="Arial"/>
          <w:sz w:val="22"/>
          <w:szCs w:val="22"/>
          <w:lang w:val="en-US"/>
        </w:rPr>
        <w:t>40</w:t>
      </w:r>
      <w:r w:rsidR="00C2574B">
        <w:rPr>
          <w:rFonts w:cs="Arial"/>
          <w:sz w:val="22"/>
          <w:szCs w:val="22"/>
          <w:lang w:val="en-US"/>
        </w:rPr>
        <w:fldChar w:fldCharType="end"/>
      </w:r>
      <w:r w:rsidR="00033F91" w:rsidRPr="00550AB3">
        <w:rPr>
          <w:rFonts w:cs="Arial"/>
          <w:sz w:val="22"/>
          <w:szCs w:val="22"/>
          <w:lang w:val="en-US"/>
        </w:rPr>
        <w:t>)</w:t>
      </w:r>
      <w:r w:rsidRPr="00550AB3">
        <w:rPr>
          <w:rFonts w:cs="Arial"/>
          <w:sz w:val="22"/>
          <w:szCs w:val="22"/>
          <w:lang w:val="en-US"/>
        </w:rPr>
        <w:t>.</w:t>
      </w:r>
    </w:p>
    <w:p w14:paraId="5311E2D9" w14:textId="77777777" w:rsidR="00033F91" w:rsidRPr="00550AB3" w:rsidRDefault="00033F91" w:rsidP="00033F91">
      <w:pPr>
        <w:widowControl w:val="0"/>
        <w:autoSpaceDE w:val="0"/>
        <w:autoSpaceDN w:val="0"/>
        <w:adjustRightInd w:val="0"/>
        <w:rPr>
          <w:sz w:val="22"/>
          <w:szCs w:val="22"/>
        </w:rPr>
      </w:pPr>
    </w:p>
    <w:p w14:paraId="401DEF27" w14:textId="3D2A5697" w:rsidR="00033F91" w:rsidRPr="00550AB3" w:rsidRDefault="00033F91" w:rsidP="00033F91">
      <w:pPr>
        <w:widowControl w:val="0"/>
        <w:autoSpaceDE w:val="0"/>
        <w:autoSpaceDN w:val="0"/>
        <w:adjustRightInd w:val="0"/>
        <w:rPr>
          <w:sz w:val="22"/>
          <w:szCs w:val="22"/>
        </w:rPr>
      </w:pPr>
      <w:r w:rsidRPr="00550AB3">
        <w:rPr>
          <w:sz w:val="22"/>
          <w:szCs w:val="22"/>
        </w:rPr>
        <w:t>In the pooled dataset, a gram-positive pathogen was isolated from the primary infection site at Baseline in approximately 60% of patients; these patients were included in the Microbiological Intent to Treat (MITT) Analysis Set. Most pathogens were Gram-positive</w:t>
      </w:r>
      <w:r w:rsidR="00286D8E" w:rsidRPr="00550AB3">
        <w:rPr>
          <w:sz w:val="22"/>
          <w:szCs w:val="22"/>
        </w:rPr>
        <w:t xml:space="preserve"> </w:t>
      </w:r>
      <w:r w:rsidRPr="00550AB3">
        <w:rPr>
          <w:sz w:val="22"/>
          <w:szCs w:val="22"/>
        </w:rPr>
        <w:t xml:space="preserve">aerobes. </w:t>
      </w:r>
      <w:r w:rsidR="00286D8E" w:rsidRPr="00550AB3">
        <w:rPr>
          <w:sz w:val="22"/>
          <w:szCs w:val="22"/>
        </w:rPr>
        <w:t xml:space="preserve">Approximately 88% of patients in the MITT Analysis set had mono-microbial Gram-positive infection. </w:t>
      </w:r>
      <w:r w:rsidRPr="00550AB3">
        <w:rPr>
          <w:sz w:val="22"/>
          <w:szCs w:val="22"/>
        </w:rPr>
        <w:t>Of the pa</w:t>
      </w:r>
      <w:r w:rsidR="00286D8E" w:rsidRPr="00550AB3">
        <w:rPr>
          <w:sz w:val="22"/>
          <w:szCs w:val="22"/>
        </w:rPr>
        <w:t xml:space="preserve">tients in the MITT Analysis Set, </w:t>
      </w:r>
      <w:r w:rsidR="007D6373" w:rsidRPr="007D6373">
        <w:rPr>
          <w:rFonts w:cs="Arial"/>
          <w:i/>
          <w:sz w:val="22"/>
          <w:szCs w:val="22"/>
          <w:lang w:val="en-US"/>
        </w:rPr>
        <w:t>Staph. aureus</w:t>
      </w:r>
      <w:r w:rsidRPr="00550AB3">
        <w:rPr>
          <w:sz w:val="22"/>
          <w:szCs w:val="22"/>
        </w:rPr>
        <w:t xml:space="preserve"> was identified in</w:t>
      </w:r>
      <w:r w:rsidR="00286D8E" w:rsidRPr="00550AB3">
        <w:rPr>
          <w:sz w:val="22"/>
          <w:szCs w:val="22"/>
        </w:rPr>
        <w:t xml:space="preserve"> </w:t>
      </w:r>
      <w:r w:rsidRPr="00550AB3">
        <w:rPr>
          <w:sz w:val="22"/>
          <w:szCs w:val="22"/>
        </w:rPr>
        <w:t>81.0% who received tedizolid phosphate and 83.0% of patients who received linezolid.</w:t>
      </w:r>
      <w:r w:rsidR="00286D8E" w:rsidRPr="00550AB3">
        <w:rPr>
          <w:sz w:val="22"/>
          <w:szCs w:val="22"/>
        </w:rPr>
        <w:t xml:space="preserve"> </w:t>
      </w:r>
      <w:r w:rsidRPr="00550AB3">
        <w:rPr>
          <w:sz w:val="22"/>
          <w:szCs w:val="22"/>
        </w:rPr>
        <w:t>MRSA accounted for 34.7% and 35.4% of infections in the tedizolid phosphate and</w:t>
      </w:r>
      <w:r w:rsidR="00286D8E" w:rsidRPr="00550AB3">
        <w:rPr>
          <w:sz w:val="22"/>
          <w:szCs w:val="22"/>
        </w:rPr>
        <w:t xml:space="preserve"> </w:t>
      </w:r>
      <w:r w:rsidRPr="00550AB3">
        <w:rPr>
          <w:sz w:val="22"/>
          <w:szCs w:val="22"/>
        </w:rPr>
        <w:t>linezolid groups, respectively.</w:t>
      </w:r>
    </w:p>
    <w:p w14:paraId="21423380" w14:textId="77777777" w:rsidR="00286D8E" w:rsidRPr="00550AB3" w:rsidRDefault="00286D8E" w:rsidP="00F14EC3">
      <w:pPr>
        <w:widowControl w:val="0"/>
        <w:autoSpaceDE w:val="0"/>
        <w:autoSpaceDN w:val="0"/>
        <w:adjustRightInd w:val="0"/>
        <w:rPr>
          <w:rFonts w:cs="Arial"/>
          <w:sz w:val="22"/>
          <w:szCs w:val="22"/>
          <w:lang w:val="en-US"/>
        </w:rPr>
      </w:pPr>
    </w:p>
    <w:p w14:paraId="0867E6BC" w14:textId="1D08BC42" w:rsidR="00286D8E" w:rsidRPr="00550AB3" w:rsidRDefault="002C7F79" w:rsidP="00286D8E">
      <w:pPr>
        <w:pStyle w:val="EndnoteText"/>
        <w:tabs>
          <w:tab w:val="clear" w:pos="567"/>
        </w:tabs>
        <w:rPr>
          <w:rFonts w:ascii="Arial" w:hAnsi="Arial" w:cs="Arial"/>
          <w:szCs w:val="22"/>
        </w:rPr>
      </w:pPr>
      <w:r w:rsidRPr="00550AB3">
        <w:rPr>
          <w:rFonts w:ascii="Arial" w:hAnsi="Arial" w:cs="Arial"/>
          <w:szCs w:val="22"/>
          <w:lang w:val="en-US"/>
        </w:rPr>
        <w:t>Hence, a significant proportion of study participants had an MRSA-caused ABSSSI at baseline, which is the population that is the subject of this NPAF.</w:t>
      </w:r>
      <w:r w:rsidR="00286D8E" w:rsidRPr="00550AB3">
        <w:rPr>
          <w:rFonts w:ascii="Arial" w:hAnsi="Arial" w:cs="Arial"/>
          <w:szCs w:val="22"/>
          <w:lang w:val="en-US"/>
        </w:rPr>
        <w:t xml:space="preserve"> Moreover, </w:t>
      </w:r>
      <w:r w:rsidR="00286D8E" w:rsidRPr="00550AB3">
        <w:rPr>
          <w:rFonts w:ascii="Arial" w:hAnsi="Arial" w:cs="Arial"/>
          <w:szCs w:val="22"/>
        </w:rPr>
        <w:t xml:space="preserve">the </w:t>
      </w:r>
      <w:r w:rsidR="00286D8E" w:rsidRPr="002A50DC">
        <w:rPr>
          <w:rFonts w:ascii="Arial" w:hAnsi="Arial" w:cs="Arial"/>
          <w:szCs w:val="22"/>
        </w:rPr>
        <w:t xml:space="preserve">clinical </w:t>
      </w:r>
      <w:r w:rsidR="00286D8E" w:rsidRPr="002A50DC">
        <w:rPr>
          <w:rFonts w:ascii="Arial" w:hAnsi="Arial" w:cs="Arial"/>
          <w:szCs w:val="22"/>
        </w:rPr>
        <w:lastRenderedPageBreak/>
        <w:t>response rate at the PTE visit, 7-14 days after completion of therapy, was high (85%) for 178 patients</w:t>
      </w:r>
      <w:r w:rsidR="00550AB3" w:rsidRPr="002A50DC">
        <w:rPr>
          <w:rFonts w:ascii="Arial" w:hAnsi="Arial" w:cs="Arial"/>
          <w:szCs w:val="22"/>
        </w:rPr>
        <w:t xml:space="preserve"> infected with MRSA</w:t>
      </w:r>
      <w:r w:rsidR="00286D8E" w:rsidRPr="002A50DC">
        <w:rPr>
          <w:rFonts w:ascii="Arial" w:hAnsi="Arial" w:cs="Arial"/>
          <w:szCs w:val="22"/>
        </w:rPr>
        <w:t xml:space="preserve"> and similar in both the tedizolid phosphate and linezolid treatment groups.</w:t>
      </w:r>
      <w:r w:rsidR="00286D8E" w:rsidRPr="00550AB3">
        <w:rPr>
          <w:rFonts w:ascii="Arial" w:hAnsi="Arial" w:cs="Arial"/>
          <w:szCs w:val="22"/>
        </w:rPr>
        <w:t xml:space="preserve"> </w:t>
      </w:r>
    </w:p>
    <w:p w14:paraId="03CBAC02" w14:textId="77777777" w:rsidR="00286D8E" w:rsidRPr="00550AB3" w:rsidRDefault="00286D8E" w:rsidP="00F14EC3">
      <w:pPr>
        <w:widowControl w:val="0"/>
        <w:autoSpaceDE w:val="0"/>
        <w:autoSpaceDN w:val="0"/>
        <w:adjustRightInd w:val="0"/>
        <w:rPr>
          <w:rFonts w:cs="Arial"/>
          <w:sz w:val="22"/>
          <w:szCs w:val="22"/>
          <w:lang w:val="en-US"/>
        </w:rPr>
      </w:pPr>
    </w:p>
    <w:p w14:paraId="38A15068" w14:textId="644DC6B0" w:rsidR="00F14EC3" w:rsidRPr="00550AB3" w:rsidRDefault="00286D8E" w:rsidP="00286D8E">
      <w:pPr>
        <w:widowControl w:val="0"/>
        <w:autoSpaceDE w:val="0"/>
        <w:autoSpaceDN w:val="0"/>
        <w:adjustRightInd w:val="0"/>
        <w:rPr>
          <w:rFonts w:cs="Arial"/>
          <w:b/>
          <w:szCs w:val="22"/>
        </w:rPr>
      </w:pPr>
      <w:r w:rsidRPr="00550AB3">
        <w:rPr>
          <w:rFonts w:cs="Arial"/>
          <w:sz w:val="22"/>
          <w:szCs w:val="22"/>
          <w:lang w:val="en-US"/>
        </w:rPr>
        <w:t xml:space="preserve">The results and findings from both Phase 3 studies are, therefore, </w:t>
      </w:r>
      <w:r w:rsidR="00F14EC3" w:rsidRPr="00550AB3">
        <w:rPr>
          <w:rFonts w:cs="Arial"/>
          <w:sz w:val="22"/>
          <w:szCs w:val="22"/>
          <w:lang w:val="en-US"/>
        </w:rPr>
        <w:t xml:space="preserve">clinically </w:t>
      </w:r>
      <w:r w:rsidR="00A3423B" w:rsidRPr="00550AB3">
        <w:rPr>
          <w:rFonts w:cs="Arial"/>
          <w:sz w:val="22"/>
          <w:szCs w:val="22"/>
          <w:lang w:val="en-US"/>
        </w:rPr>
        <w:t>meaningf</w:t>
      </w:r>
      <w:r w:rsidRPr="00550AB3">
        <w:rPr>
          <w:rFonts w:cs="Arial"/>
          <w:sz w:val="22"/>
          <w:szCs w:val="22"/>
          <w:lang w:val="en-US"/>
        </w:rPr>
        <w:t xml:space="preserve">ul and </w:t>
      </w:r>
      <w:r w:rsidR="00F14EC3" w:rsidRPr="00550AB3">
        <w:rPr>
          <w:rFonts w:cs="Arial"/>
          <w:sz w:val="22"/>
          <w:szCs w:val="22"/>
          <w:lang w:val="en-US"/>
        </w:rPr>
        <w:t xml:space="preserve">relevant to routine clinical practice in Scotland where </w:t>
      </w:r>
      <w:r w:rsidR="007D6373" w:rsidRPr="007D6373">
        <w:rPr>
          <w:rFonts w:cs="Arial"/>
          <w:i/>
          <w:sz w:val="22"/>
          <w:szCs w:val="22"/>
          <w:lang w:val="en-US"/>
        </w:rPr>
        <w:t>Staph. aureus</w:t>
      </w:r>
      <w:r w:rsidR="00F14EC3" w:rsidRPr="00550AB3">
        <w:rPr>
          <w:rFonts w:cs="Arial"/>
          <w:sz w:val="22"/>
          <w:szCs w:val="22"/>
          <w:lang w:val="en-US"/>
        </w:rPr>
        <w:t xml:space="preserve"> and MRSA infections account for a significant percentage of healthcare-acquired infections (HAI) </w:t>
      </w:r>
      <w:r w:rsidRPr="00550AB3">
        <w:rPr>
          <w:rFonts w:cs="Arial"/>
          <w:sz w:val="22"/>
          <w:szCs w:val="22"/>
          <w:lang w:val="en-US"/>
        </w:rPr>
        <w:t xml:space="preserve">and </w:t>
      </w:r>
      <w:r w:rsidR="00D87709" w:rsidRPr="00550AB3">
        <w:rPr>
          <w:rFonts w:cs="Arial"/>
          <w:sz w:val="22"/>
          <w:szCs w:val="22"/>
        </w:rPr>
        <w:t>where</w:t>
      </w:r>
      <w:r w:rsidRPr="00550AB3">
        <w:rPr>
          <w:rFonts w:cs="Arial"/>
          <w:sz w:val="22"/>
          <w:szCs w:val="22"/>
        </w:rPr>
        <w:t xml:space="preserve"> MRSA </w:t>
      </w:r>
      <w:r w:rsidR="00D87709" w:rsidRPr="00550AB3">
        <w:rPr>
          <w:rFonts w:cs="Arial"/>
          <w:sz w:val="22"/>
          <w:szCs w:val="22"/>
        </w:rPr>
        <w:t xml:space="preserve">resistance is one of the </w:t>
      </w:r>
      <w:r w:rsidRPr="00550AB3">
        <w:rPr>
          <w:rFonts w:cs="Arial"/>
          <w:sz w:val="22"/>
          <w:szCs w:val="22"/>
        </w:rPr>
        <w:t>two major antibiotic resistance issues that confront hospitals in Scotland today (</w:t>
      </w:r>
      <w:r w:rsidR="00C2574B">
        <w:rPr>
          <w:rFonts w:cs="Arial"/>
          <w:sz w:val="22"/>
          <w:szCs w:val="22"/>
        </w:rPr>
        <w:fldChar w:fldCharType="begin"/>
      </w:r>
      <w:r w:rsidR="00C2574B">
        <w:rPr>
          <w:rFonts w:cs="Arial"/>
          <w:sz w:val="22"/>
          <w:szCs w:val="22"/>
        </w:rPr>
        <w:instrText xml:space="preserve"> REF _Ref284169623 \r \h </w:instrText>
      </w:r>
      <w:r w:rsidR="00C2574B">
        <w:rPr>
          <w:rFonts w:cs="Arial"/>
          <w:sz w:val="22"/>
          <w:szCs w:val="22"/>
        </w:rPr>
      </w:r>
      <w:r w:rsidR="00C2574B">
        <w:rPr>
          <w:rFonts w:cs="Arial"/>
          <w:sz w:val="22"/>
          <w:szCs w:val="22"/>
        </w:rPr>
        <w:fldChar w:fldCharType="separate"/>
      </w:r>
      <w:r w:rsidR="00151A1C">
        <w:rPr>
          <w:rFonts w:cs="Arial"/>
          <w:sz w:val="22"/>
          <w:szCs w:val="22"/>
        </w:rPr>
        <w:t>23</w:t>
      </w:r>
      <w:r w:rsidR="00C2574B">
        <w:rPr>
          <w:rFonts w:cs="Arial"/>
          <w:sz w:val="22"/>
          <w:szCs w:val="22"/>
        </w:rPr>
        <w:fldChar w:fldCharType="end"/>
      </w:r>
      <w:r w:rsidRPr="00550AB3">
        <w:rPr>
          <w:rFonts w:cs="Arial"/>
          <w:sz w:val="22"/>
          <w:szCs w:val="22"/>
        </w:rPr>
        <w:t>).</w:t>
      </w:r>
    </w:p>
    <w:p w14:paraId="4DB470F8" w14:textId="77777777" w:rsidR="008E4E92" w:rsidRPr="008E4E92" w:rsidRDefault="008E4E92" w:rsidP="00056629">
      <w:pPr>
        <w:pStyle w:val="EndnoteText"/>
        <w:tabs>
          <w:tab w:val="num" w:pos="567"/>
        </w:tabs>
        <w:jc w:val="both"/>
        <w:rPr>
          <w:rFonts w:ascii="Arial" w:hAnsi="Arial" w:cs="Arial"/>
          <w:szCs w:val="22"/>
        </w:rPr>
      </w:pPr>
    </w:p>
    <w:p w14:paraId="1E5EC817" w14:textId="77777777" w:rsidR="008E4E92" w:rsidRPr="00FB0D23"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FB0D23">
        <w:rPr>
          <w:rFonts w:ascii="Arial" w:hAnsi="Arial" w:cs="Arial"/>
          <w:b w:val="0"/>
          <w:i/>
          <w:color w:val="auto"/>
          <w:sz w:val="22"/>
          <w:szCs w:val="22"/>
        </w:rPr>
        <w:t>Describe any factors that may influence the applicability of study results to patients in routine clinical practice in Scotland.</w:t>
      </w:r>
    </w:p>
    <w:p w14:paraId="0A0BBE15" w14:textId="77777777" w:rsidR="00533832" w:rsidRDefault="00533832" w:rsidP="00533832">
      <w:pPr>
        <w:rPr>
          <w:color w:val="FF0000"/>
          <w:sz w:val="22"/>
          <w:szCs w:val="22"/>
        </w:rPr>
      </w:pPr>
    </w:p>
    <w:p w14:paraId="00C99C74" w14:textId="77777777" w:rsidR="00056629" w:rsidRPr="002A50DC" w:rsidRDefault="00533832" w:rsidP="0071142A">
      <w:pPr>
        <w:widowControl w:val="0"/>
        <w:autoSpaceDE w:val="0"/>
        <w:autoSpaceDN w:val="0"/>
        <w:adjustRightInd w:val="0"/>
        <w:rPr>
          <w:sz w:val="22"/>
          <w:szCs w:val="22"/>
        </w:rPr>
      </w:pPr>
      <w:r w:rsidRPr="002A50DC">
        <w:rPr>
          <w:sz w:val="22"/>
          <w:szCs w:val="22"/>
        </w:rPr>
        <w:t>No UK or Scottish participants were included in either ESTAB</w:t>
      </w:r>
      <w:r w:rsidR="0071142A" w:rsidRPr="002A50DC">
        <w:rPr>
          <w:sz w:val="22"/>
          <w:szCs w:val="22"/>
        </w:rPr>
        <w:t xml:space="preserve">LISH-1 or ESTABLISH-2. </w:t>
      </w:r>
      <w:r w:rsidR="00056629" w:rsidRPr="002A50DC">
        <w:rPr>
          <w:sz w:val="22"/>
          <w:szCs w:val="22"/>
        </w:rPr>
        <w:t>However, the manufacturer does not believe that the absence of UK or Scottish patients in the studies adversely affects the generalisability of the study results to routine clinical practice in NHS Scotland, for the following reasons:</w:t>
      </w:r>
    </w:p>
    <w:p w14:paraId="43B95DD3" w14:textId="77777777" w:rsidR="00056629" w:rsidRPr="002A50DC" w:rsidRDefault="00056629" w:rsidP="0071142A">
      <w:pPr>
        <w:widowControl w:val="0"/>
        <w:autoSpaceDE w:val="0"/>
        <w:autoSpaceDN w:val="0"/>
        <w:adjustRightInd w:val="0"/>
        <w:rPr>
          <w:sz w:val="22"/>
          <w:szCs w:val="22"/>
        </w:rPr>
      </w:pPr>
    </w:p>
    <w:p w14:paraId="4D0E1413" w14:textId="77777777" w:rsidR="00056629" w:rsidRPr="002A50DC" w:rsidRDefault="00056629" w:rsidP="00056629">
      <w:pPr>
        <w:widowControl w:val="0"/>
        <w:autoSpaceDE w:val="0"/>
        <w:autoSpaceDN w:val="0"/>
        <w:adjustRightInd w:val="0"/>
        <w:rPr>
          <w:sz w:val="22"/>
          <w:szCs w:val="22"/>
        </w:rPr>
      </w:pPr>
      <w:r w:rsidRPr="002A50DC">
        <w:rPr>
          <w:b/>
          <w:sz w:val="22"/>
          <w:szCs w:val="22"/>
        </w:rPr>
        <w:t>1. Both Phase 3</w:t>
      </w:r>
      <w:r w:rsidR="00533832" w:rsidRPr="002A50DC">
        <w:rPr>
          <w:b/>
          <w:sz w:val="22"/>
          <w:szCs w:val="22"/>
        </w:rPr>
        <w:t xml:space="preserve"> studies were conducted in a large number of centres across the world and in Europe.</w:t>
      </w:r>
      <w:r w:rsidR="00533832" w:rsidRPr="002A50DC">
        <w:rPr>
          <w:sz w:val="22"/>
          <w:szCs w:val="22"/>
        </w:rPr>
        <w:t xml:space="preserve"> </w:t>
      </w:r>
      <w:r w:rsidRPr="002A50DC">
        <w:rPr>
          <w:sz w:val="22"/>
          <w:szCs w:val="22"/>
        </w:rPr>
        <w:t>P</w:t>
      </w:r>
      <w:r w:rsidR="0071142A" w:rsidRPr="002A50DC">
        <w:rPr>
          <w:sz w:val="22"/>
          <w:szCs w:val="22"/>
        </w:rPr>
        <w:t>atients were predominantly enrolled in the US and Canada (approximately 64%), with 25% recruited in Europe and 11% in other territories. Of the European patients, the majority were recruited in non-EU countries with approximately</w:t>
      </w:r>
      <w:r w:rsidRPr="002A50DC">
        <w:rPr>
          <w:sz w:val="22"/>
          <w:szCs w:val="22"/>
        </w:rPr>
        <w:t xml:space="preserve"> </w:t>
      </w:r>
      <w:r w:rsidR="0071142A" w:rsidRPr="002A50DC">
        <w:rPr>
          <w:sz w:val="22"/>
          <w:szCs w:val="22"/>
        </w:rPr>
        <w:t>7% of study patients being enrolled within the EU.</w:t>
      </w:r>
    </w:p>
    <w:p w14:paraId="13295F12" w14:textId="77777777" w:rsidR="00056629" w:rsidRPr="002A50DC" w:rsidRDefault="00056629" w:rsidP="00056629">
      <w:pPr>
        <w:widowControl w:val="0"/>
        <w:autoSpaceDE w:val="0"/>
        <w:autoSpaceDN w:val="0"/>
        <w:adjustRightInd w:val="0"/>
        <w:rPr>
          <w:sz w:val="22"/>
          <w:szCs w:val="22"/>
        </w:rPr>
      </w:pPr>
    </w:p>
    <w:p w14:paraId="7F87E672" w14:textId="12D65C2C" w:rsidR="00533832" w:rsidRPr="002A50DC" w:rsidRDefault="00056629" w:rsidP="00056629">
      <w:pPr>
        <w:widowControl w:val="0"/>
        <w:autoSpaceDE w:val="0"/>
        <w:autoSpaceDN w:val="0"/>
        <w:adjustRightInd w:val="0"/>
        <w:rPr>
          <w:sz w:val="22"/>
          <w:szCs w:val="22"/>
        </w:rPr>
      </w:pPr>
      <w:r w:rsidRPr="002A50DC">
        <w:rPr>
          <w:b/>
          <w:sz w:val="22"/>
          <w:szCs w:val="22"/>
        </w:rPr>
        <w:t>2. Ethnicity.</w:t>
      </w:r>
      <w:r w:rsidRPr="002A50DC">
        <w:rPr>
          <w:sz w:val="22"/>
          <w:szCs w:val="22"/>
        </w:rPr>
        <w:t xml:space="preserve"> </w:t>
      </w:r>
      <w:r w:rsidR="00041336" w:rsidRPr="002A50DC">
        <w:rPr>
          <w:sz w:val="22"/>
          <w:szCs w:val="22"/>
        </w:rPr>
        <w:t>83.2</w:t>
      </w:r>
      <w:r w:rsidR="00987D72">
        <w:rPr>
          <w:sz w:val="22"/>
          <w:szCs w:val="22"/>
        </w:rPr>
        <w:t>%</w:t>
      </w:r>
      <w:r w:rsidR="00041336" w:rsidRPr="002A50DC">
        <w:rPr>
          <w:sz w:val="22"/>
          <w:szCs w:val="22"/>
        </w:rPr>
        <w:t xml:space="preserve"> </w:t>
      </w:r>
      <w:r w:rsidR="00533832" w:rsidRPr="002A50DC">
        <w:rPr>
          <w:sz w:val="22"/>
          <w:szCs w:val="22"/>
        </w:rPr>
        <w:t xml:space="preserve">of study participants in ESTABLISH-1 and </w:t>
      </w:r>
      <w:r w:rsidR="00041336" w:rsidRPr="002A50DC">
        <w:rPr>
          <w:sz w:val="22"/>
          <w:szCs w:val="22"/>
        </w:rPr>
        <w:t>85.1</w:t>
      </w:r>
      <w:r w:rsidR="00987D72">
        <w:rPr>
          <w:sz w:val="22"/>
          <w:szCs w:val="22"/>
        </w:rPr>
        <w:t>%</w:t>
      </w:r>
      <w:r w:rsidR="00041336" w:rsidRPr="002A50DC">
        <w:rPr>
          <w:sz w:val="22"/>
          <w:szCs w:val="22"/>
        </w:rPr>
        <w:t xml:space="preserve"> </w:t>
      </w:r>
      <w:r w:rsidR="00533832" w:rsidRPr="002A50DC">
        <w:rPr>
          <w:sz w:val="22"/>
          <w:szCs w:val="22"/>
        </w:rPr>
        <w:t xml:space="preserve">in ESTABLISH-2 </w:t>
      </w:r>
      <w:r w:rsidR="00041336" w:rsidRPr="002A50DC">
        <w:rPr>
          <w:sz w:val="22"/>
          <w:szCs w:val="22"/>
        </w:rPr>
        <w:t>gave their ethnicity as white (</w:t>
      </w:r>
      <w:r w:rsidR="00C2574B">
        <w:rPr>
          <w:sz w:val="22"/>
          <w:szCs w:val="22"/>
        </w:rPr>
        <w:fldChar w:fldCharType="begin"/>
      </w:r>
      <w:r w:rsidR="00C2574B">
        <w:rPr>
          <w:sz w:val="22"/>
          <w:szCs w:val="22"/>
        </w:rPr>
        <w:instrText xml:space="preserve"> REF _Ref284171334 \r \h </w:instrText>
      </w:r>
      <w:r w:rsidR="00C2574B">
        <w:rPr>
          <w:sz w:val="22"/>
          <w:szCs w:val="22"/>
        </w:rPr>
      </w:r>
      <w:r w:rsidR="00C2574B">
        <w:rPr>
          <w:sz w:val="22"/>
          <w:szCs w:val="22"/>
        </w:rPr>
        <w:fldChar w:fldCharType="separate"/>
      </w:r>
      <w:r w:rsidR="00151A1C">
        <w:rPr>
          <w:sz w:val="22"/>
          <w:szCs w:val="22"/>
        </w:rPr>
        <w:t>41</w:t>
      </w:r>
      <w:r w:rsidR="00C2574B">
        <w:rPr>
          <w:sz w:val="22"/>
          <w:szCs w:val="22"/>
        </w:rPr>
        <w:fldChar w:fldCharType="end"/>
      </w:r>
      <w:r w:rsidR="00C2574B">
        <w:rPr>
          <w:sz w:val="22"/>
          <w:szCs w:val="22"/>
        </w:rPr>
        <w:t>;</w:t>
      </w:r>
      <w:r w:rsidR="00C2574B">
        <w:rPr>
          <w:sz w:val="22"/>
          <w:szCs w:val="22"/>
        </w:rPr>
        <w:fldChar w:fldCharType="begin"/>
      </w:r>
      <w:r w:rsidR="00C2574B">
        <w:rPr>
          <w:sz w:val="22"/>
          <w:szCs w:val="22"/>
        </w:rPr>
        <w:instrText xml:space="preserve"> REF _Ref284171394 \r \h </w:instrText>
      </w:r>
      <w:r w:rsidR="00C2574B">
        <w:rPr>
          <w:sz w:val="22"/>
          <w:szCs w:val="22"/>
        </w:rPr>
      </w:r>
      <w:r w:rsidR="00C2574B">
        <w:rPr>
          <w:sz w:val="22"/>
          <w:szCs w:val="22"/>
        </w:rPr>
        <w:fldChar w:fldCharType="separate"/>
      </w:r>
      <w:r w:rsidR="00151A1C">
        <w:rPr>
          <w:sz w:val="22"/>
          <w:szCs w:val="22"/>
        </w:rPr>
        <w:t>42</w:t>
      </w:r>
      <w:r w:rsidR="00C2574B">
        <w:rPr>
          <w:sz w:val="22"/>
          <w:szCs w:val="22"/>
        </w:rPr>
        <w:fldChar w:fldCharType="end"/>
      </w:r>
      <w:r w:rsidR="00041336" w:rsidRPr="002A50DC">
        <w:rPr>
          <w:sz w:val="22"/>
          <w:szCs w:val="22"/>
        </w:rPr>
        <w:t xml:space="preserve">). Overall, </w:t>
      </w:r>
      <w:r w:rsidR="00533832" w:rsidRPr="002A50DC">
        <w:rPr>
          <w:sz w:val="22"/>
          <w:szCs w:val="22"/>
        </w:rPr>
        <w:t xml:space="preserve">ESTABLISH-2 enrolled substantially more European patients than ESTABLISH-1. </w:t>
      </w:r>
    </w:p>
    <w:p w14:paraId="1BA093CF" w14:textId="77777777" w:rsidR="00533832" w:rsidRPr="002A50DC" w:rsidRDefault="00533832" w:rsidP="00533832">
      <w:pPr>
        <w:rPr>
          <w:sz w:val="22"/>
          <w:szCs w:val="22"/>
        </w:rPr>
      </w:pPr>
    </w:p>
    <w:p w14:paraId="369C70DB" w14:textId="04953199" w:rsidR="009E7B4D" w:rsidRPr="002A50DC" w:rsidRDefault="00056629" w:rsidP="00533832">
      <w:pPr>
        <w:rPr>
          <w:sz w:val="22"/>
          <w:szCs w:val="22"/>
        </w:rPr>
      </w:pPr>
      <w:r w:rsidRPr="002A50DC">
        <w:rPr>
          <w:b/>
          <w:sz w:val="22"/>
          <w:szCs w:val="22"/>
        </w:rPr>
        <w:t>3. Enrolled pati</w:t>
      </w:r>
      <w:r w:rsidR="00E606B0">
        <w:rPr>
          <w:b/>
          <w:sz w:val="22"/>
          <w:szCs w:val="22"/>
        </w:rPr>
        <w:t>ents had an FDA-defined ABSSI at</w:t>
      </w:r>
      <w:r w:rsidRPr="002A50DC">
        <w:rPr>
          <w:b/>
          <w:sz w:val="22"/>
          <w:szCs w:val="22"/>
        </w:rPr>
        <w:t xml:space="preserve"> Baseline</w:t>
      </w:r>
      <w:r w:rsidRPr="002A50DC">
        <w:rPr>
          <w:sz w:val="22"/>
          <w:szCs w:val="22"/>
        </w:rPr>
        <w:t>. P</w:t>
      </w:r>
      <w:r w:rsidR="0071142A" w:rsidRPr="002A50DC">
        <w:rPr>
          <w:sz w:val="22"/>
          <w:szCs w:val="22"/>
        </w:rPr>
        <w:t>atients were e</w:t>
      </w:r>
      <w:r w:rsidR="009E7B4D" w:rsidRPr="002A50DC">
        <w:rPr>
          <w:sz w:val="22"/>
          <w:szCs w:val="22"/>
        </w:rPr>
        <w:t xml:space="preserve">nrolled </w:t>
      </w:r>
      <w:r w:rsidR="0071142A" w:rsidRPr="002A50DC">
        <w:rPr>
          <w:sz w:val="22"/>
          <w:szCs w:val="22"/>
        </w:rPr>
        <w:t>if they had an ABSSSI at Baseline</w:t>
      </w:r>
      <w:r w:rsidRPr="002A50DC">
        <w:rPr>
          <w:sz w:val="22"/>
          <w:szCs w:val="22"/>
        </w:rPr>
        <w:t xml:space="preserve"> according to the </w:t>
      </w:r>
      <w:r w:rsidR="009E7B4D" w:rsidRPr="002A50DC">
        <w:rPr>
          <w:sz w:val="22"/>
          <w:szCs w:val="22"/>
        </w:rPr>
        <w:t>FDA definition</w:t>
      </w:r>
      <w:r w:rsidR="00373A3B">
        <w:rPr>
          <w:sz w:val="22"/>
          <w:szCs w:val="22"/>
        </w:rPr>
        <w:t>.</w:t>
      </w:r>
      <w:r w:rsidR="0071142A" w:rsidRPr="002A50DC">
        <w:rPr>
          <w:sz w:val="22"/>
          <w:szCs w:val="22"/>
        </w:rPr>
        <w:t xml:space="preserve"> </w:t>
      </w:r>
      <w:r w:rsidR="00373A3B">
        <w:rPr>
          <w:sz w:val="22"/>
          <w:szCs w:val="22"/>
        </w:rPr>
        <w:t>The FDA definition of ABSSSI has recently been accepted by the EMA and</w:t>
      </w:r>
      <w:r w:rsidR="0071142A" w:rsidRPr="002A50DC">
        <w:rPr>
          <w:sz w:val="22"/>
          <w:szCs w:val="22"/>
        </w:rPr>
        <w:t xml:space="preserve"> matches the expected</w:t>
      </w:r>
      <w:r w:rsidR="00373A3B">
        <w:rPr>
          <w:sz w:val="22"/>
          <w:szCs w:val="22"/>
        </w:rPr>
        <w:t xml:space="preserve"> EU</w:t>
      </w:r>
      <w:r w:rsidR="0071142A" w:rsidRPr="002A50DC">
        <w:rPr>
          <w:sz w:val="22"/>
          <w:szCs w:val="22"/>
        </w:rPr>
        <w:t xml:space="preserve"> indication </w:t>
      </w:r>
      <w:r w:rsidR="00373A3B">
        <w:rPr>
          <w:sz w:val="22"/>
          <w:szCs w:val="22"/>
        </w:rPr>
        <w:t xml:space="preserve">and licensed patient population for tedizolid phosphate. </w:t>
      </w:r>
    </w:p>
    <w:p w14:paraId="2BFBD4C4" w14:textId="77777777" w:rsidR="0071142A" w:rsidRPr="002A50DC" w:rsidRDefault="0071142A" w:rsidP="00533832">
      <w:pPr>
        <w:rPr>
          <w:sz w:val="22"/>
          <w:szCs w:val="22"/>
        </w:rPr>
      </w:pPr>
    </w:p>
    <w:p w14:paraId="091F8352" w14:textId="5CCB36B6" w:rsidR="00056629" w:rsidRPr="002A50DC" w:rsidRDefault="00056629" w:rsidP="00056629">
      <w:pPr>
        <w:widowControl w:val="0"/>
        <w:autoSpaceDE w:val="0"/>
        <w:autoSpaceDN w:val="0"/>
        <w:adjustRightInd w:val="0"/>
        <w:rPr>
          <w:sz w:val="22"/>
          <w:szCs w:val="22"/>
        </w:rPr>
      </w:pPr>
      <w:r w:rsidRPr="002A50DC">
        <w:rPr>
          <w:sz w:val="22"/>
          <w:szCs w:val="22"/>
        </w:rPr>
        <w:t xml:space="preserve">Patients were required to have a diagnosis of either severe cellulitis/erysipelas, major </w:t>
      </w:r>
      <w:r w:rsidRPr="002A50DC">
        <w:rPr>
          <w:sz w:val="22"/>
          <w:szCs w:val="22"/>
        </w:rPr>
        <w:lastRenderedPageBreak/>
        <w:t xml:space="preserve">cutaneous abscess, or wound infection </w:t>
      </w:r>
      <w:r w:rsidRPr="002A50DC">
        <w:rPr>
          <w:rFonts w:cs="0ß˝øÔj‘"/>
          <w:sz w:val="22"/>
          <w:szCs w:val="22"/>
        </w:rPr>
        <w:t>with a minimum total lesion area of ≥75 cm</w:t>
      </w:r>
      <w:r w:rsidRPr="002A50DC">
        <w:rPr>
          <w:sz w:val="22"/>
          <w:szCs w:val="22"/>
        </w:rPr>
        <w:t>2 in each case. In each infection type, the protocols required the presence of a minimum number and type of local, regional, or systemic signs</w:t>
      </w:r>
      <w:r w:rsidR="008D22DF" w:rsidRPr="002A50DC">
        <w:rPr>
          <w:sz w:val="22"/>
          <w:szCs w:val="22"/>
        </w:rPr>
        <w:t xml:space="preserve"> of infection</w:t>
      </w:r>
      <w:r w:rsidRPr="002A50DC">
        <w:rPr>
          <w:sz w:val="22"/>
          <w:szCs w:val="22"/>
        </w:rPr>
        <w:t>. With regard to regional/systemic signs, patients</w:t>
      </w:r>
      <w:r w:rsidR="008D22DF" w:rsidRPr="002A50DC">
        <w:rPr>
          <w:sz w:val="22"/>
          <w:szCs w:val="22"/>
        </w:rPr>
        <w:t xml:space="preserve"> </w:t>
      </w:r>
      <w:r w:rsidRPr="002A50DC">
        <w:rPr>
          <w:sz w:val="22"/>
          <w:szCs w:val="22"/>
        </w:rPr>
        <w:t>were required to exhibit at least one of: lymphadenopathy (regional); fever (systemic);</w:t>
      </w:r>
      <w:r w:rsidR="008D22DF" w:rsidRPr="002A50DC">
        <w:rPr>
          <w:sz w:val="22"/>
          <w:szCs w:val="22"/>
        </w:rPr>
        <w:t xml:space="preserve"> </w:t>
      </w:r>
      <w:r w:rsidRPr="002A50DC">
        <w:rPr>
          <w:sz w:val="22"/>
          <w:szCs w:val="22"/>
        </w:rPr>
        <w:t xml:space="preserve">abnormal white blood cell count (systemic); </w:t>
      </w:r>
      <w:r w:rsidR="008D22DF" w:rsidRPr="002A50DC">
        <w:rPr>
          <w:sz w:val="22"/>
          <w:szCs w:val="22"/>
        </w:rPr>
        <w:t xml:space="preserve">or elevated immature neutrophil </w:t>
      </w:r>
      <w:r w:rsidRPr="002A50DC">
        <w:rPr>
          <w:sz w:val="22"/>
          <w:szCs w:val="22"/>
        </w:rPr>
        <w:t>count</w:t>
      </w:r>
      <w:r w:rsidR="008D22DF" w:rsidRPr="002A50DC">
        <w:rPr>
          <w:sz w:val="22"/>
          <w:szCs w:val="22"/>
        </w:rPr>
        <w:t xml:space="preserve"> </w:t>
      </w:r>
      <w:r w:rsidRPr="002A50DC">
        <w:rPr>
          <w:sz w:val="22"/>
          <w:szCs w:val="22"/>
        </w:rPr>
        <w:t>(systemic).</w:t>
      </w:r>
    </w:p>
    <w:p w14:paraId="7AFEC67F" w14:textId="77777777" w:rsidR="008D22DF" w:rsidRPr="002A50DC" w:rsidRDefault="008D22DF" w:rsidP="00056629">
      <w:pPr>
        <w:widowControl w:val="0"/>
        <w:autoSpaceDE w:val="0"/>
        <w:autoSpaceDN w:val="0"/>
        <w:adjustRightInd w:val="0"/>
        <w:rPr>
          <w:sz w:val="22"/>
          <w:szCs w:val="22"/>
        </w:rPr>
      </w:pPr>
    </w:p>
    <w:p w14:paraId="53E5BE19" w14:textId="183BBAC7" w:rsidR="00056629" w:rsidRPr="002A50DC" w:rsidRDefault="00056629" w:rsidP="00056629">
      <w:pPr>
        <w:widowControl w:val="0"/>
        <w:autoSpaceDE w:val="0"/>
        <w:autoSpaceDN w:val="0"/>
        <w:adjustRightInd w:val="0"/>
        <w:rPr>
          <w:sz w:val="22"/>
          <w:szCs w:val="22"/>
        </w:rPr>
      </w:pPr>
      <w:r w:rsidRPr="002A50DC">
        <w:rPr>
          <w:sz w:val="22"/>
          <w:szCs w:val="22"/>
        </w:rPr>
        <w:t>Within the resulting patient populations, in the tedizolid phosphate and linezolid groups</w:t>
      </w:r>
      <w:r w:rsidR="008D22DF" w:rsidRPr="002A50DC">
        <w:rPr>
          <w:sz w:val="22"/>
          <w:szCs w:val="22"/>
        </w:rPr>
        <w:t xml:space="preserve"> </w:t>
      </w:r>
      <w:r w:rsidRPr="002A50DC">
        <w:rPr>
          <w:sz w:val="22"/>
          <w:szCs w:val="22"/>
        </w:rPr>
        <w:t>respectively, 45.3% versus 45.9% of patients had cellulitis/erysipelas, 25.3% versus</w:t>
      </w:r>
    </w:p>
    <w:p w14:paraId="26164DE8" w14:textId="7EC46605" w:rsidR="00056629" w:rsidRPr="002A50DC" w:rsidRDefault="00056629" w:rsidP="00056629">
      <w:pPr>
        <w:widowControl w:val="0"/>
        <w:autoSpaceDE w:val="0"/>
        <w:autoSpaceDN w:val="0"/>
        <w:adjustRightInd w:val="0"/>
        <w:rPr>
          <w:sz w:val="22"/>
          <w:szCs w:val="22"/>
        </w:rPr>
      </w:pPr>
      <w:r w:rsidRPr="002A50DC">
        <w:rPr>
          <w:sz w:val="22"/>
          <w:szCs w:val="22"/>
        </w:rPr>
        <w:t>24.8% had major cutaneous abscess, and 29.4% ve</w:t>
      </w:r>
      <w:r w:rsidR="008D22DF" w:rsidRPr="002A50DC">
        <w:rPr>
          <w:sz w:val="22"/>
          <w:szCs w:val="22"/>
        </w:rPr>
        <w:t xml:space="preserve">rsus 29.3% had wound infection, </w:t>
      </w:r>
      <w:r w:rsidRPr="002A50DC">
        <w:rPr>
          <w:sz w:val="22"/>
          <w:szCs w:val="22"/>
        </w:rPr>
        <w:t>respectively. Of the wound infections, 96.4% had occurred in post-traumatic wounds and</w:t>
      </w:r>
    </w:p>
    <w:p w14:paraId="797BD63F" w14:textId="40CD4113" w:rsidR="00056629" w:rsidRPr="002A50DC" w:rsidRDefault="008D22DF" w:rsidP="008D22DF">
      <w:pPr>
        <w:widowControl w:val="0"/>
        <w:autoSpaceDE w:val="0"/>
        <w:autoSpaceDN w:val="0"/>
        <w:adjustRightInd w:val="0"/>
        <w:rPr>
          <w:sz w:val="22"/>
          <w:szCs w:val="22"/>
        </w:rPr>
      </w:pPr>
      <w:r w:rsidRPr="002A50DC">
        <w:rPr>
          <w:sz w:val="22"/>
          <w:szCs w:val="22"/>
        </w:rPr>
        <w:t xml:space="preserve">3.6% in surgical wounds. </w:t>
      </w:r>
      <w:r w:rsidR="00056629" w:rsidRPr="002A50DC">
        <w:rPr>
          <w:sz w:val="22"/>
          <w:szCs w:val="22"/>
        </w:rPr>
        <w:t>The proportion of patients with</w:t>
      </w:r>
      <w:r w:rsidRPr="002A50DC">
        <w:rPr>
          <w:sz w:val="22"/>
          <w:szCs w:val="22"/>
        </w:rPr>
        <w:t xml:space="preserve"> </w:t>
      </w:r>
      <w:r w:rsidR="00056629" w:rsidRPr="002A50DC">
        <w:rPr>
          <w:sz w:val="22"/>
          <w:szCs w:val="22"/>
        </w:rPr>
        <w:t>abscess is consistent with current guidelines that recommend a maximum of</w:t>
      </w:r>
      <w:r w:rsidRPr="002A50DC">
        <w:rPr>
          <w:sz w:val="22"/>
          <w:szCs w:val="22"/>
        </w:rPr>
        <w:t xml:space="preserve"> </w:t>
      </w:r>
      <w:r w:rsidR="00056629" w:rsidRPr="002A50DC">
        <w:rPr>
          <w:sz w:val="22"/>
          <w:szCs w:val="22"/>
        </w:rPr>
        <w:t>approximately 30% of such patients in a study of antibacterial therapy in cSSTI</w:t>
      </w:r>
      <w:r w:rsidRPr="002A50DC">
        <w:rPr>
          <w:sz w:val="22"/>
          <w:szCs w:val="22"/>
        </w:rPr>
        <w:t xml:space="preserve"> </w:t>
      </w:r>
      <w:r w:rsidR="00056629" w:rsidRPr="002A50DC">
        <w:rPr>
          <w:sz w:val="22"/>
          <w:szCs w:val="22"/>
        </w:rPr>
        <w:t>(</w:t>
      </w:r>
      <w:r w:rsidR="00C2574B">
        <w:rPr>
          <w:sz w:val="22"/>
          <w:szCs w:val="22"/>
        </w:rPr>
        <w:fldChar w:fldCharType="begin"/>
      </w:r>
      <w:r w:rsidR="00C2574B">
        <w:rPr>
          <w:sz w:val="22"/>
          <w:szCs w:val="22"/>
        </w:rPr>
        <w:instrText xml:space="preserve"> REF _Ref284171496 \r \h </w:instrText>
      </w:r>
      <w:r w:rsidR="00C2574B">
        <w:rPr>
          <w:sz w:val="22"/>
          <w:szCs w:val="22"/>
        </w:rPr>
      </w:r>
      <w:r w:rsidR="00C2574B">
        <w:rPr>
          <w:sz w:val="22"/>
          <w:szCs w:val="22"/>
        </w:rPr>
        <w:fldChar w:fldCharType="separate"/>
      </w:r>
      <w:r w:rsidR="00151A1C">
        <w:rPr>
          <w:sz w:val="22"/>
          <w:szCs w:val="22"/>
        </w:rPr>
        <w:t>42</w:t>
      </w:r>
      <w:r w:rsidR="00C2574B">
        <w:rPr>
          <w:sz w:val="22"/>
          <w:szCs w:val="22"/>
        </w:rPr>
        <w:fldChar w:fldCharType="end"/>
      </w:r>
      <w:r w:rsidR="00056629" w:rsidRPr="002A50DC">
        <w:rPr>
          <w:sz w:val="22"/>
          <w:szCs w:val="22"/>
        </w:rPr>
        <w:t>).</w:t>
      </w:r>
    </w:p>
    <w:p w14:paraId="1ED73862" w14:textId="77777777" w:rsidR="00056629" w:rsidRPr="002A50DC" w:rsidRDefault="00056629" w:rsidP="00056629">
      <w:pPr>
        <w:rPr>
          <w:b/>
          <w:sz w:val="22"/>
          <w:szCs w:val="22"/>
        </w:rPr>
      </w:pPr>
    </w:p>
    <w:p w14:paraId="198E3346" w14:textId="77FC1F72" w:rsidR="009E7B4D" w:rsidRPr="002A50DC" w:rsidRDefault="00BF379E" w:rsidP="00BF379E">
      <w:pPr>
        <w:widowControl w:val="0"/>
        <w:autoSpaceDE w:val="0"/>
        <w:autoSpaceDN w:val="0"/>
        <w:adjustRightInd w:val="0"/>
        <w:rPr>
          <w:sz w:val="22"/>
          <w:szCs w:val="22"/>
        </w:rPr>
      </w:pPr>
      <w:r w:rsidRPr="002A50DC">
        <w:rPr>
          <w:b/>
          <w:sz w:val="22"/>
          <w:szCs w:val="22"/>
        </w:rPr>
        <w:t>4. No meaningful differences between treatment groups.</w:t>
      </w:r>
      <w:r w:rsidRPr="002A50DC">
        <w:rPr>
          <w:sz w:val="22"/>
          <w:szCs w:val="22"/>
        </w:rPr>
        <w:t xml:space="preserve"> </w:t>
      </w:r>
      <w:r w:rsidR="00056629" w:rsidRPr="002A50DC">
        <w:rPr>
          <w:sz w:val="22"/>
          <w:szCs w:val="22"/>
        </w:rPr>
        <w:t>There were no meaningful differences between the tedizolid phosphate and linezolid</w:t>
      </w:r>
      <w:r w:rsidRPr="002A50DC">
        <w:rPr>
          <w:sz w:val="22"/>
          <w:szCs w:val="22"/>
        </w:rPr>
        <w:t xml:space="preserve"> </w:t>
      </w:r>
      <w:r w:rsidR="00056629" w:rsidRPr="002A50DC">
        <w:rPr>
          <w:sz w:val="22"/>
          <w:szCs w:val="22"/>
        </w:rPr>
        <w:t>treatment groups in the baseline assessments of the primary infection site, or of local,</w:t>
      </w:r>
      <w:r w:rsidRPr="002A50DC">
        <w:rPr>
          <w:sz w:val="22"/>
          <w:szCs w:val="22"/>
        </w:rPr>
        <w:t xml:space="preserve"> </w:t>
      </w:r>
      <w:r w:rsidR="00056629" w:rsidRPr="002A50DC">
        <w:rPr>
          <w:sz w:val="22"/>
          <w:szCs w:val="22"/>
        </w:rPr>
        <w:t>regional or systemic signs in either of the Phase 3 studies</w:t>
      </w:r>
      <w:r w:rsidR="008D22DF" w:rsidRPr="002A50DC">
        <w:rPr>
          <w:sz w:val="22"/>
          <w:szCs w:val="22"/>
        </w:rPr>
        <w:t xml:space="preserve">. </w:t>
      </w:r>
      <w:r w:rsidR="009E7B4D" w:rsidRPr="002A50DC">
        <w:rPr>
          <w:sz w:val="22"/>
          <w:szCs w:val="22"/>
        </w:rPr>
        <w:t>The</w:t>
      </w:r>
      <w:r w:rsidR="0071142A" w:rsidRPr="002A50DC">
        <w:rPr>
          <w:sz w:val="22"/>
          <w:szCs w:val="22"/>
        </w:rPr>
        <w:t xml:space="preserve"> </w:t>
      </w:r>
      <w:r w:rsidR="009E7B4D" w:rsidRPr="002A50DC">
        <w:rPr>
          <w:sz w:val="22"/>
          <w:szCs w:val="22"/>
        </w:rPr>
        <w:t>inclusion and exclusion criteria wer</w:t>
      </w:r>
      <w:r w:rsidRPr="002A50DC">
        <w:rPr>
          <w:sz w:val="22"/>
          <w:szCs w:val="22"/>
        </w:rPr>
        <w:t>e applied uniformly and randomis</w:t>
      </w:r>
      <w:r w:rsidR="009E7B4D" w:rsidRPr="002A50DC">
        <w:rPr>
          <w:sz w:val="22"/>
          <w:szCs w:val="22"/>
        </w:rPr>
        <w:t>ation, with</w:t>
      </w:r>
      <w:r w:rsidR="008D22DF" w:rsidRPr="002A50DC">
        <w:rPr>
          <w:sz w:val="22"/>
          <w:szCs w:val="22"/>
        </w:rPr>
        <w:t xml:space="preserve"> </w:t>
      </w:r>
      <w:r w:rsidR="009E7B4D" w:rsidRPr="002A50DC">
        <w:rPr>
          <w:sz w:val="22"/>
          <w:szCs w:val="22"/>
        </w:rPr>
        <w:t>stratification based on geographical region, resulted in balance between the tedizolid</w:t>
      </w:r>
      <w:r w:rsidR="008D22DF" w:rsidRPr="002A50DC">
        <w:rPr>
          <w:sz w:val="22"/>
          <w:szCs w:val="22"/>
        </w:rPr>
        <w:t xml:space="preserve"> </w:t>
      </w:r>
      <w:r w:rsidR="009E7B4D" w:rsidRPr="002A50DC">
        <w:rPr>
          <w:sz w:val="22"/>
          <w:szCs w:val="22"/>
        </w:rPr>
        <w:t xml:space="preserve">phosphate and linezolid treatment groups across regions. In addition, </w:t>
      </w:r>
      <w:r w:rsidR="0071142A" w:rsidRPr="002A50DC">
        <w:rPr>
          <w:sz w:val="22"/>
          <w:szCs w:val="22"/>
        </w:rPr>
        <w:t>population pharmacokinetic</w:t>
      </w:r>
      <w:r w:rsidR="009E7B4D" w:rsidRPr="002A50DC">
        <w:rPr>
          <w:sz w:val="22"/>
          <w:szCs w:val="22"/>
        </w:rPr>
        <w:t xml:space="preserve"> analysis did not identify any clinically significant patient</w:t>
      </w:r>
      <w:r w:rsidR="008D22DF" w:rsidRPr="002A50DC">
        <w:rPr>
          <w:sz w:val="22"/>
          <w:szCs w:val="22"/>
        </w:rPr>
        <w:t xml:space="preserve"> </w:t>
      </w:r>
      <w:r w:rsidR="009E7B4D" w:rsidRPr="002A50DC">
        <w:rPr>
          <w:sz w:val="22"/>
          <w:szCs w:val="22"/>
        </w:rPr>
        <w:t xml:space="preserve">covariates that affected the </w:t>
      </w:r>
      <w:r w:rsidR="00021F54">
        <w:rPr>
          <w:sz w:val="22"/>
          <w:szCs w:val="22"/>
        </w:rPr>
        <w:t>pharmacokinetics</w:t>
      </w:r>
      <w:r w:rsidR="009E7B4D" w:rsidRPr="002A50DC">
        <w:rPr>
          <w:sz w:val="22"/>
          <w:szCs w:val="22"/>
        </w:rPr>
        <w:t xml:space="preserve"> of tedizolid.</w:t>
      </w:r>
    </w:p>
    <w:p w14:paraId="329B8A3F" w14:textId="77777777" w:rsidR="009E7B4D" w:rsidRPr="002A50DC" w:rsidRDefault="009E7B4D" w:rsidP="009E7B4D">
      <w:pPr>
        <w:rPr>
          <w:sz w:val="22"/>
          <w:szCs w:val="22"/>
        </w:rPr>
      </w:pPr>
    </w:p>
    <w:p w14:paraId="618C0E2B" w14:textId="3F233107" w:rsidR="008D22DF" w:rsidRPr="002A50DC" w:rsidRDefault="009E7B4D" w:rsidP="006619AE">
      <w:pPr>
        <w:widowControl w:val="0"/>
        <w:autoSpaceDE w:val="0"/>
        <w:autoSpaceDN w:val="0"/>
        <w:adjustRightInd w:val="0"/>
        <w:rPr>
          <w:sz w:val="22"/>
          <w:szCs w:val="22"/>
        </w:rPr>
      </w:pPr>
      <w:r w:rsidRPr="002A50DC">
        <w:rPr>
          <w:sz w:val="22"/>
          <w:szCs w:val="22"/>
        </w:rPr>
        <w:t>On the basis of the local, regional and systemic sign and symptoms, and the</w:t>
      </w:r>
      <w:r w:rsidR="006619AE" w:rsidRPr="002A50DC">
        <w:rPr>
          <w:sz w:val="22"/>
          <w:szCs w:val="22"/>
        </w:rPr>
        <w:t xml:space="preserve"> </w:t>
      </w:r>
      <w:r w:rsidRPr="002A50DC">
        <w:rPr>
          <w:sz w:val="22"/>
          <w:szCs w:val="22"/>
        </w:rPr>
        <w:t>microbiological findings in the study populations, the patients recruited into the Phase 3 studies can be reasonably regarded as having infections of a severity necessitating</w:t>
      </w:r>
      <w:r w:rsidR="006619AE" w:rsidRPr="002A50DC">
        <w:rPr>
          <w:sz w:val="22"/>
          <w:szCs w:val="22"/>
        </w:rPr>
        <w:t xml:space="preserve"> </w:t>
      </w:r>
      <w:r w:rsidRPr="002A50DC">
        <w:rPr>
          <w:sz w:val="22"/>
          <w:szCs w:val="22"/>
        </w:rPr>
        <w:t>intervention with antibiotic therapy</w:t>
      </w:r>
      <w:r w:rsidR="008D22DF" w:rsidRPr="002A50DC">
        <w:rPr>
          <w:sz w:val="22"/>
          <w:szCs w:val="22"/>
        </w:rPr>
        <w:t>. I</w:t>
      </w:r>
      <w:r w:rsidR="00533832" w:rsidRPr="002A50DC">
        <w:rPr>
          <w:sz w:val="22"/>
          <w:szCs w:val="22"/>
        </w:rPr>
        <w:t xml:space="preserve">n </w:t>
      </w:r>
      <w:r w:rsidR="008D22DF" w:rsidRPr="002A50DC">
        <w:rPr>
          <w:sz w:val="22"/>
          <w:szCs w:val="22"/>
        </w:rPr>
        <w:t>addition, taking into account the presence of a significant proportion of MRSA infections, the</w:t>
      </w:r>
      <w:r w:rsidR="00533832" w:rsidRPr="002A50DC">
        <w:rPr>
          <w:sz w:val="22"/>
          <w:szCs w:val="22"/>
        </w:rPr>
        <w:t xml:space="preserve"> study participants are </w:t>
      </w:r>
      <w:r w:rsidR="008D22DF" w:rsidRPr="002A50DC">
        <w:rPr>
          <w:sz w:val="22"/>
          <w:szCs w:val="22"/>
        </w:rPr>
        <w:t xml:space="preserve">believed to be </w:t>
      </w:r>
      <w:r w:rsidR="00533832" w:rsidRPr="002A50DC">
        <w:rPr>
          <w:sz w:val="22"/>
          <w:szCs w:val="22"/>
        </w:rPr>
        <w:t xml:space="preserve">representative of the </w:t>
      </w:r>
      <w:r w:rsidR="008D22DF" w:rsidRPr="002A50DC">
        <w:rPr>
          <w:sz w:val="22"/>
          <w:szCs w:val="22"/>
        </w:rPr>
        <w:t>treatable patient population</w:t>
      </w:r>
      <w:r w:rsidR="00533832" w:rsidRPr="002A50DC">
        <w:rPr>
          <w:sz w:val="22"/>
          <w:szCs w:val="22"/>
        </w:rPr>
        <w:t xml:space="preserve"> in Scotland. </w:t>
      </w:r>
    </w:p>
    <w:p w14:paraId="3E4A9522" w14:textId="77777777" w:rsidR="008D22DF" w:rsidRPr="002A50DC" w:rsidRDefault="008D22DF" w:rsidP="00533832">
      <w:pPr>
        <w:rPr>
          <w:sz w:val="22"/>
          <w:szCs w:val="22"/>
        </w:rPr>
      </w:pPr>
    </w:p>
    <w:p w14:paraId="06A19087" w14:textId="1677E7BE" w:rsidR="00374E4A" w:rsidRPr="002A50DC" w:rsidRDefault="00374E4A" w:rsidP="00374E4A">
      <w:pPr>
        <w:rPr>
          <w:b/>
        </w:rPr>
      </w:pPr>
      <w:r>
        <w:rPr>
          <w:sz w:val="22"/>
          <w:szCs w:val="22"/>
        </w:rPr>
        <w:t xml:space="preserve">A recent analysis in Scotland </w:t>
      </w:r>
      <w:r w:rsidR="003F0763">
        <w:rPr>
          <w:sz w:val="22"/>
          <w:szCs w:val="22"/>
        </w:rPr>
        <w:t>suggests</w:t>
      </w:r>
      <w:r>
        <w:rPr>
          <w:sz w:val="22"/>
          <w:szCs w:val="22"/>
        </w:rPr>
        <w:t xml:space="preserve"> that the populations included in the Phase 3 tedizolid phosphate studies are representative of the ABSSSI patients typically seen in the NHS</w:t>
      </w:r>
      <w:r w:rsidR="003F1358">
        <w:rPr>
          <w:sz w:val="22"/>
          <w:szCs w:val="22"/>
        </w:rPr>
        <w:t xml:space="preserve"> in Scotland (</w:t>
      </w:r>
      <w:r w:rsidR="00C2574B">
        <w:rPr>
          <w:sz w:val="22"/>
          <w:szCs w:val="22"/>
        </w:rPr>
        <w:fldChar w:fldCharType="begin"/>
      </w:r>
      <w:r w:rsidR="00C2574B">
        <w:rPr>
          <w:sz w:val="22"/>
          <w:szCs w:val="22"/>
        </w:rPr>
        <w:instrText xml:space="preserve"> REF _Ref284169362 \r \h </w:instrText>
      </w:r>
      <w:r w:rsidR="00C2574B">
        <w:rPr>
          <w:sz w:val="22"/>
          <w:szCs w:val="22"/>
        </w:rPr>
      </w:r>
      <w:r w:rsidR="00C2574B">
        <w:rPr>
          <w:sz w:val="22"/>
          <w:szCs w:val="22"/>
        </w:rPr>
        <w:fldChar w:fldCharType="separate"/>
      </w:r>
      <w:r w:rsidR="00151A1C">
        <w:rPr>
          <w:sz w:val="22"/>
          <w:szCs w:val="22"/>
        </w:rPr>
        <w:t>20</w:t>
      </w:r>
      <w:r w:rsidR="00C2574B">
        <w:rPr>
          <w:sz w:val="22"/>
          <w:szCs w:val="22"/>
        </w:rPr>
        <w:fldChar w:fldCharType="end"/>
      </w:r>
      <w:r>
        <w:rPr>
          <w:sz w:val="22"/>
          <w:szCs w:val="22"/>
        </w:rPr>
        <w:t>).</w:t>
      </w:r>
      <w:r w:rsidR="003F0763">
        <w:rPr>
          <w:sz w:val="22"/>
          <w:szCs w:val="22"/>
        </w:rPr>
        <w:t xml:space="preserve"> Seaton and colleagues set out to explore the relative healthcare costs of earlier discharge of adults with MRSA-associated SSTI and reviewed the case </w:t>
      </w:r>
      <w:r w:rsidR="003F0763">
        <w:rPr>
          <w:sz w:val="22"/>
          <w:szCs w:val="22"/>
        </w:rPr>
        <w:lastRenderedPageBreak/>
        <w:t xml:space="preserve">notes of 173 adult patients admitted to Glasgow hospitals retrospectively identified with MRSA SSTI. 54% (n=93) of patients were female, with a median age of 68 years (range 17-98). </w:t>
      </w:r>
      <w:r w:rsidR="00053234">
        <w:rPr>
          <w:sz w:val="22"/>
          <w:szCs w:val="22"/>
        </w:rPr>
        <w:t xml:space="preserve">Surgical site infections were the most common (44.5%, n=77), followed by cellulitis (23.7%, n=41). </w:t>
      </w:r>
    </w:p>
    <w:p w14:paraId="42FE588C" w14:textId="77777777" w:rsidR="00DE4EAF" w:rsidRPr="00533832" w:rsidRDefault="00DE4EAF" w:rsidP="00533832">
      <w:pPr>
        <w:rPr>
          <w:color w:val="FF0000"/>
          <w:sz w:val="22"/>
          <w:szCs w:val="22"/>
        </w:rPr>
      </w:pPr>
    </w:p>
    <w:p w14:paraId="63558B1D" w14:textId="77777777" w:rsidR="008E4E92" w:rsidRPr="00FB0D23" w:rsidRDefault="008E4E92" w:rsidP="008E4E92">
      <w:pPr>
        <w:jc w:val="both"/>
        <w:rPr>
          <w:rFonts w:cs="Arial"/>
          <w:i/>
          <w:sz w:val="22"/>
          <w:szCs w:val="22"/>
        </w:rPr>
      </w:pPr>
      <w:r w:rsidRPr="00FB0D23">
        <w:rPr>
          <w:rFonts w:cs="Arial"/>
          <w:i/>
          <w:sz w:val="22"/>
          <w:szCs w:val="22"/>
        </w:rPr>
        <w:t>The following questions should be completed to provide a balanced account of the advantages and disadvantages of the medicine in the indication(s) under review relative to relevant active comparator(s).</w:t>
      </w:r>
    </w:p>
    <w:p w14:paraId="63C6BDCF" w14:textId="77777777" w:rsidR="008E4E92" w:rsidRPr="00FB0D23" w:rsidRDefault="008E4E92" w:rsidP="008E4E92">
      <w:pPr>
        <w:jc w:val="both"/>
        <w:rPr>
          <w:rFonts w:cs="Arial"/>
          <w:i/>
          <w:sz w:val="22"/>
          <w:szCs w:val="22"/>
        </w:rPr>
      </w:pPr>
    </w:p>
    <w:p w14:paraId="26D486D0" w14:textId="2FAD653A" w:rsidR="00862D96" w:rsidRPr="00862D96" w:rsidRDefault="008E4E92" w:rsidP="008B4F3D">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FB0D23">
        <w:rPr>
          <w:rFonts w:ascii="Arial" w:hAnsi="Arial" w:cs="Arial"/>
          <w:b w:val="0"/>
          <w:i/>
          <w:color w:val="auto"/>
          <w:sz w:val="22"/>
          <w:szCs w:val="22"/>
        </w:rPr>
        <w:t>Provide details of the main alternative treatments used for the indication(s) under review within Scottish clinical practice.</w:t>
      </w:r>
    </w:p>
    <w:p w14:paraId="7102B84E" w14:textId="77777777" w:rsidR="008B4F3D" w:rsidRPr="00862D96" w:rsidRDefault="008B4F3D" w:rsidP="00F22A03">
      <w:pPr>
        <w:rPr>
          <w:rFonts w:cs="Arial"/>
          <w:color w:val="FF0000"/>
          <w:sz w:val="22"/>
          <w:szCs w:val="22"/>
        </w:rPr>
      </w:pPr>
    </w:p>
    <w:p w14:paraId="40C369FC" w14:textId="793E9AD8" w:rsidR="00E606B0" w:rsidRPr="00252692" w:rsidRDefault="00E80642" w:rsidP="00252692">
      <w:pPr>
        <w:widowControl w:val="0"/>
        <w:autoSpaceDE w:val="0"/>
        <w:autoSpaceDN w:val="0"/>
        <w:adjustRightInd w:val="0"/>
        <w:rPr>
          <w:rFonts w:cs="Arial"/>
          <w:sz w:val="22"/>
          <w:szCs w:val="22"/>
          <w:lang w:val="en-US" w:eastAsia="ja-JP"/>
        </w:rPr>
      </w:pPr>
      <w:r w:rsidRPr="000C68FC">
        <w:rPr>
          <w:rFonts w:cs="Arial"/>
          <w:sz w:val="22"/>
          <w:szCs w:val="22"/>
          <w:lang w:val="en-US" w:eastAsia="ja-JP"/>
        </w:rPr>
        <w:t>Vancomycin, line</w:t>
      </w:r>
      <w:r w:rsidR="00252692">
        <w:rPr>
          <w:rFonts w:cs="Arial"/>
          <w:sz w:val="22"/>
          <w:szCs w:val="22"/>
          <w:lang w:val="en-US" w:eastAsia="ja-JP"/>
        </w:rPr>
        <w:t xml:space="preserve">zolid, daptomycin, teicoplanin, ceftaroline </w:t>
      </w:r>
      <w:r w:rsidRPr="000C68FC">
        <w:rPr>
          <w:rFonts w:cs="Arial"/>
          <w:sz w:val="22"/>
          <w:szCs w:val="22"/>
          <w:lang w:val="en-US" w:eastAsia="ja-JP"/>
        </w:rPr>
        <w:t>and tigecycline (among others) are</w:t>
      </w:r>
      <w:r w:rsidR="00252692">
        <w:rPr>
          <w:rFonts w:cs="Arial"/>
          <w:sz w:val="22"/>
          <w:szCs w:val="22"/>
          <w:lang w:val="en-US" w:eastAsia="ja-JP"/>
        </w:rPr>
        <w:t xml:space="preserve"> </w:t>
      </w:r>
      <w:r w:rsidRPr="000C68FC">
        <w:rPr>
          <w:rFonts w:cs="Arial"/>
          <w:sz w:val="22"/>
          <w:szCs w:val="22"/>
          <w:lang w:val="en-US" w:eastAsia="ja-JP"/>
        </w:rPr>
        <w:t xml:space="preserve">all approved for the treatment of ABSSSI or MRSA-ABSSSI in the EU. </w:t>
      </w:r>
      <w:r w:rsidR="000C68FC" w:rsidRPr="000C68FC">
        <w:rPr>
          <w:sz w:val="22"/>
          <w:szCs w:val="22"/>
        </w:rPr>
        <w:t xml:space="preserve">Linezolid, daptomycin, tigecycline, teicoplanin and ceftaroline are all approved for use in the UK for the treatment of Gram-positive infections, including SAB and </w:t>
      </w:r>
      <w:r w:rsidR="003F0763">
        <w:rPr>
          <w:sz w:val="22"/>
          <w:szCs w:val="22"/>
        </w:rPr>
        <w:t>MRSA</w:t>
      </w:r>
      <w:r w:rsidR="000C68FC" w:rsidRPr="000C68FC">
        <w:rPr>
          <w:sz w:val="22"/>
          <w:szCs w:val="22"/>
        </w:rPr>
        <w:t xml:space="preserve">. </w:t>
      </w:r>
      <w:r w:rsidR="000C68FC" w:rsidRPr="009C3D8E">
        <w:rPr>
          <w:rFonts w:cs="Arial"/>
          <w:sz w:val="22"/>
          <w:szCs w:val="22"/>
        </w:rPr>
        <w:t>Daptomycin, tigecycline and ceftaroline are all accepted for restricted use by the SMC (see section 5e). Linezolid was introduced in Scotland prior to 2002 and so has not been evaluated by the SMC.</w:t>
      </w:r>
      <w:bookmarkStart w:id="189" w:name="_Toc396058794"/>
      <w:bookmarkStart w:id="190" w:name="_Ref389043927"/>
      <w:bookmarkStart w:id="191" w:name="_Ref390610051"/>
    </w:p>
    <w:p w14:paraId="761DD1DB" w14:textId="77777777" w:rsidR="00E606B0" w:rsidRDefault="00E606B0" w:rsidP="00E606B0">
      <w:pPr>
        <w:rPr>
          <w:rFonts w:cs="Arial"/>
          <w:sz w:val="22"/>
          <w:szCs w:val="22"/>
        </w:rPr>
      </w:pPr>
    </w:p>
    <w:p w14:paraId="7AA890AB" w14:textId="277F21ED" w:rsidR="009C3D8E" w:rsidRPr="00E606B0" w:rsidRDefault="009C3D8E" w:rsidP="00E606B0">
      <w:pPr>
        <w:rPr>
          <w:rFonts w:cs="Arial"/>
          <w:sz w:val="22"/>
          <w:szCs w:val="22"/>
        </w:rPr>
      </w:pPr>
      <w:r w:rsidRPr="00E606B0">
        <w:rPr>
          <w:rFonts w:cs="Arial"/>
          <w:sz w:val="22"/>
          <w:szCs w:val="22"/>
        </w:rPr>
        <w:t>Both</w:t>
      </w:r>
      <w:r w:rsidRPr="00E606B0">
        <w:rPr>
          <w:rFonts w:cs="Arial"/>
          <w:sz w:val="22"/>
          <w:szCs w:val="22"/>
          <w:lang w:val="en-US"/>
        </w:rPr>
        <w:t xml:space="preserve"> vancomycin and linezolid are frequently used for inpatient management of MRSA cSSTI</w:t>
      </w:r>
      <w:bookmarkEnd w:id="189"/>
      <w:r w:rsidRPr="00E606B0">
        <w:rPr>
          <w:rFonts w:cs="Arial"/>
          <w:sz w:val="22"/>
          <w:szCs w:val="22"/>
          <w:lang w:val="en-US"/>
        </w:rPr>
        <w:t>s in a number of European countries (</w:t>
      </w:r>
      <w:r w:rsidR="005F7DDC">
        <w:rPr>
          <w:rFonts w:cs="Arial"/>
          <w:sz w:val="22"/>
          <w:szCs w:val="22"/>
          <w:lang w:val="en-US"/>
        </w:rPr>
        <w:fldChar w:fldCharType="begin"/>
      </w:r>
      <w:r w:rsidR="005F7DDC">
        <w:rPr>
          <w:rFonts w:cs="Arial"/>
          <w:sz w:val="22"/>
          <w:szCs w:val="22"/>
          <w:lang w:val="en-US"/>
        </w:rPr>
        <w:instrText xml:space="preserve"> REF _Ref284438334 \r \h </w:instrText>
      </w:r>
      <w:r w:rsidR="005F7DDC">
        <w:rPr>
          <w:rFonts w:cs="Arial"/>
          <w:sz w:val="22"/>
          <w:szCs w:val="22"/>
          <w:lang w:val="en-US"/>
        </w:rPr>
      </w:r>
      <w:r w:rsidR="005F7DDC">
        <w:rPr>
          <w:rFonts w:cs="Arial"/>
          <w:sz w:val="22"/>
          <w:szCs w:val="22"/>
          <w:lang w:val="en-US"/>
        </w:rPr>
        <w:fldChar w:fldCharType="separate"/>
      </w:r>
      <w:r w:rsidR="00151A1C">
        <w:rPr>
          <w:rFonts w:cs="Arial"/>
          <w:sz w:val="22"/>
          <w:szCs w:val="22"/>
          <w:lang w:val="en-US"/>
        </w:rPr>
        <w:t>58</w:t>
      </w:r>
      <w:r w:rsidR="005F7DDC">
        <w:rPr>
          <w:rFonts w:cs="Arial"/>
          <w:sz w:val="22"/>
          <w:szCs w:val="22"/>
          <w:lang w:val="en-US"/>
        </w:rPr>
        <w:fldChar w:fldCharType="end"/>
      </w:r>
      <w:r w:rsidRPr="00E606B0">
        <w:rPr>
          <w:rFonts w:cs="Arial"/>
          <w:sz w:val="22"/>
          <w:szCs w:val="22"/>
          <w:lang w:val="en-US"/>
        </w:rPr>
        <w:t xml:space="preserve">).  </w:t>
      </w:r>
      <w:bookmarkEnd w:id="190"/>
      <w:bookmarkEnd w:id="191"/>
      <w:r w:rsidRPr="00E606B0">
        <w:rPr>
          <w:rFonts w:eastAsia="Tahoma" w:cs="Arial"/>
          <w:sz w:val="22"/>
          <w:szCs w:val="22"/>
          <w:lang w:val="en-US"/>
        </w:rPr>
        <w:t xml:space="preserve">The </w:t>
      </w:r>
      <w:r w:rsidR="003F0763">
        <w:rPr>
          <w:rFonts w:eastAsia="Tahoma" w:cs="Arial"/>
          <w:sz w:val="22"/>
          <w:szCs w:val="22"/>
          <w:lang w:val="en-US"/>
        </w:rPr>
        <w:t xml:space="preserve">REACH </w:t>
      </w:r>
      <w:r w:rsidRPr="00E606B0">
        <w:rPr>
          <w:rFonts w:eastAsia="Tahoma" w:cs="Arial"/>
          <w:sz w:val="22"/>
          <w:szCs w:val="22"/>
          <w:lang w:val="en-US"/>
        </w:rPr>
        <w:t xml:space="preserve">study reported </w:t>
      </w:r>
      <w:r w:rsidRPr="00E606B0">
        <w:rPr>
          <w:rFonts w:cs="Arial"/>
          <w:sz w:val="22"/>
          <w:szCs w:val="22"/>
          <w:lang w:val="en-US"/>
        </w:rPr>
        <w:t>that vancomycin and linezolid are the most commonly prescribed antibacterial medications in Europe for initial inpatient treatment, with 50.2% of patients receiving vancomycin and 15.1% of patients receiving linezolid (</w:t>
      </w:r>
      <w:r w:rsidR="005F7DDC">
        <w:rPr>
          <w:rFonts w:cs="Arial"/>
          <w:sz w:val="22"/>
          <w:szCs w:val="22"/>
          <w:lang w:val="en-US"/>
        </w:rPr>
        <w:fldChar w:fldCharType="begin"/>
      </w:r>
      <w:r w:rsidR="005F7DDC">
        <w:rPr>
          <w:rFonts w:cs="Arial"/>
          <w:sz w:val="22"/>
          <w:szCs w:val="22"/>
          <w:lang w:val="en-US"/>
        </w:rPr>
        <w:instrText xml:space="preserve"> REF _Ref284438334 \r \h </w:instrText>
      </w:r>
      <w:r w:rsidR="005F7DDC">
        <w:rPr>
          <w:rFonts w:cs="Arial"/>
          <w:sz w:val="22"/>
          <w:szCs w:val="22"/>
          <w:lang w:val="en-US"/>
        </w:rPr>
      </w:r>
      <w:r w:rsidR="005F7DDC">
        <w:rPr>
          <w:rFonts w:cs="Arial"/>
          <w:sz w:val="22"/>
          <w:szCs w:val="22"/>
          <w:lang w:val="en-US"/>
        </w:rPr>
        <w:fldChar w:fldCharType="separate"/>
      </w:r>
      <w:r w:rsidR="00151A1C">
        <w:rPr>
          <w:rFonts w:cs="Arial"/>
          <w:sz w:val="22"/>
          <w:szCs w:val="22"/>
          <w:lang w:val="en-US"/>
        </w:rPr>
        <w:t>58</w:t>
      </w:r>
      <w:r w:rsidR="005F7DDC">
        <w:rPr>
          <w:rFonts w:cs="Arial"/>
          <w:sz w:val="22"/>
          <w:szCs w:val="22"/>
          <w:lang w:val="en-US"/>
        </w:rPr>
        <w:fldChar w:fldCharType="end"/>
      </w:r>
      <w:r w:rsidRPr="00E606B0">
        <w:rPr>
          <w:rFonts w:cs="Arial"/>
          <w:sz w:val="22"/>
          <w:szCs w:val="22"/>
          <w:lang w:val="en-US"/>
        </w:rPr>
        <w:t xml:space="preserve">). </w:t>
      </w:r>
    </w:p>
    <w:p w14:paraId="5065C8CE" w14:textId="452729BD" w:rsidR="00E61F7C" w:rsidRPr="009C3D8E" w:rsidRDefault="009C3D8E" w:rsidP="00E61F7C">
      <w:pPr>
        <w:pStyle w:val="Heading3"/>
        <w:rPr>
          <w:rFonts w:ascii="Arial" w:hAnsi="Arial" w:cs="Arial"/>
          <w:b w:val="0"/>
          <w:color w:val="auto"/>
          <w:sz w:val="22"/>
          <w:szCs w:val="22"/>
          <w:lang w:val="en-US"/>
        </w:rPr>
      </w:pPr>
      <w:r w:rsidRPr="009C3D8E">
        <w:rPr>
          <w:rFonts w:ascii="Arial" w:hAnsi="Arial" w:cs="Arial"/>
          <w:b w:val="0"/>
          <w:color w:val="auto"/>
          <w:sz w:val="22"/>
          <w:szCs w:val="22"/>
        </w:rPr>
        <w:t>In the UK,</w:t>
      </w:r>
      <w:r w:rsidR="00EE50A7" w:rsidRPr="009C3D8E">
        <w:rPr>
          <w:rFonts w:ascii="Arial" w:hAnsi="Arial" w:cs="Arial"/>
          <w:b w:val="0"/>
          <w:color w:val="auto"/>
          <w:sz w:val="22"/>
          <w:szCs w:val="22"/>
        </w:rPr>
        <w:t xml:space="preserve"> vancomycin accounts for 69% of all prescribing for ABSSSI, followed by linezoli</w:t>
      </w:r>
      <w:r w:rsidR="0081130F">
        <w:rPr>
          <w:rFonts w:ascii="Arial" w:hAnsi="Arial" w:cs="Arial"/>
          <w:b w:val="0"/>
          <w:color w:val="auto"/>
          <w:sz w:val="22"/>
          <w:szCs w:val="22"/>
        </w:rPr>
        <w:t xml:space="preserve">d, </w:t>
      </w:r>
      <w:r w:rsidR="00EE50A7" w:rsidRPr="009C3D8E">
        <w:rPr>
          <w:rFonts w:ascii="Arial" w:hAnsi="Arial" w:cs="Arial"/>
          <w:b w:val="0"/>
          <w:color w:val="auto"/>
          <w:sz w:val="22"/>
          <w:szCs w:val="22"/>
        </w:rPr>
        <w:t>which accounts for 18% of prescribing i</w:t>
      </w:r>
      <w:r w:rsidR="00252692">
        <w:rPr>
          <w:rFonts w:ascii="Arial" w:hAnsi="Arial" w:cs="Arial"/>
          <w:b w:val="0"/>
          <w:color w:val="auto"/>
          <w:sz w:val="22"/>
          <w:szCs w:val="22"/>
        </w:rPr>
        <w:t>n a post-vancomycin setting (</w:t>
      </w:r>
      <w:r w:rsidR="00252692">
        <w:rPr>
          <w:rFonts w:ascii="Arial" w:hAnsi="Arial" w:cs="Arial"/>
          <w:b w:val="0"/>
          <w:color w:val="auto"/>
          <w:sz w:val="22"/>
          <w:szCs w:val="22"/>
        </w:rPr>
        <w:fldChar w:fldCharType="begin"/>
      </w:r>
      <w:r w:rsidR="00252692">
        <w:rPr>
          <w:rFonts w:ascii="Arial" w:hAnsi="Arial" w:cs="Arial"/>
          <w:b w:val="0"/>
          <w:color w:val="auto"/>
          <w:sz w:val="22"/>
          <w:szCs w:val="22"/>
        </w:rPr>
        <w:instrText xml:space="preserve"> REF _Ref284185599 \r \h </w:instrText>
      </w:r>
      <w:r w:rsidR="00252692">
        <w:rPr>
          <w:rFonts w:ascii="Arial" w:hAnsi="Arial" w:cs="Arial"/>
          <w:b w:val="0"/>
          <w:color w:val="auto"/>
          <w:sz w:val="22"/>
          <w:szCs w:val="22"/>
        </w:rPr>
      </w:r>
      <w:r w:rsidR="00252692">
        <w:rPr>
          <w:rFonts w:ascii="Arial" w:hAnsi="Arial" w:cs="Arial"/>
          <w:b w:val="0"/>
          <w:color w:val="auto"/>
          <w:sz w:val="22"/>
          <w:szCs w:val="22"/>
        </w:rPr>
        <w:fldChar w:fldCharType="separate"/>
      </w:r>
      <w:r w:rsidR="00151A1C">
        <w:rPr>
          <w:rFonts w:ascii="Arial" w:hAnsi="Arial" w:cs="Arial"/>
          <w:b w:val="0"/>
          <w:color w:val="auto"/>
          <w:sz w:val="22"/>
          <w:szCs w:val="22"/>
        </w:rPr>
        <w:t>59</w:t>
      </w:r>
      <w:r w:rsidR="00252692">
        <w:rPr>
          <w:rFonts w:ascii="Arial" w:hAnsi="Arial" w:cs="Arial"/>
          <w:b w:val="0"/>
          <w:color w:val="auto"/>
          <w:sz w:val="22"/>
          <w:szCs w:val="22"/>
        </w:rPr>
        <w:fldChar w:fldCharType="end"/>
      </w:r>
      <w:r w:rsidR="00EE50A7" w:rsidRPr="009C3D8E">
        <w:rPr>
          <w:rFonts w:ascii="Arial" w:hAnsi="Arial" w:cs="Arial"/>
          <w:b w:val="0"/>
          <w:color w:val="auto"/>
          <w:sz w:val="22"/>
          <w:szCs w:val="22"/>
        </w:rPr>
        <w:t>). In terms of market share, vancomycin has a 20% market share, followed by linezolid (15%) and daptomycin (8</w:t>
      </w:r>
      <w:r w:rsidR="00EE50A7" w:rsidRPr="00F85B68">
        <w:rPr>
          <w:rFonts w:ascii="Arial" w:hAnsi="Arial" w:cs="Arial"/>
          <w:b w:val="0"/>
          <w:color w:val="auto"/>
          <w:sz w:val="22"/>
          <w:szCs w:val="22"/>
        </w:rPr>
        <w:t>%) (</w:t>
      </w:r>
      <w:r w:rsidR="00C2574B">
        <w:rPr>
          <w:rFonts w:ascii="Arial" w:hAnsi="Arial" w:cs="Arial"/>
          <w:b w:val="0"/>
          <w:color w:val="auto"/>
          <w:sz w:val="22"/>
          <w:szCs w:val="22"/>
        </w:rPr>
        <w:fldChar w:fldCharType="begin"/>
      </w:r>
      <w:r w:rsidR="00C2574B">
        <w:rPr>
          <w:rFonts w:ascii="Arial" w:hAnsi="Arial" w:cs="Arial"/>
          <w:b w:val="0"/>
          <w:color w:val="auto"/>
          <w:sz w:val="22"/>
          <w:szCs w:val="22"/>
        </w:rPr>
        <w:instrText xml:space="preserve"> REF _Ref284185599 \r \h </w:instrText>
      </w:r>
      <w:r w:rsidR="00C2574B">
        <w:rPr>
          <w:rFonts w:ascii="Arial" w:hAnsi="Arial" w:cs="Arial"/>
          <w:b w:val="0"/>
          <w:color w:val="auto"/>
          <w:sz w:val="22"/>
          <w:szCs w:val="22"/>
        </w:rPr>
      </w:r>
      <w:r w:rsidR="00C2574B">
        <w:rPr>
          <w:rFonts w:ascii="Arial" w:hAnsi="Arial" w:cs="Arial"/>
          <w:b w:val="0"/>
          <w:color w:val="auto"/>
          <w:sz w:val="22"/>
          <w:szCs w:val="22"/>
        </w:rPr>
        <w:fldChar w:fldCharType="separate"/>
      </w:r>
      <w:r w:rsidR="00151A1C">
        <w:rPr>
          <w:rFonts w:ascii="Arial" w:hAnsi="Arial" w:cs="Arial"/>
          <w:b w:val="0"/>
          <w:color w:val="auto"/>
          <w:sz w:val="22"/>
          <w:szCs w:val="22"/>
        </w:rPr>
        <w:t>59</w:t>
      </w:r>
      <w:r w:rsidR="00C2574B">
        <w:rPr>
          <w:rFonts w:ascii="Arial" w:hAnsi="Arial" w:cs="Arial"/>
          <w:b w:val="0"/>
          <w:color w:val="auto"/>
          <w:sz w:val="22"/>
          <w:szCs w:val="22"/>
        </w:rPr>
        <w:fldChar w:fldCharType="end"/>
      </w:r>
      <w:r w:rsidR="00E61F7C" w:rsidRPr="00F85B68">
        <w:rPr>
          <w:rFonts w:ascii="Arial" w:hAnsi="Arial" w:cs="Arial"/>
          <w:b w:val="0"/>
          <w:color w:val="auto"/>
          <w:sz w:val="22"/>
          <w:szCs w:val="22"/>
        </w:rPr>
        <w:t>).</w:t>
      </w:r>
      <w:r w:rsidR="00E61F7C" w:rsidRPr="009C3D8E">
        <w:rPr>
          <w:rFonts w:ascii="Arial" w:hAnsi="Arial" w:cs="Arial"/>
          <w:b w:val="0"/>
          <w:color w:val="auto"/>
          <w:sz w:val="22"/>
          <w:szCs w:val="22"/>
        </w:rPr>
        <w:t xml:space="preserve"> </w:t>
      </w:r>
    </w:p>
    <w:p w14:paraId="684020DE" w14:textId="77777777" w:rsidR="00EE50A7" w:rsidRPr="000C68FC" w:rsidRDefault="00EE50A7" w:rsidP="000C68FC">
      <w:pPr>
        <w:rPr>
          <w:sz w:val="22"/>
          <w:szCs w:val="22"/>
        </w:rPr>
      </w:pPr>
    </w:p>
    <w:p w14:paraId="71817E73" w14:textId="0FDCE330" w:rsidR="000C68FC" w:rsidRPr="000C68FC" w:rsidRDefault="000C68FC" w:rsidP="0007148C">
      <w:pPr>
        <w:rPr>
          <w:rFonts w:cs="Arial"/>
          <w:b/>
          <w:i/>
          <w:sz w:val="22"/>
          <w:szCs w:val="22"/>
        </w:rPr>
      </w:pPr>
      <w:r w:rsidRPr="000C68FC">
        <w:rPr>
          <w:rFonts w:cs="Arial"/>
          <w:b/>
          <w:i/>
          <w:sz w:val="22"/>
          <w:szCs w:val="22"/>
        </w:rPr>
        <w:t>Vancomycin</w:t>
      </w:r>
    </w:p>
    <w:p w14:paraId="4F3D1989" w14:textId="10CCDE11" w:rsidR="0007148C" w:rsidRPr="00F91ABA" w:rsidRDefault="00CE65CC" w:rsidP="0007148C">
      <w:pPr>
        <w:rPr>
          <w:rFonts w:cs="Arial"/>
          <w:sz w:val="22"/>
          <w:szCs w:val="22"/>
        </w:rPr>
      </w:pPr>
      <w:r>
        <w:rPr>
          <w:rFonts w:cs="Arial"/>
          <w:sz w:val="22"/>
          <w:szCs w:val="22"/>
        </w:rPr>
        <w:t>According to c</w:t>
      </w:r>
      <w:r w:rsidR="0007148C" w:rsidRPr="00F91ABA">
        <w:rPr>
          <w:rFonts w:cs="Arial"/>
          <w:sz w:val="22"/>
          <w:szCs w:val="22"/>
        </w:rPr>
        <w:t xml:space="preserve">urrent </w:t>
      </w:r>
      <w:r>
        <w:rPr>
          <w:rFonts w:cs="Arial"/>
          <w:sz w:val="22"/>
          <w:szCs w:val="22"/>
        </w:rPr>
        <w:t xml:space="preserve">UK and </w:t>
      </w:r>
      <w:r w:rsidR="0007148C" w:rsidRPr="00F91ABA">
        <w:rPr>
          <w:rFonts w:cs="Arial"/>
          <w:sz w:val="22"/>
          <w:szCs w:val="22"/>
        </w:rPr>
        <w:t>Scottish guidance</w:t>
      </w:r>
      <w:r>
        <w:rPr>
          <w:rFonts w:cs="Arial"/>
          <w:sz w:val="22"/>
          <w:szCs w:val="22"/>
        </w:rPr>
        <w:t>, treatment should be initiated with</w:t>
      </w:r>
      <w:r w:rsidR="0007148C" w:rsidRPr="00F91ABA">
        <w:rPr>
          <w:rFonts w:cs="Arial"/>
          <w:sz w:val="22"/>
          <w:szCs w:val="22"/>
        </w:rPr>
        <w:t xml:space="preserve"> intravenous vancomycin where Gram-positive MRSA infection is either suspected or proven </w:t>
      </w:r>
      <w:r w:rsidR="0007148C" w:rsidRPr="00F91ABA">
        <w:rPr>
          <w:rFonts w:cs="Arial"/>
          <w:sz w:val="22"/>
          <w:szCs w:val="22"/>
        </w:rPr>
        <w:lastRenderedPageBreak/>
        <w:t>(</w:t>
      </w:r>
      <w:r w:rsidR="00C2574B">
        <w:rPr>
          <w:rFonts w:cs="Arial"/>
          <w:sz w:val="22"/>
          <w:szCs w:val="22"/>
        </w:rPr>
        <w:fldChar w:fldCharType="begin"/>
      </w:r>
      <w:r w:rsidR="00C2574B">
        <w:rPr>
          <w:rFonts w:cs="Arial"/>
          <w:sz w:val="22"/>
          <w:szCs w:val="22"/>
        </w:rPr>
        <w:instrText xml:space="preserve"> REF _Ref284168509 \r \h </w:instrText>
      </w:r>
      <w:r w:rsidR="00C2574B">
        <w:rPr>
          <w:rFonts w:cs="Arial"/>
          <w:sz w:val="22"/>
          <w:szCs w:val="22"/>
        </w:rPr>
      </w:r>
      <w:r w:rsidR="00C2574B">
        <w:rPr>
          <w:rFonts w:cs="Arial"/>
          <w:sz w:val="22"/>
          <w:szCs w:val="22"/>
        </w:rPr>
        <w:fldChar w:fldCharType="separate"/>
      </w:r>
      <w:r w:rsidR="00151A1C">
        <w:rPr>
          <w:rFonts w:cs="Arial"/>
          <w:sz w:val="22"/>
          <w:szCs w:val="22"/>
        </w:rPr>
        <w:t>3</w:t>
      </w:r>
      <w:r w:rsidR="00C2574B">
        <w:rPr>
          <w:rFonts w:cs="Arial"/>
          <w:sz w:val="22"/>
          <w:szCs w:val="22"/>
        </w:rPr>
        <w:fldChar w:fldCharType="end"/>
      </w:r>
      <w:r>
        <w:rPr>
          <w:rFonts w:cs="Arial"/>
          <w:sz w:val="22"/>
          <w:szCs w:val="22"/>
        </w:rPr>
        <w:t>;</w:t>
      </w:r>
      <w:r w:rsidR="00C2574B">
        <w:rPr>
          <w:rFonts w:cs="Arial"/>
          <w:sz w:val="22"/>
          <w:szCs w:val="22"/>
        </w:rPr>
        <w:fldChar w:fldCharType="begin"/>
      </w:r>
      <w:r w:rsidR="00C2574B">
        <w:rPr>
          <w:rFonts w:cs="Arial"/>
          <w:sz w:val="22"/>
          <w:szCs w:val="22"/>
        </w:rPr>
        <w:instrText xml:space="preserve"> REF _Ref284168565 \r \h </w:instrText>
      </w:r>
      <w:r w:rsidR="00C2574B">
        <w:rPr>
          <w:rFonts w:cs="Arial"/>
          <w:sz w:val="22"/>
          <w:szCs w:val="22"/>
        </w:rPr>
      </w:r>
      <w:r w:rsidR="00C2574B">
        <w:rPr>
          <w:rFonts w:cs="Arial"/>
          <w:sz w:val="22"/>
          <w:szCs w:val="22"/>
        </w:rPr>
        <w:fldChar w:fldCharType="separate"/>
      </w:r>
      <w:r w:rsidR="00151A1C">
        <w:rPr>
          <w:rFonts w:cs="Arial"/>
          <w:sz w:val="22"/>
          <w:szCs w:val="22"/>
        </w:rPr>
        <w:t>4</w:t>
      </w:r>
      <w:r w:rsidR="00C2574B">
        <w:rPr>
          <w:rFonts w:cs="Arial"/>
          <w:sz w:val="22"/>
          <w:szCs w:val="22"/>
        </w:rPr>
        <w:fldChar w:fldCharType="end"/>
      </w:r>
      <w:r w:rsidR="0007148C" w:rsidRPr="00F91ABA">
        <w:rPr>
          <w:rFonts w:cs="Arial"/>
          <w:sz w:val="22"/>
          <w:szCs w:val="22"/>
        </w:rPr>
        <w:t>). In patients who are intolerant to vancomycin, have a vancomycin allergy, treatment failure or if there is clinical concern regarding response, alternative t</w:t>
      </w:r>
      <w:r>
        <w:rPr>
          <w:rFonts w:cs="Arial"/>
          <w:sz w:val="22"/>
          <w:szCs w:val="22"/>
        </w:rPr>
        <w:t>herapy should be discussed (</w:t>
      </w:r>
      <w:r w:rsidR="00C2574B">
        <w:rPr>
          <w:rFonts w:cs="Arial"/>
          <w:sz w:val="22"/>
          <w:szCs w:val="22"/>
        </w:rPr>
        <w:fldChar w:fldCharType="begin"/>
      </w:r>
      <w:r w:rsidR="00C2574B">
        <w:rPr>
          <w:rFonts w:cs="Arial"/>
          <w:sz w:val="22"/>
          <w:szCs w:val="22"/>
        </w:rPr>
        <w:instrText xml:space="preserve"> REF _Ref284168509 \r \h </w:instrText>
      </w:r>
      <w:r w:rsidR="00C2574B">
        <w:rPr>
          <w:rFonts w:cs="Arial"/>
          <w:sz w:val="22"/>
          <w:szCs w:val="22"/>
        </w:rPr>
      </w:r>
      <w:r w:rsidR="00C2574B">
        <w:rPr>
          <w:rFonts w:cs="Arial"/>
          <w:sz w:val="22"/>
          <w:szCs w:val="22"/>
        </w:rPr>
        <w:fldChar w:fldCharType="separate"/>
      </w:r>
      <w:r w:rsidR="00151A1C">
        <w:rPr>
          <w:rFonts w:cs="Arial"/>
          <w:sz w:val="22"/>
          <w:szCs w:val="22"/>
        </w:rPr>
        <w:t>3</w:t>
      </w:r>
      <w:r w:rsidR="00C2574B">
        <w:rPr>
          <w:rFonts w:cs="Arial"/>
          <w:sz w:val="22"/>
          <w:szCs w:val="22"/>
        </w:rPr>
        <w:fldChar w:fldCharType="end"/>
      </w:r>
      <w:r>
        <w:rPr>
          <w:rFonts w:cs="Arial"/>
          <w:sz w:val="22"/>
          <w:szCs w:val="22"/>
        </w:rPr>
        <w:t>).</w:t>
      </w:r>
      <w:r w:rsidR="00A55F05" w:rsidRPr="00A55F05">
        <w:rPr>
          <w:sz w:val="22"/>
          <w:szCs w:val="22"/>
        </w:rPr>
        <w:t xml:space="preserve"> </w:t>
      </w:r>
      <w:r w:rsidR="00A55F05">
        <w:rPr>
          <w:sz w:val="22"/>
          <w:szCs w:val="22"/>
        </w:rPr>
        <w:t xml:space="preserve">Clinical isolates with high-level resistance to </w:t>
      </w:r>
      <w:r w:rsidR="000E5F24">
        <w:rPr>
          <w:sz w:val="22"/>
          <w:szCs w:val="22"/>
        </w:rPr>
        <w:t>vancomycin</w:t>
      </w:r>
      <w:r w:rsidR="00A55F05">
        <w:rPr>
          <w:sz w:val="22"/>
          <w:szCs w:val="22"/>
        </w:rPr>
        <w:t xml:space="preserve"> were identified in the US as long ago as 2002 (</w:t>
      </w:r>
      <w:r w:rsidR="00A55F05">
        <w:rPr>
          <w:sz w:val="22"/>
          <w:szCs w:val="22"/>
        </w:rPr>
        <w:fldChar w:fldCharType="begin"/>
      </w:r>
      <w:r w:rsidR="00A55F05">
        <w:rPr>
          <w:sz w:val="22"/>
          <w:szCs w:val="22"/>
        </w:rPr>
        <w:instrText xml:space="preserve"> REF _Ref284185970 \r \h </w:instrText>
      </w:r>
      <w:r w:rsidR="00A55F05">
        <w:rPr>
          <w:sz w:val="22"/>
          <w:szCs w:val="22"/>
        </w:rPr>
      </w:r>
      <w:r w:rsidR="00A55F05">
        <w:rPr>
          <w:sz w:val="22"/>
          <w:szCs w:val="22"/>
        </w:rPr>
        <w:fldChar w:fldCharType="separate"/>
      </w:r>
      <w:r w:rsidR="00151A1C">
        <w:rPr>
          <w:sz w:val="22"/>
          <w:szCs w:val="22"/>
        </w:rPr>
        <w:t>60</w:t>
      </w:r>
      <w:r w:rsidR="00A55F05">
        <w:rPr>
          <w:sz w:val="22"/>
          <w:szCs w:val="22"/>
        </w:rPr>
        <w:fldChar w:fldCharType="end"/>
      </w:r>
      <w:r w:rsidR="00A55F05">
        <w:rPr>
          <w:sz w:val="22"/>
          <w:szCs w:val="22"/>
        </w:rPr>
        <w:t>;</w:t>
      </w:r>
      <w:r w:rsidR="00A55F05">
        <w:rPr>
          <w:sz w:val="22"/>
          <w:szCs w:val="22"/>
        </w:rPr>
        <w:fldChar w:fldCharType="begin"/>
      </w:r>
      <w:r w:rsidR="00A55F05">
        <w:rPr>
          <w:sz w:val="22"/>
          <w:szCs w:val="22"/>
        </w:rPr>
        <w:instrText xml:space="preserve"> REF _Ref284185988 \r \h </w:instrText>
      </w:r>
      <w:r w:rsidR="00A55F05">
        <w:rPr>
          <w:sz w:val="22"/>
          <w:szCs w:val="22"/>
        </w:rPr>
      </w:r>
      <w:r w:rsidR="00A55F05">
        <w:rPr>
          <w:sz w:val="22"/>
          <w:szCs w:val="22"/>
        </w:rPr>
        <w:fldChar w:fldCharType="separate"/>
      </w:r>
      <w:r w:rsidR="00151A1C">
        <w:rPr>
          <w:sz w:val="22"/>
          <w:szCs w:val="22"/>
        </w:rPr>
        <w:t>61</w:t>
      </w:r>
      <w:r w:rsidR="00A55F05">
        <w:rPr>
          <w:sz w:val="22"/>
          <w:szCs w:val="22"/>
        </w:rPr>
        <w:fldChar w:fldCharType="end"/>
      </w:r>
      <w:r w:rsidR="00A55F05">
        <w:rPr>
          <w:sz w:val="22"/>
          <w:szCs w:val="22"/>
        </w:rPr>
        <w:t>).</w:t>
      </w:r>
    </w:p>
    <w:p w14:paraId="760974A8" w14:textId="77777777" w:rsidR="0007148C" w:rsidRPr="00F91ABA" w:rsidRDefault="0007148C" w:rsidP="0007148C">
      <w:pPr>
        <w:rPr>
          <w:rFonts w:cs="Arial"/>
          <w:sz w:val="22"/>
          <w:szCs w:val="22"/>
        </w:rPr>
      </w:pPr>
    </w:p>
    <w:p w14:paraId="29AFAB65" w14:textId="77777777" w:rsidR="008E3976" w:rsidRPr="00286EC5" w:rsidRDefault="008E3976" w:rsidP="008E3976">
      <w:pPr>
        <w:rPr>
          <w:rFonts w:cs="Arial"/>
          <w:b/>
          <w:i/>
          <w:sz w:val="22"/>
          <w:szCs w:val="22"/>
        </w:rPr>
      </w:pPr>
      <w:r w:rsidRPr="00286EC5">
        <w:rPr>
          <w:rFonts w:cs="Arial"/>
          <w:b/>
          <w:i/>
          <w:sz w:val="22"/>
          <w:szCs w:val="22"/>
        </w:rPr>
        <w:t>Linezolid (Zyvox</w:t>
      </w:r>
      <w:r w:rsidRPr="00286EC5">
        <w:rPr>
          <w:rFonts w:cs="Arial"/>
          <w:b/>
          <w:i/>
          <w:sz w:val="22"/>
          <w:szCs w:val="22"/>
          <w:vertAlign w:val="superscript"/>
        </w:rPr>
        <w:t>R</w:t>
      </w:r>
      <w:r w:rsidRPr="00286EC5">
        <w:rPr>
          <w:rFonts w:cs="Arial"/>
          <w:b/>
          <w:i/>
          <w:sz w:val="22"/>
          <w:szCs w:val="22"/>
        </w:rPr>
        <w:t>)</w:t>
      </w:r>
    </w:p>
    <w:p w14:paraId="63CD53B4" w14:textId="0F0CA9A5" w:rsidR="0007148C" w:rsidRPr="0081130F" w:rsidRDefault="0007148C" w:rsidP="0007148C">
      <w:pPr>
        <w:rPr>
          <w:rFonts w:cs="Arial"/>
          <w:sz w:val="22"/>
          <w:szCs w:val="22"/>
        </w:rPr>
      </w:pPr>
      <w:r w:rsidRPr="0081130F">
        <w:rPr>
          <w:rFonts w:cs="Arial"/>
          <w:sz w:val="22"/>
          <w:szCs w:val="22"/>
        </w:rPr>
        <w:t>Linezolid is a recommended treatment option for skin and skin tissue infections (SSSTIs) caused by a Gram-positive organism such as MRSA where a glycopeptide, such as vancomycin, is unsuitable (</w:t>
      </w:r>
      <w:r w:rsidR="00C2574B">
        <w:rPr>
          <w:rFonts w:cs="Arial"/>
          <w:sz w:val="22"/>
          <w:szCs w:val="22"/>
        </w:rPr>
        <w:fldChar w:fldCharType="begin"/>
      </w:r>
      <w:r w:rsidR="00C2574B">
        <w:rPr>
          <w:rFonts w:cs="Arial"/>
          <w:sz w:val="22"/>
          <w:szCs w:val="22"/>
        </w:rPr>
        <w:instrText xml:space="preserve"> REF _Ref284168565 \r \h </w:instrText>
      </w:r>
      <w:r w:rsidR="00C2574B">
        <w:rPr>
          <w:rFonts w:cs="Arial"/>
          <w:sz w:val="22"/>
          <w:szCs w:val="22"/>
        </w:rPr>
      </w:r>
      <w:r w:rsidR="00C2574B">
        <w:rPr>
          <w:rFonts w:cs="Arial"/>
          <w:sz w:val="22"/>
          <w:szCs w:val="22"/>
        </w:rPr>
        <w:fldChar w:fldCharType="separate"/>
      </w:r>
      <w:r w:rsidR="00151A1C">
        <w:rPr>
          <w:rFonts w:cs="Arial"/>
          <w:sz w:val="22"/>
          <w:szCs w:val="22"/>
        </w:rPr>
        <w:t>4</w:t>
      </w:r>
      <w:r w:rsidR="00C2574B">
        <w:rPr>
          <w:rFonts w:cs="Arial"/>
          <w:sz w:val="22"/>
          <w:szCs w:val="22"/>
        </w:rPr>
        <w:fldChar w:fldCharType="end"/>
      </w:r>
      <w:r w:rsidRPr="0081130F">
        <w:rPr>
          <w:rFonts w:cs="Arial"/>
          <w:sz w:val="22"/>
          <w:szCs w:val="22"/>
        </w:rPr>
        <w:t xml:space="preserve">) or is otherwise inappropriate, has not been tolerated or where treatment modification is required. </w:t>
      </w:r>
    </w:p>
    <w:p w14:paraId="57111833" w14:textId="77777777" w:rsidR="0007148C" w:rsidRPr="0081130F" w:rsidRDefault="0007148C" w:rsidP="0007148C">
      <w:pPr>
        <w:rPr>
          <w:rFonts w:cs="Arial"/>
          <w:sz w:val="22"/>
          <w:szCs w:val="22"/>
        </w:rPr>
      </w:pPr>
    </w:p>
    <w:p w14:paraId="08E57E02" w14:textId="70B7C9C5" w:rsidR="00286EC5" w:rsidRPr="0021444A" w:rsidRDefault="00286EC5" w:rsidP="0021444A">
      <w:pPr>
        <w:widowControl w:val="0"/>
        <w:autoSpaceDE w:val="0"/>
        <w:autoSpaceDN w:val="0"/>
        <w:adjustRightInd w:val="0"/>
        <w:rPr>
          <w:rFonts w:cs="Arial"/>
          <w:color w:val="000000"/>
          <w:sz w:val="22"/>
          <w:szCs w:val="22"/>
        </w:rPr>
      </w:pPr>
      <w:r w:rsidRPr="0081130F">
        <w:rPr>
          <w:rFonts w:cs="Arial"/>
          <w:color w:val="000000"/>
          <w:sz w:val="22"/>
          <w:szCs w:val="22"/>
        </w:rPr>
        <w:t>Linezolid, an oxazolidinone antibiotic, is the only agent approved currently for the treatment of cSSTI allowing an IV-to-oral switch treatment scheme without necessitating a change in antibiotic and/or dose. This antibiotic is increasingly utilised in the treatment</w:t>
      </w:r>
      <w:r w:rsidR="00170726" w:rsidRPr="0081130F">
        <w:rPr>
          <w:rFonts w:cs="Arial"/>
          <w:color w:val="000000"/>
          <w:sz w:val="22"/>
          <w:szCs w:val="22"/>
        </w:rPr>
        <w:t xml:space="preserve"> </w:t>
      </w:r>
      <w:r w:rsidRPr="0081130F">
        <w:rPr>
          <w:rFonts w:cs="Arial"/>
          <w:color w:val="000000"/>
          <w:sz w:val="22"/>
          <w:szCs w:val="22"/>
        </w:rPr>
        <w:t>of cSSTI in Scotland and elsewhere, particularly if MRSA is considered a likely pathogen.</w:t>
      </w:r>
      <w:r w:rsidR="0081130F" w:rsidRPr="0081130F">
        <w:rPr>
          <w:rFonts w:cs="Arial"/>
          <w:color w:val="000000"/>
          <w:sz w:val="22"/>
          <w:szCs w:val="22"/>
        </w:rPr>
        <w:t xml:space="preserve"> Acro</w:t>
      </w:r>
      <w:r w:rsidR="00357E90">
        <w:rPr>
          <w:rFonts w:cs="Arial"/>
          <w:color w:val="000000"/>
          <w:sz w:val="22"/>
          <w:szCs w:val="22"/>
        </w:rPr>
        <w:t>s</w:t>
      </w:r>
      <w:r w:rsidR="0081130F" w:rsidRPr="0081130F">
        <w:rPr>
          <w:rFonts w:cs="Arial"/>
          <w:color w:val="000000"/>
          <w:sz w:val="22"/>
          <w:szCs w:val="22"/>
        </w:rPr>
        <w:t xml:space="preserve">s Europe, the REACH study showed that </w:t>
      </w:r>
      <w:r w:rsidR="0081130F" w:rsidRPr="0081130F">
        <w:rPr>
          <w:sz w:val="22"/>
          <w:szCs w:val="22"/>
          <w:lang w:val="en-US"/>
        </w:rPr>
        <w:t>linezolid is the most common antibacterial prescribed to patients at discharge, with 42.1% of prescriptions attributed to linezolid at discharge</w:t>
      </w:r>
      <w:r w:rsidR="0021444A">
        <w:rPr>
          <w:rFonts w:cs="Arial"/>
          <w:color w:val="000000"/>
          <w:sz w:val="22"/>
          <w:szCs w:val="22"/>
        </w:rPr>
        <w:t xml:space="preserve"> </w:t>
      </w:r>
      <w:r w:rsidR="0081130F" w:rsidRPr="0081130F">
        <w:rPr>
          <w:rFonts w:cs="Arial"/>
          <w:sz w:val="22"/>
          <w:szCs w:val="22"/>
          <w:lang w:val="en-US" w:eastAsia="ja-JP"/>
        </w:rPr>
        <w:t>(</w:t>
      </w:r>
      <w:r w:rsidR="005F7DDC">
        <w:rPr>
          <w:rFonts w:cs="Arial"/>
          <w:sz w:val="22"/>
          <w:szCs w:val="22"/>
          <w:lang w:val="en-US" w:eastAsia="ja-JP"/>
        </w:rPr>
        <w:fldChar w:fldCharType="begin"/>
      </w:r>
      <w:r w:rsidR="005F7DDC">
        <w:rPr>
          <w:rFonts w:cs="Arial"/>
          <w:sz w:val="22"/>
          <w:szCs w:val="22"/>
          <w:lang w:val="en-US" w:eastAsia="ja-JP"/>
        </w:rPr>
        <w:instrText xml:space="preserve"> REF _Ref284438334 \r \h </w:instrText>
      </w:r>
      <w:r w:rsidR="005F7DDC">
        <w:rPr>
          <w:rFonts w:cs="Arial"/>
          <w:sz w:val="22"/>
          <w:szCs w:val="22"/>
          <w:lang w:val="en-US" w:eastAsia="ja-JP"/>
        </w:rPr>
      </w:r>
      <w:r w:rsidR="005F7DDC">
        <w:rPr>
          <w:rFonts w:cs="Arial"/>
          <w:sz w:val="22"/>
          <w:szCs w:val="22"/>
          <w:lang w:val="en-US" w:eastAsia="ja-JP"/>
        </w:rPr>
        <w:fldChar w:fldCharType="separate"/>
      </w:r>
      <w:r w:rsidR="00151A1C">
        <w:rPr>
          <w:rFonts w:cs="Arial"/>
          <w:sz w:val="22"/>
          <w:szCs w:val="22"/>
          <w:lang w:val="en-US" w:eastAsia="ja-JP"/>
        </w:rPr>
        <w:t>58</w:t>
      </w:r>
      <w:r w:rsidR="005F7DDC">
        <w:rPr>
          <w:rFonts w:cs="Arial"/>
          <w:sz w:val="22"/>
          <w:szCs w:val="22"/>
          <w:lang w:val="en-US" w:eastAsia="ja-JP"/>
        </w:rPr>
        <w:fldChar w:fldCharType="end"/>
      </w:r>
      <w:r w:rsidR="0081130F" w:rsidRPr="0081130F">
        <w:rPr>
          <w:rFonts w:cs="Arial"/>
          <w:sz w:val="22"/>
          <w:szCs w:val="22"/>
          <w:lang w:val="en-US" w:eastAsia="ja-JP"/>
        </w:rPr>
        <w:t xml:space="preserve">). </w:t>
      </w:r>
    </w:p>
    <w:p w14:paraId="772C9A3E" w14:textId="77777777" w:rsidR="0081130F" w:rsidRPr="00286EC5" w:rsidRDefault="0081130F" w:rsidP="008E3976">
      <w:pPr>
        <w:rPr>
          <w:rFonts w:cs="Arial"/>
          <w:sz w:val="22"/>
          <w:szCs w:val="22"/>
          <w:lang w:val="en-US" w:eastAsia="ja-JP"/>
        </w:rPr>
      </w:pPr>
    </w:p>
    <w:p w14:paraId="69922DCA" w14:textId="53E5BC73" w:rsidR="009F4BE8" w:rsidRPr="00F85B68" w:rsidRDefault="008E3976" w:rsidP="0007148C">
      <w:pPr>
        <w:rPr>
          <w:rFonts w:cs="Arial"/>
          <w:sz w:val="22"/>
          <w:szCs w:val="22"/>
        </w:rPr>
      </w:pPr>
      <w:r w:rsidRPr="00286EC5">
        <w:rPr>
          <w:rFonts w:cs="Arial"/>
          <w:sz w:val="22"/>
          <w:szCs w:val="22"/>
          <w:lang w:val="en-US" w:eastAsia="ja-JP"/>
        </w:rPr>
        <w:t xml:space="preserve">As noted in section 1, </w:t>
      </w:r>
      <w:r w:rsidRPr="00286EC5">
        <w:rPr>
          <w:rFonts w:cs="Arial"/>
          <w:sz w:val="22"/>
          <w:szCs w:val="22"/>
        </w:rPr>
        <w:t xml:space="preserve">the relevant active comparator for tedizolid phosphate in the clinical situation/sub-population described in sub-section 1b) above is linezolid. </w:t>
      </w:r>
    </w:p>
    <w:p w14:paraId="27F3984B" w14:textId="77777777" w:rsidR="009F4BE8" w:rsidRDefault="009F4BE8" w:rsidP="0007148C">
      <w:pPr>
        <w:rPr>
          <w:b/>
          <w:i/>
          <w:sz w:val="22"/>
          <w:szCs w:val="22"/>
        </w:rPr>
      </w:pPr>
    </w:p>
    <w:p w14:paraId="74B00FFA" w14:textId="77777777" w:rsidR="0007148C" w:rsidRPr="009F4C53" w:rsidRDefault="0007148C" w:rsidP="0007148C">
      <w:pPr>
        <w:rPr>
          <w:b/>
          <w:i/>
          <w:sz w:val="22"/>
          <w:szCs w:val="22"/>
        </w:rPr>
      </w:pPr>
      <w:r w:rsidRPr="009F4C53">
        <w:rPr>
          <w:b/>
          <w:i/>
          <w:sz w:val="22"/>
          <w:szCs w:val="22"/>
        </w:rPr>
        <w:t>Daptomycin (Cubicin</w:t>
      </w:r>
      <w:r w:rsidRPr="009F4C53">
        <w:rPr>
          <w:b/>
          <w:i/>
          <w:sz w:val="22"/>
          <w:szCs w:val="22"/>
          <w:vertAlign w:val="superscript"/>
        </w:rPr>
        <w:t>R</w:t>
      </w:r>
      <w:r w:rsidRPr="009F4C53">
        <w:rPr>
          <w:b/>
          <w:i/>
          <w:sz w:val="22"/>
          <w:szCs w:val="22"/>
        </w:rPr>
        <w:t>)</w:t>
      </w:r>
    </w:p>
    <w:p w14:paraId="51C1FB13" w14:textId="699BFE17" w:rsidR="0007148C" w:rsidRPr="009F4C53" w:rsidRDefault="0007148C" w:rsidP="009F4C53">
      <w:pPr>
        <w:rPr>
          <w:sz w:val="22"/>
          <w:szCs w:val="22"/>
        </w:rPr>
      </w:pPr>
      <w:r w:rsidRPr="009F4C53">
        <w:rPr>
          <w:sz w:val="22"/>
          <w:szCs w:val="22"/>
        </w:rPr>
        <w:t>Daptomycin is accepted for restricted use within NHS Scotland for the treatment of cSSTIs complicated skin and skin structure infections (</w:t>
      </w:r>
      <w:r w:rsidR="000E5F24">
        <w:rPr>
          <w:sz w:val="22"/>
          <w:szCs w:val="22"/>
        </w:rPr>
        <w:fldChar w:fldCharType="begin"/>
      </w:r>
      <w:r w:rsidR="000E5F24">
        <w:rPr>
          <w:sz w:val="22"/>
          <w:szCs w:val="22"/>
        </w:rPr>
        <w:instrText xml:space="preserve"> REF _Ref284439041 \r \h </w:instrText>
      </w:r>
      <w:r w:rsidR="000E5F24">
        <w:rPr>
          <w:sz w:val="22"/>
          <w:szCs w:val="22"/>
        </w:rPr>
      </w:r>
      <w:r w:rsidR="000E5F24">
        <w:rPr>
          <w:sz w:val="22"/>
          <w:szCs w:val="22"/>
        </w:rPr>
        <w:fldChar w:fldCharType="separate"/>
      </w:r>
      <w:r w:rsidR="00151A1C">
        <w:rPr>
          <w:sz w:val="22"/>
          <w:szCs w:val="22"/>
        </w:rPr>
        <w:t>62</w:t>
      </w:r>
      <w:r w:rsidR="000E5F24">
        <w:rPr>
          <w:sz w:val="22"/>
          <w:szCs w:val="22"/>
        </w:rPr>
        <w:fldChar w:fldCharType="end"/>
      </w:r>
      <w:r w:rsidRPr="009F4C53">
        <w:rPr>
          <w:sz w:val="22"/>
          <w:szCs w:val="22"/>
        </w:rPr>
        <w:t>) and also for the treatment of SAB associated with right-sided infected endocarditis or with cSSTIs (</w:t>
      </w:r>
      <w:r w:rsidR="00C2574B">
        <w:rPr>
          <w:sz w:val="22"/>
          <w:szCs w:val="22"/>
        </w:rPr>
        <w:fldChar w:fldCharType="begin"/>
      </w:r>
      <w:r w:rsidR="00C2574B">
        <w:rPr>
          <w:sz w:val="22"/>
          <w:szCs w:val="22"/>
        </w:rPr>
        <w:instrText xml:space="preserve"> REF _Ref284185745 \r \h </w:instrText>
      </w:r>
      <w:r w:rsidR="00C2574B">
        <w:rPr>
          <w:sz w:val="22"/>
          <w:szCs w:val="22"/>
        </w:rPr>
      </w:r>
      <w:r w:rsidR="00C2574B">
        <w:rPr>
          <w:sz w:val="22"/>
          <w:szCs w:val="22"/>
        </w:rPr>
        <w:fldChar w:fldCharType="separate"/>
      </w:r>
      <w:r w:rsidR="00151A1C">
        <w:rPr>
          <w:sz w:val="22"/>
          <w:szCs w:val="22"/>
        </w:rPr>
        <w:t>63</w:t>
      </w:r>
      <w:r w:rsidR="00C2574B">
        <w:rPr>
          <w:sz w:val="22"/>
          <w:szCs w:val="22"/>
        </w:rPr>
        <w:fldChar w:fldCharType="end"/>
      </w:r>
      <w:r w:rsidRPr="009F4C53">
        <w:rPr>
          <w:sz w:val="22"/>
          <w:szCs w:val="22"/>
        </w:rPr>
        <w:t>). Although accepted for restricted use by the SMC, Scottish expert clinical opinion received by the manufacture</w:t>
      </w:r>
      <w:r w:rsidR="00D57CCA">
        <w:rPr>
          <w:sz w:val="22"/>
          <w:szCs w:val="22"/>
        </w:rPr>
        <w:t xml:space="preserve">r confirmed that daptomycin should be </w:t>
      </w:r>
      <w:r w:rsidRPr="009F4C53">
        <w:rPr>
          <w:sz w:val="22"/>
          <w:szCs w:val="22"/>
        </w:rPr>
        <w:t xml:space="preserve">reserved for </w:t>
      </w:r>
      <w:r w:rsidR="00252692">
        <w:rPr>
          <w:sz w:val="22"/>
          <w:szCs w:val="22"/>
        </w:rPr>
        <w:t xml:space="preserve">bacteraemic </w:t>
      </w:r>
      <w:r w:rsidRPr="009F4C53">
        <w:rPr>
          <w:sz w:val="22"/>
          <w:szCs w:val="22"/>
        </w:rPr>
        <w:t xml:space="preserve">cSSTIs only. </w:t>
      </w:r>
      <w:r w:rsidR="009F4BE8">
        <w:rPr>
          <w:sz w:val="22"/>
          <w:szCs w:val="22"/>
        </w:rPr>
        <w:t>Moreover, d</w:t>
      </w:r>
      <w:r w:rsidRPr="009F4C53">
        <w:rPr>
          <w:sz w:val="22"/>
          <w:szCs w:val="22"/>
        </w:rPr>
        <w:t xml:space="preserve">aptomycin is not available in an oral formulation. Hence, it is not suitable for patients awaiting discharge from hospital. </w:t>
      </w:r>
    </w:p>
    <w:p w14:paraId="321F063E" w14:textId="77777777" w:rsidR="009F4C53" w:rsidRPr="009F4C53" w:rsidRDefault="009F4C53" w:rsidP="009F4C53">
      <w:pPr>
        <w:rPr>
          <w:sz w:val="22"/>
          <w:szCs w:val="22"/>
        </w:rPr>
      </w:pPr>
    </w:p>
    <w:p w14:paraId="19C9DB3A" w14:textId="5BAEE784" w:rsidR="0007148C" w:rsidRPr="009F4C53" w:rsidRDefault="0007148C" w:rsidP="009F4C53">
      <w:pPr>
        <w:rPr>
          <w:sz w:val="22"/>
          <w:szCs w:val="22"/>
        </w:rPr>
      </w:pPr>
      <w:r w:rsidRPr="009F4C53">
        <w:rPr>
          <w:sz w:val="22"/>
          <w:szCs w:val="22"/>
        </w:rPr>
        <w:t xml:space="preserve">For these reasons, daptomycin does not represent the standard of care for post-glycopeptide treatment of ABSSSIs in NHS Scotland and so is not a relevant comparator for tedizolid. </w:t>
      </w:r>
    </w:p>
    <w:p w14:paraId="6FEBF2F2" w14:textId="77777777" w:rsidR="0007148C" w:rsidRPr="008F1BBE" w:rsidRDefault="0007148C" w:rsidP="0007148C">
      <w:pPr>
        <w:rPr>
          <w:color w:val="FF0000"/>
          <w:sz w:val="22"/>
          <w:szCs w:val="22"/>
        </w:rPr>
      </w:pPr>
    </w:p>
    <w:p w14:paraId="49D41491" w14:textId="77777777" w:rsidR="0007148C" w:rsidRPr="00170726" w:rsidRDefault="0007148C" w:rsidP="0007148C">
      <w:pPr>
        <w:rPr>
          <w:b/>
          <w:i/>
          <w:sz w:val="22"/>
          <w:szCs w:val="22"/>
        </w:rPr>
      </w:pPr>
      <w:r w:rsidRPr="00170726">
        <w:rPr>
          <w:b/>
          <w:i/>
          <w:sz w:val="22"/>
          <w:szCs w:val="22"/>
        </w:rPr>
        <w:lastRenderedPageBreak/>
        <w:t>Ceftalorine (Zinforo</w:t>
      </w:r>
      <w:r w:rsidRPr="00170726">
        <w:rPr>
          <w:b/>
          <w:i/>
          <w:sz w:val="22"/>
          <w:szCs w:val="22"/>
          <w:vertAlign w:val="superscript"/>
        </w:rPr>
        <w:t>R</w:t>
      </w:r>
      <w:r w:rsidRPr="00170726">
        <w:rPr>
          <w:b/>
          <w:i/>
          <w:sz w:val="22"/>
          <w:szCs w:val="22"/>
        </w:rPr>
        <w:t>) and tigecycline (Tygacil</w:t>
      </w:r>
      <w:r w:rsidRPr="00170726">
        <w:rPr>
          <w:b/>
          <w:i/>
          <w:sz w:val="22"/>
          <w:szCs w:val="22"/>
          <w:vertAlign w:val="superscript"/>
        </w:rPr>
        <w:t>R</w:t>
      </w:r>
      <w:r w:rsidRPr="00170726">
        <w:rPr>
          <w:b/>
          <w:i/>
          <w:sz w:val="22"/>
          <w:szCs w:val="22"/>
        </w:rPr>
        <w:t>)</w:t>
      </w:r>
    </w:p>
    <w:p w14:paraId="02F12EA4" w14:textId="3509497F" w:rsidR="00EB2B47" w:rsidRPr="00ED3510" w:rsidRDefault="0007148C" w:rsidP="00EB2B47">
      <w:pPr>
        <w:rPr>
          <w:sz w:val="22"/>
          <w:szCs w:val="22"/>
        </w:rPr>
      </w:pPr>
      <w:r w:rsidRPr="00C224C8">
        <w:rPr>
          <w:sz w:val="22"/>
          <w:szCs w:val="22"/>
        </w:rPr>
        <w:t>According to Scottish expert clinical opinion received by the manufacturer, neither ceftar</w:t>
      </w:r>
      <w:r w:rsidR="00F85B68" w:rsidRPr="00C224C8">
        <w:rPr>
          <w:sz w:val="22"/>
          <w:szCs w:val="22"/>
        </w:rPr>
        <w:t>oline nor tigecycline are used much</w:t>
      </w:r>
      <w:r w:rsidRPr="00C224C8">
        <w:rPr>
          <w:sz w:val="22"/>
          <w:szCs w:val="22"/>
        </w:rPr>
        <w:t xml:space="preserve"> in clinical practice to treat ABSSSIs caused by Gram-positive organisms.</w:t>
      </w:r>
      <w:r w:rsidR="00170726" w:rsidRPr="00C224C8">
        <w:rPr>
          <w:sz w:val="22"/>
          <w:szCs w:val="22"/>
        </w:rPr>
        <w:t xml:space="preserve"> </w:t>
      </w:r>
      <w:r w:rsidRPr="00C224C8">
        <w:rPr>
          <w:sz w:val="22"/>
          <w:szCs w:val="22"/>
        </w:rPr>
        <w:t>Use of tigecycline is limited in clinical practice because of</w:t>
      </w:r>
      <w:r w:rsidR="004A1E1D" w:rsidRPr="00C224C8">
        <w:rPr>
          <w:sz w:val="22"/>
          <w:szCs w:val="22"/>
        </w:rPr>
        <w:t xml:space="preserve"> safety and tolerability issues</w:t>
      </w:r>
      <w:r w:rsidR="009B29DE" w:rsidRPr="00C224C8">
        <w:rPr>
          <w:sz w:val="22"/>
          <w:szCs w:val="22"/>
        </w:rPr>
        <w:t xml:space="preserve"> and </w:t>
      </w:r>
      <w:r w:rsidR="009B29DE" w:rsidRPr="00C224C8">
        <w:rPr>
          <w:rFonts w:cs="Arial"/>
          <w:sz w:val="22"/>
          <w:szCs w:val="22"/>
          <w:lang w:val="en-US"/>
        </w:rPr>
        <w:t>is restricted to use in NHS Scotland as a second or third line agent only (</w:t>
      </w:r>
      <w:r w:rsidR="00C2574B">
        <w:rPr>
          <w:rFonts w:cs="Arial"/>
          <w:sz w:val="22"/>
          <w:szCs w:val="22"/>
          <w:lang w:val="en-US"/>
        </w:rPr>
        <w:fldChar w:fldCharType="begin"/>
      </w:r>
      <w:r w:rsidR="00C2574B">
        <w:rPr>
          <w:rFonts w:cs="Arial"/>
          <w:sz w:val="22"/>
          <w:szCs w:val="22"/>
          <w:lang w:val="en-US"/>
        </w:rPr>
        <w:instrText xml:space="preserve"> REF _Ref284185781 \r \h </w:instrText>
      </w:r>
      <w:r w:rsidR="00C2574B">
        <w:rPr>
          <w:rFonts w:cs="Arial"/>
          <w:sz w:val="22"/>
          <w:szCs w:val="22"/>
          <w:lang w:val="en-US"/>
        </w:rPr>
      </w:r>
      <w:r w:rsidR="00C2574B">
        <w:rPr>
          <w:rFonts w:cs="Arial"/>
          <w:sz w:val="22"/>
          <w:szCs w:val="22"/>
          <w:lang w:val="en-US"/>
        </w:rPr>
        <w:fldChar w:fldCharType="separate"/>
      </w:r>
      <w:r w:rsidR="00151A1C">
        <w:rPr>
          <w:rFonts w:cs="Arial"/>
          <w:sz w:val="22"/>
          <w:szCs w:val="22"/>
          <w:lang w:val="en-US"/>
        </w:rPr>
        <w:t>64</w:t>
      </w:r>
      <w:r w:rsidR="00C2574B">
        <w:rPr>
          <w:rFonts w:cs="Arial"/>
          <w:sz w:val="22"/>
          <w:szCs w:val="22"/>
          <w:lang w:val="en-US"/>
        </w:rPr>
        <w:fldChar w:fldCharType="end"/>
      </w:r>
      <w:r w:rsidR="009B29DE" w:rsidRPr="00C224C8">
        <w:rPr>
          <w:rFonts w:cs="Arial"/>
          <w:sz w:val="22"/>
          <w:szCs w:val="22"/>
          <w:lang w:val="en-US"/>
        </w:rPr>
        <w:t>)</w:t>
      </w:r>
      <w:r w:rsidR="004A1E1D" w:rsidRPr="00C224C8">
        <w:rPr>
          <w:sz w:val="22"/>
          <w:szCs w:val="22"/>
        </w:rPr>
        <w:t xml:space="preserve">, </w:t>
      </w:r>
      <w:r w:rsidRPr="00C224C8">
        <w:rPr>
          <w:sz w:val="22"/>
          <w:szCs w:val="22"/>
        </w:rPr>
        <w:t xml:space="preserve">whereas ceftaroline (a cephalosporin) prescribing is restricted in Scotland because of the potential for C. diff infection </w:t>
      </w:r>
      <w:r w:rsidR="00D45544">
        <w:rPr>
          <w:sz w:val="22"/>
          <w:szCs w:val="22"/>
        </w:rPr>
        <w:t>(</w:t>
      </w:r>
      <w:r w:rsidR="00AB16BC">
        <w:rPr>
          <w:sz w:val="22"/>
          <w:szCs w:val="22"/>
        </w:rPr>
        <w:fldChar w:fldCharType="begin"/>
      </w:r>
      <w:r w:rsidR="00AB16BC">
        <w:rPr>
          <w:sz w:val="22"/>
          <w:szCs w:val="22"/>
        </w:rPr>
        <w:instrText xml:space="preserve"> REF _Ref284185925 \r \h </w:instrText>
      </w:r>
      <w:r w:rsidR="00AB16BC">
        <w:rPr>
          <w:sz w:val="22"/>
          <w:szCs w:val="22"/>
        </w:rPr>
      </w:r>
      <w:r w:rsidR="00AB16BC">
        <w:rPr>
          <w:sz w:val="22"/>
          <w:szCs w:val="22"/>
        </w:rPr>
        <w:fldChar w:fldCharType="separate"/>
      </w:r>
      <w:r w:rsidR="00151A1C">
        <w:rPr>
          <w:sz w:val="22"/>
          <w:szCs w:val="22"/>
        </w:rPr>
        <w:t>65</w:t>
      </w:r>
      <w:r w:rsidR="00AB16BC">
        <w:rPr>
          <w:sz w:val="22"/>
          <w:szCs w:val="22"/>
        </w:rPr>
        <w:fldChar w:fldCharType="end"/>
      </w:r>
      <w:r w:rsidR="00D45544">
        <w:rPr>
          <w:sz w:val="22"/>
          <w:szCs w:val="22"/>
        </w:rPr>
        <w:t>;</w:t>
      </w:r>
      <w:r w:rsidR="00AB16BC">
        <w:rPr>
          <w:sz w:val="22"/>
          <w:szCs w:val="22"/>
        </w:rPr>
        <w:fldChar w:fldCharType="begin"/>
      </w:r>
      <w:r w:rsidR="00AB16BC">
        <w:rPr>
          <w:sz w:val="22"/>
          <w:szCs w:val="22"/>
        </w:rPr>
        <w:instrText xml:space="preserve"> REF _Ref284185946 \r \h </w:instrText>
      </w:r>
      <w:r w:rsidR="00AB16BC">
        <w:rPr>
          <w:sz w:val="22"/>
          <w:szCs w:val="22"/>
        </w:rPr>
      </w:r>
      <w:r w:rsidR="00AB16BC">
        <w:rPr>
          <w:sz w:val="22"/>
          <w:szCs w:val="22"/>
        </w:rPr>
        <w:fldChar w:fldCharType="separate"/>
      </w:r>
      <w:r w:rsidR="00151A1C">
        <w:rPr>
          <w:sz w:val="22"/>
          <w:szCs w:val="22"/>
        </w:rPr>
        <w:t>38</w:t>
      </w:r>
      <w:r w:rsidR="00AB16BC">
        <w:rPr>
          <w:sz w:val="22"/>
          <w:szCs w:val="22"/>
        </w:rPr>
        <w:fldChar w:fldCharType="end"/>
      </w:r>
      <w:r w:rsidR="00D45544">
        <w:rPr>
          <w:sz w:val="22"/>
          <w:szCs w:val="22"/>
        </w:rPr>
        <w:t>).</w:t>
      </w:r>
    </w:p>
    <w:p w14:paraId="201BDB68" w14:textId="6F938AE6" w:rsidR="007D1577" w:rsidRDefault="007D1577" w:rsidP="007D1577">
      <w:pPr>
        <w:rPr>
          <w:sz w:val="22"/>
          <w:szCs w:val="22"/>
        </w:rPr>
      </w:pPr>
    </w:p>
    <w:p w14:paraId="1C173E6C" w14:textId="5160E9DC" w:rsidR="0007148C" w:rsidRPr="007D1577" w:rsidRDefault="007D1577" w:rsidP="007D1577">
      <w:pPr>
        <w:rPr>
          <w:b/>
          <w:i/>
          <w:sz w:val="22"/>
          <w:szCs w:val="22"/>
        </w:rPr>
      </w:pPr>
      <w:r w:rsidRPr="007D1577">
        <w:rPr>
          <w:b/>
          <w:i/>
          <w:sz w:val="22"/>
          <w:szCs w:val="22"/>
        </w:rPr>
        <w:t>Teicoplanin</w:t>
      </w:r>
    </w:p>
    <w:p w14:paraId="3DE33B26" w14:textId="1CB767CA" w:rsidR="007D1577" w:rsidRDefault="00810606" w:rsidP="007D1577">
      <w:pPr>
        <w:rPr>
          <w:sz w:val="22"/>
          <w:szCs w:val="22"/>
        </w:rPr>
      </w:pPr>
      <w:r w:rsidRPr="00170726">
        <w:rPr>
          <w:sz w:val="22"/>
          <w:szCs w:val="22"/>
        </w:rPr>
        <w:t xml:space="preserve">According to Scottish expert clinical opinion received by the manufacturer, </w:t>
      </w:r>
      <w:r>
        <w:rPr>
          <w:sz w:val="22"/>
          <w:szCs w:val="22"/>
        </w:rPr>
        <w:t xml:space="preserve">teicoplanin is used only infrequently to treat MRSA-associated infections in NHS Scotland. </w:t>
      </w:r>
      <w:r w:rsidR="00090BFB">
        <w:rPr>
          <w:sz w:val="22"/>
          <w:szCs w:val="22"/>
        </w:rPr>
        <w:t>Clinical isolates with a reduced susceptibility to teicoplanin have been increasingly reported in the UK and in Europe and are possibly under-recognised (</w:t>
      </w:r>
      <w:r w:rsidR="00AB16BC">
        <w:rPr>
          <w:sz w:val="22"/>
          <w:szCs w:val="22"/>
        </w:rPr>
        <w:fldChar w:fldCharType="begin"/>
      </w:r>
      <w:r w:rsidR="00AB16BC">
        <w:rPr>
          <w:sz w:val="22"/>
          <w:szCs w:val="22"/>
        </w:rPr>
        <w:instrText xml:space="preserve"> REF _Ref284186006 \r \h </w:instrText>
      </w:r>
      <w:r w:rsidR="00AB16BC">
        <w:rPr>
          <w:sz w:val="22"/>
          <w:szCs w:val="22"/>
        </w:rPr>
      </w:r>
      <w:r w:rsidR="00AB16BC">
        <w:rPr>
          <w:sz w:val="22"/>
          <w:szCs w:val="22"/>
        </w:rPr>
        <w:fldChar w:fldCharType="separate"/>
      </w:r>
      <w:r w:rsidR="00151A1C">
        <w:rPr>
          <w:sz w:val="22"/>
          <w:szCs w:val="22"/>
        </w:rPr>
        <w:t>66</w:t>
      </w:r>
      <w:r w:rsidR="00AB16BC">
        <w:rPr>
          <w:sz w:val="22"/>
          <w:szCs w:val="22"/>
        </w:rPr>
        <w:fldChar w:fldCharType="end"/>
      </w:r>
      <w:r w:rsidR="00090BFB">
        <w:rPr>
          <w:sz w:val="22"/>
          <w:szCs w:val="22"/>
        </w:rPr>
        <w:t>;</w:t>
      </w:r>
      <w:r w:rsidR="00AB16BC">
        <w:rPr>
          <w:sz w:val="22"/>
          <w:szCs w:val="22"/>
        </w:rPr>
        <w:fldChar w:fldCharType="begin"/>
      </w:r>
      <w:r w:rsidR="00AB16BC">
        <w:rPr>
          <w:sz w:val="22"/>
          <w:szCs w:val="22"/>
        </w:rPr>
        <w:instrText xml:space="preserve"> REF _Ref284186026 \r \h </w:instrText>
      </w:r>
      <w:r w:rsidR="00AB16BC">
        <w:rPr>
          <w:sz w:val="22"/>
          <w:szCs w:val="22"/>
        </w:rPr>
      </w:r>
      <w:r w:rsidR="00AB16BC">
        <w:rPr>
          <w:sz w:val="22"/>
          <w:szCs w:val="22"/>
        </w:rPr>
        <w:fldChar w:fldCharType="separate"/>
      </w:r>
      <w:r w:rsidR="00151A1C">
        <w:rPr>
          <w:sz w:val="22"/>
          <w:szCs w:val="22"/>
        </w:rPr>
        <w:t>67</w:t>
      </w:r>
      <w:r w:rsidR="00AB16BC">
        <w:rPr>
          <w:sz w:val="22"/>
          <w:szCs w:val="22"/>
        </w:rPr>
        <w:fldChar w:fldCharType="end"/>
      </w:r>
      <w:r w:rsidR="00090BFB">
        <w:rPr>
          <w:sz w:val="22"/>
          <w:szCs w:val="22"/>
        </w:rPr>
        <w:t>).</w:t>
      </w:r>
    </w:p>
    <w:p w14:paraId="2C0D307A" w14:textId="77777777" w:rsidR="00090BFB" w:rsidRDefault="00090BFB" w:rsidP="007D1577">
      <w:pPr>
        <w:rPr>
          <w:sz w:val="22"/>
          <w:szCs w:val="22"/>
        </w:rPr>
      </w:pPr>
    </w:p>
    <w:p w14:paraId="1109911D" w14:textId="71EDBCB8" w:rsidR="00090BFB" w:rsidRPr="007D1577" w:rsidRDefault="00090BFB" w:rsidP="007D1577">
      <w:pPr>
        <w:rPr>
          <w:color w:val="FF0000"/>
          <w:sz w:val="22"/>
          <w:szCs w:val="22"/>
        </w:rPr>
      </w:pPr>
      <w:r>
        <w:rPr>
          <w:sz w:val="22"/>
          <w:szCs w:val="22"/>
        </w:rPr>
        <w:t xml:space="preserve">In a randomised, controlled, open-label study of 430 patients with suspected or proven Gram-positive infection, comparing teicoplanin with linezolid, Wilcox et al concluded that linezolid was clinically superior to </w:t>
      </w:r>
      <w:r w:rsidR="002D328E">
        <w:rPr>
          <w:sz w:val="22"/>
          <w:szCs w:val="22"/>
        </w:rPr>
        <w:t>teicoplanin</w:t>
      </w:r>
      <w:r>
        <w:rPr>
          <w:sz w:val="22"/>
          <w:szCs w:val="22"/>
        </w:rPr>
        <w:t xml:space="preserve"> </w:t>
      </w:r>
      <w:r w:rsidR="00595368">
        <w:rPr>
          <w:sz w:val="22"/>
          <w:szCs w:val="22"/>
        </w:rPr>
        <w:t xml:space="preserve">in the treatment of Gram-positive infections </w:t>
      </w:r>
      <w:r>
        <w:rPr>
          <w:sz w:val="22"/>
          <w:szCs w:val="22"/>
        </w:rPr>
        <w:t>(</w:t>
      </w:r>
      <w:r w:rsidR="00AB16BC">
        <w:rPr>
          <w:sz w:val="22"/>
          <w:szCs w:val="22"/>
        </w:rPr>
        <w:fldChar w:fldCharType="begin"/>
      </w:r>
      <w:r w:rsidR="00AB16BC">
        <w:rPr>
          <w:sz w:val="22"/>
          <w:szCs w:val="22"/>
        </w:rPr>
        <w:instrText xml:space="preserve"> REF _Ref284186046 \r \h </w:instrText>
      </w:r>
      <w:r w:rsidR="00AB16BC">
        <w:rPr>
          <w:sz w:val="22"/>
          <w:szCs w:val="22"/>
        </w:rPr>
      </w:r>
      <w:r w:rsidR="00AB16BC">
        <w:rPr>
          <w:sz w:val="22"/>
          <w:szCs w:val="22"/>
        </w:rPr>
        <w:fldChar w:fldCharType="separate"/>
      </w:r>
      <w:r w:rsidR="00151A1C">
        <w:rPr>
          <w:sz w:val="22"/>
          <w:szCs w:val="22"/>
        </w:rPr>
        <w:t>68</w:t>
      </w:r>
      <w:r w:rsidR="00AB16BC">
        <w:rPr>
          <w:sz w:val="22"/>
          <w:szCs w:val="22"/>
        </w:rPr>
        <w:fldChar w:fldCharType="end"/>
      </w:r>
      <w:r>
        <w:rPr>
          <w:sz w:val="22"/>
          <w:szCs w:val="22"/>
        </w:rPr>
        <w:t xml:space="preserve">). </w:t>
      </w:r>
    </w:p>
    <w:p w14:paraId="0DF87A96" w14:textId="77777777" w:rsidR="007D1577" w:rsidRDefault="007D1577" w:rsidP="0007148C">
      <w:pPr>
        <w:ind w:left="360"/>
        <w:rPr>
          <w:b/>
          <w:i/>
          <w:color w:val="FF0000"/>
          <w:sz w:val="22"/>
          <w:szCs w:val="22"/>
        </w:rPr>
      </w:pPr>
    </w:p>
    <w:p w14:paraId="42C27A52" w14:textId="457A2F3B" w:rsidR="0007148C" w:rsidRPr="00F04B38" w:rsidRDefault="0007148C" w:rsidP="0007148C">
      <w:pPr>
        <w:rPr>
          <w:sz w:val="22"/>
          <w:szCs w:val="22"/>
        </w:rPr>
      </w:pPr>
      <w:r w:rsidRPr="00F04B38">
        <w:rPr>
          <w:sz w:val="22"/>
          <w:szCs w:val="22"/>
        </w:rPr>
        <w:t>In conclusion, Scottish clinical experts have confirmed that linezolid is the most widely used agent in Scottish clinical practice for treating ABSSSIs caused by Gram-positive organisms such as MRSA in circumstances where an agent other than vancomycin is required. This is supported by Scottish prescribing data.</w:t>
      </w:r>
    </w:p>
    <w:p w14:paraId="16125B1A" w14:textId="77777777" w:rsidR="008E4E92" w:rsidRPr="008E4E92" w:rsidRDefault="008E4E92" w:rsidP="0021444A">
      <w:pPr>
        <w:pStyle w:val="EndnoteText"/>
        <w:tabs>
          <w:tab w:val="num" w:pos="567"/>
        </w:tabs>
        <w:jc w:val="both"/>
        <w:rPr>
          <w:rFonts w:ascii="Arial" w:hAnsi="Arial" w:cs="Arial"/>
          <w:szCs w:val="22"/>
        </w:rPr>
      </w:pPr>
    </w:p>
    <w:p w14:paraId="593DB422" w14:textId="77777777" w:rsidR="008E4E92" w:rsidRPr="00FB0D23"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FB0D23">
        <w:rPr>
          <w:rFonts w:ascii="Arial" w:hAnsi="Arial" w:cs="Arial"/>
          <w:b w:val="0"/>
          <w:i/>
          <w:color w:val="auto"/>
          <w:sz w:val="22"/>
          <w:szCs w:val="22"/>
        </w:rPr>
        <w:t>Provide details of relevant guidelines and protocols relating to the medicine for the indication(s) under review, including previous SMC guidance for medicine(s) that may also be used for the indication(s) under review.</w:t>
      </w:r>
    </w:p>
    <w:p w14:paraId="414DCF24" w14:textId="77777777" w:rsidR="00614ABD" w:rsidRDefault="00614ABD" w:rsidP="00E80326">
      <w:pPr>
        <w:widowControl w:val="0"/>
        <w:autoSpaceDE w:val="0"/>
        <w:autoSpaceDN w:val="0"/>
        <w:adjustRightInd w:val="0"/>
        <w:rPr>
          <w:rFonts w:cs="Arial"/>
          <w:color w:val="FF0000"/>
          <w:szCs w:val="24"/>
          <w:lang w:val="en-US" w:eastAsia="ja-JP"/>
        </w:rPr>
      </w:pPr>
    </w:p>
    <w:p w14:paraId="06AD8BDC" w14:textId="4CA1801B" w:rsidR="009178C9" w:rsidRPr="00672261" w:rsidRDefault="009178C9" w:rsidP="009178C9">
      <w:pPr>
        <w:widowControl w:val="0"/>
        <w:autoSpaceDE w:val="0"/>
        <w:autoSpaceDN w:val="0"/>
        <w:adjustRightInd w:val="0"/>
        <w:rPr>
          <w:rFonts w:cs="Arial"/>
          <w:sz w:val="22"/>
          <w:szCs w:val="22"/>
          <w:lang w:val="en-US" w:eastAsia="ja-JP"/>
        </w:rPr>
      </w:pPr>
      <w:r w:rsidRPr="00672261">
        <w:rPr>
          <w:rFonts w:cs="Arial"/>
          <w:sz w:val="22"/>
          <w:szCs w:val="22"/>
          <w:lang w:val="en-US" w:eastAsia="ja-JP"/>
        </w:rPr>
        <w:t xml:space="preserve">There are a number of international, national and local guidelines and protocols </w:t>
      </w:r>
      <w:r w:rsidR="00BF379E" w:rsidRPr="00672261">
        <w:rPr>
          <w:rFonts w:cs="Arial"/>
          <w:sz w:val="22"/>
          <w:szCs w:val="22"/>
          <w:lang w:val="en-US" w:eastAsia="ja-JP"/>
        </w:rPr>
        <w:t>governing</w:t>
      </w:r>
      <w:r w:rsidRPr="00672261">
        <w:rPr>
          <w:rFonts w:cs="Arial"/>
          <w:sz w:val="22"/>
          <w:szCs w:val="22"/>
          <w:lang w:val="en-US" w:eastAsia="ja-JP"/>
        </w:rPr>
        <w:t xml:space="preserve"> the prevention and treatment of ABSSSI</w:t>
      </w:r>
      <w:r w:rsidR="00BF379E" w:rsidRPr="00672261">
        <w:rPr>
          <w:rFonts w:cs="Arial"/>
          <w:sz w:val="22"/>
          <w:szCs w:val="22"/>
          <w:lang w:val="en-US" w:eastAsia="ja-JP"/>
        </w:rPr>
        <w:t>s</w:t>
      </w:r>
      <w:r w:rsidRPr="00672261">
        <w:rPr>
          <w:rFonts w:cs="Arial"/>
          <w:sz w:val="22"/>
          <w:szCs w:val="22"/>
          <w:lang w:val="en-US" w:eastAsia="ja-JP"/>
        </w:rPr>
        <w:t xml:space="preserve">, including </w:t>
      </w:r>
      <w:r w:rsidR="00BF379E" w:rsidRPr="00672261">
        <w:rPr>
          <w:rFonts w:cs="Arial"/>
          <w:sz w:val="22"/>
          <w:szCs w:val="22"/>
          <w:lang w:val="en-US" w:eastAsia="ja-JP"/>
        </w:rPr>
        <w:t xml:space="preserve">Gram-positive </w:t>
      </w:r>
      <w:r w:rsidRPr="00672261">
        <w:rPr>
          <w:rFonts w:cs="Arial"/>
          <w:sz w:val="22"/>
          <w:szCs w:val="22"/>
          <w:lang w:val="en-US" w:eastAsia="ja-JP"/>
        </w:rPr>
        <w:t>infections</w:t>
      </w:r>
      <w:r w:rsidR="002C640B" w:rsidRPr="00672261">
        <w:rPr>
          <w:rFonts w:cs="Arial"/>
          <w:sz w:val="22"/>
          <w:szCs w:val="22"/>
          <w:lang w:val="en-US" w:eastAsia="ja-JP"/>
        </w:rPr>
        <w:t xml:space="preserve"> caused by MRSA</w:t>
      </w:r>
      <w:r w:rsidRPr="00672261">
        <w:rPr>
          <w:rFonts w:cs="Arial"/>
          <w:sz w:val="22"/>
          <w:szCs w:val="22"/>
          <w:lang w:val="en-US" w:eastAsia="ja-JP"/>
        </w:rPr>
        <w:t xml:space="preserve">.  </w:t>
      </w:r>
    </w:p>
    <w:p w14:paraId="4ADB2A19" w14:textId="77777777" w:rsidR="009178C9" w:rsidRPr="00C224C8" w:rsidRDefault="009178C9" w:rsidP="009178C9">
      <w:pPr>
        <w:widowControl w:val="0"/>
        <w:autoSpaceDE w:val="0"/>
        <w:autoSpaceDN w:val="0"/>
        <w:adjustRightInd w:val="0"/>
        <w:rPr>
          <w:rFonts w:cs="Arial"/>
          <w:sz w:val="22"/>
          <w:szCs w:val="22"/>
          <w:lang w:val="en-US" w:eastAsia="ja-JP"/>
        </w:rPr>
      </w:pPr>
    </w:p>
    <w:p w14:paraId="54EADD3E" w14:textId="77777777" w:rsidR="009178C9" w:rsidRPr="00C224C8" w:rsidRDefault="009178C9" w:rsidP="009178C9">
      <w:pPr>
        <w:pStyle w:val="BodyText"/>
        <w:rPr>
          <w:b/>
          <w:i/>
          <w:sz w:val="22"/>
          <w:szCs w:val="22"/>
          <w:lang w:val="en-US"/>
        </w:rPr>
      </w:pPr>
      <w:r w:rsidRPr="00C224C8">
        <w:rPr>
          <w:b/>
          <w:i/>
          <w:sz w:val="22"/>
          <w:szCs w:val="22"/>
          <w:lang w:val="en-US"/>
        </w:rPr>
        <w:t>European guidelines</w:t>
      </w:r>
    </w:p>
    <w:p w14:paraId="51367D65" w14:textId="1CD3A743" w:rsidR="009178C9" w:rsidRPr="00C224C8" w:rsidRDefault="009178C9" w:rsidP="009178C9">
      <w:pPr>
        <w:pStyle w:val="BodyText"/>
        <w:rPr>
          <w:sz w:val="22"/>
          <w:szCs w:val="22"/>
          <w:lang w:val="en-US"/>
        </w:rPr>
      </w:pPr>
      <w:r w:rsidRPr="00C224C8">
        <w:rPr>
          <w:sz w:val="22"/>
          <w:szCs w:val="22"/>
          <w:lang w:val="en-US"/>
        </w:rPr>
        <w:lastRenderedPageBreak/>
        <w:t>The 2009 European Society of Clinical Microbiology and Infectious Diseases (ESCMID) consensus report provides guidance on effective management of MRSA</w:t>
      </w:r>
      <w:r w:rsidR="0021444A" w:rsidRPr="00C224C8">
        <w:rPr>
          <w:sz w:val="22"/>
          <w:szCs w:val="22"/>
          <w:lang w:val="en-US"/>
        </w:rPr>
        <w:t xml:space="preserve"> (</w:t>
      </w:r>
      <w:r w:rsidR="0054212B">
        <w:rPr>
          <w:sz w:val="22"/>
          <w:szCs w:val="22"/>
          <w:lang w:val="en-US"/>
        </w:rPr>
        <w:fldChar w:fldCharType="begin"/>
      </w:r>
      <w:r w:rsidR="0054212B">
        <w:rPr>
          <w:sz w:val="22"/>
          <w:szCs w:val="22"/>
          <w:lang w:val="en-US"/>
        </w:rPr>
        <w:instrText xml:space="preserve"> REF _Ref284438612 \r \h </w:instrText>
      </w:r>
      <w:r w:rsidR="0054212B">
        <w:rPr>
          <w:sz w:val="22"/>
          <w:szCs w:val="22"/>
          <w:lang w:val="en-US"/>
        </w:rPr>
      </w:r>
      <w:r w:rsidR="0054212B">
        <w:rPr>
          <w:sz w:val="22"/>
          <w:szCs w:val="22"/>
          <w:lang w:val="en-US"/>
        </w:rPr>
        <w:fldChar w:fldCharType="separate"/>
      </w:r>
      <w:r w:rsidR="00151A1C">
        <w:rPr>
          <w:sz w:val="22"/>
          <w:szCs w:val="22"/>
          <w:lang w:val="en-US"/>
        </w:rPr>
        <w:t>69</w:t>
      </w:r>
      <w:r w:rsidR="0054212B">
        <w:rPr>
          <w:sz w:val="22"/>
          <w:szCs w:val="22"/>
          <w:lang w:val="en-US"/>
        </w:rPr>
        <w:fldChar w:fldCharType="end"/>
      </w:r>
      <w:r w:rsidR="0021444A" w:rsidRPr="00C224C8">
        <w:rPr>
          <w:sz w:val="22"/>
          <w:szCs w:val="22"/>
          <w:lang w:val="en-US"/>
        </w:rPr>
        <w:t>).</w:t>
      </w:r>
      <w:r w:rsidRPr="00C224C8">
        <w:rPr>
          <w:sz w:val="22"/>
          <w:szCs w:val="22"/>
          <w:lang w:val="en-US"/>
        </w:rPr>
        <w:t xml:space="preserve"> The report recommends that treatment of MRSA infections should be individualised, taking into account the susceptibility patterns, source of infection, presence of metastatic sites of infection, comorbidities, and history of allergy. Several concerns were identified regarding the treatment of MRSA infections with glycopeptides; for example, the clinical failure with vancomycin treatment regardless of </w:t>
      </w:r>
      <w:r w:rsidRPr="00C224C8">
        <w:rPr>
          <w:i/>
          <w:sz w:val="22"/>
          <w:szCs w:val="22"/>
          <w:lang w:val="en-US"/>
        </w:rPr>
        <w:t xml:space="preserve">in vitro </w:t>
      </w:r>
      <w:r w:rsidRPr="00C224C8">
        <w:rPr>
          <w:sz w:val="22"/>
          <w:szCs w:val="22"/>
          <w:lang w:val="en-US"/>
        </w:rPr>
        <w:t>susceptibility and the difficulty of dosage monitoring in teicoplanin. At the time of publication, linezolid and daptomycin were identified as new therapeutic options with activity against MRSA infections.</w:t>
      </w:r>
      <w:r w:rsidR="00021F54" w:rsidRPr="00C224C8">
        <w:rPr>
          <w:sz w:val="22"/>
          <w:szCs w:val="22"/>
          <w:lang w:val="en-US"/>
        </w:rPr>
        <w:t xml:space="preserve"> </w:t>
      </w:r>
    </w:p>
    <w:p w14:paraId="32757EC8" w14:textId="77777777" w:rsidR="009178C9" w:rsidRPr="00C224C8" w:rsidRDefault="009178C9" w:rsidP="009178C9">
      <w:pPr>
        <w:pStyle w:val="BodyText"/>
        <w:rPr>
          <w:sz w:val="22"/>
          <w:szCs w:val="22"/>
          <w:lang w:val="en-US"/>
        </w:rPr>
      </w:pPr>
    </w:p>
    <w:p w14:paraId="608D987E" w14:textId="77777777" w:rsidR="009178C9" w:rsidRPr="00C224C8" w:rsidRDefault="009178C9" w:rsidP="009178C9">
      <w:pPr>
        <w:widowControl w:val="0"/>
        <w:autoSpaceDE w:val="0"/>
        <w:autoSpaceDN w:val="0"/>
        <w:adjustRightInd w:val="0"/>
        <w:rPr>
          <w:rFonts w:cs="Arial"/>
          <w:b/>
          <w:i/>
          <w:sz w:val="22"/>
          <w:szCs w:val="22"/>
          <w:lang w:val="en-US" w:eastAsia="ja-JP"/>
        </w:rPr>
      </w:pPr>
      <w:r w:rsidRPr="00C224C8">
        <w:rPr>
          <w:rFonts w:cs="Arial"/>
          <w:b/>
          <w:i/>
          <w:sz w:val="22"/>
          <w:szCs w:val="22"/>
          <w:lang w:val="en-US" w:eastAsia="ja-JP"/>
        </w:rPr>
        <w:t>UK guidelines</w:t>
      </w:r>
    </w:p>
    <w:p w14:paraId="332011CF" w14:textId="7D273BC5" w:rsidR="009178C9" w:rsidRPr="00C224C8" w:rsidRDefault="009178C9" w:rsidP="00040459">
      <w:pPr>
        <w:widowControl w:val="0"/>
        <w:autoSpaceDE w:val="0"/>
        <w:autoSpaceDN w:val="0"/>
        <w:adjustRightInd w:val="0"/>
        <w:rPr>
          <w:rFonts w:cs="Arial"/>
          <w:sz w:val="22"/>
          <w:szCs w:val="22"/>
          <w:lang w:val="en-US" w:eastAsia="ja-JP"/>
        </w:rPr>
      </w:pPr>
      <w:r w:rsidRPr="00C224C8">
        <w:rPr>
          <w:rFonts w:cs="Arial"/>
          <w:sz w:val="22"/>
          <w:szCs w:val="22"/>
          <w:lang w:val="en-US" w:eastAsia="ja-JP"/>
        </w:rPr>
        <w:t>The British Society for Antimicrobial Chemotherapy (BSAC) has published evidence-based guidelines for the prevention and treatment of MRS</w:t>
      </w:r>
      <w:r w:rsidR="00021F54" w:rsidRPr="00C224C8">
        <w:rPr>
          <w:rFonts w:cs="Arial"/>
          <w:sz w:val="22"/>
          <w:szCs w:val="22"/>
          <w:lang w:val="en-US" w:eastAsia="ja-JP"/>
        </w:rPr>
        <w:t>A infections in the UK (</w:t>
      </w:r>
      <w:r w:rsidR="00AB16BC">
        <w:rPr>
          <w:rFonts w:cs="Arial"/>
          <w:sz w:val="22"/>
          <w:szCs w:val="22"/>
          <w:lang w:val="en-US" w:eastAsia="ja-JP"/>
        </w:rPr>
        <w:fldChar w:fldCharType="begin"/>
      </w:r>
      <w:r w:rsidR="00AB16BC">
        <w:rPr>
          <w:rFonts w:cs="Arial"/>
          <w:sz w:val="22"/>
          <w:szCs w:val="22"/>
          <w:lang w:val="en-US" w:eastAsia="ja-JP"/>
        </w:rPr>
        <w:instrText xml:space="preserve"> REF _Ref284168416 \r \h </w:instrText>
      </w:r>
      <w:r w:rsidR="00AB16BC">
        <w:rPr>
          <w:rFonts w:cs="Arial"/>
          <w:sz w:val="22"/>
          <w:szCs w:val="22"/>
          <w:lang w:val="en-US" w:eastAsia="ja-JP"/>
        </w:rPr>
      </w:r>
      <w:r w:rsidR="00AB16BC">
        <w:rPr>
          <w:rFonts w:cs="Arial"/>
          <w:sz w:val="22"/>
          <w:szCs w:val="22"/>
          <w:lang w:val="en-US" w:eastAsia="ja-JP"/>
        </w:rPr>
        <w:fldChar w:fldCharType="separate"/>
      </w:r>
      <w:r w:rsidR="00151A1C">
        <w:rPr>
          <w:rFonts w:cs="Arial"/>
          <w:sz w:val="22"/>
          <w:szCs w:val="22"/>
          <w:lang w:val="en-US" w:eastAsia="ja-JP"/>
        </w:rPr>
        <w:t>2</w:t>
      </w:r>
      <w:r w:rsidR="00AB16BC">
        <w:rPr>
          <w:rFonts w:cs="Arial"/>
          <w:sz w:val="22"/>
          <w:szCs w:val="22"/>
          <w:lang w:val="en-US" w:eastAsia="ja-JP"/>
        </w:rPr>
        <w:fldChar w:fldCharType="end"/>
      </w:r>
      <w:r w:rsidRPr="00C224C8">
        <w:rPr>
          <w:rFonts w:cs="Arial"/>
          <w:sz w:val="22"/>
          <w:szCs w:val="22"/>
          <w:lang w:val="en-US" w:eastAsia="ja-JP"/>
        </w:rPr>
        <w:t xml:space="preserve">). </w:t>
      </w:r>
      <w:r w:rsidRPr="00C224C8">
        <w:rPr>
          <w:rFonts w:eastAsia="Tahoma"/>
          <w:sz w:val="22"/>
          <w:szCs w:val="22"/>
          <w:lang w:val="en-US"/>
        </w:rPr>
        <w:t xml:space="preserve">The 2008 BSAC guidelines give recommendations for treating MRSA infections in general, as well as for a number of specific infections. For treating MRSA infections in general, the guidelines prefer an approach of de-escalating therapy from an agent that encompasses MRSA to a </w:t>
      </w:r>
      <w:r w:rsidRPr="00C224C8">
        <w:rPr>
          <w:rFonts w:cstheme="minorHAnsi"/>
          <w:sz w:val="22"/>
          <w:szCs w:val="22"/>
          <w:lang w:val="en-US"/>
        </w:rPr>
        <w:t>Methicillin-</w:t>
      </w:r>
      <w:r w:rsidRPr="00C224C8">
        <w:rPr>
          <w:sz w:val="22"/>
          <w:szCs w:val="22"/>
        </w:rPr>
        <w:t>s</w:t>
      </w:r>
      <w:r w:rsidRPr="00C224C8">
        <w:rPr>
          <w:rFonts w:cstheme="minorHAnsi"/>
          <w:sz w:val="22"/>
          <w:szCs w:val="22"/>
          <w:lang w:val="en-US"/>
        </w:rPr>
        <w:t xml:space="preserve">usceptible </w:t>
      </w:r>
      <w:r w:rsidRPr="00C224C8">
        <w:rPr>
          <w:rStyle w:val="BodyText-italic-H12"/>
          <w:sz w:val="22"/>
          <w:szCs w:val="22"/>
        </w:rPr>
        <w:t>S. aureus</w:t>
      </w:r>
      <w:r w:rsidRPr="00C224C8">
        <w:rPr>
          <w:rFonts w:eastAsia="Tahoma"/>
          <w:sz w:val="22"/>
          <w:szCs w:val="22"/>
          <w:lang w:val="en-US"/>
        </w:rPr>
        <w:t xml:space="preserve"> (MSSA) therapy as a safer alternative to escalation therapy, unless the proportion of MRSA infections is known to be very low as established</w:t>
      </w:r>
      <w:r w:rsidR="00021F54" w:rsidRPr="00C224C8">
        <w:rPr>
          <w:rFonts w:eastAsia="Tahoma"/>
          <w:sz w:val="22"/>
          <w:szCs w:val="22"/>
          <w:lang w:val="en-US"/>
        </w:rPr>
        <w:t xml:space="preserve"> by local surveillance (</w:t>
      </w:r>
      <w:r w:rsidR="00AB16BC">
        <w:rPr>
          <w:rFonts w:eastAsia="Tahoma"/>
          <w:sz w:val="22"/>
          <w:szCs w:val="22"/>
          <w:lang w:val="en-US"/>
        </w:rPr>
        <w:fldChar w:fldCharType="begin"/>
      </w:r>
      <w:r w:rsidR="00AB16BC">
        <w:rPr>
          <w:rFonts w:eastAsia="Tahoma"/>
          <w:sz w:val="22"/>
          <w:szCs w:val="22"/>
          <w:lang w:val="en-US"/>
        </w:rPr>
        <w:instrText xml:space="preserve"> REF _Ref284168416 \r \h </w:instrText>
      </w:r>
      <w:r w:rsidR="00AB16BC">
        <w:rPr>
          <w:rFonts w:eastAsia="Tahoma"/>
          <w:sz w:val="22"/>
          <w:szCs w:val="22"/>
          <w:lang w:val="en-US"/>
        </w:rPr>
      </w:r>
      <w:r w:rsidR="00AB16BC">
        <w:rPr>
          <w:rFonts w:eastAsia="Tahoma"/>
          <w:sz w:val="22"/>
          <w:szCs w:val="22"/>
          <w:lang w:val="en-US"/>
        </w:rPr>
        <w:fldChar w:fldCharType="separate"/>
      </w:r>
      <w:r w:rsidR="00151A1C">
        <w:rPr>
          <w:rFonts w:eastAsia="Tahoma"/>
          <w:sz w:val="22"/>
          <w:szCs w:val="22"/>
          <w:lang w:val="en-US"/>
        </w:rPr>
        <w:t>2</w:t>
      </w:r>
      <w:r w:rsidR="00AB16BC">
        <w:rPr>
          <w:rFonts w:eastAsia="Tahoma"/>
          <w:sz w:val="22"/>
          <w:szCs w:val="22"/>
          <w:lang w:val="en-US"/>
        </w:rPr>
        <w:fldChar w:fldCharType="end"/>
      </w:r>
      <w:r w:rsidRPr="00C224C8">
        <w:rPr>
          <w:rFonts w:eastAsia="Tahoma"/>
          <w:sz w:val="22"/>
          <w:szCs w:val="22"/>
          <w:lang w:val="en-US"/>
        </w:rPr>
        <w:t>),</w:t>
      </w:r>
    </w:p>
    <w:p w14:paraId="70580B96" w14:textId="77777777" w:rsidR="009178C9" w:rsidRPr="00C224C8" w:rsidRDefault="009178C9" w:rsidP="00040459">
      <w:pPr>
        <w:widowControl w:val="0"/>
        <w:autoSpaceDE w:val="0"/>
        <w:autoSpaceDN w:val="0"/>
        <w:adjustRightInd w:val="0"/>
        <w:rPr>
          <w:rFonts w:cs="Arial"/>
          <w:sz w:val="22"/>
          <w:szCs w:val="22"/>
          <w:lang w:val="en-US" w:eastAsia="ja-JP"/>
        </w:rPr>
      </w:pPr>
    </w:p>
    <w:p w14:paraId="7CC16E14" w14:textId="77777777" w:rsidR="009178C9" w:rsidRPr="00C224C8" w:rsidRDefault="009178C9" w:rsidP="00040459">
      <w:pPr>
        <w:pStyle w:val="BodyText"/>
        <w:rPr>
          <w:rFonts w:eastAsia="Tahoma"/>
          <w:sz w:val="22"/>
          <w:szCs w:val="22"/>
          <w:lang w:val="en-US"/>
        </w:rPr>
      </w:pPr>
      <w:r w:rsidRPr="00C224C8">
        <w:rPr>
          <w:rFonts w:eastAsia="Tahoma"/>
          <w:sz w:val="22"/>
          <w:szCs w:val="22"/>
          <w:lang w:val="en-US"/>
        </w:rPr>
        <w:t>For cellulitis/surgical site MRSA infections in hospitalised patients, the BSAC recommendations are as follows:</w:t>
      </w:r>
    </w:p>
    <w:p w14:paraId="23A8E762" w14:textId="77777777" w:rsidR="009178C9" w:rsidRPr="00C224C8" w:rsidRDefault="009178C9" w:rsidP="00C35C1F">
      <w:pPr>
        <w:pStyle w:val="ListNumber"/>
        <w:numPr>
          <w:ilvl w:val="0"/>
          <w:numId w:val="45"/>
        </w:numPr>
        <w:jc w:val="left"/>
        <w:rPr>
          <w:rFonts w:ascii="Arial" w:hAnsi="Arial"/>
          <w:sz w:val="22"/>
          <w:szCs w:val="22"/>
          <w:lang w:val="en-US"/>
        </w:rPr>
      </w:pPr>
      <w:r w:rsidRPr="00C224C8">
        <w:rPr>
          <w:rFonts w:ascii="Arial" w:hAnsi="Arial"/>
          <w:sz w:val="22"/>
          <w:szCs w:val="22"/>
          <w:lang w:val="en-US"/>
        </w:rPr>
        <w:t>Glycopeptides, linezolid, or daptomycin should be considered for use in hospitalised patients with severe SSTIs and/or where the risk of bacteremia is high;</w:t>
      </w:r>
    </w:p>
    <w:p w14:paraId="21C166A8" w14:textId="77777777" w:rsidR="009178C9" w:rsidRPr="00C224C8" w:rsidRDefault="009178C9" w:rsidP="00C35C1F">
      <w:pPr>
        <w:pStyle w:val="ListNumber"/>
        <w:numPr>
          <w:ilvl w:val="0"/>
          <w:numId w:val="45"/>
        </w:numPr>
        <w:jc w:val="left"/>
        <w:rPr>
          <w:rFonts w:ascii="Arial" w:hAnsi="Arial"/>
          <w:sz w:val="22"/>
          <w:szCs w:val="22"/>
          <w:lang w:val="en-US"/>
        </w:rPr>
      </w:pPr>
      <w:r w:rsidRPr="00C224C8">
        <w:rPr>
          <w:rFonts w:ascii="Arial" w:hAnsi="Arial"/>
          <w:sz w:val="22"/>
          <w:szCs w:val="22"/>
          <w:lang w:val="en-US"/>
        </w:rPr>
        <w:t>Linezolid may provide marginally greater effectiveness compared with glycopeptides in this patient population;</w:t>
      </w:r>
    </w:p>
    <w:p w14:paraId="138BFC86" w14:textId="77777777" w:rsidR="009178C9" w:rsidRPr="00C224C8" w:rsidRDefault="009178C9" w:rsidP="00C35C1F">
      <w:pPr>
        <w:pStyle w:val="ListNumber"/>
        <w:numPr>
          <w:ilvl w:val="0"/>
          <w:numId w:val="45"/>
        </w:numPr>
        <w:jc w:val="left"/>
        <w:rPr>
          <w:rFonts w:ascii="Arial" w:hAnsi="Arial"/>
          <w:sz w:val="22"/>
          <w:szCs w:val="22"/>
          <w:lang w:val="en-US"/>
        </w:rPr>
      </w:pPr>
      <w:r w:rsidRPr="00C224C8">
        <w:rPr>
          <w:rFonts w:ascii="Arial" w:hAnsi="Arial"/>
          <w:sz w:val="22"/>
          <w:szCs w:val="22"/>
          <w:lang w:val="en-US"/>
        </w:rPr>
        <w:t xml:space="preserve">The use of rifampicin plus fusidic acid to treat SSTIs is no longer recommended due to its adverse effects and the availability of newer, less-toxic agents </w:t>
      </w:r>
    </w:p>
    <w:p w14:paraId="7C634AB6" w14:textId="77777777" w:rsidR="009178C9" w:rsidRPr="00C224C8" w:rsidRDefault="009178C9" w:rsidP="00040459">
      <w:pPr>
        <w:pStyle w:val="BodyText"/>
        <w:rPr>
          <w:rFonts w:eastAsia="Tahoma"/>
          <w:sz w:val="22"/>
          <w:szCs w:val="22"/>
          <w:lang w:val="en-US"/>
        </w:rPr>
      </w:pPr>
      <w:r w:rsidRPr="00C224C8">
        <w:rPr>
          <w:rFonts w:eastAsia="Tahoma"/>
          <w:sz w:val="22"/>
          <w:szCs w:val="22"/>
          <w:lang w:val="en-US"/>
        </w:rPr>
        <w:t>For cellulitis/surgical site MRSA infections in patients who are not hospitalised, the BSAC recommendations are as follows:</w:t>
      </w:r>
    </w:p>
    <w:p w14:paraId="08362480" w14:textId="77777777" w:rsidR="009178C9" w:rsidRPr="00C224C8" w:rsidRDefault="009178C9" w:rsidP="00C35C1F">
      <w:pPr>
        <w:pStyle w:val="ListNumber"/>
        <w:numPr>
          <w:ilvl w:val="0"/>
          <w:numId w:val="46"/>
        </w:numPr>
        <w:jc w:val="left"/>
        <w:rPr>
          <w:rFonts w:ascii="Arial" w:hAnsi="Arial"/>
          <w:sz w:val="22"/>
          <w:szCs w:val="22"/>
          <w:lang w:val="en-US"/>
        </w:rPr>
      </w:pPr>
      <w:r w:rsidRPr="00C224C8">
        <w:rPr>
          <w:rFonts w:ascii="Arial" w:hAnsi="Arial"/>
          <w:sz w:val="22"/>
          <w:szCs w:val="22"/>
          <w:lang w:val="en-US"/>
        </w:rPr>
        <w:lastRenderedPageBreak/>
        <w:t>For strains of MRSA resistant to doxycycline or clindamycin, glycopeptides or linezolid should be used. Co-trimoxazole may be considered, bearing in mind the hazards of sulfonamide allergy;</w:t>
      </w:r>
    </w:p>
    <w:p w14:paraId="20230A0F" w14:textId="77777777" w:rsidR="009178C9" w:rsidRPr="00C224C8" w:rsidRDefault="009178C9" w:rsidP="00C35C1F">
      <w:pPr>
        <w:pStyle w:val="ListNumber"/>
        <w:numPr>
          <w:ilvl w:val="0"/>
          <w:numId w:val="46"/>
        </w:numPr>
        <w:jc w:val="left"/>
        <w:rPr>
          <w:rFonts w:ascii="Arial" w:hAnsi="Arial"/>
          <w:sz w:val="22"/>
          <w:szCs w:val="22"/>
          <w:lang w:val="en-US"/>
        </w:rPr>
      </w:pPr>
      <w:r w:rsidRPr="00C224C8">
        <w:rPr>
          <w:rFonts w:ascii="Arial" w:hAnsi="Arial"/>
          <w:sz w:val="22"/>
          <w:szCs w:val="22"/>
          <w:lang w:val="en-US"/>
        </w:rPr>
        <w:t>Outpatient parenteral therapy with glycopeptides or daptomycin offers a cost-effective option in moderately severe infections where continuing intravenous therapy is deemed necessary.</w:t>
      </w:r>
    </w:p>
    <w:p w14:paraId="7B45A6D4" w14:textId="77777777" w:rsidR="009178C9" w:rsidRPr="00C224C8" w:rsidRDefault="009178C9" w:rsidP="009178C9">
      <w:pPr>
        <w:pStyle w:val="BodyText"/>
        <w:rPr>
          <w:sz w:val="22"/>
          <w:szCs w:val="22"/>
          <w:lang w:val="en-US"/>
        </w:rPr>
      </w:pPr>
      <w:r w:rsidRPr="00C224C8">
        <w:rPr>
          <w:sz w:val="22"/>
          <w:szCs w:val="22"/>
          <w:lang w:val="en-US"/>
        </w:rPr>
        <w:t>The BSAC guidelines do not make any recommendations for the cases of treatment failure with glycopeptide monotherapy; the authors were unable to make a clear recommendation for adding a second antistaphylococcal agent (such as doxycycline, rifampicin or fusidate) to the glycopeptide or for switching to monotherapy with either linezolid or daptomycin.</w:t>
      </w:r>
    </w:p>
    <w:p w14:paraId="3A1E1ADC" w14:textId="77777777" w:rsidR="009178C9" w:rsidRPr="00C224C8" w:rsidRDefault="009178C9" w:rsidP="009178C9">
      <w:pPr>
        <w:pStyle w:val="BodyText"/>
        <w:rPr>
          <w:rFonts w:eastAsia="Tahoma"/>
          <w:sz w:val="22"/>
          <w:szCs w:val="22"/>
          <w:lang w:val="en-US"/>
        </w:rPr>
      </w:pPr>
    </w:p>
    <w:p w14:paraId="2FF94FE7" w14:textId="3962979B" w:rsidR="009178C9" w:rsidRPr="00C224C8" w:rsidRDefault="009178C9" w:rsidP="009178C9">
      <w:pPr>
        <w:pStyle w:val="BodyText"/>
        <w:rPr>
          <w:sz w:val="22"/>
          <w:szCs w:val="22"/>
          <w:lang w:val="en-US"/>
        </w:rPr>
      </w:pPr>
      <w:r w:rsidRPr="00C224C8">
        <w:rPr>
          <w:rFonts w:eastAsia="Tahoma"/>
          <w:sz w:val="22"/>
          <w:szCs w:val="22"/>
          <w:lang w:val="en-US"/>
        </w:rPr>
        <w:t xml:space="preserve">At the time the guidelines were published in 2008, daptomycin and tigecycline were newly-licensed; ceftaroline and telavancin also </w:t>
      </w:r>
      <w:r w:rsidR="00570945">
        <w:rPr>
          <w:rFonts w:eastAsia="Tahoma"/>
          <w:sz w:val="22"/>
          <w:szCs w:val="22"/>
          <w:lang w:val="en-US"/>
        </w:rPr>
        <w:t xml:space="preserve">had </w:t>
      </w:r>
      <w:r w:rsidRPr="00C224C8">
        <w:rPr>
          <w:rFonts w:eastAsia="Tahoma"/>
          <w:sz w:val="22"/>
          <w:szCs w:val="22"/>
          <w:lang w:val="en-US"/>
        </w:rPr>
        <w:t xml:space="preserve">published data. The guidelines did not make any recommendations regarding the use of these agents due to the relatively early real-world clinical experience. However, they did recommend that they </w:t>
      </w:r>
      <w:r w:rsidRPr="00C224C8">
        <w:rPr>
          <w:rStyle w:val="BodyText-italic-H12"/>
          <w:rFonts w:eastAsia="Tahoma"/>
          <w:sz w:val="22"/>
          <w:szCs w:val="22"/>
          <w:lang w:val="en-US"/>
        </w:rPr>
        <w:t>"</w:t>
      </w:r>
      <w:r w:rsidRPr="00C224C8">
        <w:rPr>
          <w:rStyle w:val="BodyText-italic-H12"/>
          <w:sz w:val="22"/>
          <w:szCs w:val="22"/>
          <w:lang w:val="en-US"/>
        </w:rPr>
        <w:t>should be regarded as alternatives in clinical situations in which other agents are deemed inappropriate or failing"</w:t>
      </w:r>
      <w:r w:rsidR="0021444A" w:rsidRPr="00C224C8">
        <w:rPr>
          <w:rStyle w:val="BodyText-italic-H12"/>
          <w:sz w:val="22"/>
          <w:szCs w:val="22"/>
          <w:lang w:val="en-US"/>
        </w:rPr>
        <w:t xml:space="preserve"> </w:t>
      </w:r>
      <w:r w:rsidR="0021444A" w:rsidRPr="00C224C8">
        <w:rPr>
          <w:rStyle w:val="BodyText-italic-H12"/>
          <w:i w:val="0"/>
          <w:sz w:val="22"/>
          <w:szCs w:val="22"/>
          <w:lang w:val="en-US"/>
        </w:rPr>
        <w:t>(</w:t>
      </w:r>
      <w:r w:rsidR="00AB16BC">
        <w:rPr>
          <w:rStyle w:val="BodyText-italic-H12"/>
          <w:i w:val="0"/>
          <w:sz w:val="22"/>
          <w:szCs w:val="22"/>
          <w:lang w:val="en-US"/>
        </w:rPr>
        <w:fldChar w:fldCharType="begin"/>
      </w:r>
      <w:r w:rsidR="00AB16BC">
        <w:rPr>
          <w:rStyle w:val="BodyText-italic-H12"/>
          <w:i w:val="0"/>
          <w:sz w:val="22"/>
          <w:szCs w:val="22"/>
          <w:lang w:val="en-US"/>
        </w:rPr>
        <w:instrText xml:space="preserve"> REF _Ref284168416 \r \h </w:instrText>
      </w:r>
      <w:r w:rsidR="00AB16BC">
        <w:rPr>
          <w:rStyle w:val="BodyText-italic-H12"/>
          <w:i w:val="0"/>
          <w:sz w:val="22"/>
          <w:szCs w:val="22"/>
          <w:lang w:val="en-US"/>
        </w:rPr>
      </w:r>
      <w:r w:rsidR="00AB16BC">
        <w:rPr>
          <w:rStyle w:val="BodyText-italic-H12"/>
          <w:i w:val="0"/>
          <w:sz w:val="22"/>
          <w:szCs w:val="22"/>
          <w:lang w:val="en-US"/>
        </w:rPr>
        <w:fldChar w:fldCharType="separate"/>
      </w:r>
      <w:r w:rsidR="00151A1C">
        <w:rPr>
          <w:rStyle w:val="BodyText-italic-H12"/>
          <w:i w:val="0"/>
          <w:sz w:val="22"/>
          <w:szCs w:val="22"/>
          <w:lang w:val="en-US"/>
        </w:rPr>
        <w:t>2</w:t>
      </w:r>
      <w:r w:rsidR="00AB16BC">
        <w:rPr>
          <w:rStyle w:val="BodyText-italic-H12"/>
          <w:i w:val="0"/>
          <w:sz w:val="22"/>
          <w:szCs w:val="22"/>
          <w:lang w:val="en-US"/>
        </w:rPr>
        <w:fldChar w:fldCharType="end"/>
      </w:r>
      <w:r w:rsidR="0021444A" w:rsidRPr="00C224C8">
        <w:rPr>
          <w:rStyle w:val="BodyText-italic-H12"/>
          <w:i w:val="0"/>
          <w:sz w:val="22"/>
          <w:szCs w:val="22"/>
          <w:lang w:val="en-US"/>
        </w:rPr>
        <w:t>).</w:t>
      </w:r>
    </w:p>
    <w:p w14:paraId="0A7B0C91" w14:textId="77777777" w:rsidR="009178C9" w:rsidRPr="00C224C8" w:rsidRDefault="009178C9" w:rsidP="009178C9">
      <w:pPr>
        <w:rPr>
          <w:sz w:val="22"/>
          <w:szCs w:val="22"/>
        </w:rPr>
      </w:pPr>
    </w:p>
    <w:p w14:paraId="71843A26" w14:textId="79C4E66A" w:rsidR="00174626" w:rsidRPr="00C224C8" w:rsidRDefault="00174626" w:rsidP="00174626">
      <w:pPr>
        <w:pStyle w:val="BodyText"/>
        <w:rPr>
          <w:rFonts w:eastAsia="Tahoma" w:cs="Arial"/>
          <w:sz w:val="22"/>
          <w:szCs w:val="22"/>
          <w:lang w:val="en-US"/>
        </w:rPr>
      </w:pPr>
      <w:r w:rsidRPr="00C224C8">
        <w:rPr>
          <w:rFonts w:eastAsia="Tahoma" w:cs="Arial"/>
          <w:sz w:val="22"/>
          <w:szCs w:val="22"/>
          <w:lang w:val="en-US"/>
        </w:rPr>
        <w:t xml:space="preserve">The British National Formulary antibiotic </w:t>
      </w:r>
      <w:r w:rsidR="000E5F24">
        <w:rPr>
          <w:rFonts w:eastAsia="Tahoma" w:cs="Arial"/>
          <w:sz w:val="22"/>
          <w:szCs w:val="22"/>
          <w:lang w:val="en-US"/>
        </w:rPr>
        <w:t>guidance</w:t>
      </w:r>
      <w:r w:rsidRPr="00C224C8">
        <w:rPr>
          <w:rFonts w:eastAsia="Tahoma" w:cs="Arial"/>
          <w:sz w:val="22"/>
          <w:szCs w:val="22"/>
          <w:lang w:val="en-US"/>
        </w:rPr>
        <w:t xml:space="preserve"> (</w:t>
      </w:r>
      <w:r w:rsidR="00AB16BC">
        <w:rPr>
          <w:rFonts w:eastAsia="Tahoma" w:cs="Arial"/>
          <w:sz w:val="22"/>
          <w:szCs w:val="22"/>
          <w:lang w:val="en-US"/>
        </w:rPr>
        <w:fldChar w:fldCharType="begin"/>
      </w:r>
      <w:r w:rsidR="00AB16BC">
        <w:rPr>
          <w:rFonts w:eastAsia="Tahoma" w:cs="Arial"/>
          <w:sz w:val="22"/>
          <w:szCs w:val="22"/>
          <w:lang w:val="en-US"/>
        </w:rPr>
        <w:instrText xml:space="preserve"> REF _Ref284168565 \r \h </w:instrText>
      </w:r>
      <w:r w:rsidR="00AB16BC">
        <w:rPr>
          <w:rFonts w:eastAsia="Tahoma" w:cs="Arial"/>
          <w:sz w:val="22"/>
          <w:szCs w:val="22"/>
          <w:lang w:val="en-US"/>
        </w:rPr>
      </w:r>
      <w:r w:rsidR="00AB16BC">
        <w:rPr>
          <w:rFonts w:eastAsia="Tahoma" w:cs="Arial"/>
          <w:sz w:val="22"/>
          <w:szCs w:val="22"/>
          <w:lang w:val="en-US"/>
        </w:rPr>
        <w:fldChar w:fldCharType="separate"/>
      </w:r>
      <w:r w:rsidR="00151A1C">
        <w:rPr>
          <w:rFonts w:eastAsia="Tahoma" w:cs="Arial"/>
          <w:sz w:val="22"/>
          <w:szCs w:val="22"/>
          <w:lang w:val="en-US"/>
        </w:rPr>
        <w:t>4</w:t>
      </w:r>
      <w:r w:rsidR="00AB16BC">
        <w:rPr>
          <w:rFonts w:eastAsia="Tahoma" w:cs="Arial"/>
          <w:sz w:val="22"/>
          <w:szCs w:val="22"/>
          <w:lang w:val="en-US"/>
        </w:rPr>
        <w:fldChar w:fldCharType="end"/>
      </w:r>
      <w:r w:rsidRPr="00C224C8">
        <w:rPr>
          <w:rFonts w:eastAsia="Tahoma" w:cs="Arial"/>
          <w:sz w:val="22"/>
          <w:szCs w:val="22"/>
          <w:lang w:val="en-US"/>
        </w:rPr>
        <w:t>) state</w:t>
      </w:r>
      <w:r w:rsidR="000E5F24">
        <w:rPr>
          <w:rFonts w:eastAsia="Tahoma" w:cs="Arial"/>
          <w:sz w:val="22"/>
          <w:szCs w:val="22"/>
          <w:lang w:val="en-US"/>
        </w:rPr>
        <w:t>s</w:t>
      </w:r>
      <w:r w:rsidRPr="00C224C8">
        <w:rPr>
          <w:rFonts w:eastAsia="Tahoma" w:cs="Arial"/>
          <w:sz w:val="22"/>
          <w:szCs w:val="22"/>
          <w:lang w:val="en-US"/>
        </w:rPr>
        <w:t xml:space="preserve"> that a glycopeptide (such as vancomycin) can be used for severe skin and soft tissue infections associated with MRSA. If a glycopeptide is unsuitable, however, linezolid can be given </w:t>
      </w:r>
      <w:r w:rsidR="00F877D6" w:rsidRPr="00C224C8">
        <w:rPr>
          <w:rFonts w:eastAsia="Tahoma" w:cs="Arial"/>
          <w:sz w:val="22"/>
          <w:szCs w:val="22"/>
          <w:lang w:val="en-US"/>
        </w:rPr>
        <w:t xml:space="preserve">on expert advice. The guideline also notes </w:t>
      </w:r>
      <w:r w:rsidRPr="00C224C8">
        <w:rPr>
          <w:rFonts w:eastAsia="Tahoma" w:cs="Arial"/>
          <w:sz w:val="22"/>
          <w:szCs w:val="22"/>
          <w:lang w:val="en-US"/>
        </w:rPr>
        <w:t>that tigecycline and daptomycin are both licensed for the treat</w:t>
      </w:r>
      <w:r w:rsidR="00444386">
        <w:rPr>
          <w:rFonts w:eastAsia="Tahoma" w:cs="Arial"/>
          <w:sz w:val="22"/>
          <w:szCs w:val="22"/>
          <w:lang w:val="en-US"/>
        </w:rPr>
        <w:t xml:space="preserve">ment of cSSTIs involving MRSA, </w:t>
      </w:r>
      <w:r w:rsidRPr="00C224C8">
        <w:rPr>
          <w:rFonts w:eastAsia="Tahoma" w:cs="Arial"/>
          <w:sz w:val="22"/>
          <w:szCs w:val="22"/>
          <w:lang w:val="en-US"/>
        </w:rPr>
        <w:t xml:space="preserve">but does not make </w:t>
      </w:r>
      <w:r w:rsidR="00444386">
        <w:rPr>
          <w:rFonts w:eastAsia="Tahoma" w:cs="Arial"/>
          <w:sz w:val="22"/>
          <w:szCs w:val="22"/>
          <w:lang w:val="en-US"/>
        </w:rPr>
        <w:t>recommendations as to their use</w:t>
      </w:r>
      <w:r w:rsidRPr="00C224C8">
        <w:rPr>
          <w:rFonts w:eastAsia="Tahoma" w:cs="Arial"/>
          <w:sz w:val="22"/>
          <w:szCs w:val="22"/>
          <w:lang w:val="en-US"/>
        </w:rPr>
        <w:t xml:space="preserve">. </w:t>
      </w:r>
    </w:p>
    <w:p w14:paraId="437BAF7A" w14:textId="77777777" w:rsidR="00174626" w:rsidRPr="00C224C8" w:rsidRDefault="00174626" w:rsidP="009178C9">
      <w:pPr>
        <w:rPr>
          <w:b/>
          <w:i/>
          <w:sz w:val="22"/>
          <w:szCs w:val="22"/>
        </w:rPr>
      </w:pPr>
    </w:p>
    <w:p w14:paraId="4DB918A3" w14:textId="6873936F" w:rsidR="009D64A1" w:rsidRPr="00C224C8" w:rsidRDefault="009D64A1" w:rsidP="009178C9">
      <w:pPr>
        <w:rPr>
          <w:sz w:val="22"/>
          <w:szCs w:val="22"/>
        </w:rPr>
      </w:pPr>
      <w:r w:rsidRPr="00C224C8">
        <w:rPr>
          <w:sz w:val="22"/>
          <w:szCs w:val="22"/>
        </w:rPr>
        <w:t>Finally, recently-published Department of Health (England) antimicrobial stewardship guidance recommends a 48-hour revi</w:t>
      </w:r>
      <w:r w:rsidR="007F5784" w:rsidRPr="00C224C8">
        <w:rPr>
          <w:sz w:val="22"/>
          <w:szCs w:val="22"/>
        </w:rPr>
        <w:t>ew after the commencement of in</w:t>
      </w:r>
      <w:r w:rsidRPr="00C224C8">
        <w:rPr>
          <w:sz w:val="22"/>
          <w:szCs w:val="22"/>
        </w:rPr>
        <w:t>patient antibiotic therapy, with consideration of switching from IV to oral treatment, or an assessment of</w:t>
      </w:r>
      <w:r w:rsidR="007F5784" w:rsidRPr="00C224C8">
        <w:rPr>
          <w:sz w:val="22"/>
          <w:szCs w:val="22"/>
        </w:rPr>
        <w:t xml:space="preserve"> suitability for outpatient parenteral antibiotic therapy (OPAT)(</w:t>
      </w:r>
      <w:r w:rsidR="00AB16BC">
        <w:rPr>
          <w:sz w:val="22"/>
          <w:szCs w:val="22"/>
        </w:rPr>
        <w:fldChar w:fldCharType="begin"/>
      </w:r>
      <w:r w:rsidR="00AB16BC">
        <w:rPr>
          <w:sz w:val="22"/>
          <w:szCs w:val="22"/>
        </w:rPr>
        <w:instrText xml:space="preserve"> REF _Ref284186235 \r \h </w:instrText>
      </w:r>
      <w:r w:rsidR="00AB16BC">
        <w:rPr>
          <w:sz w:val="22"/>
          <w:szCs w:val="22"/>
        </w:rPr>
      </w:r>
      <w:r w:rsidR="00AB16BC">
        <w:rPr>
          <w:sz w:val="22"/>
          <w:szCs w:val="22"/>
        </w:rPr>
        <w:fldChar w:fldCharType="separate"/>
      </w:r>
      <w:r w:rsidR="00151A1C">
        <w:rPr>
          <w:sz w:val="22"/>
          <w:szCs w:val="22"/>
        </w:rPr>
        <w:t>70</w:t>
      </w:r>
      <w:r w:rsidR="00AB16BC">
        <w:rPr>
          <w:sz w:val="22"/>
          <w:szCs w:val="22"/>
        </w:rPr>
        <w:fldChar w:fldCharType="end"/>
      </w:r>
      <w:r w:rsidR="007F5784" w:rsidRPr="00C224C8">
        <w:rPr>
          <w:sz w:val="22"/>
          <w:szCs w:val="22"/>
        </w:rPr>
        <w:t>).</w:t>
      </w:r>
    </w:p>
    <w:p w14:paraId="05CC9033" w14:textId="77777777" w:rsidR="007F5784" w:rsidRPr="00C224C8" w:rsidRDefault="007F5784" w:rsidP="009178C9">
      <w:pPr>
        <w:rPr>
          <w:b/>
          <w:i/>
          <w:sz w:val="22"/>
          <w:szCs w:val="22"/>
        </w:rPr>
      </w:pPr>
    </w:p>
    <w:p w14:paraId="2D9DBA45" w14:textId="77777777" w:rsidR="009178C9" w:rsidRPr="00C224C8" w:rsidRDefault="009178C9" w:rsidP="009178C9">
      <w:pPr>
        <w:rPr>
          <w:b/>
          <w:i/>
          <w:sz w:val="22"/>
          <w:szCs w:val="22"/>
        </w:rPr>
      </w:pPr>
      <w:r w:rsidRPr="00C224C8">
        <w:rPr>
          <w:b/>
          <w:i/>
          <w:sz w:val="22"/>
          <w:szCs w:val="22"/>
        </w:rPr>
        <w:t>Scottish guidelines and protocols</w:t>
      </w:r>
    </w:p>
    <w:p w14:paraId="16FFA742" w14:textId="77777777" w:rsidR="009178C9" w:rsidRPr="00C224C8" w:rsidRDefault="009178C9" w:rsidP="009178C9">
      <w:pPr>
        <w:rPr>
          <w:b/>
          <w:i/>
          <w:sz w:val="22"/>
          <w:szCs w:val="22"/>
        </w:rPr>
      </w:pPr>
    </w:p>
    <w:p w14:paraId="68C05FAC" w14:textId="3CF094B3" w:rsidR="009178C9" w:rsidRPr="00C224C8" w:rsidRDefault="009178C9" w:rsidP="009178C9">
      <w:pPr>
        <w:widowControl w:val="0"/>
        <w:autoSpaceDE w:val="0"/>
        <w:autoSpaceDN w:val="0"/>
        <w:adjustRightInd w:val="0"/>
        <w:rPr>
          <w:rFonts w:cs="Arial"/>
          <w:sz w:val="22"/>
          <w:szCs w:val="22"/>
          <w:lang w:val="en-US"/>
        </w:rPr>
      </w:pPr>
      <w:r w:rsidRPr="00C224C8">
        <w:rPr>
          <w:rFonts w:cs="Arial"/>
          <w:sz w:val="22"/>
          <w:szCs w:val="22"/>
        </w:rPr>
        <w:t xml:space="preserve">The Scottish Intercollegiate Guidelines Network (SIGN) published Clinical Guideline no. </w:t>
      </w:r>
      <w:r w:rsidRPr="00C224C8">
        <w:rPr>
          <w:rFonts w:cs="Arial"/>
          <w:sz w:val="22"/>
          <w:szCs w:val="22"/>
        </w:rPr>
        <w:lastRenderedPageBreak/>
        <w:t xml:space="preserve">104, </w:t>
      </w:r>
      <w:r w:rsidRPr="00C224C8">
        <w:rPr>
          <w:rFonts w:cs="Arial"/>
          <w:i/>
          <w:sz w:val="22"/>
          <w:szCs w:val="22"/>
        </w:rPr>
        <w:t>Antibiotic Prophylaxis in Surgery</w:t>
      </w:r>
      <w:r w:rsidRPr="00C224C8">
        <w:rPr>
          <w:rFonts w:cs="Arial"/>
          <w:sz w:val="22"/>
          <w:szCs w:val="22"/>
        </w:rPr>
        <w:t>, in 2008</w:t>
      </w:r>
      <w:r w:rsidR="00AB16BC">
        <w:rPr>
          <w:rFonts w:cs="Arial"/>
          <w:sz w:val="22"/>
          <w:szCs w:val="22"/>
        </w:rPr>
        <w:t xml:space="preserve"> and updated it</w:t>
      </w:r>
      <w:r w:rsidRPr="00C224C8">
        <w:rPr>
          <w:rFonts w:cs="Arial"/>
          <w:sz w:val="22"/>
          <w:szCs w:val="22"/>
        </w:rPr>
        <w:t xml:space="preserve"> in April 2014</w:t>
      </w:r>
      <w:r w:rsidR="00AB16BC">
        <w:rPr>
          <w:rFonts w:cs="Arial"/>
          <w:sz w:val="22"/>
          <w:szCs w:val="22"/>
        </w:rPr>
        <w:t xml:space="preserve"> (</w:t>
      </w:r>
      <w:r w:rsidR="00AB16BC">
        <w:rPr>
          <w:rFonts w:cs="Arial"/>
          <w:sz w:val="22"/>
          <w:szCs w:val="22"/>
        </w:rPr>
        <w:fldChar w:fldCharType="begin"/>
      </w:r>
      <w:r w:rsidR="00AB16BC">
        <w:rPr>
          <w:rFonts w:cs="Arial"/>
          <w:sz w:val="22"/>
          <w:szCs w:val="22"/>
        </w:rPr>
        <w:instrText xml:space="preserve"> REF _Ref284169623 \r \h </w:instrText>
      </w:r>
      <w:r w:rsidR="00AB16BC">
        <w:rPr>
          <w:rFonts w:cs="Arial"/>
          <w:sz w:val="22"/>
          <w:szCs w:val="22"/>
        </w:rPr>
      </w:r>
      <w:r w:rsidR="00AB16BC">
        <w:rPr>
          <w:rFonts w:cs="Arial"/>
          <w:sz w:val="22"/>
          <w:szCs w:val="22"/>
        </w:rPr>
        <w:fldChar w:fldCharType="separate"/>
      </w:r>
      <w:r w:rsidR="00151A1C">
        <w:rPr>
          <w:rFonts w:cs="Arial"/>
          <w:sz w:val="22"/>
          <w:szCs w:val="22"/>
        </w:rPr>
        <w:t>23</w:t>
      </w:r>
      <w:r w:rsidR="00AB16BC">
        <w:rPr>
          <w:rFonts w:cs="Arial"/>
          <w:sz w:val="22"/>
          <w:szCs w:val="22"/>
        </w:rPr>
        <w:fldChar w:fldCharType="end"/>
      </w:r>
      <w:r w:rsidR="00AB16BC">
        <w:rPr>
          <w:rFonts w:cs="Arial"/>
          <w:sz w:val="22"/>
          <w:szCs w:val="22"/>
        </w:rPr>
        <w:t>).</w:t>
      </w:r>
      <w:r w:rsidRPr="00C224C8">
        <w:rPr>
          <w:rFonts w:cs="Arial"/>
          <w:sz w:val="22"/>
          <w:szCs w:val="22"/>
          <w:lang w:val="en-US"/>
        </w:rPr>
        <w:t xml:space="preserve"> SIGN 104 is primarily concerned with the prevention of surgical site infections (SSIs). It is recognised that MRSA carriage may be a risk factor for SSIs which, in turn, can cause major morbidity in patients undergoing high–risk procedures. SIGN 104 recommends, therefore, that patients known to carry MRSA should have a course of eradication ther</w:t>
      </w:r>
      <w:r w:rsidR="00670ABA" w:rsidRPr="00C224C8">
        <w:rPr>
          <w:rFonts w:cs="Arial"/>
          <w:sz w:val="22"/>
          <w:szCs w:val="22"/>
          <w:lang w:val="en-US"/>
        </w:rPr>
        <w:t>apy prior to high-risk surgery.</w:t>
      </w:r>
    </w:p>
    <w:p w14:paraId="37233B60" w14:textId="77777777" w:rsidR="009178C9" w:rsidRPr="00C224C8" w:rsidRDefault="009178C9" w:rsidP="009178C9">
      <w:pPr>
        <w:rPr>
          <w:sz w:val="22"/>
          <w:szCs w:val="22"/>
        </w:rPr>
      </w:pPr>
    </w:p>
    <w:p w14:paraId="5DA9AF4F" w14:textId="1D50CA1B" w:rsidR="009178C9" w:rsidRPr="00C224C8" w:rsidRDefault="009178C9" w:rsidP="009178C9">
      <w:pPr>
        <w:rPr>
          <w:rFonts w:cs="Arial"/>
          <w:sz w:val="22"/>
          <w:szCs w:val="22"/>
        </w:rPr>
      </w:pPr>
      <w:r w:rsidRPr="00C224C8">
        <w:rPr>
          <w:sz w:val="22"/>
          <w:szCs w:val="22"/>
        </w:rPr>
        <w:t xml:space="preserve">The Scottish Antimicrobial Prescribing Group (SAPG) has published several guidelines and good practice recommendations of relevance to antimicrobial prescribing and stewardship generally, as well as treatment of different </w:t>
      </w:r>
      <w:r w:rsidRPr="00C224C8">
        <w:rPr>
          <w:rFonts w:cs="Arial"/>
          <w:sz w:val="22"/>
          <w:szCs w:val="22"/>
        </w:rPr>
        <w:t xml:space="preserve">infection types - including </w:t>
      </w:r>
      <w:r w:rsidR="00830962" w:rsidRPr="00C224C8">
        <w:rPr>
          <w:rFonts w:cs="Arial"/>
          <w:sz w:val="22"/>
          <w:szCs w:val="22"/>
        </w:rPr>
        <w:t>SAB</w:t>
      </w:r>
      <w:r w:rsidR="00E008AA">
        <w:rPr>
          <w:rFonts w:cs="Arial"/>
          <w:sz w:val="22"/>
          <w:szCs w:val="22"/>
        </w:rPr>
        <w:t xml:space="preserve"> and MRSA infections</w:t>
      </w:r>
      <w:r w:rsidRPr="00C224C8">
        <w:rPr>
          <w:rFonts w:cs="Arial"/>
          <w:sz w:val="22"/>
          <w:szCs w:val="22"/>
        </w:rPr>
        <w:t>. The ones that are particularly relevant to tedizolid phosphate and its anticipated EU licensed indication are:</w:t>
      </w:r>
    </w:p>
    <w:p w14:paraId="51B756F2" w14:textId="77777777" w:rsidR="009178C9" w:rsidRPr="00C224C8" w:rsidRDefault="009178C9" w:rsidP="009178C9">
      <w:pPr>
        <w:rPr>
          <w:rFonts w:cs="Arial"/>
          <w:sz w:val="22"/>
          <w:szCs w:val="22"/>
        </w:rPr>
      </w:pPr>
    </w:p>
    <w:p w14:paraId="018F5550" w14:textId="392A70CC" w:rsidR="009178C9" w:rsidRPr="00C224C8" w:rsidRDefault="009178C9" w:rsidP="00C24317">
      <w:pPr>
        <w:pStyle w:val="ListParagraph"/>
        <w:widowControl w:val="0"/>
        <w:numPr>
          <w:ilvl w:val="0"/>
          <w:numId w:val="12"/>
        </w:numPr>
        <w:autoSpaceDE w:val="0"/>
        <w:autoSpaceDN w:val="0"/>
        <w:adjustRightInd w:val="0"/>
        <w:rPr>
          <w:rFonts w:cs="Arial"/>
          <w:sz w:val="22"/>
          <w:szCs w:val="22"/>
        </w:rPr>
      </w:pPr>
      <w:r w:rsidRPr="00C224C8">
        <w:rPr>
          <w:rFonts w:cs="Arial"/>
          <w:sz w:val="22"/>
          <w:szCs w:val="22"/>
        </w:rPr>
        <w:t>Good Practice Recommendations for hospital antimicrobial stewardship (</w:t>
      </w:r>
      <w:r w:rsidR="00B95351">
        <w:rPr>
          <w:rFonts w:cs="Arial"/>
          <w:sz w:val="22"/>
          <w:szCs w:val="22"/>
        </w:rPr>
        <w:fldChar w:fldCharType="begin"/>
      </w:r>
      <w:r w:rsidR="00B95351">
        <w:rPr>
          <w:rFonts w:cs="Arial"/>
          <w:sz w:val="22"/>
          <w:szCs w:val="22"/>
        </w:rPr>
        <w:instrText xml:space="preserve"> REF _Ref284185946 \r \h </w:instrText>
      </w:r>
      <w:r w:rsidR="00B95351">
        <w:rPr>
          <w:rFonts w:cs="Arial"/>
          <w:sz w:val="22"/>
          <w:szCs w:val="22"/>
        </w:rPr>
      </w:r>
      <w:r w:rsidR="00B95351">
        <w:rPr>
          <w:rFonts w:cs="Arial"/>
          <w:sz w:val="22"/>
          <w:szCs w:val="22"/>
        </w:rPr>
        <w:fldChar w:fldCharType="separate"/>
      </w:r>
      <w:r w:rsidR="00151A1C">
        <w:rPr>
          <w:rFonts w:cs="Arial"/>
          <w:sz w:val="22"/>
          <w:szCs w:val="22"/>
        </w:rPr>
        <w:t>38</w:t>
      </w:r>
      <w:r w:rsidR="00B95351">
        <w:rPr>
          <w:rFonts w:cs="Arial"/>
          <w:sz w:val="22"/>
          <w:szCs w:val="22"/>
        </w:rPr>
        <w:fldChar w:fldCharType="end"/>
      </w:r>
      <w:r w:rsidRPr="00C224C8">
        <w:rPr>
          <w:rFonts w:cs="Arial"/>
          <w:sz w:val="22"/>
          <w:szCs w:val="22"/>
        </w:rPr>
        <w:t xml:space="preserve">) </w:t>
      </w:r>
    </w:p>
    <w:p w14:paraId="72C897E8" w14:textId="73477CC0" w:rsidR="009178C9" w:rsidRPr="00C224C8" w:rsidRDefault="009178C9" w:rsidP="00C24317">
      <w:pPr>
        <w:pStyle w:val="ListParagraph"/>
        <w:widowControl w:val="0"/>
        <w:numPr>
          <w:ilvl w:val="0"/>
          <w:numId w:val="12"/>
        </w:numPr>
        <w:autoSpaceDE w:val="0"/>
        <w:autoSpaceDN w:val="0"/>
        <w:adjustRightInd w:val="0"/>
        <w:rPr>
          <w:rFonts w:cs="Arial"/>
          <w:sz w:val="22"/>
          <w:szCs w:val="22"/>
        </w:rPr>
      </w:pPr>
      <w:r w:rsidRPr="00C224C8">
        <w:rPr>
          <w:rFonts w:cs="Arial"/>
          <w:sz w:val="22"/>
          <w:szCs w:val="22"/>
        </w:rPr>
        <w:t>Good Practice Recommendations for surgical prophylaxis (</w:t>
      </w:r>
      <w:r w:rsidR="00B95351">
        <w:rPr>
          <w:rFonts w:cs="Arial"/>
          <w:sz w:val="22"/>
          <w:szCs w:val="22"/>
        </w:rPr>
        <w:fldChar w:fldCharType="begin"/>
      </w:r>
      <w:r w:rsidR="00B95351">
        <w:rPr>
          <w:rFonts w:cs="Arial"/>
          <w:sz w:val="22"/>
          <w:szCs w:val="22"/>
        </w:rPr>
        <w:instrText xml:space="preserve"> REF _Ref284186355 \r \h </w:instrText>
      </w:r>
      <w:r w:rsidR="00B95351">
        <w:rPr>
          <w:rFonts w:cs="Arial"/>
          <w:sz w:val="22"/>
          <w:szCs w:val="22"/>
        </w:rPr>
      </w:r>
      <w:r w:rsidR="00B95351">
        <w:rPr>
          <w:rFonts w:cs="Arial"/>
          <w:sz w:val="22"/>
          <w:szCs w:val="22"/>
        </w:rPr>
        <w:fldChar w:fldCharType="separate"/>
      </w:r>
      <w:r w:rsidR="00151A1C">
        <w:rPr>
          <w:rFonts w:cs="Arial"/>
          <w:sz w:val="22"/>
          <w:szCs w:val="22"/>
        </w:rPr>
        <w:t>71</w:t>
      </w:r>
      <w:r w:rsidR="00B95351">
        <w:rPr>
          <w:rFonts w:cs="Arial"/>
          <w:sz w:val="22"/>
          <w:szCs w:val="22"/>
        </w:rPr>
        <w:fldChar w:fldCharType="end"/>
      </w:r>
      <w:r w:rsidRPr="00C224C8">
        <w:rPr>
          <w:rFonts w:cs="Arial"/>
          <w:sz w:val="22"/>
          <w:szCs w:val="22"/>
        </w:rPr>
        <w:t>)</w:t>
      </w:r>
    </w:p>
    <w:p w14:paraId="147881D1" w14:textId="423BBEE0" w:rsidR="009178C9" w:rsidRPr="00C224C8" w:rsidRDefault="009178C9" w:rsidP="00C24317">
      <w:pPr>
        <w:pStyle w:val="ListParagraph"/>
        <w:widowControl w:val="0"/>
        <w:numPr>
          <w:ilvl w:val="0"/>
          <w:numId w:val="12"/>
        </w:numPr>
        <w:autoSpaceDE w:val="0"/>
        <w:autoSpaceDN w:val="0"/>
        <w:adjustRightInd w:val="0"/>
        <w:rPr>
          <w:rFonts w:cs="Arial"/>
          <w:sz w:val="22"/>
          <w:szCs w:val="22"/>
        </w:rPr>
      </w:pPr>
      <w:r w:rsidRPr="00C224C8">
        <w:rPr>
          <w:rFonts w:cs="Arial"/>
          <w:sz w:val="22"/>
          <w:szCs w:val="22"/>
          <w:lang w:val="en-US"/>
        </w:rPr>
        <w:t>Intravenous Vancomycin Use in Adults (Continuous Infusion) (</w:t>
      </w:r>
      <w:r w:rsidR="00B95351">
        <w:rPr>
          <w:rFonts w:cs="Arial"/>
          <w:sz w:val="22"/>
          <w:szCs w:val="22"/>
          <w:lang w:val="en-US"/>
        </w:rPr>
        <w:fldChar w:fldCharType="begin"/>
      </w:r>
      <w:r w:rsidR="00B95351">
        <w:rPr>
          <w:rFonts w:cs="Arial"/>
          <w:sz w:val="22"/>
          <w:szCs w:val="22"/>
          <w:lang w:val="en-US"/>
        </w:rPr>
        <w:instrText xml:space="preserve"> REF _Ref284186366 \r \h </w:instrText>
      </w:r>
      <w:r w:rsidR="00B95351">
        <w:rPr>
          <w:rFonts w:cs="Arial"/>
          <w:sz w:val="22"/>
          <w:szCs w:val="22"/>
          <w:lang w:val="en-US"/>
        </w:rPr>
      </w:r>
      <w:r w:rsidR="00B95351">
        <w:rPr>
          <w:rFonts w:cs="Arial"/>
          <w:sz w:val="22"/>
          <w:szCs w:val="22"/>
          <w:lang w:val="en-US"/>
        </w:rPr>
        <w:fldChar w:fldCharType="separate"/>
      </w:r>
      <w:r w:rsidR="00151A1C">
        <w:rPr>
          <w:rFonts w:cs="Arial"/>
          <w:sz w:val="22"/>
          <w:szCs w:val="22"/>
          <w:lang w:val="en-US"/>
        </w:rPr>
        <w:t>72</w:t>
      </w:r>
      <w:r w:rsidR="00B95351">
        <w:rPr>
          <w:rFonts w:cs="Arial"/>
          <w:sz w:val="22"/>
          <w:szCs w:val="22"/>
          <w:lang w:val="en-US"/>
        </w:rPr>
        <w:fldChar w:fldCharType="end"/>
      </w:r>
      <w:r w:rsidRPr="00C224C8">
        <w:rPr>
          <w:rFonts w:cs="Arial"/>
          <w:sz w:val="22"/>
          <w:szCs w:val="22"/>
          <w:lang w:val="en-US"/>
        </w:rPr>
        <w:t>)</w:t>
      </w:r>
    </w:p>
    <w:p w14:paraId="6E18E88B" w14:textId="01B2C796" w:rsidR="009178C9" w:rsidRPr="00C224C8" w:rsidRDefault="009178C9" w:rsidP="00C24317">
      <w:pPr>
        <w:pStyle w:val="ListParagraph"/>
        <w:widowControl w:val="0"/>
        <w:numPr>
          <w:ilvl w:val="0"/>
          <w:numId w:val="12"/>
        </w:numPr>
        <w:autoSpaceDE w:val="0"/>
        <w:autoSpaceDN w:val="0"/>
        <w:adjustRightInd w:val="0"/>
        <w:rPr>
          <w:rFonts w:cs="Arial"/>
          <w:sz w:val="22"/>
          <w:szCs w:val="22"/>
        </w:rPr>
      </w:pPr>
      <w:r w:rsidRPr="00C224C8">
        <w:rPr>
          <w:rFonts w:cs="Arial"/>
          <w:sz w:val="22"/>
          <w:szCs w:val="22"/>
          <w:lang w:val="en-US"/>
        </w:rPr>
        <w:t>Intravenous Vancomycin Use in Adults (Pulsed Infusion) (</w:t>
      </w:r>
      <w:r w:rsidR="00B95351">
        <w:rPr>
          <w:rFonts w:cs="Arial"/>
          <w:sz w:val="22"/>
          <w:szCs w:val="22"/>
          <w:lang w:val="en-US"/>
        </w:rPr>
        <w:fldChar w:fldCharType="begin"/>
      </w:r>
      <w:r w:rsidR="00B95351">
        <w:rPr>
          <w:rFonts w:cs="Arial"/>
          <w:sz w:val="22"/>
          <w:szCs w:val="22"/>
          <w:lang w:val="en-US"/>
        </w:rPr>
        <w:instrText xml:space="preserve"> REF _Ref284186382 \r \h </w:instrText>
      </w:r>
      <w:r w:rsidR="00B95351">
        <w:rPr>
          <w:rFonts w:cs="Arial"/>
          <w:sz w:val="22"/>
          <w:szCs w:val="22"/>
          <w:lang w:val="en-US"/>
        </w:rPr>
      </w:r>
      <w:r w:rsidR="00B95351">
        <w:rPr>
          <w:rFonts w:cs="Arial"/>
          <w:sz w:val="22"/>
          <w:szCs w:val="22"/>
          <w:lang w:val="en-US"/>
        </w:rPr>
        <w:fldChar w:fldCharType="separate"/>
      </w:r>
      <w:r w:rsidR="00151A1C">
        <w:rPr>
          <w:rFonts w:cs="Arial"/>
          <w:sz w:val="22"/>
          <w:szCs w:val="22"/>
          <w:lang w:val="en-US"/>
        </w:rPr>
        <w:t>73</w:t>
      </w:r>
      <w:r w:rsidR="00B95351">
        <w:rPr>
          <w:rFonts w:cs="Arial"/>
          <w:sz w:val="22"/>
          <w:szCs w:val="22"/>
          <w:lang w:val="en-US"/>
        </w:rPr>
        <w:fldChar w:fldCharType="end"/>
      </w:r>
      <w:r w:rsidRPr="00C224C8">
        <w:rPr>
          <w:rFonts w:cs="Arial"/>
          <w:sz w:val="22"/>
          <w:szCs w:val="22"/>
          <w:lang w:val="en-US"/>
        </w:rPr>
        <w:t>)</w:t>
      </w:r>
    </w:p>
    <w:p w14:paraId="66EB45C7" w14:textId="703C4539" w:rsidR="009178C9" w:rsidRPr="00C224C8" w:rsidRDefault="009178C9" w:rsidP="009178C9">
      <w:pPr>
        <w:pStyle w:val="ListParagraph"/>
        <w:widowControl w:val="0"/>
        <w:numPr>
          <w:ilvl w:val="0"/>
          <w:numId w:val="12"/>
        </w:numPr>
        <w:autoSpaceDE w:val="0"/>
        <w:autoSpaceDN w:val="0"/>
        <w:adjustRightInd w:val="0"/>
        <w:rPr>
          <w:sz w:val="22"/>
          <w:szCs w:val="22"/>
        </w:rPr>
      </w:pPr>
      <w:r w:rsidRPr="00C224C8">
        <w:rPr>
          <w:rFonts w:cs="Arial"/>
          <w:sz w:val="22"/>
          <w:szCs w:val="22"/>
        </w:rPr>
        <w:t>Guidance on management of proven or suspected Staphylococcus au</w:t>
      </w:r>
      <w:r w:rsidR="00511E6A" w:rsidRPr="00C224C8">
        <w:rPr>
          <w:rFonts w:cs="Arial"/>
          <w:sz w:val="22"/>
          <w:szCs w:val="22"/>
        </w:rPr>
        <w:t>reus bacteraemia (</w:t>
      </w:r>
      <w:r w:rsidR="00570945">
        <w:rPr>
          <w:rFonts w:cs="Arial"/>
          <w:sz w:val="22"/>
          <w:szCs w:val="22"/>
          <w:highlight w:val="yellow"/>
        </w:rPr>
        <w:fldChar w:fldCharType="begin"/>
      </w:r>
      <w:r w:rsidR="00570945">
        <w:rPr>
          <w:rFonts w:cs="Arial"/>
          <w:sz w:val="22"/>
          <w:szCs w:val="22"/>
        </w:rPr>
        <w:instrText xml:space="preserve"> REF _Ref284168509 \r \h </w:instrText>
      </w:r>
      <w:r w:rsidR="00570945">
        <w:rPr>
          <w:rFonts w:cs="Arial"/>
          <w:sz w:val="22"/>
          <w:szCs w:val="22"/>
          <w:highlight w:val="yellow"/>
        </w:rPr>
      </w:r>
      <w:r w:rsidR="00570945">
        <w:rPr>
          <w:rFonts w:cs="Arial"/>
          <w:sz w:val="22"/>
          <w:szCs w:val="22"/>
          <w:highlight w:val="yellow"/>
        </w:rPr>
        <w:fldChar w:fldCharType="separate"/>
      </w:r>
      <w:r w:rsidR="00151A1C">
        <w:rPr>
          <w:rFonts w:cs="Arial"/>
          <w:sz w:val="22"/>
          <w:szCs w:val="22"/>
        </w:rPr>
        <w:t>3</w:t>
      </w:r>
      <w:r w:rsidR="00570945">
        <w:rPr>
          <w:rFonts w:cs="Arial"/>
          <w:sz w:val="22"/>
          <w:szCs w:val="22"/>
          <w:highlight w:val="yellow"/>
        </w:rPr>
        <w:fldChar w:fldCharType="end"/>
      </w:r>
      <w:r w:rsidR="00511E6A" w:rsidRPr="00C224C8">
        <w:rPr>
          <w:rFonts w:cs="Arial"/>
          <w:sz w:val="22"/>
          <w:szCs w:val="22"/>
        </w:rPr>
        <w:t>).</w:t>
      </w:r>
    </w:p>
    <w:p w14:paraId="6198B3C2" w14:textId="77777777" w:rsidR="00511E6A" w:rsidRPr="00C224C8" w:rsidRDefault="00511E6A" w:rsidP="00511E6A">
      <w:pPr>
        <w:pStyle w:val="ListParagraph"/>
        <w:widowControl w:val="0"/>
        <w:autoSpaceDE w:val="0"/>
        <w:autoSpaceDN w:val="0"/>
        <w:adjustRightInd w:val="0"/>
        <w:rPr>
          <w:sz w:val="22"/>
          <w:szCs w:val="22"/>
        </w:rPr>
      </w:pPr>
    </w:p>
    <w:p w14:paraId="6AE0D03D" w14:textId="77777777" w:rsidR="009178C9" w:rsidRPr="00C224C8" w:rsidRDefault="009178C9" w:rsidP="009178C9">
      <w:pPr>
        <w:widowControl w:val="0"/>
        <w:autoSpaceDE w:val="0"/>
        <w:autoSpaceDN w:val="0"/>
        <w:adjustRightInd w:val="0"/>
        <w:rPr>
          <w:rFonts w:cs="Arial"/>
          <w:sz w:val="22"/>
          <w:szCs w:val="22"/>
        </w:rPr>
      </w:pPr>
      <w:r w:rsidRPr="00C224C8">
        <w:rPr>
          <w:rFonts w:cs="Arial"/>
          <w:sz w:val="22"/>
          <w:szCs w:val="22"/>
        </w:rPr>
        <w:t xml:space="preserve">Where an SAB infection is proven or suspected, the 2013 SAPG guidance recommends empirical treatment initially. </w:t>
      </w:r>
      <w:r w:rsidRPr="00C224C8">
        <w:rPr>
          <w:rFonts w:cs="Arial"/>
          <w:sz w:val="22"/>
          <w:szCs w:val="22"/>
          <w:lang w:val="en-US"/>
        </w:rPr>
        <w:t>The first step is to assess the patient’s clinical risk to determine the likelihood of MRSA considering previous MRSA infection, admission from</w:t>
      </w:r>
      <w:r w:rsidRPr="00C224C8">
        <w:rPr>
          <w:rFonts w:cs="Arial"/>
          <w:sz w:val="22"/>
          <w:szCs w:val="22"/>
        </w:rPr>
        <w:t xml:space="preserve"> </w:t>
      </w:r>
      <w:r w:rsidRPr="00C224C8">
        <w:rPr>
          <w:rFonts w:cs="Arial"/>
          <w:sz w:val="22"/>
          <w:szCs w:val="22"/>
          <w:lang w:val="en-US"/>
        </w:rPr>
        <w:t>residential care, presence of a wound or in-dwelling vascular device, and whether it is a community or healthcare acquired infection.</w:t>
      </w:r>
    </w:p>
    <w:p w14:paraId="4DA1920B" w14:textId="77777777" w:rsidR="009178C9" w:rsidRPr="00C224C8" w:rsidRDefault="009178C9" w:rsidP="009178C9">
      <w:pPr>
        <w:widowControl w:val="0"/>
        <w:autoSpaceDE w:val="0"/>
        <w:autoSpaceDN w:val="0"/>
        <w:adjustRightInd w:val="0"/>
        <w:rPr>
          <w:rFonts w:cs="Arial"/>
          <w:sz w:val="22"/>
          <w:szCs w:val="22"/>
          <w:lang w:val="en-US"/>
        </w:rPr>
      </w:pPr>
    </w:p>
    <w:p w14:paraId="4A6CA0C3" w14:textId="0E2EA0C1" w:rsidR="009178C9" w:rsidRPr="00C224C8" w:rsidRDefault="009178C9" w:rsidP="009178C9">
      <w:pPr>
        <w:widowControl w:val="0"/>
        <w:autoSpaceDE w:val="0"/>
        <w:autoSpaceDN w:val="0"/>
        <w:adjustRightInd w:val="0"/>
        <w:rPr>
          <w:rFonts w:cs="Arial"/>
          <w:sz w:val="22"/>
          <w:szCs w:val="22"/>
          <w:lang w:val="en-US"/>
        </w:rPr>
      </w:pPr>
      <w:r w:rsidRPr="00C224C8">
        <w:rPr>
          <w:rFonts w:cs="Arial"/>
          <w:sz w:val="22"/>
          <w:szCs w:val="22"/>
          <w:lang w:val="en-US"/>
        </w:rPr>
        <w:t>If the risk assessment is negative, clinicians should treat the infection as for MSSA, with intravenous flucloxacillin 2g 4-6 hourly (assuming normal renal function). If the risk assessment is positive, clinicians should treat as MRSA in accordance with the local vancomycin protocol. In patients with a penicillin allergy, vancomycin should be used firs</w:t>
      </w:r>
      <w:r w:rsidR="00997F12" w:rsidRPr="00C224C8">
        <w:rPr>
          <w:rFonts w:cs="Arial"/>
          <w:sz w:val="22"/>
          <w:szCs w:val="22"/>
          <w:lang w:val="en-US"/>
        </w:rPr>
        <w:t xml:space="preserve">t-line </w:t>
      </w:r>
      <w:r w:rsidRPr="00C224C8">
        <w:rPr>
          <w:rFonts w:cs="Arial"/>
          <w:sz w:val="22"/>
          <w:szCs w:val="22"/>
          <w:lang w:val="en-US"/>
        </w:rPr>
        <w:t>for both MSSA and MRSA. In patients who are intolerant to vancomycin, have a vancomycin allergy, treatment failure or if there is clinical concern regarding response, alternative therapy should be discussed with the treating physician or clinical microbiologist. The guidance does not specify or dictate what that alternative therapy might be.</w:t>
      </w:r>
    </w:p>
    <w:p w14:paraId="446040D7" w14:textId="77777777" w:rsidR="009178C9" w:rsidRPr="00C224C8" w:rsidRDefault="009178C9" w:rsidP="009178C9">
      <w:pPr>
        <w:widowControl w:val="0"/>
        <w:autoSpaceDE w:val="0"/>
        <w:autoSpaceDN w:val="0"/>
        <w:adjustRightInd w:val="0"/>
        <w:rPr>
          <w:rFonts w:cs="Arial"/>
          <w:sz w:val="22"/>
          <w:szCs w:val="22"/>
        </w:rPr>
      </w:pPr>
    </w:p>
    <w:p w14:paraId="3BA45671" w14:textId="51D5AA2E" w:rsidR="009178C9" w:rsidRPr="00C224C8" w:rsidRDefault="009178C9" w:rsidP="009178C9">
      <w:pPr>
        <w:widowControl w:val="0"/>
        <w:autoSpaceDE w:val="0"/>
        <w:autoSpaceDN w:val="0"/>
        <w:adjustRightInd w:val="0"/>
        <w:rPr>
          <w:rFonts w:cs="Arial"/>
          <w:sz w:val="22"/>
          <w:szCs w:val="22"/>
          <w:lang w:val="en-US"/>
        </w:rPr>
      </w:pPr>
      <w:r w:rsidRPr="00C224C8">
        <w:rPr>
          <w:rFonts w:cs="Arial"/>
          <w:sz w:val="22"/>
          <w:szCs w:val="22"/>
        </w:rPr>
        <w:t xml:space="preserve">In addition, each Health Board in Scotland is required to put in place local protocols and guidelines for, inter alia, the empirical treatment of commonly-encountered infections and </w:t>
      </w:r>
      <w:r w:rsidRPr="00C224C8">
        <w:rPr>
          <w:rFonts w:cs="Arial"/>
          <w:sz w:val="22"/>
          <w:szCs w:val="22"/>
          <w:lang w:val="en-US"/>
        </w:rPr>
        <w:t>surgical prophylaxis, based on the SIGN 104 recommendations, for all specialities where interventional procedures are undertaken (</w:t>
      </w:r>
      <w:r w:rsidR="00B95351">
        <w:rPr>
          <w:rFonts w:cs="Arial"/>
          <w:sz w:val="22"/>
          <w:szCs w:val="22"/>
          <w:lang w:val="en-US"/>
        </w:rPr>
        <w:fldChar w:fldCharType="begin"/>
      </w:r>
      <w:r w:rsidR="00B95351">
        <w:rPr>
          <w:rFonts w:cs="Arial"/>
          <w:sz w:val="22"/>
          <w:szCs w:val="22"/>
          <w:lang w:val="en-US"/>
        </w:rPr>
        <w:instrText xml:space="preserve"> REF _Ref284185946 \r \h </w:instrText>
      </w:r>
      <w:r w:rsidR="00B95351">
        <w:rPr>
          <w:rFonts w:cs="Arial"/>
          <w:sz w:val="22"/>
          <w:szCs w:val="22"/>
          <w:lang w:val="en-US"/>
        </w:rPr>
      </w:r>
      <w:r w:rsidR="00B95351">
        <w:rPr>
          <w:rFonts w:cs="Arial"/>
          <w:sz w:val="22"/>
          <w:szCs w:val="22"/>
          <w:lang w:val="en-US"/>
        </w:rPr>
        <w:fldChar w:fldCharType="separate"/>
      </w:r>
      <w:r w:rsidR="00151A1C">
        <w:rPr>
          <w:rFonts w:cs="Arial"/>
          <w:sz w:val="22"/>
          <w:szCs w:val="22"/>
          <w:lang w:val="en-US"/>
        </w:rPr>
        <w:t>38</w:t>
      </w:r>
      <w:r w:rsidR="00B95351">
        <w:rPr>
          <w:rFonts w:cs="Arial"/>
          <w:sz w:val="22"/>
          <w:szCs w:val="22"/>
          <w:lang w:val="en-US"/>
        </w:rPr>
        <w:fldChar w:fldCharType="end"/>
      </w:r>
      <w:r w:rsidRPr="00C224C8">
        <w:rPr>
          <w:rFonts w:cs="Arial"/>
          <w:sz w:val="22"/>
          <w:szCs w:val="22"/>
        </w:rPr>
        <w:t xml:space="preserve">). As noted above, each Health Board should have in place a local vancomycin protocol. </w:t>
      </w:r>
      <w:r w:rsidRPr="00C224C8">
        <w:rPr>
          <w:sz w:val="22"/>
          <w:szCs w:val="22"/>
        </w:rPr>
        <w:t xml:space="preserve"> </w:t>
      </w:r>
    </w:p>
    <w:p w14:paraId="2A94FAD4" w14:textId="77777777" w:rsidR="009178C9" w:rsidRPr="00C224C8" w:rsidRDefault="009178C9" w:rsidP="009178C9">
      <w:pPr>
        <w:widowControl w:val="0"/>
        <w:autoSpaceDE w:val="0"/>
        <w:autoSpaceDN w:val="0"/>
        <w:adjustRightInd w:val="0"/>
        <w:rPr>
          <w:b/>
          <w:sz w:val="22"/>
          <w:szCs w:val="22"/>
        </w:rPr>
      </w:pPr>
    </w:p>
    <w:p w14:paraId="30675F53" w14:textId="77777777" w:rsidR="009178C9" w:rsidRPr="00C224C8" w:rsidRDefault="009178C9" w:rsidP="009178C9">
      <w:pPr>
        <w:rPr>
          <w:b/>
          <w:i/>
          <w:sz w:val="22"/>
          <w:szCs w:val="22"/>
        </w:rPr>
      </w:pPr>
      <w:r w:rsidRPr="00C224C8">
        <w:rPr>
          <w:b/>
          <w:i/>
          <w:sz w:val="22"/>
          <w:szCs w:val="22"/>
        </w:rPr>
        <w:t xml:space="preserve">Existing Scottish Medicines Consortium advice </w:t>
      </w:r>
    </w:p>
    <w:p w14:paraId="5D1D386E" w14:textId="46FA2E0A" w:rsidR="009178C9" w:rsidRPr="00C224C8" w:rsidRDefault="009178C9" w:rsidP="00C4501F">
      <w:pPr>
        <w:widowControl w:val="0"/>
        <w:tabs>
          <w:tab w:val="left" w:pos="3261"/>
        </w:tabs>
        <w:autoSpaceDE w:val="0"/>
        <w:autoSpaceDN w:val="0"/>
        <w:adjustRightInd w:val="0"/>
        <w:rPr>
          <w:rFonts w:cs="Arial"/>
          <w:sz w:val="22"/>
          <w:szCs w:val="22"/>
        </w:rPr>
      </w:pPr>
      <w:bookmarkStart w:id="192" w:name="_Ref280287175"/>
      <w:r w:rsidRPr="00C224C8">
        <w:rPr>
          <w:rFonts w:cs="Arial"/>
          <w:sz w:val="22"/>
          <w:szCs w:val="22"/>
        </w:rPr>
        <w:t>The SMC has reviewed several antibiotics in the indication of interest, and these are summarised in</w:t>
      </w:r>
      <w:bookmarkEnd w:id="192"/>
      <w:r w:rsidR="00021F54" w:rsidRPr="00C224C8">
        <w:rPr>
          <w:rFonts w:cs="Arial"/>
          <w:sz w:val="22"/>
          <w:szCs w:val="22"/>
        </w:rPr>
        <w:t xml:space="preserve"> </w:t>
      </w:r>
      <w:r w:rsidR="00021F54" w:rsidRPr="00C224C8">
        <w:rPr>
          <w:rFonts w:cs="Arial"/>
          <w:sz w:val="22"/>
          <w:szCs w:val="22"/>
        </w:rPr>
        <w:fldChar w:fldCharType="begin"/>
      </w:r>
      <w:r w:rsidR="00021F54" w:rsidRPr="00C224C8">
        <w:rPr>
          <w:rFonts w:cs="Arial"/>
          <w:sz w:val="22"/>
          <w:szCs w:val="22"/>
        </w:rPr>
        <w:instrText xml:space="preserve"> REF _Ref281839937 \h </w:instrText>
      </w:r>
      <w:r w:rsidR="00021F54" w:rsidRPr="00C224C8">
        <w:rPr>
          <w:rFonts w:cs="Arial"/>
          <w:sz w:val="22"/>
          <w:szCs w:val="22"/>
        </w:rPr>
      </w:r>
      <w:r w:rsidR="00021F54" w:rsidRPr="00C224C8">
        <w:rPr>
          <w:rFonts w:cs="Arial"/>
          <w:sz w:val="22"/>
          <w:szCs w:val="22"/>
        </w:rPr>
        <w:fldChar w:fldCharType="separate"/>
      </w:r>
      <w:r w:rsidR="00151A1C" w:rsidRPr="00C224C8">
        <w:rPr>
          <w:rFonts w:cs="Arial"/>
          <w:sz w:val="22"/>
          <w:szCs w:val="22"/>
        </w:rPr>
        <w:t xml:space="preserve">Table </w:t>
      </w:r>
      <w:r w:rsidR="00151A1C">
        <w:rPr>
          <w:rFonts w:cs="Arial"/>
          <w:noProof/>
          <w:sz w:val="22"/>
          <w:szCs w:val="22"/>
        </w:rPr>
        <w:t>43</w:t>
      </w:r>
      <w:r w:rsidR="00021F54" w:rsidRPr="00C224C8">
        <w:rPr>
          <w:rFonts w:cs="Arial"/>
          <w:sz w:val="22"/>
          <w:szCs w:val="22"/>
        </w:rPr>
        <w:fldChar w:fldCharType="end"/>
      </w:r>
      <w:r w:rsidR="00021F54" w:rsidRPr="00C224C8">
        <w:rPr>
          <w:rFonts w:cs="Arial"/>
          <w:sz w:val="22"/>
          <w:szCs w:val="22"/>
        </w:rPr>
        <w:t>:</w:t>
      </w:r>
    </w:p>
    <w:p w14:paraId="450AB225" w14:textId="5DE83675" w:rsidR="009178C9" w:rsidRPr="00C224C8" w:rsidRDefault="00021F54" w:rsidP="00021F54">
      <w:pPr>
        <w:pStyle w:val="Caption"/>
        <w:rPr>
          <w:rFonts w:ascii="Arial" w:hAnsi="Arial" w:cs="Arial"/>
          <w:sz w:val="22"/>
          <w:szCs w:val="22"/>
        </w:rPr>
      </w:pPr>
      <w:bookmarkStart w:id="193" w:name="_Ref281839937"/>
      <w:r w:rsidRPr="00C224C8">
        <w:rPr>
          <w:rFonts w:ascii="Arial" w:hAnsi="Arial" w:cs="Arial"/>
          <w:sz w:val="22"/>
          <w:szCs w:val="22"/>
        </w:rPr>
        <w:t xml:space="preserve">Table </w:t>
      </w:r>
      <w:r w:rsidRPr="00C224C8">
        <w:rPr>
          <w:rFonts w:ascii="Arial" w:hAnsi="Arial" w:cs="Arial"/>
          <w:sz w:val="22"/>
          <w:szCs w:val="22"/>
        </w:rPr>
        <w:fldChar w:fldCharType="begin"/>
      </w:r>
      <w:r w:rsidRPr="00C224C8">
        <w:rPr>
          <w:rFonts w:ascii="Arial" w:hAnsi="Arial" w:cs="Arial"/>
          <w:sz w:val="22"/>
          <w:szCs w:val="22"/>
        </w:rPr>
        <w:instrText xml:space="preserve"> SEQ Table \* ARABIC </w:instrText>
      </w:r>
      <w:r w:rsidRPr="00C224C8">
        <w:rPr>
          <w:rFonts w:ascii="Arial" w:hAnsi="Arial" w:cs="Arial"/>
          <w:sz w:val="22"/>
          <w:szCs w:val="22"/>
        </w:rPr>
        <w:fldChar w:fldCharType="separate"/>
      </w:r>
      <w:r w:rsidR="00151A1C">
        <w:rPr>
          <w:rFonts w:ascii="Arial" w:hAnsi="Arial" w:cs="Arial"/>
          <w:noProof/>
          <w:sz w:val="22"/>
          <w:szCs w:val="22"/>
        </w:rPr>
        <w:t>43</w:t>
      </w:r>
      <w:r w:rsidRPr="00C224C8">
        <w:rPr>
          <w:rFonts w:ascii="Arial" w:hAnsi="Arial" w:cs="Arial"/>
          <w:sz w:val="22"/>
          <w:szCs w:val="22"/>
        </w:rPr>
        <w:fldChar w:fldCharType="end"/>
      </w:r>
      <w:bookmarkEnd w:id="193"/>
      <w:r w:rsidRPr="00C224C8">
        <w:rPr>
          <w:rFonts w:ascii="Arial" w:hAnsi="Arial" w:cs="Arial"/>
          <w:sz w:val="22"/>
          <w:szCs w:val="22"/>
        </w:rPr>
        <w:t xml:space="preserve">: </w:t>
      </w:r>
      <w:r w:rsidR="009178C9" w:rsidRPr="00C224C8">
        <w:rPr>
          <w:rFonts w:ascii="Arial" w:hAnsi="Arial" w:cs="Arial"/>
          <w:sz w:val="22"/>
          <w:szCs w:val="22"/>
        </w:rPr>
        <w:t>Summary of SMC reviews of antibiotics</w:t>
      </w:r>
    </w:p>
    <w:p w14:paraId="07B7F38F" w14:textId="77777777" w:rsidR="00EA0FE5" w:rsidRPr="00C224C8" w:rsidRDefault="00EA0FE5" w:rsidP="009178C9">
      <w:pPr>
        <w:widowControl w:val="0"/>
        <w:autoSpaceDE w:val="0"/>
        <w:autoSpaceDN w:val="0"/>
        <w:adjustRightInd w:val="0"/>
        <w:rPr>
          <w:b/>
          <w:sz w:val="22"/>
          <w:szCs w:val="22"/>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220" w:firstRow="1" w:lastRow="0" w:firstColumn="0" w:lastColumn="0" w:noHBand="1" w:noVBand="0"/>
      </w:tblPr>
      <w:tblGrid>
        <w:gridCol w:w="1487"/>
        <w:gridCol w:w="1829"/>
        <w:gridCol w:w="1506"/>
        <w:gridCol w:w="4536"/>
      </w:tblGrid>
      <w:tr w:rsidR="009178C9" w:rsidRPr="00C224C8" w14:paraId="3562905D" w14:textId="77777777" w:rsidTr="00D132D5">
        <w:trPr>
          <w:trHeight w:val="600"/>
        </w:trPr>
        <w:tc>
          <w:tcPr>
            <w:tcW w:w="1487" w:type="dxa"/>
            <w:shd w:val="clear" w:color="auto" w:fill="auto"/>
            <w:tcMar>
              <w:top w:w="72" w:type="dxa"/>
              <w:left w:w="144" w:type="dxa"/>
              <w:bottom w:w="72" w:type="dxa"/>
              <w:right w:w="144" w:type="dxa"/>
            </w:tcMar>
            <w:hideMark/>
          </w:tcPr>
          <w:p w14:paraId="46611BA5" w14:textId="77777777" w:rsidR="009178C9" w:rsidRPr="00C224C8" w:rsidRDefault="009178C9" w:rsidP="0097298D">
            <w:pPr>
              <w:widowControl w:val="0"/>
              <w:autoSpaceDE w:val="0"/>
              <w:autoSpaceDN w:val="0"/>
              <w:adjustRightInd w:val="0"/>
              <w:rPr>
                <w:rFonts w:cs="Arial"/>
                <w:sz w:val="20"/>
              </w:rPr>
            </w:pPr>
            <w:r w:rsidRPr="00C224C8">
              <w:rPr>
                <w:rFonts w:cs="Arial"/>
                <w:b/>
                <w:bCs/>
                <w:iCs/>
                <w:sz w:val="20"/>
              </w:rPr>
              <w:t xml:space="preserve">Product </w:t>
            </w:r>
          </w:p>
        </w:tc>
        <w:tc>
          <w:tcPr>
            <w:tcW w:w="1829" w:type="dxa"/>
            <w:shd w:val="clear" w:color="auto" w:fill="auto"/>
            <w:tcMar>
              <w:top w:w="72" w:type="dxa"/>
              <w:left w:w="144" w:type="dxa"/>
              <w:bottom w:w="72" w:type="dxa"/>
              <w:right w:w="144" w:type="dxa"/>
            </w:tcMar>
            <w:hideMark/>
          </w:tcPr>
          <w:p w14:paraId="166E597E" w14:textId="77777777" w:rsidR="009178C9" w:rsidRPr="00C224C8" w:rsidRDefault="009178C9" w:rsidP="0097298D">
            <w:pPr>
              <w:widowControl w:val="0"/>
              <w:autoSpaceDE w:val="0"/>
              <w:autoSpaceDN w:val="0"/>
              <w:adjustRightInd w:val="0"/>
              <w:rPr>
                <w:rFonts w:cs="Arial"/>
                <w:sz w:val="20"/>
              </w:rPr>
            </w:pPr>
            <w:r w:rsidRPr="00C224C8">
              <w:rPr>
                <w:rFonts w:cs="Arial"/>
                <w:b/>
                <w:bCs/>
                <w:iCs/>
                <w:sz w:val="20"/>
              </w:rPr>
              <w:t>Indication</w:t>
            </w:r>
          </w:p>
        </w:tc>
        <w:tc>
          <w:tcPr>
            <w:tcW w:w="1506" w:type="dxa"/>
            <w:shd w:val="clear" w:color="auto" w:fill="auto"/>
            <w:tcMar>
              <w:top w:w="72" w:type="dxa"/>
              <w:left w:w="144" w:type="dxa"/>
              <w:bottom w:w="72" w:type="dxa"/>
              <w:right w:w="144" w:type="dxa"/>
            </w:tcMar>
            <w:hideMark/>
          </w:tcPr>
          <w:p w14:paraId="226BF45E" w14:textId="77777777" w:rsidR="009178C9" w:rsidRPr="00C224C8" w:rsidRDefault="009178C9" w:rsidP="0097298D">
            <w:pPr>
              <w:widowControl w:val="0"/>
              <w:autoSpaceDE w:val="0"/>
              <w:autoSpaceDN w:val="0"/>
              <w:adjustRightInd w:val="0"/>
              <w:rPr>
                <w:rFonts w:cs="Arial"/>
                <w:sz w:val="20"/>
              </w:rPr>
            </w:pPr>
            <w:r w:rsidRPr="00C224C8">
              <w:rPr>
                <w:rFonts w:cs="Arial"/>
                <w:b/>
                <w:bCs/>
                <w:sz w:val="20"/>
              </w:rPr>
              <w:t>SMC advice (date)</w:t>
            </w:r>
          </w:p>
        </w:tc>
        <w:tc>
          <w:tcPr>
            <w:tcW w:w="4536" w:type="dxa"/>
            <w:shd w:val="clear" w:color="auto" w:fill="auto"/>
          </w:tcPr>
          <w:p w14:paraId="228A7977" w14:textId="77777777" w:rsidR="009178C9" w:rsidRPr="00C224C8" w:rsidRDefault="009178C9" w:rsidP="0097298D">
            <w:pPr>
              <w:widowControl w:val="0"/>
              <w:autoSpaceDE w:val="0"/>
              <w:autoSpaceDN w:val="0"/>
              <w:adjustRightInd w:val="0"/>
              <w:ind w:left="248"/>
              <w:rPr>
                <w:rFonts w:cs="Arial"/>
                <w:b/>
                <w:bCs/>
                <w:sz w:val="20"/>
              </w:rPr>
            </w:pPr>
            <w:r w:rsidRPr="00C224C8">
              <w:rPr>
                <w:rFonts w:cs="Arial"/>
                <w:b/>
                <w:bCs/>
                <w:sz w:val="20"/>
              </w:rPr>
              <w:t>Details of restriction</w:t>
            </w:r>
          </w:p>
        </w:tc>
      </w:tr>
      <w:tr w:rsidR="009178C9" w:rsidRPr="00C224C8" w14:paraId="5646149E" w14:textId="77777777" w:rsidTr="00D132D5">
        <w:trPr>
          <w:trHeight w:val="787"/>
        </w:trPr>
        <w:tc>
          <w:tcPr>
            <w:tcW w:w="1487" w:type="dxa"/>
            <w:shd w:val="clear" w:color="auto" w:fill="auto"/>
            <w:tcMar>
              <w:top w:w="72" w:type="dxa"/>
              <w:left w:w="144" w:type="dxa"/>
              <w:bottom w:w="72" w:type="dxa"/>
              <w:right w:w="144" w:type="dxa"/>
            </w:tcMar>
            <w:hideMark/>
          </w:tcPr>
          <w:p w14:paraId="21491A3A" w14:textId="77777777" w:rsidR="009178C9" w:rsidRPr="00C224C8" w:rsidRDefault="009178C9" w:rsidP="0097298D">
            <w:pPr>
              <w:widowControl w:val="0"/>
              <w:autoSpaceDE w:val="0"/>
              <w:autoSpaceDN w:val="0"/>
              <w:adjustRightInd w:val="0"/>
              <w:rPr>
                <w:rFonts w:cs="Arial"/>
                <w:iCs/>
                <w:sz w:val="20"/>
              </w:rPr>
            </w:pPr>
            <w:r w:rsidRPr="00C224C8">
              <w:rPr>
                <w:rFonts w:cs="Arial"/>
                <w:iCs/>
                <w:sz w:val="20"/>
              </w:rPr>
              <w:t>ceftataroline (Zinforo</w:t>
            </w:r>
            <w:r w:rsidRPr="00C224C8">
              <w:rPr>
                <w:rFonts w:cs="Arial"/>
                <w:b/>
                <w:sz w:val="20"/>
              </w:rPr>
              <w:t>®</w:t>
            </w:r>
            <w:r w:rsidRPr="00C224C8">
              <w:rPr>
                <w:rFonts w:cs="Arial"/>
                <w:iCs/>
                <w:sz w:val="20"/>
              </w:rPr>
              <w:t>)</w:t>
            </w:r>
          </w:p>
          <w:p w14:paraId="0C7FDFC4" w14:textId="36A300CF" w:rsidR="009178C9" w:rsidRPr="00C224C8" w:rsidRDefault="009178C9" w:rsidP="0097298D">
            <w:pPr>
              <w:widowControl w:val="0"/>
              <w:autoSpaceDE w:val="0"/>
              <w:autoSpaceDN w:val="0"/>
              <w:adjustRightInd w:val="0"/>
              <w:rPr>
                <w:rFonts w:cs="Arial"/>
                <w:sz w:val="20"/>
              </w:rPr>
            </w:pPr>
            <w:r w:rsidRPr="00C224C8">
              <w:rPr>
                <w:rFonts w:cs="Arial"/>
                <w:iCs/>
                <w:sz w:val="20"/>
              </w:rPr>
              <w:t>(SMC Advice 830/12)</w:t>
            </w:r>
            <w:r w:rsidR="00B95351">
              <w:rPr>
                <w:rFonts w:cs="Arial"/>
                <w:iCs/>
                <w:sz w:val="20"/>
              </w:rPr>
              <w:t xml:space="preserve"> </w:t>
            </w:r>
            <w:r w:rsidR="00B95351">
              <w:rPr>
                <w:rFonts w:cs="Arial"/>
                <w:iCs/>
                <w:sz w:val="20"/>
              </w:rPr>
              <w:fldChar w:fldCharType="begin"/>
            </w:r>
            <w:r w:rsidR="00B95351">
              <w:rPr>
                <w:rFonts w:cs="Arial"/>
                <w:iCs/>
                <w:sz w:val="20"/>
              </w:rPr>
              <w:instrText xml:space="preserve"> REF _Ref284185925 \r \h </w:instrText>
            </w:r>
            <w:r w:rsidR="00B95351">
              <w:rPr>
                <w:rFonts w:cs="Arial"/>
                <w:iCs/>
                <w:sz w:val="20"/>
              </w:rPr>
            </w:r>
            <w:r w:rsidR="00B95351">
              <w:rPr>
                <w:rFonts w:cs="Arial"/>
                <w:iCs/>
                <w:sz w:val="20"/>
              </w:rPr>
              <w:fldChar w:fldCharType="separate"/>
            </w:r>
            <w:r w:rsidR="00151A1C">
              <w:rPr>
                <w:rFonts w:cs="Arial"/>
                <w:iCs/>
                <w:sz w:val="20"/>
              </w:rPr>
              <w:t>65</w:t>
            </w:r>
            <w:r w:rsidR="00B95351">
              <w:rPr>
                <w:rFonts w:cs="Arial"/>
                <w:iCs/>
                <w:sz w:val="20"/>
              </w:rPr>
              <w:fldChar w:fldCharType="end"/>
            </w:r>
          </w:p>
        </w:tc>
        <w:tc>
          <w:tcPr>
            <w:tcW w:w="1829" w:type="dxa"/>
            <w:shd w:val="clear" w:color="auto" w:fill="auto"/>
            <w:tcMar>
              <w:top w:w="72" w:type="dxa"/>
              <w:left w:w="144" w:type="dxa"/>
              <w:bottom w:w="72" w:type="dxa"/>
              <w:right w:w="144" w:type="dxa"/>
            </w:tcMar>
            <w:hideMark/>
          </w:tcPr>
          <w:p w14:paraId="20B81AA0" w14:textId="77777777" w:rsidR="009178C9" w:rsidRPr="00C224C8" w:rsidRDefault="009178C9" w:rsidP="0097298D">
            <w:pPr>
              <w:widowControl w:val="0"/>
              <w:autoSpaceDE w:val="0"/>
              <w:autoSpaceDN w:val="0"/>
              <w:adjustRightInd w:val="0"/>
              <w:rPr>
                <w:rFonts w:cs="Arial"/>
                <w:sz w:val="20"/>
              </w:rPr>
            </w:pPr>
            <w:r w:rsidRPr="00C224C8">
              <w:rPr>
                <w:rFonts w:cs="Arial"/>
                <w:sz w:val="20"/>
                <w:lang w:val="en-US"/>
              </w:rPr>
              <w:t>Treatment of complicated skin and soft tissue infections in adults.</w:t>
            </w:r>
          </w:p>
        </w:tc>
        <w:tc>
          <w:tcPr>
            <w:tcW w:w="1506" w:type="dxa"/>
            <w:shd w:val="clear" w:color="auto" w:fill="auto"/>
            <w:tcMar>
              <w:top w:w="72" w:type="dxa"/>
              <w:left w:w="144" w:type="dxa"/>
              <w:bottom w:w="72" w:type="dxa"/>
              <w:right w:w="144" w:type="dxa"/>
            </w:tcMar>
            <w:hideMark/>
          </w:tcPr>
          <w:p w14:paraId="51E23D59" w14:textId="77777777" w:rsidR="009178C9" w:rsidRPr="00C224C8" w:rsidRDefault="009178C9" w:rsidP="0097298D">
            <w:pPr>
              <w:widowControl w:val="0"/>
              <w:autoSpaceDE w:val="0"/>
              <w:autoSpaceDN w:val="0"/>
              <w:adjustRightInd w:val="0"/>
              <w:rPr>
                <w:rFonts w:cs="Arial"/>
                <w:sz w:val="20"/>
              </w:rPr>
            </w:pPr>
            <w:r w:rsidRPr="00C224C8">
              <w:rPr>
                <w:rFonts w:cs="Arial"/>
                <w:sz w:val="20"/>
              </w:rPr>
              <w:t>Accepted for restricted use (December 2012)</w:t>
            </w:r>
          </w:p>
        </w:tc>
        <w:tc>
          <w:tcPr>
            <w:tcW w:w="4536" w:type="dxa"/>
            <w:shd w:val="clear" w:color="auto" w:fill="auto"/>
          </w:tcPr>
          <w:p w14:paraId="6F585546" w14:textId="77777777" w:rsidR="009178C9" w:rsidRPr="00C224C8" w:rsidRDefault="009178C9" w:rsidP="0097298D">
            <w:pPr>
              <w:widowControl w:val="0"/>
              <w:autoSpaceDE w:val="0"/>
              <w:autoSpaceDN w:val="0"/>
              <w:adjustRightInd w:val="0"/>
              <w:ind w:left="248"/>
              <w:rPr>
                <w:rFonts w:cs="Arial"/>
                <w:sz w:val="20"/>
                <w:lang w:val="en-US"/>
              </w:rPr>
            </w:pPr>
            <w:r w:rsidRPr="00C224C8">
              <w:rPr>
                <w:rFonts w:cs="Arial"/>
                <w:sz w:val="20"/>
              </w:rPr>
              <w:t xml:space="preserve">Accepted for restricted use </w:t>
            </w:r>
            <w:r w:rsidRPr="00C224C8">
              <w:rPr>
                <w:rFonts w:cs="Arial"/>
                <w:sz w:val="20"/>
                <w:lang w:val="en-US"/>
              </w:rPr>
              <w:t>in patients with known or suspected methicillin resistant Staphylococcus</w:t>
            </w:r>
          </w:p>
          <w:p w14:paraId="2ACC4562" w14:textId="77777777" w:rsidR="009178C9" w:rsidRPr="00C224C8" w:rsidRDefault="009178C9" w:rsidP="0097298D">
            <w:pPr>
              <w:widowControl w:val="0"/>
              <w:autoSpaceDE w:val="0"/>
              <w:autoSpaceDN w:val="0"/>
              <w:adjustRightInd w:val="0"/>
              <w:ind w:left="248"/>
              <w:rPr>
                <w:rFonts w:cs="Arial"/>
                <w:sz w:val="20"/>
                <w:lang w:val="en-US"/>
              </w:rPr>
            </w:pPr>
            <w:r w:rsidRPr="00C224C8">
              <w:rPr>
                <w:rFonts w:cs="Arial"/>
                <w:sz w:val="20"/>
                <w:lang w:val="en-US"/>
              </w:rPr>
              <w:t>aureus (MRSA) infection in the following settings:</w:t>
            </w:r>
          </w:p>
          <w:p w14:paraId="798E8A41" w14:textId="77777777" w:rsidR="009178C9" w:rsidRPr="00C224C8" w:rsidRDefault="009178C9" w:rsidP="0097298D">
            <w:pPr>
              <w:widowControl w:val="0"/>
              <w:autoSpaceDE w:val="0"/>
              <w:autoSpaceDN w:val="0"/>
              <w:adjustRightInd w:val="0"/>
              <w:ind w:left="248"/>
              <w:rPr>
                <w:rFonts w:cs="Arial"/>
                <w:sz w:val="20"/>
                <w:lang w:val="en-US"/>
              </w:rPr>
            </w:pPr>
            <w:r w:rsidRPr="00C224C8">
              <w:rPr>
                <w:rFonts w:cs="Arial"/>
                <w:sz w:val="20"/>
                <w:lang w:val="en-US"/>
              </w:rPr>
              <w:t>• For Gram-positive only infections where vancomycin iv is inappropriate/ has not been tolerated or treatment modification is required; and daptomycin iv or linezolid iv is normally</w:t>
            </w:r>
          </w:p>
          <w:p w14:paraId="6C5ACEA8" w14:textId="77777777" w:rsidR="009178C9" w:rsidRPr="00C224C8" w:rsidRDefault="009178C9" w:rsidP="0097298D">
            <w:pPr>
              <w:widowControl w:val="0"/>
              <w:autoSpaceDE w:val="0"/>
              <w:autoSpaceDN w:val="0"/>
              <w:adjustRightInd w:val="0"/>
              <w:ind w:left="248"/>
              <w:rPr>
                <w:rFonts w:cs="Arial"/>
                <w:sz w:val="20"/>
                <w:lang w:val="en-US"/>
              </w:rPr>
            </w:pPr>
            <w:r w:rsidRPr="00C224C8">
              <w:rPr>
                <w:rFonts w:cs="Arial"/>
                <w:sz w:val="20"/>
                <w:lang w:val="en-US"/>
              </w:rPr>
              <w:t>used.</w:t>
            </w:r>
          </w:p>
          <w:p w14:paraId="6D639BD3" w14:textId="74BFA280" w:rsidR="009178C9" w:rsidRPr="00C224C8" w:rsidRDefault="009178C9" w:rsidP="0089562B">
            <w:pPr>
              <w:widowControl w:val="0"/>
              <w:autoSpaceDE w:val="0"/>
              <w:autoSpaceDN w:val="0"/>
              <w:adjustRightInd w:val="0"/>
              <w:ind w:left="248"/>
              <w:rPr>
                <w:rFonts w:cs="Arial"/>
                <w:sz w:val="20"/>
                <w:lang w:val="en-US"/>
              </w:rPr>
            </w:pPr>
            <w:r w:rsidRPr="00C224C8">
              <w:rPr>
                <w:rFonts w:cs="Arial"/>
                <w:sz w:val="20"/>
                <w:lang w:val="en-US"/>
              </w:rPr>
              <w:t>• For polymicrobial Gram-positive and common Gram-negative pathogens*, where vancomycin iv in combination with gentamicin iv is inappropriate/has not been tolerated or treatment modification is required; and daptomycin iv in combination with gentamicin iv, or</w:t>
            </w:r>
            <w:r w:rsidR="0089562B" w:rsidRPr="00C224C8">
              <w:rPr>
                <w:rFonts w:cs="Arial"/>
                <w:sz w:val="20"/>
                <w:lang w:val="en-US"/>
              </w:rPr>
              <w:t xml:space="preserve"> </w:t>
            </w:r>
            <w:r w:rsidRPr="00C224C8">
              <w:rPr>
                <w:rFonts w:cs="Arial"/>
                <w:sz w:val="20"/>
                <w:lang w:val="en-US"/>
              </w:rPr>
              <w:t>linezolid iv in combination with gentamicin iv, or tigecycline iv is normally used.</w:t>
            </w:r>
          </w:p>
          <w:p w14:paraId="215DD7FA" w14:textId="77777777" w:rsidR="009178C9" w:rsidRPr="00C224C8" w:rsidRDefault="009178C9" w:rsidP="0097298D">
            <w:pPr>
              <w:widowControl w:val="0"/>
              <w:autoSpaceDE w:val="0"/>
              <w:autoSpaceDN w:val="0"/>
              <w:adjustRightInd w:val="0"/>
              <w:ind w:left="248"/>
              <w:rPr>
                <w:rFonts w:cs="Arial"/>
                <w:sz w:val="20"/>
                <w:lang w:val="en-US"/>
              </w:rPr>
            </w:pPr>
          </w:p>
          <w:p w14:paraId="28336212" w14:textId="77777777" w:rsidR="009178C9" w:rsidRPr="00C224C8" w:rsidRDefault="009178C9" w:rsidP="0097298D">
            <w:pPr>
              <w:widowControl w:val="0"/>
              <w:autoSpaceDE w:val="0"/>
              <w:autoSpaceDN w:val="0"/>
              <w:adjustRightInd w:val="0"/>
              <w:ind w:left="248"/>
              <w:rPr>
                <w:rFonts w:cs="Arial"/>
                <w:sz w:val="20"/>
                <w:lang w:val="en-US"/>
              </w:rPr>
            </w:pPr>
            <w:r w:rsidRPr="00C224C8">
              <w:rPr>
                <w:rFonts w:cs="Arial"/>
                <w:sz w:val="20"/>
                <w:lang w:val="en-US"/>
              </w:rPr>
              <w:t xml:space="preserve">Ceftaroline should be used only on the advice </w:t>
            </w:r>
            <w:r w:rsidRPr="00C224C8">
              <w:rPr>
                <w:rFonts w:cs="Arial"/>
                <w:sz w:val="20"/>
                <w:lang w:val="en-US"/>
              </w:rPr>
              <w:lastRenderedPageBreak/>
              <w:t>of local microbiologists or specialists in infectious disease.</w:t>
            </w:r>
          </w:p>
        </w:tc>
      </w:tr>
      <w:tr w:rsidR="009178C9" w:rsidRPr="00C224C8" w14:paraId="434ADB76" w14:textId="77777777" w:rsidTr="00D132D5">
        <w:trPr>
          <w:trHeight w:val="787"/>
        </w:trPr>
        <w:tc>
          <w:tcPr>
            <w:tcW w:w="1487" w:type="dxa"/>
            <w:shd w:val="clear" w:color="auto" w:fill="auto"/>
            <w:tcMar>
              <w:top w:w="72" w:type="dxa"/>
              <w:left w:w="144" w:type="dxa"/>
              <w:bottom w:w="72" w:type="dxa"/>
              <w:right w:w="144" w:type="dxa"/>
            </w:tcMar>
          </w:tcPr>
          <w:p w14:paraId="5991E78F" w14:textId="33E84961" w:rsidR="009178C9" w:rsidRPr="00C224C8" w:rsidRDefault="009178C9" w:rsidP="0097298D">
            <w:pPr>
              <w:widowControl w:val="0"/>
              <w:autoSpaceDE w:val="0"/>
              <w:autoSpaceDN w:val="0"/>
              <w:adjustRightInd w:val="0"/>
              <w:rPr>
                <w:rFonts w:cs="Arial"/>
                <w:iCs/>
                <w:sz w:val="20"/>
              </w:rPr>
            </w:pPr>
            <w:r w:rsidRPr="00C224C8">
              <w:rPr>
                <w:rFonts w:cs="Arial"/>
                <w:iCs/>
                <w:sz w:val="20"/>
              </w:rPr>
              <w:lastRenderedPageBreak/>
              <w:t>daptomycin (Cubicin</w:t>
            </w:r>
            <w:r w:rsidRPr="00C224C8">
              <w:rPr>
                <w:rFonts w:cs="Arial"/>
                <w:b/>
                <w:sz w:val="20"/>
              </w:rPr>
              <w:t>®</w:t>
            </w:r>
            <w:r w:rsidRPr="00C224C8">
              <w:rPr>
                <w:rFonts w:cs="Arial"/>
                <w:iCs/>
                <w:sz w:val="20"/>
              </w:rPr>
              <w:t>) (SMC Advice 248/06)</w:t>
            </w:r>
            <w:r w:rsidR="00B95351">
              <w:rPr>
                <w:rFonts w:cs="Arial"/>
                <w:iCs/>
                <w:sz w:val="20"/>
              </w:rPr>
              <w:t xml:space="preserve"> </w:t>
            </w:r>
            <w:r w:rsidR="00B95351">
              <w:rPr>
                <w:rFonts w:cs="Arial"/>
                <w:iCs/>
                <w:sz w:val="20"/>
              </w:rPr>
              <w:fldChar w:fldCharType="begin"/>
            </w:r>
            <w:r w:rsidR="00B95351">
              <w:rPr>
                <w:rFonts w:cs="Arial"/>
                <w:iCs/>
                <w:sz w:val="20"/>
              </w:rPr>
              <w:instrText xml:space="preserve"> REF _Ref284185723 \r \h </w:instrText>
            </w:r>
            <w:r w:rsidR="00B95351">
              <w:rPr>
                <w:rFonts w:cs="Arial"/>
                <w:iCs/>
                <w:sz w:val="20"/>
              </w:rPr>
            </w:r>
            <w:r w:rsidR="00B95351">
              <w:rPr>
                <w:rFonts w:cs="Arial"/>
                <w:iCs/>
                <w:sz w:val="20"/>
              </w:rPr>
              <w:fldChar w:fldCharType="separate"/>
            </w:r>
            <w:r w:rsidR="00151A1C">
              <w:rPr>
                <w:rFonts w:cs="Arial"/>
                <w:iCs/>
                <w:sz w:val="20"/>
              </w:rPr>
              <w:t>61</w:t>
            </w:r>
            <w:r w:rsidR="00B95351">
              <w:rPr>
                <w:rFonts w:cs="Arial"/>
                <w:iCs/>
                <w:sz w:val="20"/>
              </w:rPr>
              <w:fldChar w:fldCharType="end"/>
            </w:r>
          </w:p>
        </w:tc>
        <w:tc>
          <w:tcPr>
            <w:tcW w:w="1829" w:type="dxa"/>
            <w:shd w:val="clear" w:color="auto" w:fill="auto"/>
            <w:tcMar>
              <w:top w:w="72" w:type="dxa"/>
              <w:left w:w="144" w:type="dxa"/>
              <w:bottom w:w="72" w:type="dxa"/>
              <w:right w:w="144" w:type="dxa"/>
            </w:tcMar>
          </w:tcPr>
          <w:p w14:paraId="4D6D43F2" w14:textId="77777777" w:rsidR="009178C9" w:rsidRPr="00C224C8" w:rsidRDefault="009178C9" w:rsidP="0097298D">
            <w:pPr>
              <w:widowControl w:val="0"/>
              <w:autoSpaceDE w:val="0"/>
              <w:autoSpaceDN w:val="0"/>
              <w:adjustRightInd w:val="0"/>
              <w:rPr>
                <w:rFonts w:cs="Arial"/>
                <w:sz w:val="20"/>
                <w:lang w:val="en-US"/>
              </w:rPr>
            </w:pPr>
            <w:r w:rsidRPr="00C224C8">
              <w:rPr>
                <w:rFonts w:cs="Arial"/>
                <w:sz w:val="20"/>
                <w:lang w:val="en-US"/>
              </w:rPr>
              <w:t>Treatment of complicated skin and soft tissue infections in adults.</w:t>
            </w:r>
          </w:p>
          <w:p w14:paraId="73D48370" w14:textId="77777777" w:rsidR="009178C9" w:rsidRPr="00C224C8" w:rsidRDefault="009178C9" w:rsidP="0097298D">
            <w:pPr>
              <w:widowControl w:val="0"/>
              <w:autoSpaceDE w:val="0"/>
              <w:autoSpaceDN w:val="0"/>
              <w:adjustRightInd w:val="0"/>
              <w:rPr>
                <w:rFonts w:cs="Arial"/>
                <w:sz w:val="20"/>
                <w:lang w:val="en-US"/>
              </w:rPr>
            </w:pPr>
          </w:p>
        </w:tc>
        <w:tc>
          <w:tcPr>
            <w:tcW w:w="1506" w:type="dxa"/>
            <w:shd w:val="clear" w:color="auto" w:fill="auto"/>
            <w:tcMar>
              <w:top w:w="72" w:type="dxa"/>
              <w:left w:w="144" w:type="dxa"/>
              <w:bottom w:w="72" w:type="dxa"/>
              <w:right w:w="144" w:type="dxa"/>
            </w:tcMar>
          </w:tcPr>
          <w:p w14:paraId="3AC34870" w14:textId="77777777" w:rsidR="009178C9" w:rsidRPr="00C224C8" w:rsidRDefault="009178C9" w:rsidP="0097298D">
            <w:pPr>
              <w:widowControl w:val="0"/>
              <w:autoSpaceDE w:val="0"/>
              <w:autoSpaceDN w:val="0"/>
              <w:adjustRightInd w:val="0"/>
              <w:rPr>
                <w:rFonts w:cs="Arial"/>
                <w:sz w:val="20"/>
              </w:rPr>
            </w:pPr>
            <w:r w:rsidRPr="00C224C8">
              <w:rPr>
                <w:rFonts w:cs="Arial"/>
                <w:sz w:val="20"/>
              </w:rPr>
              <w:t>Accepted for restricted use (March 2006)</w:t>
            </w:r>
          </w:p>
        </w:tc>
        <w:tc>
          <w:tcPr>
            <w:tcW w:w="4536" w:type="dxa"/>
            <w:shd w:val="clear" w:color="auto" w:fill="auto"/>
          </w:tcPr>
          <w:p w14:paraId="2C12FF85" w14:textId="3A5983C8" w:rsidR="009178C9" w:rsidRPr="00C224C8" w:rsidRDefault="009178C9" w:rsidP="0089562B">
            <w:pPr>
              <w:widowControl w:val="0"/>
              <w:autoSpaceDE w:val="0"/>
              <w:autoSpaceDN w:val="0"/>
              <w:adjustRightInd w:val="0"/>
              <w:ind w:left="256"/>
              <w:rPr>
                <w:rFonts w:cs="Arial"/>
                <w:sz w:val="20"/>
                <w:lang w:val="en-US"/>
              </w:rPr>
            </w:pPr>
            <w:r w:rsidRPr="00C224C8">
              <w:rPr>
                <w:rFonts w:cs="Arial"/>
                <w:sz w:val="20"/>
                <w:lang w:val="en-US"/>
              </w:rPr>
              <w:t>Daptomycin should be restricted to use in patients with known or suspected methicillin</w:t>
            </w:r>
            <w:r w:rsidR="0089562B" w:rsidRPr="00C224C8">
              <w:rPr>
                <w:rFonts w:cs="Arial"/>
                <w:sz w:val="20"/>
                <w:lang w:val="en-US"/>
              </w:rPr>
              <w:t>-</w:t>
            </w:r>
            <w:r w:rsidRPr="00C224C8">
              <w:rPr>
                <w:rFonts w:cs="Arial"/>
                <w:sz w:val="20"/>
                <w:lang w:val="en-US"/>
              </w:rPr>
              <w:t>resistant</w:t>
            </w:r>
            <w:r w:rsidR="0089562B" w:rsidRPr="00C224C8">
              <w:rPr>
                <w:rFonts w:cs="Arial"/>
                <w:sz w:val="20"/>
                <w:lang w:val="en-US"/>
              </w:rPr>
              <w:t xml:space="preserve"> </w:t>
            </w:r>
            <w:r w:rsidRPr="00C224C8">
              <w:rPr>
                <w:rFonts w:cs="Arial"/>
                <w:sz w:val="20"/>
                <w:lang w:val="en-US"/>
              </w:rPr>
              <w:t>Staphylococcus aureus (MRSA) infection and on the advice of local microbiologists</w:t>
            </w:r>
            <w:r w:rsidR="0089562B" w:rsidRPr="00C224C8">
              <w:rPr>
                <w:rFonts w:cs="Arial"/>
                <w:sz w:val="20"/>
                <w:lang w:val="en-US"/>
              </w:rPr>
              <w:t xml:space="preserve"> </w:t>
            </w:r>
            <w:r w:rsidRPr="00C224C8">
              <w:rPr>
                <w:rFonts w:cs="Arial"/>
                <w:sz w:val="20"/>
                <w:lang w:val="en-US"/>
              </w:rPr>
              <w:t>or specialists in infectious disease.</w:t>
            </w:r>
          </w:p>
          <w:p w14:paraId="6FE1617D" w14:textId="77777777" w:rsidR="009178C9" w:rsidRPr="00C224C8" w:rsidRDefault="009178C9" w:rsidP="0097298D">
            <w:pPr>
              <w:widowControl w:val="0"/>
              <w:autoSpaceDE w:val="0"/>
              <w:autoSpaceDN w:val="0"/>
              <w:adjustRightInd w:val="0"/>
              <w:ind w:left="256"/>
              <w:rPr>
                <w:rFonts w:cs="Arial"/>
                <w:sz w:val="20"/>
                <w:lang w:val="en-US"/>
              </w:rPr>
            </w:pPr>
          </w:p>
          <w:p w14:paraId="3465DFE3" w14:textId="59AFE93F" w:rsidR="009178C9" w:rsidRPr="00C224C8" w:rsidRDefault="009178C9" w:rsidP="0089562B">
            <w:pPr>
              <w:widowControl w:val="0"/>
              <w:autoSpaceDE w:val="0"/>
              <w:autoSpaceDN w:val="0"/>
              <w:adjustRightInd w:val="0"/>
              <w:ind w:left="256"/>
              <w:rPr>
                <w:rFonts w:cs="Arial"/>
                <w:sz w:val="20"/>
                <w:lang w:val="en-US"/>
              </w:rPr>
            </w:pPr>
            <w:r w:rsidRPr="00C224C8">
              <w:rPr>
                <w:rFonts w:cs="Arial"/>
                <w:sz w:val="20"/>
                <w:lang w:val="en-US"/>
              </w:rPr>
              <w:t>Daptomycin has a higher acquisition cost than some alternative treatments; it does not, however, require therapeutic monitoring.</w:t>
            </w:r>
          </w:p>
        </w:tc>
      </w:tr>
      <w:tr w:rsidR="009178C9" w:rsidRPr="00C224C8" w14:paraId="22BECF85" w14:textId="77777777" w:rsidTr="00D132D5">
        <w:trPr>
          <w:trHeight w:val="787"/>
        </w:trPr>
        <w:tc>
          <w:tcPr>
            <w:tcW w:w="1487" w:type="dxa"/>
            <w:shd w:val="clear" w:color="auto" w:fill="auto"/>
            <w:tcMar>
              <w:top w:w="72" w:type="dxa"/>
              <w:left w:w="144" w:type="dxa"/>
              <w:bottom w:w="72" w:type="dxa"/>
              <w:right w:w="144" w:type="dxa"/>
            </w:tcMar>
          </w:tcPr>
          <w:p w14:paraId="29D20919" w14:textId="66AC19CB" w:rsidR="009178C9" w:rsidRPr="00C224C8" w:rsidRDefault="00511E6A" w:rsidP="0097298D">
            <w:pPr>
              <w:widowControl w:val="0"/>
              <w:autoSpaceDE w:val="0"/>
              <w:autoSpaceDN w:val="0"/>
              <w:adjustRightInd w:val="0"/>
              <w:rPr>
                <w:rFonts w:cs="Arial"/>
                <w:iCs/>
                <w:sz w:val="20"/>
              </w:rPr>
            </w:pPr>
            <w:r w:rsidRPr="00C224C8">
              <w:rPr>
                <w:rFonts w:cs="Arial"/>
                <w:iCs/>
                <w:sz w:val="20"/>
              </w:rPr>
              <w:t>t</w:t>
            </w:r>
            <w:r w:rsidR="009178C9" w:rsidRPr="00C224C8">
              <w:rPr>
                <w:rFonts w:cs="Arial"/>
                <w:iCs/>
                <w:sz w:val="20"/>
              </w:rPr>
              <w:t>igecycline (Tygacil</w:t>
            </w:r>
            <w:r w:rsidR="009178C9" w:rsidRPr="00C224C8">
              <w:rPr>
                <w:rFonts w:cs="Arial"/>
                <w:b/>
                <w:sz w:val="20"/>
              </w:rPr>
              <w:t>®)</w:t>
            </w:r>
            <w:r w:rsidR="009178C9" w:rsidRPr="00C224C8">
              <w:rPr>
                <w:rFonts w:cs="Arial"/>
                <w:iCs/>
                <w:sz w:val="20"/>
              </w:rPr>
              <w:t xml:space="preserve"> (SMC Advice 276/06)</w:t>
            </w:r>
            <w:r w:rsidR="00B95351">
              <w:rPr>
                <w:rFonts w:cs="Arial"/>
                <w:iCs/>
                <w:sz w:val="20"/>
              </w:rPr>
              <w:t xml:space="preserve"> </w:t>
            </w:r>
            <w:r w:rsidR="00B95351">
              <w:rPr>
                <w:rFonts w:cs="Arial"/>
                <w:iCs/>
                <w:sz w:val="20"/>
              </w:rPr>
              <w:fldChar w:fldCharType="begin"/>
            </w:r>
            <w:r w:rsidR="00B95351">
              <w:rPr>
                <w:rFonts w:cs="Arial"/>
                <w:iCs/>
                <w:sz w:val="20"/>
              </w:rPr>
              <w:instrText xml:space="preserve"> REF _Ref284185781 \r \h </w:instrText>
            </w:r>
            <w:r w:rsidR="00B95351">
              <w:rPr>
                <w:rFonts w:cs="Arial"/>
                <w:iCs/>
                <w:sz w:val="20"/>
              </w:rPr>
            </w:r>
            <w:r w:rsidR="00B95351">
              <w:rPr>
                <w:rFonts w:cs="Arial"/>
                <w:iCs/>
                <w:sz w:val="20"/>
              </w:rPr>
              <w:fldChar w:fldCharType="separate"/>
            </w:r>
            <w:r w:rsidR="00151A1C">
              <w:rPr>
                <w:rFonts w:cs="Arial"/>
                <w:iCs/>
                <w:sz w:val="20"/>
              </w:rPr>
              <w:t>64</w:t>
            </w:r>
            <w:r w:rsidR="00B95351">
              <w:rPr>
                <w:rFonts w:cs="Arial"/>
                <w:iCs/>
                <w:sz w:val="20"/>
              </w:rPr>
              <w:fldChar w:fldCharType="end"/>
            </w:r>
          </w:p>
        </w:tc>
        <w:tc>
          <w:tcPr>
            <w:tcW w:w="1829" w:type="dxa"/>
            <w:shd w:val="clear" w:color="auto" w:fill="auto"/>
            <w:tcMar>
              <w:top w:w="72" w:type="dxa"/>
              <w:left w:w="144" w:type="dxa"/>
              <w:bottom w:w="72" w:type="dxa"/>
              <w:right w:w="144" w:type="dxa"/>
            </w:tcMar>
          </w:tcPr>
          <w:p w14:paraId="79B3C5A4" w14:textId="77777777" w:rsidR="009178C9" w:rsidRPr="00C224C8" w:rsidRDefault="009178C9" w:rsidP="0097298D">
            <w:pPr>
              <w:widowControl w:val="0"/>
              <w:autoSpaceDE w:val="0"/>
              <w:autoSpaceDN w:val="0"/>
              <w:adjustRightInd w:val="0"/>
              <w:rPr>
                <w:rFonts w:cs="Arial"/>
                <w:sz w:val="20"/>
                <w:lang w:val="en-US"/>
              </w:rPr>
            </w:pPr>
            <w:r w:rsidRPr="00C224C8">
              <w:rPr>
                <w:rFonts w:cs="Arial"/>
                <w:sz w:val="20"/>
                <w:lang w:val="en-US"/>
              </w:rPr>
              <w:t>Treatment</w:t>
            </w:r>
          </w:p>
          <w:p w14:paraId="00B22250" w14:textId="77777777" w:rsidR="009178C9" w:rsidRPr="00C224C8" w:rsidRDefault="009178C9" w:rsidP="0097298D">
            <w:pPr>
              <w:widowControl w:val="0"/>
              <w:autoSpaceDE w:val="0"/>
              <w:autoSpaceDN w:val="0"/>
              <w:adjustRightInd w:val="0"/>
              <w:rPr>
                <w:rFonts w:cs="Arial"/>
                <w:sz w:val="20"/>
                <w:lang w:val="en-US"/>
              </w:rPr>
            </w:pPr>
            <w:r w:rsidRPr="00C224C8">
              <w:rPr>
                <w:rFonts w:cs="Arial"/>
                <w:sz w:val="20"/>
                <w:lang w:val="en-US"/>
              </w:rPr>
              <w:t>of complicated skin and soft-tissue infections.</w:t>
            </w:r>
          </w:p>
          <w:p w14:paraId="4CDB02BF" w14:textId="77777777" w:rsidR="009178C9" w:rsidRPr="00C224C8" w:rsidRDefault="009178C9" w:rsidP="0097298D">
            <w:pPr>
              <w:widowControl w:val="0"/>
              <w:autoSpaceDE w:val="0"/>
              <w:autoSpaceDN w:val="0"/>
              <w:adjustRightInd w:val="0"/>
              <w:rPr>
                <w:rFonts w:cs="Arial"/>
                <w:sz w:val="20"/>
                <w:lang w:val="en-US"/>
              </w:rPr>
            </w:pPr>
          </w:p>
        </w:tc>
        <w:tc>
          <w:tcPr>
            <w:tcW w:w="1506" w:type="dxa"/>
            <w:shd w:val="clear" w:color="auto" w:fill="auto"/>
            <w:tcMar>
              <w:top w:w="72" w:type="dxa"/>
              <w:left w:w="144" w:type="dxa"/>
              <w:bottom w:w="72" w:type="dxa"/>
              <w:right w:w="144" w:type="dxa"/>
            </w:tcMar>
          </w:tcPr>
          <w:p w14:paraId="09052F42" w14:textId="77777777" w:rsidR="009178C9" w:rsidRPr="00C224C8" w:rsidRDefault="009178C9" w:rsidP="0097298D">
            <w:pPr>
              <w:widowControl w:val="0"/>
              <w:autoSpaceDE w:val="0"/>
              <w:autoSpaceDN w:val="0"/>
              <w:adjustRightInd w:val="0"/>
              <w:rPr>
                <w:rFonts w:cs="Arial"/>
                <w:sz w:val="20"/>
              </w:rPr>
            </w:pPr>
            <w:r w:rsidRPr="00C224C8">
              <w:rPr>
                <w:rFonts w:cs="Arial"/>
                <w:sz w:val="20"/>
              </w:rPr>
              <w:t>Accepted for restricted use (June  (2006)</w:t>
            </w:r>
          </w:p>
        </w:tc>
        <w:tc>
          <w:tcPr>
            <w:tcW w:w="4536" w:type="dxa"/>
            <w:shd w:val="clear" w:color="auto" w:fill="auto"/>
          </w:tcPr>
          <w:p w14:paraId="26F2BC10" w14:textId="77777777" w:rsidR="009178C9" w:rsidRPr="00C224C8" w:rsidRDefault="009178C9" w:rsidP="0097298D">
            <w:pPr>
              <w:widowControl w:val="0"/>
              <w:autoSpaceDE w:val="0"/>
              <w:autoSpaceDN w:val="0"/>
              <w:adjustRightInd w:val="0"/>
              <w:ind w:left="255"/>
              <w:rPr>
                <w:rFonts w:cs="Arial"/>
                <w:sz w:val="20"/>
                <w:lang w:val="en-US"/>
              </w:rPr>
            </w:pPr>
            <w:r w:rsidRPr="00C224C8">
              <w:rPr>
                <w:rFonts w:cs="Arial"/>
                <w:sz w:val="20"/>
                <w:lang w:val="en-US"/>
              </w:rPr>
              <w:t>Accepted for restricted use within NHS Scotland for the treatment of complicated skin and soft-tissue infections.</w:t>
            </w:r>
          </w:p>
          <w:p w14:paraId="3D633A42" w14:textId="77777777" w:rsidR="009178C9" w:rsidRPr="00C224C8" w:rsidRDefault="009178C9" w:rsidP="009A3DF6">
            <w:pPr>
              <w:widowControl w:val="0"/>
              <w:autoSpaceDE w:val="0"/>
              <w:autoSpaceDN w:val="0"/>
              <w:adjustRightInd w:val="0"/>
              <w:ind w:left="255"/>
              <w:rPr>
                <w:rFonts w:cs="Arial"/>
                <w:sz w:val="20"/>
                <w:lang w:val="en-US"/>
              </w:rPr>
            </w:pPr>
            <w:r w:rsidRPr="00C224C8">
              <w:rPr>
                <w:rFonts w:cs="Arial"/>
                <w:sz w:val="20"/>
                <w:lang w:val="en-US"/>
              </w:rPr>
              <w:t>Tigecycline is associated with clinical cure rates in patients with complicated skin and skin structure infections non-inferior to those with a combination of a glycopeptide and a monocyclic beta-lactam antibiotic. It is restricted to use as a 2nd or 3rd line agent under the advice of local microbiologists or specialists in infectious diseases.</w:t>
            </w:r>
          </w:p>
        </w:tc>
      </w:tr>
      <w:tr w:rsidR="009178C9" w:rsidRPr="00C224C8" w14:paraId="4AFA04DC" w14:textId="77777777" w:rsidTr="00D132D5">
        <w:trPr>
          <w:trHeight w:val="564"/>
        </w:trPr>
        <w:tc>
          <w:tcPr>
            <w:tcW w:w="1487" w:type="dxa"/>
            <w:shd w:val="clear" w:color="auto" w:fill="auto"/>
            <w:tcMar>
              <w:top w:w="72" w:type="dxa"/>
              <w:left w:w="144" w:type="dxa"/>
              <w:bottom w:w="72" w:type="dxa"/>
              <w:right w:w="144" w:type="dxa"/>
            </w:tcMar>
            <w:hideMark/>
          </w:tcPr>
          <w:p w14:paraId="0D2BD71E" w14:textId="5161E762" w:rsidR="009178C9" w:rsidRPr="00C224C8" w:rsidRDefault="009178C9" w:rsidP="0097298D">
            <w:pPr>
              <w:widowControl w:val="0"/>
              <w:autoSpaceDE w:val="0"/>
              <w:autoSpaceDN w:val="0"/>
              <w:adjustRightInd w:val="0"/>
              <w:rPr>
                <w:rFonts w:cs="Arial"/>
                <w:sz w:val="20"/>
              </w:rPr>
            </w:pPr>
            <w:r w:rsidRPr="00C224C8">
              <w:rPr>
                <w:rFonts w:cs="Arial"/>
                <w:iCs/>
                <w:sz w:val="20"/>
              </w:rPr>
              <w:t>daptomycin (Cubicin</w:t>
            </w:r>
            <w:r w:rsidRPr="00C224C8">
              <w:rPr>
                <w:rFonts w:cs="Arial"/>
                <w:b/>
                <w:sz w:val="20"/>
              </w:rPr>
              <w:t>®</w:t>
            </w:r>
            <w:r w:rsidRPr="00C224C8">
              <w:rPr>
                <w:rFonts w:cs="Arial"/>
                <w:iCs/>
                <w:sz w:val="20"/>
              </w:rPr>
              <w:t>) (SMC Advice 449/08)</w:t>
            </w:r>
            <w:r w:rsidR="00B95351">
              <w:rPr>
                <w:rFonts w:cs="Arial"/>
                <w:iCs/>
                <w:sz w:val="20"/>
              </w:rPr>
              <w:t xml:space="preserve"> </w:t>
            </w:r>
            <w:r w:rsidR="00B95351">
              <w:rPr>
                <w:rFonts w:cs="Arial"/>
                <w:iCs/>
                <w:sz w:val="20"/>
              </w:rPr>
              <w:fldChar w:fldCharType="begin"/>
            </w:r>
            <w:r w:rsidR="00B95351">
              <w:rPr>
                <w:rFonts w:cs="Arial"/>
                <w:iCs/>
                <w:sz w:val="20"/>
              </w:rPr>
              <w:instrText xml:space="preserve"> REF _Ref284185745 \r \h </w:instrText>
            </w:r>
            <w:r w:rsidR="00B95351">
              <w:rPr>
                <w:rFonts w:cs="Arial"/>
                <w:iCs/>
                <w:sz w:val="20"/>
              </w:rPr>
            </w:r>
            <w:r w:rsidR="00B95351">
              <w:rPr>
                <w:rFonts w:cs="Arial"/>
                <w:iCs/>
                <w:sz w:val="20"/>
              </w:rPr>
              <w:fldChar w:fldCharType="separate"/>
            </w:r>
            <w:r w:rsidR="00151A1C">
              <w:rPr>
                <w:rFonts w:cs="Arial"/>
                <w:iCs/>
                <w:sz w:val="20"/>
              </w:rPr>
              <w:t>63</w:t>
            </w:r>
            <w:r w:rsidR="00B95351">
              <w:rPr>
                <w:rFonts w:cs="Arial"/>
                <w:iCs/>
                <w:sz w:val="20"/>
              </w:rPr>
              <w:fldChar w:fldCharType="end"/>
            </w:r>
          </w:p>
        </w:tc>
        <w:tc>
          <w:tcPr>
            <w:tcW w:w="1829" w:type="dxa"/>
            <w:shd w:val="clear" w:color="auto" w:fill="auto"/>
            <w:tcMar>
              <w:top w:w="72" w:type="dxa"/>
              <w:left w:w="144" w:type="dxa"/>
              <w:bottom w:w="72" w:type="dxa"/>
              <w:right w:w="144" w:type="dxa"/>
            </w:tcMar>
            <w:hideMark/>
          </w:tcPr>
          <w:p w14:paraId="65E85D68" w14:textId="77777777" w:rsidR="009178C9" w:rsidRPr="00C224C8" w:rsidRDefault="009178C9" w:rsidP="0097298D">
            <w:pPr>
              <w:widowControl w:val="0"/>
              <w:autoSpaceDE w:val="0"/>
              <w:autoSpaceDN w:val="0"/>
              <w:adjustRightInd w:val="0"/>
              <w:rPr>
                <w:rFonts w:cs="Arial"/>
                <w:sz w:val="20"/>
              </w:rPr>
            </w:pPr>
            <w:r w:rsidRPr="00C224C8">
              <w:rPr>
                <w:rFonts w:cs="Arial"/>
                <w:sz w:val="20"/>
                <w:lang w:val="en-US"/>
              </w:rPr>
              <w:t xml:space="preserve">Treatment of </w:t>
            </w:r>
            <w:r w:rsidRPr="00C224C8">
              <w:rPr>
                <w:rFonts w:cs="Arial"/>
                <w:i/>
                <w:iCs/>
                <w:sz w:val="20"/>
                <w:lang w:val="en-US"/>
              </w:rPr>
              <w:t xml:space="preserve">Staphylococcus aureus </w:t>
            </w:r>
            <w:r w:rsidRPr="00C224C8">
              <w:rPr>
                <w:rFonts w:cs="Arial"/>
                <w:sz w:val="20"/>
                <w:lang w:val="en-US"/>
              </w:rPr>
              <w:t xml:space="preserve">bacteraemia (SAB) when associated with right-sided infective endocarditis (RIE) or with complicated skin and soft-tissue infections in </w:t>
            </w:r>
            <w:r w:rsidRPr="00C224C8">
              <w:rPr>
                <w:rFonts w:cs="Arial"/>
                <w:sz w:val="20"/>
                <w:lang w:val="en-US"/>
              </w:rPr>
              <w:lastRenderedPageBreak/>
              <w:t>adults.</w:t>
            </w:r>
          </w:p>
        </w:tc>
        <w:tc>
          <w:tcPr>
            <w:tcW w:w="1506" w:type="dxa"/>
            <w:shd w:val="clear" w:color="auto" w:fill="auto"/>
            <w:tcMar>
              <w:top w:w="72" w:type="dxa"/>
              <w:left w:w="144" w:type="dxa"/>
              <w:bottom w:w="72" w:type="dxa"/>
              <w:right w:w="144" w:type="dxa"/>
            </w:tcMar>
            <w:hideMark/>
          </w:tcPr>
          <w:p w14:paraId="1E5451E0" w14:textId="77777777" w:rsidR="009178C9" w:rsidRPr="00C224C8" w:rsidRDefault="009178C9" w:rsidP="0097298D">
            <w:pPr>
              <w:widowControl w:val="0"/>
              <w:autoSpaceDE w:val="0"/>
              <w:autoSpaceDN w:val="0"/>
              <w:adjustRightInd w:val="0"/>
              <w:rPr>
                <w:rFonts w:cs="Arial"/>
                <w:sz w:val="20"/>
              </w:rPr>
            </w:pPr>
            <w:r w:rsidRPr="00C224C8">
              <w:rPr>
                <w:rFonts w:cs="Arial"/>
                <w:sz w:val="20"/>
              </w:rPr>
              <w:lastRenderedPageBreak/>
              <w:t>Accepted for restricted use  (February 2008)</w:t>
            </w:r>
          </w:p>
        </w:tc>
        <w:tc>
          <w:tcPr>
            <w:tcW w:w="4536" w:type="dxa"/>
            <w:shd w:val="clear" w:color="auto" w:fill="auto"/>
          </w:tcPr>
          <w:p w14:paraId="23D5B1DA" w14:textId="77777777" w:rsidR="009178C9" w:rsidRPr="00C224C8" w:rsidRDefault="009178C9" w:rsidP="0097298D">
            <w:pPr>
              <w:widowControl w:val="0"/>
              <w:autoSpaceDE w:val="0"/>
              <w:autoSpaceDN w:val="0"/>
              <w:adjustRightInd w:val="0"/>
              <w:ind w:left="283"/>
              <w:rPr>
                <w:rFonts w:cs="Arial"/>
                <w:sz w:val="20"/>
                <w:lang w:val="en-US"/>
              </w:rPr>
            </w:pPr>
            <w:r w:rsidRPr="00C224C8">
              <w:rPr>
                <w:rFonts w:cs="Arial"/>
                <w:sz w:val="20"/>
                <w:lang w:val="en-US"/>
              </w:rPr>
              <w:t xml:space="preserve">Accepted for restricted use for the treatment of SAB when associated with RIE or with complicated skin and soft-tissue infections in adults. </w:t>
            </w:r>
          </w:p>
          <w:p w14:paraId="5814C9DE" w14:textId="77777777" w:rsidR="009178C9" w:rsidRPr="00C224C8" w:rsidRDefault="009178C9" w:rsidP="0097298D">
            <w:pPr>
              <w:widowControl w:val="0"/>
              <w:autoSpaceDE w:val="0"/>
              <w:autoSpaceDN w:val="0"/>
              <w:adjustRightInd w:val="0"/>
              <w:ind w:left="283"/>
              <w:rPr>
                <w:rFonts w:cs="Arial"/>
                <w:sz w:val="20"/>
                <w:lang w:val="en-US"/>
              </w:rPr>
            </w:pPr>
          </w:p>
          <w:p w14:paraId="3091230A" w14:textId="77777777" w:rsidR="009178C9" w:rsidRPr="00C224C8" w:rsidRDefault="009178C9" w:rsidP="0097298D">
            <w:pPr>
              <w:widowControl w:val="0"/>
              <w:autoSpaceDE w:val="0"/>
              <w:autoSpaceDN w:val="0"/>
              <w:adjustRightInd w:val="0"/>
              <w:ind w:left="283"/>
              <w:rPr>
                <w:rFonts w:cs="Arial"/>
                <w:sz w:val="20"/>
              </w:rPr>
            </w:pPr>
            <w:r w:rsidRPr="00C224C8">
              <w:rPr>
                <w:rFonts w:cs="Arial"/>
                <w:sz w:val="20"/>
                <w:lang w:val="en-US"/>
              </w:rPr>
              <w:t xml:space="preserve">Daptomycin should be restricted to use in patients with known or suspected MRSA infection and on the advice of local microbiologists or specialists in infectious disease. Daptomycin has been shown to be as effective as standard therapy in patients with </w:t>
            </w:r>
            <w:r w:rsidRPr="00C224C8">
              <w:rPr>
                <w:rFonts w:cs="Arial"/>
                <w:i/>
                <w:iCs/>
                <w:sz w:val="20"/>
                <w:lang w:val="en-US"/>
              </w:rPr>
              <w:t xml:space="preserve">S. aureus </w:t>
            </w:r>
            <w:r w:rsidRPr="00C224C8">
              <w:rPr>
                <w:rFonts w:cs="Arial"/>
                <w:sz w:val="20"/>
                <w:lang w:val="en-US"/>
              </w:rPr>
              <w:t xml:space="preserve">bacteraemia with or without endocarditis, though data on the subgroup of </w:t>
            </w:r>
            <w:r w:rsidRPr="00C224C8">
              <w:rPr>
                <w:rFonts w:cs="Arial"/>
                <w:sz w:val="20"/>
                <w:lang w:val="en-US"/>
              </w:rPr>
              <w:lastRenderedPageBreak/>
              <w:t>patients with RIE due to MRSA are very limited.</w:t>
            </w:r>
          </w:p>
        </w:tc>
      </w:tr>
    </w:tbl>
    <w:p w14:paraId="6DEF5852" w14:textId="77777777" w:rsidR="00760C76" w:rsidRPr="00C224C8" w:rsidRDefault="00760C76" w:rsidP="00760C76"/>
    <w:p w14:paraId="121C3FE6" w14:textId="77777777" w:rsidR="008E4E92" w:rsidRPr="00C224C8" w:rsidRDefault="008E4E92" w:rsidP="008E4E92">
      <w:pPr>
        <w:ind w:left="567"/>
        <w:jc w:val="both"/>
        <w:rPr>
          <w:rFonts w:cs="Arial"/>
          <w:sz w:val="22"/>
          <w:szCs w:val="22"/>
        </w:rPr>
      </w:pPr>
    </w:p>
    <w:p w14:paraId="60CC02A4" w14:textId="77777777" w:rsidR="008E4E92" w:rsidRPr="00C224C8"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C224C8">
        <w:rPr>
          <w:rFonts w:ascii="Arial" w:hAnsi="Arial" w:cs="Arial"/>
          <w:b w:val="0"/>
          <w:i/>
          <w:color w:val="auto"/>
          <w:sz w:val="22"/>
          <w:szCs w:val="22"/>
        </w:rPr>
        <w:t>Provide details of any advantages or disadvantages, other than clinical benefits and adverse effects with the medicine in the indication(s) under review compared to usual clinical practice with the relevant active comparator(s). These would include, but are not limited to, differences in terms of: (a) tests or investigations for selection or monitoring of patients; (b) routes or schedules of administration; and (c) service changes.</w:t>
      </w:r>
    </w:p>
    <w:p w14:paraId="0D8E2E3D" w14:textId="77777777" w:rsidR="008E4E92" w:rsidRPr="00C224C8" w:rsidRDefault="008E4E92" w:rsidP="00CE691B">
      <w:pPr>
        <w:pStyle w:val="EndnoteText"/>
        <w:tabs>
          <w:tab w:val="clear" w:pos="567"/>
        </w:tabs>
        <w:jc w:val="both"/>
        <w:rPr>
          <w:rFonts w:ascii="Arial" w:hAnsi="Arial" w:cs="Arial"/>
          <w:szCs w:val="22"/>
        </w:rPr>
      </w:pPr>
    </w:p>
    <w:p w14:paraId="4ACF40D6" w14:textId="2D49F08C" w:rsidR="00FA1395" w:rsidRDefault="00ED0323" w:rsidP="00F702ED">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sidRPr="00C224C8">
        <w:rPr>
          <w:rFonts w:cs="Arial"/>
          <w:sz w:val="22"/>
          <w:szCs w:val="22"/>
        </w:rPr>
        <w:t>T</w:t>
      </w:r>
      <w:r w:rsidRPr="00C224C8">
        <w:rPr>
          <w:rFonts w:ascii="Arial" w:hAnsi="Arial" w:cs="Arial"/>
          <w:sz w:val="22"/>
          <w:szCs w:val="22"/>
        </w:rPr>
        <w:t>edizolid phosphate treatment offers a number of advantages compared to current clinical practice with linezolid, as follows:</w:t>
      </w:r>
    </w:p>
    <w:p w14:paraId="4DBC8BE9" w14:textId="27ABB0E9" w:rsidR="00843778" w:rsidRPr="00ED0323" w:rsidRDefault="00843778" w:rsidP="00843778">
      <w:pPr>
        <w:pStyle w:val="Summary-Bullet-H47"/>
        <w:numPr>
          <w:ilvl w:val="0"/>
          <w:numId w:val="69"/>
        </w:numPr>
        <w:pBdr>
          <w:top w:val="none" w:sz="0" w:space="0" w:color="auto"/>
          <w:left w:val="none" w:sz="0" w:space="0" w:color="auto"/>
          <w:bottom w:val="none" w:sz="0" w:space="0" w:color="auto"/>
          <w:right w:val="none" w:sz="0" w:space="0" w:color="auto"/>
        </w:pBdr>
        <w:shd w:val="clear" w:color="auto" w:fill="auto"/>
        <w:ind w:right="95"/>
        <w:rPr>
          <w:rFonts w:ascii="Arial" w:hAnsi="Arial" w:cs="Arial"/>
          <w:b/>
          <w:sz w:val="22"/>
          <w:szCs w:val="22"/>
        </w:rPr>
      </w:pPr>
      <w:r>
        <w:rPr>
          <w:rFonts w:ascii="Arial" w:hAnsi="Arial" w:cs="Arial"/>
          <w:b/>
          <w:sz w:val="22"/>
          <w:szCs w:val="22"/>
        </w:rPr>
        <w:t xml:space="preserve">Lower dosage (200mg) </w:t>
      </w:r>
      <w:r w:rsidR="006E6A70">
        <w:rPr>
          <w:rFonts w:ascii="Arial" w:hAnsi="Arial" w:cs="Arial"/>
          <w:b/>
          <w:sz w:val="22"/>
          <w:szCs w:val="22"/>
        </w:rPr>
        <w:t xml:space="preserve">and </w:t>
      </w:r>
      <w:r>
        <w:rPr>
          <w:rFonts w:ascii="Arial" w:hAnsi="Arial" w:cs="Arial"/>
          <w:b/>
          <w:sz w:val="22"/>
          <w:szCs w:val="22"/>
        </w:rPr>
        <w:t xml:space="preserve">once daily administration with shorter treatment duration of 6 days   </w:t>
      </w:r>
    </w:p>
    <w:p w14:paraId="555042F5" w14:textId="6005A4DF" w:rsidR="00843778" w:rsidRPr="006E6A70" w:rsidRDefault="00843778" w:rsidP="00843778">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sidRPr="006E6A70">
        <w:rPr>
          <w:rFonts w:ascii="Arial" w:hAnsi="Arial" w:cs="Arial"/>
          <w:sz w:val="22"/>
          <w:szCs w:val="22"/>
        </w:rPr>
        <w:t>Tedizolid phosphate offers 200mg once-daily administration of a novel agent that is available in both oral and IV formulations. This allow</w:t>
      </w:r>
      <w:r w:rsidR="006E6A70" w:rsidRPr="006E6A70">
        <w:rPr>
          <w:rFonts w:ascii="Arial" w:hAnsi="Arial" w:cs="Arial"/>
          <w:sz w:val="22"/>
          <w:szCs w:val="22"/>
        </w:rPr>
        <w:t>s the</w:t>
      </w:r>
      <w:r w:rsidRPr="006E6A70">
        <w:rPr>
          <w:rFonts w:ascii="Arial" w:hAnsi="Arial" w:cs="Arial"/>
          <w:sz w:val="22"/>
          <w:szCs w:val="22"/>
        </w:rPr>
        <w:t xml:space="preserve"> lowest exposure in terms of both overall dose and duration, while maintaining similar efficacy </w:t>
      </w:r>
      <w:r w:rsidR="006E6A70" w:rsidRPr="006E6A70">
        <w:rPr>
          <w:rFonts w:ascii="Arial" w:hAnsi="Arial" w:cs="Arial"/>
          <w:sz w:val="22"/>
          <w:szCs w:val="22"/>
        </w:rPr>
        <w:t>due</w:t>
      </w:r>
      <w:r w:rsidRPr="006E6A70">
        <w:rPr>
          <w:rFonts w:ascii="Arial" w:hAnsi="Arial" w:cs="Arial"/>
          <w:sz w:val="22"/>
          <w:szCs w:val="22"/>
        </w:rPr>
        <w:t xml:space="preserve"> to its higher potency.</w:t>
      </w:r>
      <w:r w:rsidR="006E6A70" w:rsidRPr="006E6A70">
        <w:rPr>
          <w:rFonts w:ascii="Arial" w:hAnsi="Arial" w:cs="Arial"/>
          <w:sz w:val="22"/>
          <w:szCs w:val="22"/>
        </w:rPr>
        <w:t xml:space="preserve"> </w:t>
      </w:r>
      <w:r w:rsidRPr="006E6A70">
        <w:rPr>
          <w:rFonts w:ascii="Arial" w:hAnsi="Arial" w:cs="Arial"/>
          <w:sz w:val="22"/>
          <w:szCs w:val="22"/>
        </w:rPr>
        <w:t xml:space="preserve">Linezolid is administered as 600mg twice-daily for a </w:t>
      </w:r>
      <w:r w:rsidR="006E6A70" w:rsidRPr="006E6A70">
        <w:rPr>
          <w:rFonts w:ascii="Arial" w:hAnsi="Arial" w:cs="Arial"/>
          <w:sz w:val="22"/>
          <w:szCs w:val="22"/>
        </w:rPr>
        <w:t xml:space="preserve">minimum </w:t>
      </w:r>
      <w:r w:rsidRPr="006E6A70">
        <w:rPr>
          <w:rFonts w:ascii="Arial" w:hAnsi="Arial" w:cs="Arial"/>
          <w:sz w:val="22"/>
          <w:szCs w:val="22"/>
        </w:rPr>
        <w:t xml:space="preserve">duration of 10 days. </w:t>
      </w:r>
    </w:p>
    <w:p w14:paraId="03259EA1" w14:textId="5392EF11" w:rsidR="00843778" w:rsidRPr="006E6A70" w:rsidRDefault="00843778" w:rsidP="00843778">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sidRPr="006E6A70">
        <w:rPr>
          <w:rFonts w:ascii="Arial" w:hAnsi="Arial" w:cs="Arial"/>
          <w:sz w:val="22"/>
          <w:szCs w:val="22"/>
        </w:rPr>
        <w:t>Unlike other agents, tedizolid phosphate does not require dose adjustment in obese patients, or in elderly populations</w:t>
      </w:r>
      <w:r w:rsidR="006E6A70" w:rsidRPr="006E6A70">
        <w:rPr>
          <w:rFonts w:ascii="Arial" w:hAnsi="Arial" w:cs="Arial"/>
          <w:sz w:val="22"/>
          <w:szCs w:val="22"/>
        </w:rPr>
        <w:t>.</w:t>
      </w:r>
    </w:p>
    <w:p w14:paraId="55432FFF" w14:textId="1928A662" w:rsidR="00843778" w:rsidRPr="002C045B" w:rsidRDefault="002C045B" w:rsidP="00843778">
      <w:pPr>
        <w:pStyle w:val="Summary-Bullet-H47"/>
        <w:numPr>
          <w:ilvl w:val="0"/>
          <w:numId w:val="69"/>
        </w:numPr>
        <w:pBdr>
          <w:top w:val="none" w:sz="0" w:space="0" w:color="auto"/>
          <w:left w:val="none" w:sz="0" w:space="0" w:color="auto"/>
          <w:bottom w:val="none" w:sz="0" w:space="0" w:color="auto"/>
          <w:right w:val="none" w:sz="0" w:space="0" w:color="auto"/>
        </w:pBdr>
        <w:shd w:val="clear" w:color="auto" w:fill="auto"/>
        <w:ind w:right="95"/>
        <w:rPr>
          <w:rFonts w:ascii="Arial" w:hAnsi="Arial" w:cs="Arial"/>
          <w:b/>
          <w:sz w:val="22"/>
          <w:szCs w:val="22"/>
        </w:rPr>
      </w:pPr>
      <w:r>
        <w:rPr>
          <w:rFonts w:ascii="Arial" w:hAnsi="Arial" w:cs="Arial"/>
          <w:b/>
          <w:sz w:val="22"/>
          <w:szCs w:val="22"/>
        </w:rPr>
        <w:t>Improved gastrointestinal</w:t>
      </w:r>
      <w:r w:rsidR="00843778" w:rsidRPr="002C045B">
        <w:rPr>
          <w:rFonts w:ascii="Arial" w:hAnsi="Arial" w:cs="Arial"/>
          <w:b/>
          <w:sz w:val="22"/>
          <w:szCs w:val="22"/>
        </w:rPr>
        <w:t xml:space="preserve"> tolerability profile </w:t>
      </w:r>
    </w:p>
    <w:p w14:paraId="0B3B9F9D" w14:textId="177735A4" w:rsidR="00843778" w:rsidRDefault="00BC675F" w:rsidP="00843778">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Pr>
          <w:rFonts w:ascii="Arial" w:hAnsi="Arial" w:cs="Arial"/>
          <w:sz w:val="22"/>
          <w:szCs w:val="22"/>
        </w:rPr>
        <w:t>Re</w:t>
      </w:r>
      <w:r w:rsidR="00843778">
        <w:rPr>
          <w:rFonts w:ascii="Arial" w:hAnsi="Arial" w:cs="Arial"/>
          <w:sz w:val="22"/>
          <w:szCs w:val="22"/>
        </w:rPr>
        <w:t>s</w:t>
      </w:r>
      <w:r>
        <w:rPr>
          <w:rFonts w:ascii="Arial" w:hAnsi="Arial" w:cs="Arial"/>
          <w:sz w:val="22"/>
          <w:szCs w:val="22"/>
        </w:rPr>
        <w:t>u</w:t>
      </w:r>
      <w:r w:rsidR="002C045B">
        <w:rPr>
          <w:rFonts w:ascii="Arial" w:hAnsi="Arial" w:cs="Arial"/>
          <w:sz w:val="22"/>
          <w:szCs w:val="22"/>
        </w:rPr>
        <w:t xml:space="preserve">lts from both Phase 3 trials </w:t>
      </w:r>
      <w:r>
        <w:rPr>
          <w:rFonts w:ascii="Arial" w:hAnsi="Arial" w:cs="Arial"/>
          <w:sz w:val="22"/>
          <w:szCs w:val="22"/>
        </w:rPr>
        <w:t>indic</w:t>
      </w:r>
      <w:r w:rsidR="002C045B">
        <w:rPr>
          <w:rFonts w:ascii="Arial" w:hAnsi="Arial" w:cs="Arial"/>
          <w:sz w:val="22"/>
          <w:szCs w:val="22"/>
        </w:rPr>
        <w:t>ate</w:t>
      </w:r>
      <w:r>
        <w:rPr>
          <w:rFonts w:ascii="Arial" w:hAnsi="Arial" w:cs="Arial"/>
          <w:sz w:val="22"/>
          <w:szCs w:val="22"/>
        </w:rPr>
        <w:t xml:space="preserve"> a statis</w:t>
      </w:r>
      <w:r w:rsidR="00843778">
        <w:rPr>
          <w:rFonts w:ascii="Arial" w:hAnsi="Arial" w:cs="Arial"/>
          <w:sz w:val="22"/>
          <w:szCs w:val="22"/>
        </w:rPr>
        <w:t xml:space="preserve">tically lower incidence of </w:t>
      </w:r>
      <w:r w:rsidR="002C045B">
        <w:rPr>
          <w:rFonts w:ascii="Arial" w:hAnsi="Arial" w:cs="Arial"/>
          <w:sz w:val="22"/>
          <w:szCs w:val="22"/>
        </w:rPr>
        <w:t xml:space="preserve">gastrointestinal </w:t>
      </w:r>
      <w:r w:rsidR="00843778">
        <w:rPr>
          <w:rFonts w:ascii="Arial" w:hAnsi="Arial" w:cs="Arial"/>
          <w:sz w:val="22"/>
          <w:szCs w:val="22"/>
        </w:rPr>
        <w:t xml:space="preserve">AE </w:t>
      </w:r>
      <w:r w:rsidR="002C045B">
        <w:rPr>
          <w:rFonts w:ascii="Arial" w:hAnsi="Arial" w:cs="Arial"/>
          <w:sz w:val="22"/>
          <w:szCs w:val="22"/>
        </w:rPr>
        <w:t>for</w:t>
      </w:r>
      <w:r w:rsidR="00843778">
        <w:rPr>
          <w:rFonts w:ascii="Arial" w:hAnsi="Arial" w:cs="Arial"/>
          <w:sz w:val="22"/>
          <w:szCs w:val="22"/>
        </w:rPr>
        <w:t xml:space="preserve"> tedizolid </w:t>
      </w:r>
      <w:r w:rsidR="00570945">
        <w:rPr>
          <w:rFonts w:ascii="Arial" w:hAnsi="Arial" w:cs="Arial"/>
          <w:sz w:val="22"/>
          <w:szCs w:val="22"/>
        </w:rPr>
        <w:t xml:space="preserve">phosphate </w:t>
      </w:r>
      <w:r w:rsidR="002C045B">
        <w:rPr>
          <w:rFonts w:ascii="Arial" w:hAnsi="Arial" w:cs="Arial"/>
          <w:sz w:val="22"/>
          <w:szCs w:val="22"/>
        </w:rPr>
        <w:t>as compared to linezolid (13% vs. 23% p=</w:t>
      </w:r>
      <w:r w:rsidR="00843778">
        <w:rPr>
          <w:rFonts w:ascii="Arial" w:hAnsi="Arial" w:cs="Arial"/>
          <w:sz w:val="22"/>
          <w:szCs w:val="22"/>
        </w:rPr>
        <w:t>0.0018). Such lower incidence was maintain</w:t>
      </w:r>
      <w:r w:rsidR="002C045B">
        <w:rPr>
          <w:rFonts w:ascii="Arial" w:hAnsi="Arial" w:cs="Arial"/>
          <w:sz w:val="22"/>
          <w:szCs w:val="22"/>
        </w:rPr>
        <w:t>ed with statistical significance</w:t>
      </w:r>
      <w:r w:rsidR="00843778">
        <w:rPr>
          <w:rFonts w:ascii="Arial" w:hAnsi="Arial" w:cs="Arial"/>
          <w:sz w:val="22"/>
          <w:szCs w:val="22"/>
        </w:rPr>
        <w:t xml:space="preserve"> when looking at the 0 to 6 days specifically</w:t>
      </w:r>
      <w:r w:rsidR="002C045B">
        <w:rPr>
          <w:rFonts w:ascii="Arial" w:hAnsi="Arial" w:cs="Arial"/>
          <w:sz w:val="22"/>
          <w:szCs w:val="22"/>
        </w:rPr>
        <w:t>,</w:t>
      </w:r>
      <w:r w:rsidR="00843778">
        <w:rPr>
          <w:rFonts w:ascii="Arial" w:hAnsi="Arial" w:cs="Arial"/>
          <w:sz w:val="22"/>
          <w:szCs w:val="22"/>
        </w:rPr>
        <w:t xml:space="preserve"> as well as when pooled analysis was </w:t>
      </w:r>
      <w:r w:rsidR="002C045B">
        <w:rPr>
          <w:rFonts w:ascii="Arial" w:hAnsi="Arial" w:cs="Arial"/>
          <w:sz w:val="22"/>
          <w:szCs w:val="22"/>
        </w:rPr>
        <w:t>undertaken.</w:t>
      </w:r>
      <w:r w:rsidR="00843778">
        <w:rPr>
          <w:rFonts w:ascii="Arial" w:hAnsi="Arial" w:cs="Arial"/>
          <w:sz w:val="22"/>
          <w:szCs w:val="22"/>
        </w:rPr>
        <w:t xml:space="preserve">  </w:t>
      </w:r>
    </w:p>
    <w:p w14:paraId="27C4DE2D" w14:textId="18096480" w:rsidR="000E6BAE" w:rsidRDefault="000E6BAE" w:rsidP="000E6BAE">
      <w:pPr>
        <w:pStyle w:val="Summary-Bullet-H47"/>
        <w:numPr>
          <w:ilvl w:val="0"/>
          <w:numId w:val="69"/>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Pr>
          <w:rFonts w:ascii="Arial" w:hAnsi="Arial" w:cs="Arial"/>
          <w:b/>
          <w:sz w:val="22"/>
          <w:szCs w:val="22"/>
        </w:rPr>
        <w:t>More favo</w:t>
      </w:r>
      <w:r w:rsidR="00787CF0">
        <w:rPr>
          <w:rFonts w:ascii="Arial" w:hAnsi="Arial" w:cs="Arial"/>
          <w:b/>
          <w:sz w:val="22"/>
          <w:szCs w:val="22"/>
        </w:rPr>
        <w:t>u</w:t>
      </w:r>
      <w:r>
        <w:rPr>
          <w:rFonts w:ascii="Arial" w:hAnsi="Arial" w:cs="Arial"/>
          <w:b/>
          <w:sz w:val="22"/>
          <w:szCs w:val="22"/>
        </w:rPr>
        <w:t>rable haematological safety profile with No monitoring requirement</w:t>
      </w:r>
    </w:p>
    <w:p w14:paraId="468C3618" w14:textId="71149148" w:rsidR="000E6BAE" w:rsidRPr="00787CF0" w:rsidRDefault="000E6BAE" w:rsidP="000E6BAE">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rPr>
      </w:pPr>
      <w:r w:rsidRPr="00787CF0">
        <w:rPr>
          <w:rFonts w:ascii="Arial" w:hAnsi="Arial" w:cs="Arial"/>
          <w:sz w:val="22"/>
          <w:szCs w:val="22"/>
          <w:lang w:eastAsia="ja-JP"/>
        </w:rPr>
        <w:lastRenderedPageBreak/>
        <w:t>Myelosuppression (including anaemia, leucopenia, pancytopenia and thrombocytopenia) has been reported in patients receiving linezolid and the risk of these effects appears to be related to the duration of treatment (</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_Ref284439522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74</w:t>
      </w:r>
      <w:r w:rsidR="006F010F">
        <w:rPr>
          <w:rFonts w:ascii="Arial" w:hAnsi="Arial" w:cs="Arial"/>
          <w:sz w:val="22"/>
          <w:szCs w:val="22"/>
          <w:lang w:eastAsia="ja-JP"/>
        </w:rPr>
        <w:fldChar w:fldCharType="end"/>
      </w:r>
      <w:r w:rsidRPr="00787CF0">
        <w:rPr>
          <w:rFonts w:ascii="Arial" w:hAnsi="Arial" w:cs="Arial"/>
          <w:sz w:val="22"/>
          <w:szCs w:val="22"/>
          <w:lang w:eastAsia="ja-JP"/>
        </w:rPr>
        <w:t xml:space="preserve">). Consequently, </w:t>
      </w:r>
      <w:r w:rsidR="00787CF0" w:rsidRPr="00787CF0">
        <w:rPr>
          <w:rFonts w:ascii="Arial" w:hAnsi="Arial" w:cs="Arial"/>
          <w:sz w:val="22"/>
          <w:szCs w:val="22"/>
          <w:lang w:eastAsia="ja-JP"/>
        </w:rPr>
        <w:t>in the event that</w:t>
      </w:r>
      <w:r w:rsidRPr="00787CF0">
        <w:rPr>
          <w:rFonts w:ascii="Arial" w:hAnsi="Arial" w:cs="Arial"/>
          <w:sz w:val="22"/>
          <w:szCs w:val="22"/>
          <w:lang w:eastAsia="ja-JP"/>
        </w:rPr>
        <w:t xml:space="preserve"> </w:t>
      </w:r>
      <w:r w:rsidR="00BC675F" w:rsidRPr="00787CF0">
        <w:rPr>
          <w:rFonts w:ascii="Arial" w:hAnsi="Arial" w:cs="Arial"/>
          <w:sz w:val="22"/>
          <w:szCs w:val="22"/>
          <w:lang w:eastAsia="ja-JP"/>
        </w:rPr>
        <w:t xml:space="preserve">linezolid </w:t>
      </w:r>
      <w:r w:rsidR="00787CF0" w:rsidRPr="00787CF0">
        <w:rPr>
          <w:rFonts w:ascii="Arial" w:hAnsi="Arial" w:cs="Arial"/>
          <w:sz w:val="22"/>
          <w:szCs w:val="22"/>
          <w:lang w:eastAsia="ja-JP"/>
        </w:rPr>
        <w:t>is</w:t>
      </w:r>
      <w:r w:rsidRPr="00787CF0">
        <w:rPr>
          <w:rFonts w:ascii="Arial" w:hAnsi="Arial" w:cs="Arial"/>
          <w:sz w:val="22"/>
          <w:szCs w:val="22"/>
          <w:lang w:eastAsia="ja-JP"/>
        </w:rPr>
        <w:t xml:space="preserve"> administered in specified groups of patients a</w:t>
      </w:r>
      <w:r w:rsidR="00787CF0" w:rsidRPr="00787CF0">
        <w:rPr>
          <w:rFonts w:ascii="Arial" w:hAnsi="Arial" w:cs="Arial"/>
          <w:sz w:val="22"/>
          <w:szCs w:val="22"/>
          <w:lang w:eastAsia="ja-JP"/>
        </w:rPr>
        <w:t xml:space="preserve">t higher risk of these effects, </w:t>
      </w:r>
      <w:r w:rsidRPr="00787CF0">
        <w:rPr>
          <w:rFonts w:ascii="Arial" w:hAnsi="Arial" w:cs="Arial"/>
          <w:sz w:val="22"/>
          <w:szCs w:val="22"/>
          <w:lang w:eastAsia="ja-JP"/>
        </w:rPr>
        <w:t>close monitoring of haemoglobin levels, blood</w:t>
      </w:r>
      <w:r w:rsidR="00787CF0">
        <w:rPr>
          <w:rFonts w:ascii="Arial" w:hAnsi="Arial" w:cs="Arial"/>
          <w:sz w:val="22"/>
          <w:szCs w:val="22"/>
          <w:lang w:eastAsia="ja-JP"/>
        </w:rPr>
        <w:t xml:space="preserve"> counts and platelet counts is </w:t>
      </w:r>
      <w:r w:rsidRPr="00787CF0">
        <w:rPr>
          <w:rFonts w:ascii="Arial" w:hAnsi="Arial" w:cs="Arial"/>
          <w:sz w:val="22"/>
          <w:szCs w:val="22"/>
          <w:lang w:eastAsia="ja-JP"/>
        </w:rPr>
        <w:t>indicated (</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_Ref284439522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74</w:t>
      </w:r>
      <w:r w:rsidR="006F010F">
        <w:rPr>
          <w:rFonts w:ascii="Arial" w:hAnsi="Arial" w:cs="Arial"/>
          <w:sz w:val="22"/>
          <w:szCs w:val="22"/>
          <w:lang w:eastAsia="ja-JP"/>
        </w:rPr>
        <w:fldChar w:fldCharType="end"/>
      </w:r>
      <w:r w:rsidRPr="00787CF0">
        <w:rPr>
          <w:rFonts w:ascii="Arial" w:hAnsi="Arial" w:cs="Arial"/>
          <w:sz w:val="22"/>
          <w:szCs w:val="22"/>
          <w:lang w:eastAsia="ja-JP"/>
        </w:rPr>
        <w:t>). This monitoring requirement has also been incorporated into NHS Scotland Health Board guidelines (</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_Ref284439567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75</w:t>
      </w:r>
      <w:r w:rsidR="006F010F">
        <w:rPr>
          <w:rFonts w:ascii="Arial" w:hAnsi="Arial" w:cs="Arial"/>
          <w:sz w:val="22"/>
          <w:szCs w:val="22"/>
          <w:lang w:eastAsia="ja-JP"/>
        </w:rPr>
        <w:fldChar w:fldCharType="end"/>
      </w:r>
      <w:r w:rsidR="006F010F">
        <w:rPr>
          <w:rFonts w:ascii="Arial" w:hAnsi="Arial" w:cs="Arial"/>
          <w:sz w:val="22"/>
          <w:szCs w:val="22"/>
          <w:lang w:eastAsia="ja-JP"/>
        </w:rPr>
        <w:t>)</w:t>
      </w:r>
      <w:r w:rsidRPr="00787CF0">
        <w:rPr>
          <w:rFonts w:ascii="Arial" w:hAnsi="Arial" w:cs="Arial"/>
          <w:sz w:val="22"/>
          <w:szCs w:val="22"/>
          <w:lang w:eastAsia="ja-JP"/>
        </w:rPr>
        <w:t>.</w:t>
      </w:r>
    </w:p>
    <w:p w14:paraId="0C041714" w14:textId="77777777" w:rsidR="000E6BAE" w:rsidRPr="00787CF0" w:rsidRDefault="000E6BAE" w:rsidP="000E6BAE">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rPr>
      </w:pPr>
    </w:p>
    <w:p w14:paraId="13F6245F" w14:textId="2B4341C6" w:rsidR="000E6BAE" w:rsidRPr="00787CF0" w:rsidRDefault="000E6BAE" w:rsidP="000E6BAE">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rPr>
      </w:pPr>
      <w:r w:rsidRPr="00787CF0">
        <w:rPr>
          <w:rFonts w:ascii="Arial" w:hAnsi="Arial" w:cs="Arial"/>
          <w:sz w:val="22"/>
          <w:szCs w:val="22"/>
        </w:rPr>
        <w:t xml:space="preserve">There is no such monitoring requirement associated with tedizolid phosphate. </w:t>
      </w:r>
    </w:p>
    <w:p w14:paraId="56BEAC6D" w14:textId="77777777" w:rsidR="00EE7E84" w:rsidRPr="00C224C8" w:rsidRDefault="00EE7E84" w:rsidP="00EE7E84">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rPr>
      </w:pPr>
    </w:p>
    <w:p w14:paraId="075F00ED" w14:textId="09DD901A" w:rsidR="00FA1395" w:rsidRPr="00C224C8" w:rsidRDefault="00FA1395" w:rsidP="00C35C1F">
      <w:pPr>
        <w:pStyle w:val="ListParagraph"/>
        <w:numPr>
          <w:ilvl w:val="0"/>
          <w:numId w:val="69"/>
        </w:numPr>
        <w:rPr>
          <w:rFonts w:cs="Arial"/>
          <w:sz w:val="22"/>
          <w:szCs w:val="22"/>
        </w:rPr>
      </w:pPr>
      <w:r w:rsidRPr="00C224C8">
        <w:rPr>
          <w:rFonts w:cs="Arial"/>
          <w:b/>
          <w:sz w:val="22"/>
          <w:szCs w:val="22"/>
        </w:rPr>
        <w:t xml:space="preserve">Fewer drug-to-drug interactions </w:t>
      </w:r>
    </w:p>
    <w:p w14:paraId="46F6EC8C" w14:textId="77777777" w:rsidR="00FA1395" w:rsidRPr="00C224C8" w:rsidRDefault="00FA1395" w:rsidP="00FA1395">
      <w:pPr>
        <w:pStyle w:val="ListParagraph"/>
        <w:ind w:left="360"/>
        <w:rPr>
          <w:rFonts w:cs="Arial"/>
          <w:sz w:val="22"/>
          <w:szCs w:val="22"/>
        </w:rPr>
      </w:pPr>
    </w:p>
    <w:p w14:paraId="7588EAA0" w14:textId="46586B4F" w:rsidR="00FA1395" w:rsidRPr="00C224C8" w:rsidRDefault="00FA1395" w:rsidP="00FA1395">
      <w:pPr>
        <w:rPr>
          <w:rFonts w:cs="Arial"/>
          <w:sz w:val="22"/>
          <w:szCs w:val="22"/>
        </w:rPr>
      </w:pPr>
      <w:r w:rsidRPr="00C224C8">
        <w:rPr>
          <w:rFonts w:cs="Arial"/>
          <w:sz w:val="22"/>
          <w:szCs w:val="22"/>
        </w:rPr>
        <w:t>Tedizolid phosphate has fewer drug-to-drug interactions (DDIs) than other antimicrobials. Neither tedizolid phosphate nor tedizolid is appreciably metabolised by hepatic oxidation, and they do not detectably inhibit or induce the metabolism of substrates of cytochrome P450 enzymes (</w:t>
      </w:r>
      <w:r w:rsidR="00B95351">
        <w:rPr>
          <w:rFonts w:cs="Arial"/>
          <w:sz w:val="22"/>
          <w:szCs w:val="22"/>
        </w:rPr>
        <w:fldChar w:fldCharType="begin"/>
      </w:r>
      <w:r w:rsidR="00B95351">
        <w:rPr>
          <w:rFonts w:cs="Arial"/>
          <w:sz w:val="22"/>
          <w:szCs w:val="22"/>
        </w:rPr>
        <w:instrText xml:space="preserve"> REF _Ref284186593 \r \h </w:instrText>
      </w:r>
      <w:r w:rsidR="00B95351">
        <w:rPr>
          <w:rFonts w:cs="Arial"/>
          <w:sz w:val="22"/>
          <w:szCs w:val="22"/>
        </w:rPr>
      </w:r>
      <w:r w:rsidR="00B95351">
        <w:rPr>
          <w:rFonts w:cs="Arial"/>
          <w:sz w:val="22"/>
          <w:szCs w:val="22"/>
        </w:rPr>
        <w:fldChar w:fldCharType="separate"/>
      </w:r>
      <w:r w:rsidR="00151A1C">
        <w:rPr>
          <w:rFonts w:cs="Arial"/>
          <w:sz w:val="22"/>
          <w:szCs w:val="22"/>
        </w:rPr>
        <w:t>76</w:t>
      </w:r>
      <w:r w:rsidR="00B95351">
        <w:rPr>
          <w:rFonts w:cs="Arial"/>
          <w:sz w:val="22"/>
          <w:szCs w:val="22"/>
        </w:rPr>
        <w:fldChar w:fldCharType="end"/>
      </w:r>
      <w:r w:rsidRPr="00C224C8">
        <w:rPr>
          <w:rFonts w:cs="Arial"/>
          <w:sz w:val="22"/>
          <w:szCs w:val="22"/>
        </w:rPr>
        <w:t>). Additionally, tedizolid phosphate or tedizolid was not shown to significantly inhibit drug uptake transporters (OAT1, OAT3, OATP1B1, OATP1B3, OCT1, and OCT2) or efflux transporters (P-glycoprotein and ABCG2 [also known as BCRP]) at circulating plasma concentrations up to the Cmax (</w:t>
      </w:r>
      <w:r w:rsidR="00B95351">
        <w:rPr>
          <w:rFonts w:cs="Arial"/>
          <w:sz w:val="22"/>
          <w:szCs w:val="22"/>
        </w:rPr>
        <w:fldChar w:fldCharType="begin"/>
      </w:r>
      <w:r w:rsidR="00B95351">
        <w:rPr>
          <w:rFonts w:cs="Arial"/>
          <w:sz w:val="22"/>
          <w:szCs w:val="22"/>
        </w:rPr>
        <w:instrText xml:space="preserve"> REF _Ref284186613 \r \h </w:instrText>
      </w:r>
      <w:r w:rsidR="00B95351">
        <w:rPr>
          <w:rFonts w:cs="Arial"/>
          <w:sz w:val="22"/>
          <w:szCs w:val="22"/>
        </w:rPr>
      </w:r>
      <w:r w:rsidR="00B95351">
        <w:rPr>
          <w:rFonts w:cs="Arial"/>
          <w:sz w:val="22"/>
          <w:szCs w:val="22"/>
        </w:rPr>
        <w:fldChar w:fldCharType="separate"/>
      </w:r>
      <w:r w:rsidR="00151A1C">
        <w:rPr>
          <w:rFonts w:cs="Arial"/>
          <w:sz w:val="22"/>
          <w:szCs w:val="22"/>
        </w:rPr>
        <w:t>77</w:t>
      </w:r>
      <w:r w:rsidR="00B95351">
        <w:rPr>
          <w:rFonts w:cs="Arial"/>
          <w:sz w:val="22"/>
          <w:szCs w:val="22"/>
        </w:rPr>
        <w:fldChar w:fldCharType="end"/>
      </w:r>
      <w:r w:rsidRPr="00C224C8">
        <w:rPr>
          <w:rFonts w:cs="Arial"/>
          <w:sz w:val="22"/>
          <w:szCs w:val="22"/>
        </w:rPr>
        <w:t xml:space="preserve">). Tedizolid </w:t>
      </w:r>
      <w:r w:rsidR="00570945">
        <w:rPr>
          <w:rFonts w:cs="Arial"/>
          <w:sz w:val="22"/>
          <w:szCs w:val="22"/>
        </w:rPr>
        <w:t xml:space="preserve">phosphate </w:t>
      </w:r>
      <w:r w:rsidRPr="00C224C8">
        <w:rPr>
          <w:rFonts w:cs="Arial"/>
          <w:sz w:val="22"/>
          <w:szCs w:val="22"/>
        </w:rPr>
        <w:t>does not inhibit the monoamine oxidase (MAO) system in vivo in animal models; however, tedizolid</w:t>
      </w:r>
      <w:r w:rsidR="00570945">
        <w:rPr>
          <w:rFonts w:cs="Arial"/>
          <w:sz w:val="22"/>
          <w:szCs w:val="22"/>
        </w:rPr>
        <w:t xml:space="preserve"> phosphate</w:t>
      </w:r>
      <w:r w:rsidRPr="00C224C8">
        <w:rPr>
          <w:rFonts w:cs="Arial"/>
          <w:sz w:val="22"/>
          <w:szCs w:val="22"/>
        </w:rPr>
        <w:t xml:space="preserve"> is a reversible inhibitor of MAO in vitro (</w:t>
      </w:r>
      <w:r w:rsidR="00B95351">
        <w:rPr>
          <w:rFonts w:cs="Arial"/>
          <w:sz w:val="22"/>
          <w:szCs w:val="22"/>
        </w:rPr>
        <w:fldChar w:fldCharType="begin"/>
      </w:r>
      <w:r w:rsidR="00B95351">
        <w:rPr>
          <w:rFonts w:cs="Arial"/>
          <w:sz w:val="22"/>
          <w:szCs w:val="22"/>
        </w:rPr>
        <w:instrText xml:space="preserve"> REF _Ref284186613 \r \h </w:instrText>
      </w:r>
      <w:r w:rsidR="00B95351">
        <w:rPr>
          <w:rFonts w:cs="Arial"/>
          <w:sz w:val="22"/>
          <w:szCs w:val="22"/>
        </w:rPr>
      </w:r>
      <w:r w:rsidR="00B95351">
        <w:rPr>
          <w:rFonts w:cs="Arial"/>
          <w:sz w:val="22"/>
          <w:szCs w:val="22"/>
        </w:rPr>
        <w:fldChar w:fldCharType="separate"/>
      </w:r>
      <w:r w:rsidR="00151A1C">
        <w:rPr>
          <w:rFonts w:cs="Arial"/>
          <w:sz w:val="22"/>
          <w:szCs w:val="22"/>
        </w:rPr>
        <w:t>77</w:t>
      </w:r>
      <w:r w:rsidR="00B95351">
        <w:rPr>
          <w:rFonts w:cs="Arial"/>
          <w:sz w:val="22"/>
          <w:szCs w:val="22"/>
        </w:rPr>
        <w:fldChar w:fldCharType="end"/>
      </w:r>
      <w:r w:rsidRPr="00C224C8">
        <w:rPr>
          <w:rFonts w:cs="Arial"/>
          <w:sz w:val="22"/>
          <w:szCs w:val="22"/>
        </w:rPr>
        <w:t>;</w:t>
      </w:r>
      <w:r w:rsidR="00B95351">
        <w:rPr>
          <w:rFonts w:cs="Arial"/>
          <w:sz w:val="22"/>
          <w:szCs w:val="22"/>
        </w:rPr>
        <w:fldChar w:fldCharType="begin"/>
      </w:r>
      <w:r w:rsidR="00B95351">
        <w:rPr>
          <w:rFonts w:cs="Arial"/>
          <w:sz w:val="22"/>
          <w:szCs w:val="22"/>
        </w:rPr>
        <w:instrText xml:space="preserve"> REF _Ref284186629 \r \h </w:instrText>
      </w:r>
      <w:r w:rsidR="00B95351">
        <w:rPr>
          <w:rFonts w:cs="Arial"/>
          <w:sz w:val="22"/>
          <w:szCs w:val="22"/>
        </w:rPr>
      </w:r>
      <w:r w:rsidR="00B95351">
        <w:rPr>
          <w:rFonts w:cs="Arial"/>
          <w:sz w:val="22"/>
          <w:szCs w:val="22"/>
        </w:rPr>
        <w:fldChar w:fldCharType="separate"/>
      </w:r>
      <w:r w:rsidR="00151A1C">
        <w:rPr>
          <w:rFonts w:cs="Arial"/>
          <w:sz w:val="22"/>
          <w:szCs w:val="22"/>
        </w:rPr>
        <w:t>78</w:t>
      </w:r>
      <w:r w:rsidR="00B95351">
        <w:rPr>
          <w:rFonts w:cs="Arial"/>
          <w:sz w:val="22"/>
          <w:szCs w:val="22"/>
        </w:rPr>
        <w:fldChar w:fldCharType="end"/>
      </w:r>
      <w:r w:rsidRPr="00C224C8">
        <w:rPr>
          <w:rFonts w:cs="Arial"/>
          <w:sz w:val="22"/>
          <w:szCs w:val="22"/>
        </w:rPr>
        <w:t>;</w:t>
      </w:r>
      <w:r w:rsidR="00B95351">
        <w:rPr>
          <w:rFonts w:cs="Arial"/>
          <w:sz w:val="22"/>
          <w:szCs w:val="22"/>
        </w:rPr>
        <w:fldChar w:fldCharType="begin"/>
      </w:r>
      <w:r w:rsidR="00B95351">
        <w:rPr>
          <w:rFonts w:cs="Arial"/>
          <w:sz w:val="22"/>
          <w:szCs w:val="22"/>
        </w:rPr>
        <w:instrText xml:space="preserve"> REF _Ref284186662 \r \h </w:instrText>
      </w:r>
      <w:r w:rsidR="00B95351">
        <w:rPr>
          <w:rFonts w:cs="Arial"/>
          <w:sz w:val="22"/>
          <w:szCs w:val="22"/>
        </w:rPr>
      </w:r>
      <w:r w:rsidR="00B95351">
        <w:rPr>
          <w:rFonts w:cs="Arial"/>
          <w:sz w:val="22"/>
          <w:szCs w:val="22"/>
        </w:rPr>
        <w:fldChar w:fldCharType="separate"/>
      </w:r>
      <w:r w:rsidR="00151A1C">
        <w:rPr>
          <w:rFonts w:cs="Arial"/>
          <w:sz w:val="22"/>
          <w:szCs w:val="22"/>
        </w:rPr>
        <w:t>79</w:t>
      </w:r>
      <w:r w:rsidR="00B95351">
        <w:rPr>
          <w:rFonts w:cs="Arial"/>
          <w:sz w:val="22"/>
          <w:szCs w:val="22"/>
        </w:rPr>
        <w:fldChar w:fldCharType="end"/>
      </w:r>
      <w:r w:rsidRPr="00C224C8">
        <w:rPr>
          <w:rFonts w:cs="Arial"/>
          <w:sz w:val="22"/>
          <w:szCs w:val="22"/>
        </w:rPr>
        <w:t xml:space="preserve">).  At therapeutic doses in humans, tedizolid </w:t>
      </w:r>
      <w:r w:rsidR="00570945">
        <w:rPr>
          <w:rFonts w:cs="Arial"/>
          <w:sz w:val="22"/>
          <w:szCs w:val="22"/>
        </w:rPr>
        <w:t xml:space="preserve">phosphate </w:t>
      </w:r>
      <w:r w:rsidRPr="00C224C8">
        <w:rPr>
          <w:rFonts w:cs="Arial"/>
          <w:sz w:val="22"/>
          <w:szCs w:val="22"/>
        </w:rPr>
        <w:t>did not produce hypertensive or serotonergic effects in provocative testing (</w:t>
      </w:r>
      <w:r w:rsidR="00B95351">
        <w:rPr>
          <w:rFonts w:cs="Arial"/>
          <w:sz w:val="22"/>
          <w:szCs w:val="22"/>
        </w:rPr>
        <w:fldChar w:fldCharType="begin"/>
      </w:r>
      <w:r w:rsidR="00B95351">
        <w:rPr>
          <w:rFonts w:cs="Arial"/>
          <w:sz w:val="22"/>
          <w:szCs w:val="22"/>
        </w:rPr>
        <w:instrText xml:space="preserve"> REF _Ref284186613 \r \h </w:instrText>
      </w:r>
      <w:r w:rsidR="00B95351">
        <w:rPr>
          <w:rFonts w:cs="Arial"/>
          <w:sz w:val="22"/>
          <w:szCs w:val="22"/>
        </w:rPr>
      </w:r>
      <w:r w:rsidR="00B95351">
        <w:rPr>
          <w:rFonts w:cs="Arial"/>
          <w:sz w:val="22"/>
          <w:szCs w:val="22"/>
        </w:rPr>
        <w:fldChar w:fldCharType="separate"/>
      </w:r>
      <w:r w:rsidR="00151A1C">
        <w:rPr>
          <w:rFonts w:cs="Arial"/>
          <w:sz w:val="22"/>
          <w:szCs w:val="22"/>
        </w:rPr>
        <w:t>77</w:t>
      </w:r>
      <w:r w:rsidR="00B95351">
        <w:rPr>
          <w:rFonts w:cs="Arial"/>
          <w:sz w:val="22"/>
          <w:szCs w:val="22"/>
        </w:rPr>
        <w:fldChar w:fldCharType="end"/>
      </w:r>
      <w:r w:rsidR="00B95351">
        <w:rPr>
          <w:rFonts w:cs="Arial"/>
          <w:sz w:val="22"/>
          <w:szCs w:val="22"/>
        </w:rPr>
        <w:t>;</w:t>
      </w:r>
      <w:r w:rsidR="00B95351">
        <w:rPr>
          <w:rFonts w:cs="Arial"/>
          <w:sz w:val="22"/>
          <w:szCs w:val="22"/>
        </w:rPr>
        <w:fldChar w:fldCharType="begin"/>
      </w:r>
      <w:r w:rsidR="00B95351">
        <w:rPr>
          <w:rFonts w:cs="Arial"/>
          <w:sz w:val="22"/>
          <w:szCs w:val="22"/>
        </w:rPr>
        <w:instrText xml:space="preserve"> REF _Ref284186629 \r \h </w:instrText>
      </w:r>
      <w:r w:rsidR="00B95351">
        <w:rPr>
          <w:rFonts w:cs="Arial"/>
          <w:sz w:val="22"/>
          <w:szCs w:val="22"/>
        </w:rPr>
      </w:r>
      <w:r w:rsidR="00B95351">
        <w:rPr>
          <w:rFonts w:cs="Arial"/>
          <w:sz w:val="22"/>
          <w:szCs w:val="22"/>
        </w:rPr>
        <w:fldChar w:fldCharType="separate"/>
      </w:r>
      <w:r w:rsidR="00151A1C">
        <w:rPr>
          <w:rFonts w:cs="Arial"/>
          <w:sz w:val="22"/>
          <w:szCs w:val="22"/>
        </w:rPr>
        <w:t>78</w:t>
      </w:r>
      <w:r w:rsidR="00B95351">
        <w:rPr>
          <w:rFonts w:cs="Arial"/>
          <w:sz w:val="22"/>
          <w:szCs w:val="22"/>
        </w:rPr>
        <w:fldChar w:fldCharType="end"/>
      </w:r>
      <w:r w:rsidRPr="00C224C8">
        <w:rPr>
          <w:rFonts w:cs="Arial"/>
          <w:sz w:val="22"/>
          <w:szCs w:val="22"/>
        </w:rPr>
        <w:t>).</w:t>
      </w:r>
    </w:p>
    <w:p w14:paraId="13EDF5BD" w14:textId="77777777" w:rsidR="00FA1395" w:rsidRPr="00C224C8" w:rsidRDefault="00FA1395" w:rsidP="00FA1395">
      <w:pPr>
        <w:rPr>
          <w:rFonts w:cs="Arial"/>
          <w:sz w:val="22"/>
          <w:szCs w:val="22"/>
        </w:rPr>
      </w:pPr>
    </w:p>
    <w:p w14:paraId="6A06C5DD" w14:textId="77777777" w:rsidR="00FA1395" w:rsidRPr="00C224C8" w:rsidRDefault="00FA1395" w:rsidP="00C35C1F">
      <w:pPr>
        <w:pStyle w:val="Summary-Bullet-H47"/>
        <w:numPr>
          <w:ilvl w:val="0"/>
          <w:numId w:val="69"/>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sidRPr="00C224C8">
        <w:rPr>
          <w:rFonts w:ascii="Arial" w:hAnsi="Arial" w:cs="Arial"/>
          <w:b/>
          <w:sz w:val="22"/>
          <w:szCs w:val="22"/>
        </w:rPr>
        <w:t>Potential for reduced length of stay in hospital/early discharge</w:t>
      </w:r>
      <w:r w:rsidR="00ED0323" w:rsidRPr="00C224C8">
        <w:rPr>
          <w:rFonts w:ascii="Arial" w:hAnsi="Arial" w:cs="Arial"/>
          <w:b/>
          <w:sz w:val="22"/>
          <w:szCs w:val="22"/>
        </w:rPr>
        <w:t xml:space="preserve"> </w:t>
      </w:r>
    </w:p>
    <w:p w14:paraId="56BCE58D" w14:textId="384E2845" w:rsidR="00F702ED" w:rsidRPr="00C224C8" w:rsidRDefault="00FA1395" w:rsidP="0015682C">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sidRPr="00C224C8">
        <w:rPr>
          <w:rFonts w:ascii="Arial" w:hAnsi="Arial" w:cs="Arial"/>
          <w:sz w:val="22"/>
          <w:szCs w:val="22"/>
        </w:rPr>
        <w:t>B</w:t>
      </w:r>
      <w:r w:rsidR="00F702ED" w:rsidRPr="00C224C8">
        <w:rPr>
          <w:rFonts w:ascii="Arial" w:hAnsi="Arial" w:cs="Arial"/>
          <w:sz w:val="22"/>
          <w:szCs w:val="22"/>
        </w:rPr>
        <w:t xml:space="preserve">ecause the Phase 3 studies demonstrate that a six-day course of tedizolid phosphate is </w:t>
      </w:r>
      <w:r w:rsidR="000A1F56">
        <w:rPr>
          <w:rFonts w:ascii="Arial" w:hAnsi="Arial" w:cs="Arial"/>
          <w:sz w:val="22"/>
          <w:szCs w:val="22"/>
        </w:rPr>
        <w:t xml:space="preserve">as </w:t>
      </w:r>
      <w:r w:rsidR="00F702ED" w:rsidRPr="00C224C8">
        <w:rPr>
          <w:rFonts w:ascii="Arial" w:hAnsi="Arial" w:cs="Arial"/>
          <w:sz w:val="22"/>
          <w:szCs w:val="22"/>
        </w:rPr>
        <w:t xml:space="preserve">efficacious </w:t>
      </w:r>
      <w:r w:rsidR="00CF46FF">
        <w:rPr>
          <w:rFonts w:ascii="Arial" w:hAnsi="Arial" w:cs="Arial"/>
          <w:sz w:val="22"/>
          <w:szCs w:val="22"/>
        </w:rPr>
        <w:t>as a 10-day</w:t>
      </w:r>
      <w:r w:rsidR="00F702ED" w:rsidRPr="00C224C8">
        <w:rPr>
          <w:rFonts w:ascii="Arial" w:hAnsi="Arial" w:cs="Arial"/>
          <w:sz w:val="22"/>
          <w:szCs w:val="22"/>
        </w:rPr>
        <w:t xml:space="preserve"> course of linezolid, </w:t>
      </w:r>
      <w:r w:rsidRPr="00C224C8">
        <w:rPr>
          <w:rFonts w:ascii="Arial" w:hAnsi="Arial" w:cs="Arial"/>
          <w:sz w:val="22"/>
          <w:szCs w:val="22"/>
        </w:rPr>
        <w:t>t</w:t>
      </w:r>
      <w:r w:rsidR="00F702ED" w:rsidRPr="00C224C8">
        <w:rPr>
          <w:rFonts w:ascii="Arial" w:hAnsi="Arial" w:cs="Arial"/>
          <w:sz w:val="22"/>
          <w:szCs w:val="22"/>
        </w:rPr>
        <w:t xml:space="preserve">he shorter course of treatment of </w:t>
      </w:r>
      <w:r w:rsidR="00BC675F">
        <w:rPr>
          <w:rFonts w:ascii="Arial" w:hAnsi="Arial" w:cs="Arial"/>
          <w:sz w:val="22"/>
          <w:szCs w:val="22"/>
        </w:rPr>
        <w:t xml:space="preserve">once daily 200mg </w:t>
      </w:r>
      <w:r w:rsidR="00F702ED" w:rsidRPr="00C224C8">
        <w:rPr>
          <w:rFonts w:ascii="Arial" w:hAnsi="Arial" w:cs="Arial"/>
          <w:sz w:val="22"/>
          <w:szCs w:val="22"/>
        </w:rPr>
        <w:t>tedizolid phosphate could facilitate early discharge from hospital for suitable patients (</w:t>
      </w:r>
      <w:r w:rsidR="00B95351">
        <w:rPr>
          <w:rFonts w:ascii="Arial" w:hAnsi="Arial" w:cs="Arial"/>
          <w:sz w:val="22"/>
          <w:szCs w:val="22"/>
        </w:rPr>
        <w:fldChar w:fldCharType="begin"/>
      </w:r>
      <w:r w:rsidR="00B95351">
        <w:rPr>
          <w:rFonts w:ascii="Arial" w:hAnsi="Arial" w:cs="Arial"/>
          <w:sz w:val="22"/>
          <w:szCs w:val="22"/>
        </w:rPr>
        <w:instrText xml:space="preserve"> REF _Ref284186714 \r \h </w:instrText>
      </w:r>
      <w:r w:rsidR="00B95351">
        <w:rPr>
          <w:rFonts w:ascii="Arial" w:hAnsi="Arial" w:cs="Arial"/>
          <w:sz w:val="22"/>
          <w:szCs w:val="22"/>
        </w:rPr>
      </w:r>
      <w:r w:rsidR="00B95351">
        <w:rPr>
          <w:rFonts w:ascii="Arial" w:hAnsi="Arial" w:cs="Arial"/>
          <w:sz w:val="22"/>
          <w:szCs w:val="22"/>
        </w:rPr>
        <w:fldChar w:fldCharType="separate"/>
      </w:r>
      <w:r w:rsidR="00151A1C">
        <w:rPr>
          <w:rFonts w:ascii="Arial" w:hAnsi="Arial" w:cs="Arial"/>
          <w:sz w:val="22"/>
          <w:szCs w:val="22"/>
        </w:rPr>
        <w:t>80</w:t>
      </w:r>
      <w:r w:rsidR="00B95351">
        <w:rPr>
          <w:rFonts w:ascii="Arial" w:hAnsi="Arial" w:cs="Arial"/>
          <w:sz w:val="22"/>
          <w:szCs w:val="22"/>
        </w:rPr>
        <w:fldChar w:fldCharType="end"/>
      </w:r>
      <w:r w:rsidR="00F702ED" w:rsidRPr="00C224C8">
        <w:rPr>
          <w:rFonts w:ascii="Arial" w:hAnsi="Arial" w:cs="Arial"/>
          <w:sz w:val="22"/>
          <w:szCs w:val="22"/>
        </w:rPr>
        <w:t>), reducing the associated length of stay (LOS) in hospital (</w:t>
      </w:r>
      <w:r w:rsidR="00B95351">
        <w:rPr>
          <w:rFonts w:ascii="Arial" w:hAnsi="Arial" w:cs="Arial"/>
          <w:sz w:val="22"/>
          <w:szCs w:val="22"/>
        </w:rPr>
        <w:fldChar w:fldCharType="begin"/>
      </w:r>
      <w:r w:rsidR="00B95351">
        <w:rPr>
          <w:rFonts w:ascii="Arial" w:hAnsi="Arial" w:cs="Arial"/>
          <w:sz w:val="22"/>
          <w:szCs w:val="22"/>
        </w:rPr>
        <w:instrText xml:space="preserve"> REF _Ref284186732 \r \h </w:instrText>
      </w:r>
      <w:r w:rsidR="00B95351">
        <w:rPr>
          <w:rFonts w:ascii="Arial" w:hAnsi="Arial" w:cs="Arial"/>
          <w:sz w:val="22"/>
          <w:szCs w:val="22"/>
        </w:rPr>
      </w:r>
      <w:r w:rsidR="00B95351">
        <w:rPr>
          <w:rFonts w:ascii="Arial" w:hAnsi="Arial" w:cs="Arial"/>
          <w:sz w:val="22"/>
          <w:szCs w:val="22"/>
        </w:rPr>
        <w:fldChar w:fldCharType="separate"/>
      </w:r>
      <w:r w:rsidR="00151A1C">
        <w:rPr>
          <w:rFonts w:ascii="Arial" w:hAnsi="Arial" w:cs="Arial"/>
          <w:sz w:val="22"/>
          <w:szCs w:val="22"/>
        </w:rPr>
        <w:t>81</w:t>
      </w:r>
      <w:r w:rsidR="00B95351">
        <w:rPr>
          <w:rFonts w:ascii="Arial" w:hAnsi="Arial" w:cs="Arial"/>
          <w:sz w:val="22"/>
          <w:szCs w:val="22"/>
        </w:rPr>
        <w:fldChar w:fldCharType="end"/>
      </w:r>
      <w:r w:rsidR="00F702ED" w:rsidRPr="00C224C8">
        <w:rPr>
          <w:rFonts w:ascii="Arial" w:hAnsi="Arial" w:cs="Arial"/>
          <w:sz w:val="22"/>
          <w:szCs w:val="22"/>
        </w:rPr>
        <w:t>;</w:t>
      </w:r>
      <w:r w:rsidR="00B95351">
        <w:rPr>
          <w:rFonts w:ascii="Arial" w:hAnsi="Arial" w:cs="Arial"/>
          <w:sz w:val="22"/>
          <w:szCs w:val="22"/>
        </w:rPr>
        <w:fldChar w:fldCharType="begin"/>
      </w:r>
      <w:r w:rsidR="00B95351">
        <w:rPr>
          <w:rFonts w:ascii="Arial" w:hAnsi="Arial" w:cs="Arial"/>
          <w:sz w:val="22"/>
          <w:szCs w:val="22"/>
        </w:rPr>
        <w:instrText xml:space="preserve"> REF _Ref284186748 \r \h </w:instrText>
      </w:r>
      <w:r w:rsidR="00B95351">
        <w:rPr>
          <w:rFonts w:ascii="Arial" w:hAnsi="Arial" w:cs="Arial"/>
          <w:sz w:val="22"/>
          <w:szCs w:val="22"/>
        </w:rPr>
      </w:r>
      <w:r w:rsidR="00B95351">
        <w:rPr>
          <w:rFonts w:ascii="Arial" w:hAnsi="Arial" w:cs="Arial"/>
          <w:sz w:val="22"/>
          <w:szCs w:val="22"/>
        </w:rPr>
        <w:fldChar w:fldCharType="separate"/>
      </w:r>
      <w:r w:rsidR="00151A1C">
        <w:rPr>
          <w:rFonts w:ascii="Arial" w:hAnsi="Arial" w:cs="Arial"/>
          <w:sz w:val="22"/>
          <w:szCs w:val="22"/>
        </w:rPr>
        <w:t>82</w:t>
      </w:r>
      <w:r w:rsidR="00B95351">
        <w:rPr>
          <w:rFonts w:ascii="Arial" w:hAnsi="Arial" w:cs="Arial"/>
          <w:sz w:val="22"/>
          <w:szCs w:val="22"/>
        </w:rPr>
        <w:fldChar w:fldCharType="end"/>
      </w:r>
      <w:r w:rsidR="00F702ED" w:rsidRPr="00C224C8">
        <w:rPr>
          <w:rFonts w:ascii="Arial" w:hAnsi="Arial" w:cs="Arial"/>
          <w:sz w:val="22"/>
          <w:szCs w:val="22"/>
        </w:rPr>
        <w:t>) and reducing healthcare costs, particularly in terms of hospital bed days (</w:t>
      </w:r>
      <w:r w:rsidR="00B95351">
        <w:rPr>
          <w:rFonts w:ascii="Arial" w:hAnsi="Arial" w:cs="Arial"/>
          <w:sz w:val="22"/>
          <w:szCs w:val="22"/>
        </w:rPr>
        <w:fldChar w:fldCharType="begin"/>
      </w:r>
      <w:r w:rsidR="00B95351">
        <w:rPr>
          <w:rFonts w:ascii="Arial" w:hAnsi="Arial" w:cs="Arial"/>
          <w:sz w:val="22"/>
          <w:szCs w:val="22"/>
        </w:rPr>
        <w:instrText xml:space="preserve"> REF _Ref284186765 \r \h </w:instrText>
      </w:r>
      <w:r w:rsidR="00B95351">
        <w:rPr>
          <w:rFonts w:ascii="Arial" w:hAnsi="Arial" w:cs="Arial"/>
          <w:sz w:val="22"/>
          <w:szCs w:val="22"/>
        </w:rPr>
      </w:r>
      <w:r w:rsidR="00B95351">
        <w:rPr>
          <w:rFonts w:ascii="Arial" w:hAnsi="Arial" w:cs="Arial"/>
          <w:sz w:val="22"/>
          <w:szCs w:val="22"/>
        </w:rPr>
        <w:fldChar w:fldCharType="separate"/>
      </w:r>
      <w:r w:rsidR="00151A1C">
        <w:rPr>
          <w:rFonts w:ascii="Arial" w:hAnsi="Arial" w:cs="Arial"/>
          <w:sz w:val="22"/>
          <w:szCs w:val="22"/>
        </w:rPr>
        <w:t>83</w:t>
      </w:r>
      <w:r w:rsidR="00B95351">
        <w:rPr>
          <w:rFonts w:ascii="Arial" w:hAnsi="Arial" w:cs="Arial"/>
          <w:sz w:val="22"/>
          <w:szCs w:val="22"/>
        </w:rPr>
        <w:fldChar w:fldCharType="end"/>
      </w:r>
      <w:r w:rsidR="00F702ED" w:rsidRPr="00C224C8">
        <w:rPr>
          <w:rFonts w:ascii="Arial" w:hAnsi="Arial" w:cs="Arial"/>
          <w:sz w:val="22"/>
          <w:szCs w:val="22"/>
        </w:rPr>
        <w:t>;</w:t>
      </w:r>
      <w:r w:rsidR="00B95351">
        <w:rPr>
          <w:rFonts w:ascii="Arial" w:hAnsi="Arial" w:cs="Arial"/>
          <w:sz w:val="22"/>
          <w:szCs w:val="22"/>
        </w:rPr>
        <w:fldChar w:fldCharType="begin"/>
      </w:r>
      <w:r w:rsidR="00B95351">
        <w:rPr>
          <w:rFonts w:ascii="Arial" w:hAnsi="Arial" w:cs="Arial"/>
          <w:sz w:val="22"/>
          <w:szCs w:val="22"/>
        </w:rPr>
        <w:instrText xml:space="preserve"> REF _Ref284169362 \r \h </w:instrText>
      </w:r>
      <w:r w:rsidR="00B95351">
        <w:rPr>
          <w:rFonts w:ascii="Arial" w:hAnsi="Arial" w:cs="Arial"/>
          <w:sz w:val="22"/>
          <w:szCs w:val="22"/>
        </w:rPr>
      </w:r>
      <w:r w:rsidR="00B95351">
        <w:rPr>
          <w:rFonts w:ascii="Arial" w:hAnsi="Arial" w:cs="Arial"/>
          <w:sz w:val="22"/>
          <w:szCs w:val="22"/>
        </w:rPr>
        <w:fldChar w:fldCharType="separate"/>
      </w:r>
      <w:r w:rsidR="00151A1C">
        <w:rPr>
          <w:rFonts w:ascii="Arial" w:hAnsi="Arial" w:cs="Arial"/>
          <w:sz w:val="22"/>
          <w:szCs w:val="22"/>
        </w:rPr>
        <w:t>20</w:t>
      </w:r>
      <w:r w:rsidR="00B95351">
        <w:rPr>
          <w:rFonts w:ascii="Arial" w:hAnsi="Arial" w:cs="Arial"/>
          <w:sz w:val="22"/>
          <w:szCs w:val="22"/>
        </w:rPr>
        <w:fldChar w:fldCharType="end"/>
      </w:r>
      <w:r w:rsidR="00F702ED" w:rsidRPr="00C224C8">
        <w:rPr>
          <w:rFonts w:ascii="Arial" w:hAnsi="Arial" w:cs="Arial"/>
          <w:sz w:val="22"/>
          <w:szCs w:val="22"/>
        </w:rPr>
        <w:t>).</w:t>
      </w:r>
    </w:p>
    <w:p w14:paraId="27BF44CA" w14:textId="60837813" w:rsidR="00F702ED" w:rsidRPr="00F15A09" w:rsidRDefault="00F702ED" w:rsidP="0015682C">
      <w:pPr>
        <w:pStyle w:val="BodyText"/>
        <w:rPr>
          <w:rFonts w:eastAsia="Tahoma" w:cs="Arial"/>
          <w:sz w:val="22"/>
          <w:szCs w:val="22"/>
        </w:rPr>
      </w:pPr>
      <w:r w:rsidRPr="00C224C8">
        <w:rPr>
          <w:rFonts w:cs="Arial"/>
          <w:sz w:val="22"/>
          <w:szCs w:val="22"/>
          <w:lang w:val="en-US"/>
        </w:rPr>
        <w:t>A pan-European retrospective</w:t>
      </w:r>
      <w:r w:rsidRPr="00F15A09">
        <w:rPr>
          <w:rFonts w:cs="Arial"/>
          <w:sz w:val="22"/>
          <w:szCs w:val="22"/>
          <w:lang w:val="en-US"/>
        </w:rPr>
        <w:t>, observational cohort study collected data on MRSA cSSTI cases across twelve European countries.</w:t>
      </w:r>
      <w:r w:rsidRPr="00F15A09" w:rsidDel="000D4EBA">
        <w:rPr>
          <w:rFonts w:cs="Arial"/>
          <w:sz w:val="22"/>
          <w:szCs w:val="22"/>
          <w:lang w:val="en-US"/>
        </w:rPr>
        <w:t xml:space="preserve"> </w:t>
      </w:r>
      <w:r w:rsidRPr="00F15A09">
        <w:rPr>
          <w:rFonts w:cs="Arial"/>
          <w:sz w:val="22"/>
          <w:szCs w:val="22"/>
          <w:lang w:val="en-US"/>
        </w:rPr>
        <w:t>(</w:t>
      </w:r>
      <w:r w:rsidR="00B95351">
        <w:rPr>
          <w:rFonts w:cs="Arial"/>
          <w:sz w:val="22"/>
          <w:szCs w:val="22"/>
          <w:lang w:val="en-US"/>
        </w:rPr>
        <w:fldChar w:fldCharType="begin"/>
      </w:r>
      <w:r w:rsidR="00B95351">
        <w:rPr>
          <w:rFonts w:cs="Arial"/>
          <w:sz w:val="22"/>
          <w:szCs w:val="22"/>
          <w:lang w:val="en-US"/>
        </w:rPr>
        <w:instrText xml:space="preserve"> REF _Ref284186714 \r \h </w:instrText>
      </w:r>
      <w:r w:rsidR="00B95351">
        <w:rPr>
          <w:rFonts w:cs="Arial"/>
          <w:sz w:val="22"/>
          <w:szCs w:val="22"/>
          <w:lang w:val="en-US"/>
        </w:rPr>
      </w:r>
      <w:r w:rsidR="00B95351">
        <w:rPr>
          <w:rFonts w:cs="Arial"/>
          <w:sz w:val="22"/>
          <w:szCs w:val="22"/>
          <w:lang w:val="en-US"/>
        </w:rPr>
        <w:fldChar w:fldCharType="separate"/>
      </w:r>
      <w:r w:rsidR="00151A1C">
        <w:rPr>
          <w:rFonts w:cs="Arial"/>
          <w:sz w:val="22"/>
          <w:szCs w:val="22"/>
          <w:lang w:val="en-US"/>
        </w:rPr>
        <w:t>80</w:t>
      </w:r>
      <w:r w:rsidR="00B95351">
        <w:rPr>
          <w:rFonts w:cs="Arial"/>
          <w:sz w:val="22"/>
          <w:szCs w:val="22"/>
          <w:lang w:val="en-US"/>
        </w:rPr>
        <w:fldChar w:fldCharType="end"/>
      </w:r>
      <w:r w:rsidRPr="00F15A09">
        <w:rPr>
          <w:rFonts w:cs="Arial"/>
          <w:sz w:val="22"/>
          <w:szCs w:val="22"/>
          <w:lang w:val="en-US"/>
        </w:rPr>
        <w:t>;</w:t>
      </w:r>
      <w:r w:rsidR="00B95351">
        <w:rPr>
          <w:rFonts w:cs="Arial"/>
          <w:sz w:val="22"/>
          <w:szCs w:val="22"/>
          <w:lang w:val="en-US"/>
        </w:rPr>
        <w:fldChar w:fldCharType="begin"/>
      </w:r>
      <w:r w:rsidR="00B95351">
        <w:rPr>
          <w:rFonts w:cs="Arial"/>
          <w:sz w:val="22"/>
          <w:szCs w:val="22"/>
          <w:lang w:val="en-US"/>
        </w:rPr>
        <w:instrText xml:space="preserve"> REF _Ref284186748 \r \h </w:instrText>
      </w:r>
      <w:r w:rsidR="00B95351">
        <w:rPr>
          <w:rFonts w:cs="Arial"/>
          <w:sz w:val="22"/>
          <w:szCs w:val="22"/>
          <w:lang w:val="en-US"/>
        </w:rPr>
      </w:r>
      <w:r w:rsidR="00B95351">
        <w:rPr>
          <w:rFonts w:cs="Arial"/>
          <w:sz w:val="22"/>
          <w:szCs w:val="22"/>
          <w:lang w:val="en-US"/>
        </w:rPr>
        <w:fldChar w:fldCharType="separate"/>
      </w:r>
      <w:r w:rsidR="00151A1C">
        <w:rPr>
          <w:rFonts w:cs="Arial"/>
          <w:sz w:val="22"/>
          <w:szCs w:val="22"/>
          <w:lang w:val="en-US"/>
        </w:rPr>
        <w:t>82</w:t>
      </w:r>
      <w:r w:rsidR="00B95351">
        <w:rPr>
          <w:rFonts w:cs="Arial"/>
          <w:sz w:val="22"/>
          <w:szCs w:val="22"/>
          <w:lang w:val="en-US"/>
        </w:rPr>
        <w:fldChar w:fldCharType="end"/>
      </w:r>
      <w:r w:rsidRPr="00F15A09">
        <w:rPr>
          <w:rFonts w:cs="Arial"/>
          <w:sz w:val="22"/>
          <w:szCs w:val="22"/>
          <w:lang w:val="en-US"/>
        </w:rPr>
        <w:t xml:space="preserve">) The mean duration of IV treatment was 14.0 ± 9.7 days, and the mean hospital LOS was 20.6 ± 17.4 days (median of </w:t>
      </w:r>
      <w:r w:rsidRPr="00F15A09">
        <w:rPr>
          <w:rFonts w:cs="Arial"/>
          <w:sz w:val="22"/>
          <w:szCs w:val="22"/>
          <w:lang w:val="en-US"/>
        </w:rPr>
        <w:lastRenderedPageBreak/>
        <w:t xml:space="preserve">16.0; range 2-283). </w:t>
      </w:r>
      <w:r w:rsidRPr="00F15A09">
        <w:rPr>
          <w:rFonts w:eastAsia="Tahoma" w:cs="Arial"/>
          <w:sz w:val="22"/>
          <w:szCs w:val="22"/>
        </w:rPr>
        <w:t>In the UK, the average length of treatment was 10.1±7.4 days and average LOS was 15.2 ± 10.5 days.</w:t>
      </w:r>
    </w:p>
    <w:p w14:paraId="52AC28D5" w14:textId="77777777" w:rsidR="00F702ED" w:rsidRPr="00F15A09" w:rsidRDefault="00F702ED" w:rsidP="0015682C">
      <w:pPr>
        <w:pStyle w:val="BodyText"/>
        <w:rPr>
          <w:rFonts w:cs="Arial"/>
          <w:sz w:val="22"/>
          <w:szCs w:val="22"/>
          <w:lang w:val="en-US"/>
        </w:rPr>
      </w:pPr>
    </w:p>
    <w:p w14:paraId="7C0D7AB5" w14:textId="380A54E5" w:rsidR="00F702ED" w:rsidRPr="00F15A09" w:rsidRDefault="00F702ED" w:rsidP="0015682C">
      <w:pPr>
        <w:widowControl w:val="0"/>
        <w:autoSpaceDE w:val="0"/>
        <w:autoSpaceDN w:val="0"/>
        <w:adjustRightInd w:val="0"/>
        <w:rPr>
          <w:rFonts w:cs="Arial"/>
          <w:sz w:val="22"/>
          <w:szCs w:val="22"/>
        </w:rPr>
      </w:pPr>
      <w:r w:rsidRPr="00F15A09">
        <w:rPr>
          <w:rFonts w:cs="Arial"/>
          <w:sz w:val="22"/>
          <w:szCs w:val="22"/>
        </w:rPr>
        <w:t>In a multivariable analysis of a study on treatment and utilisation patterns in patients with MRSA-caused CSSTIs, IV-to-oral patients had 5.19 fewer IV days (P&lt;0.001) and 1.86 fewer days LOS in hospital from the point of cSSTI diagnosis (P= 0.161), compared with patients treated with IV MRSA-active antibiotics alone (</w:t>
      </w:r>
      <w:r w:rsidR="00B95351">
        <w:rPr>
          <w:rFonts w:cs="Arial"/>
          <w:sz w:val="22"/>
          <w:szCs w:val="22"/>
        </w:rPr>
        <w:fldChar w:fldCharType="begin"/>
      </w:r>
      <w:r w:rsidR="00B95351">
        <w:rPr>
          <w:rFonts w:cs="Arial"/>
          <w:sz w:val="22"/>
          <w:szCs w:val="22"/>
        </w:rPr>
        <w:instrText xml:space="preserve"> REF _Ref284186732 \r \h </w:instrText>
      </w:r>
      <w:r w:rsidR="00B95351">
        <w:rPr>
          <w:rFonts w:cs="Arial"/>
          <w:sz w:val="22"/>
          <w:szCs w:val="22"/>
        </w:rPr>
      </w:r>
      <w:r w:rsidR="00B95351">
        <w:rPr>
          <w:rFonts w:cs="Arial"/>
          <w:sz w:val="22"/>
          <w:szCs w:val="22"/>
        </w:rPr>
        <w:fldChar w:fldCharType="separate"/>
      </w:r>
      <w:r w:rsidR="00151A1C">
        <w:rPr>
          <w:rFonts w:cs="Arial"/>
          <w:sz w:val="22"/>
          <w:szCs w:val="22"/>
        </w:rPr>
        <w:t>81</w:t>
      </w:r>
      <w:r w:rsidR="00B95351">
        <w:rPr>
          <w:rFonts w:cs="Arial"/>
          <w:sz w:val="22"/>
          <w:szCs w:val="22"/>
        </w:rPr>
        <w:fldChar w:fldCharType="end"/>
      </w:r>
      <w:r w:rsidRPr="00F15A09">
        <w:rPr>
          <w:rFonts w:cs="Arial"/>
          <w:sz w:val="22"/>
          <w:szCs w:val="22"/>
        </w:rPr>
        <w:t>).</w:t>
      </w:r>
    </w:p>
    <w:p w14:paraId="4DBAADAD" w14:textId="77777777" w:rsidR="00F702ED" w:rsidRPr="00F15A09" w:rsidRDefault="00F702ED" w:rsidP="0015682C">
      <w:pPr>
        <w:widowControl w:val="0"/>
        <w:autoSpaceDE w:val="0"/>
        <w:autoSpaceDN w:val="0"/>
        <w:adjustRightInd w:val="0"/>
        <w:rPr>
          <w:rFonts w:cs="Arial"/>
          <w:sz w:val="22"/>
          <w:szCs w:val="22"/>
        </w:rPr>
      </w:pPr>
    </w:p>
    <w:p w14:paraId="609769B2" w14:textId="49243D9A" w:rsidR="00B60D6A" w:rsidRPr="00F15A09" w:rsidRDefault="00F702ED" w:rsidP="0015682C">
      <w:pPr>
        <w:widowControl w:val="0"/>
        <w:autoSpaceDE w:val="0"/>
        <w:autoSpaceDN w:val="0"/>
        <w:adjustRightInd w:val="0"/>
        <w:rPr>
          <w:rFonts w:cs="Arial"/>
          <w:sz w:val="22"/>
          <w:szCs w:val="22"/>
        </w:rPr>
      </w:pPr>
      <w:r w:rsidRPr="00F15A09">
        <w:rPr>
          <w:rFonts w:cs="Arial"/>
          <w:sz w:val="22"/>
          <w:szCs w:val="22"/>
        </w:rPr>
        <w:t xml:space="preserve">In a recent economic evaluation of treatment for MRSA-caused cSSTIs in Glasgow hospitals, Seaton et al concluded that a significant proportion of patients may be suitable for outpatient management with either oral therapy, or via an </w:t>
      </w:r>
      <w:r w:rsidR="00101997" w:rsidRPr="00F15A09">
        <w:rPr>
          <w:rFonts w:cs="Arial"/>
          <w:sz w:val="22"/>
          <w:szCs w:val="22"/>
        </w:rPr>
        <w:t>OPAT</w:t>
      </w:r>
      <w:r w:rsidRPr="00F15A09">
        <w:rPr>
          <w:rFonts w:cs="Arial"/>
          <w:sz w:val="22"/>
          <w:szCs w:val="22"/>
        </w:rPr>
        <w:t xml:space="preserve"> service. Where patients receiving inpatient IV treatment only, hospital costs were calculated at £12,316 per patient, of which 97% was accounted for by direct bed day costs (</w:t>
      </w:r>
      <w:r w:rsidR="00B95351">
        <w:rPr>
          <w:rFonts w:cs="Arial"/>
          <w:sz w:val="22"/>
          <w:szCs w:val="22"/>
        </w:rPr>
        <w:fldChar w:fldCharType="begin"/>
      </w:r>
      <w:r w:rsidR="00B95351">
        <w:rPr>
          <w:rFonts w:cs="Arial"/>
          <w:sz w:val="22"/>
          <w:szCs w:val="22"/>
        </w:rPr>
        <w:instrText xml:space="preserve"> REF _Ref284169362 \r \h </w:instrText>
      </w:r>
      <w:r w:rsidR="00B95351">
        <w:rPr>
          <w:rFonts w:cs="Arial"/>
          <w:sz w:val="22"/>
          <w:szCs w:val="22"/>
        </w:rPr>
      </w:r>
      <w:r w:rsidR="00B95351">
        <w:rPr>
          <w:rFonts w:cs="Arial"/>
          <w:sz w:val="22"/>
          <w:szCs w:val="22"/>
        </w:rPr>
        <w:fldChar w:fldCharType="separate"/>
      </w:r>
      <w:r w:rsidR="00151A1C">
        <w:rPr>
          <w:rFonts w:cs="Arial"/>
          <w:sz w:val="22"/>
          <w:szCs w:val="22"/>
        </w:rPr>
        <w:t>20</w:t>
      </w:r>
      <w:r w:rsidR="00B95351">
        <w:rPr>
          <w:rFonts w:cs="Arial"/>
          <w:sz w:val="22"/>
          <w:szCs w:val="22"/>
        </w:rPr>
        <w:fldChar w:fldCharType="end"/>
      </w:r>
      <w:r w:rsidRPr="00F15A09">
        <w:rPr>
          <w:rFonts w:cs="Arial"/>
          <w:sz w:val="22"/>
          <w:szCs w:val="22"/>
        </w:rPr>
        <w:t>). The mean total cost savings achievable through OPAT or oral therapy were estimated to be £6,136 and £6,159 per patient treated, respectively (</w:t>
      </w:r>
      <w:r w:rsidR="00B95351">
        <w:rPr>
          <w:rFonts w:cs="Arial"/>
          <w:sz w:val="22"/>
          <w:szCs w:val="22"/>
        </w:rPr>
        <w:fldChar w:fldCharType="begin"/>
      </w:r>
      <w:r w:rsidR="00B95351">
        <w:rPr>
          <w:rFonts w:cs="Arial"/>
          <w:sz w:val="22"/>
          <w:szCs w:val="22"/>
        </w:rPr>
        <w:instrText xml:space="preserve"> REF _Ref284169362 \r \h </w:instrText>
      </w:r>
      <w:r w:rsidR="00B95351">
        <w:rPr>
          <w:rFonts w:cs="Arial"/>
          <w:sz w:val="22"/>
          <w:szCs w:val="22"/>
        </w:rPr>
      </w:r>
      <w:r w:rsidR="00B95351">
        <w:rPr>
          <w:rFonts w:cs="Arial"/>
          <w:sz w:val="22"/>
          <w:szCs w:val="22"/>
        </w:rPr>
        <w:fldChar w:fldCharType="separate"/>
      </w:r>
      <w:r w:rsidR="00151A1C">
        <w:rPr>
          <w:rFonts w:cs="Arial"/>
          <w:sz w:val="22"/>
          <w:szCs w:val="22"/>
        </w:rPr>
        <w:t>20</w:t>
      </w:r>
      <w:r w:rsidR="00B95351">
        <w:rPr>
          <w:rFonts w:cs="Arial"/>
          <w:sz w:val="22"/>
          <w:szCs w:val="22"/>
        </w:rPr>
        <w:fldChar w:fldCharType="end"/>
      </w:r>
      <w:r w:rsidRPr="00F15A09">
        <w:rPr>
          <w:rFonts w:cs="Arial"/>
          <w:sz w:val="22"/>
          <w:szCs w:val="22"/>
        </w:rPr>
        <w:t>).</w:t>
      </w:r>
    </w:p>
    <w:p w14:paraId="165E2C9B" w14:textId="77777777" w:rsidR="00997F12" w:rsidRPr="00F15A09" w:rsidRDefault="00997F12" w:rsidP="00F702ED">
      <w:pPr>
        <w:widowControl w:val="0"/>
        <w:autoSpaceDE w:val="0"/>
        <w:autoSpaceDN w:val="0"/>
        <w:adjustRightInd w:val="0"/>
        <w:rPr>
          <w:rFonts w:cs="Arial"/>
          <w:sz w:val="22"/>
          <w:szCs w:val="22"/>
        </w:rPr>
      </w:pPr>
    </w:p>
    <w:p w14:paraId="135860DF" w14:textId="61899F3D" w:rsidR="003D2FA8" w:rsidRPr="00F15A09" w:rsidRDefault="003D2FA8" w:rsidP="003D2FA8">
      <w:pPr>
        <w:pStyle w:val="Summary-Bullet-H47"/>
        <w:numPr>
          <w:ilvl w:val="0"/>
          <w:numId w:val="69"/>
        </w:numPr>
        <w:pBdr>
          <w:top w:val="none" w:sz="0" w:space="0" w:color="auto"/>
          <w:left w:val="none" w:sz="0" w:space="0" w:color="auto"/>
          <w:bottom w:val="none" w:sz="0" w:space="0" w:color="auto"/>
          <w:right w:val="none" w:sz="0" w:space="0" w:color="auto"/>
        </w:pBdr>
        <w:shd w:val="clear" w:color="auto" w:fill="auto"/>
        <w:ind w:right="95"/>
        <w:rPr>
          <w:rFonts w:ascii="Arial" w:hAnsi="Arial" w:cs="Arial"/>
          <w:b/>
          <w:sz w:val="22"/>
          <w:szCs w:val="22"/>
        </w:rPr>
      </w:pPr>
      <w:r>
        <w:rPr>
          <w:rFonts w:ascii="Arial" w:hAnsi="Arial" w:cs="Arial"/>
          <w:b/>
          <w:sz w:val="22"/>
          <w:szCs w:val="22"/>
        </w:rPr>
        <w:t>Enhanced potency may lead to reduced potential to induce resistance</w:t>
      </w:r>
    </w:p>
    <w:p w14:paraId="4088F772" w14:textId="260CC24C" w:rsidR="003D2FA8" w:rsidRPr="00540761" w:rsidRDefault="003D2FA8" w:rsidP="003D2FA8">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ind w:right="95"/>
        <w:rPr>
          <w:rFonts w:ascii="Arial" w:hAnsi="Arial" w:cs="Arial"/>
          <w:sz w:val="22"/>
          <w:szCs w:val="22"/>
        </w:rPr>
      </w:pPr>
      <w:r>
        <w:rPr>
          <w:rFonts w:ascii="Arial" w:hAnsi="Arial" w:cs="Arial"/>
          <w:sz w:val="22"/>
          <w:szCs w:val="22"/>
        </w:rPr>
        <w:t xml:space="preserve">Moreover, the lower dosage and shorter duration treatment course of tedizolid phosphate results in reduced antibiotic exposure which may results in less potential to induce antibiotic </w:t>
      </w:r>
      <w:r w:rsidRPr="00213D51">
        <w:rPr>
          <w:rFonts w:ascii="Arial" w:hAnsi="Arial" w:cs="Arial"/>
          <w:sz w:val="22"/>
          <w:szCs w:val="22"/>
        </w:rPr>
        <w:t>resistance compared to linezolid, an improved</w:t>
      </w:r>
      <w:r>
        <w:rPr>
          <w:rFonts w:ascii="Arial" w:hAnsi="Arial" w:cs="Arial"/>
          <w:sz w:val="22"/>
          <w:szCs w:val="22"/>
        </w:rPr>
        <w:t xml:space="preserve"> DDI, safety/tolerability profile and compliance with oral treatment.</w:t>
      </w:r>
    </w:p>
    <w:p w14:paraId="6F5FD0FF" w14:textId="1938D8D9" w:rsidR="00BE194A" w:rsidRPr="00F15A09" w:rsidRDefault="00BE194A" w:rsidP="00BE194A">
      <w:pPr>
        <w:rPr>
          <w:rFonts w:cs="Arial"/>
          <w:sz w:val="22"/>
          <w:szCs w:val="22"/>
        </w:rPr>
      </w:pPr>
      <w:r w:rsidRPr="00F15A09">
        <w:rPr>
          <w:rFonts w:cs="Arial"/>
          <w:sz w:val="22"/>
          <w:szCs w:val="22"/>
        </w:rPr>
        <w:t>The prodrug leads to enhanced solubility and bioavailability and is rapidly converted by in vivo systemic phosphatases to the bioactive antibiotic.  In addition, the phosphate moiety masks the hydroxymethyl group of tedizolid, thereby decreasing monoamine oxidase (MAO) inhibition. The enhanced potency relative to linezolid is due to additional ribosomal interactions provided by the pyridine (C-ring) and tetrazole (D ring) moieties.  Finally, the hydroxymethyl group attached to the oxazolidinone ring of tedizolid has a smaller footprint than the acetamide group of linezolid and therefore binding is not affected by chloramphenicol-florfenicol resistance gene (cfr) methylation, which leads to linezolid resistance (</w:t>
      </w:r>
      <w:r w:rsidR="00B95351">
        <w:rPr>
          <w:rFonts w:cs="Arial"/>
          <w:sz w:val="22"/>
          <w:szCs w:val="22"/>
        </w:rPr>
        <w:fldChar w:fldCharType="begin"/>
      </w:r>
      <w:r w:rsidR="00B95351">
        <w:rPr>
          <w:rFonts w:cs="Arial"/>
          <w:sz w:val="22"/>
          <w:szCs w:val="22"/>
        </w:rPr>
        <w:instrText xml:space="preserve"> REF _Ref284186904 \r \h </w:instrText>
      </w:r>
      <w:r w:rsidR="00B95351">
        <w:rPr>
          <w:rFonts w:cs="Arial"/>
          <w:sz w:val="22"/>
          <w:szCs w:val="22"/>
        </w:rPr>
      </w:r>
      <w:r w:rsidR="00B95351">
        <w:rPr>
          <w:rFonts w:cs="Arial"/>
          <w:sz w:val="22"/>
          <w:szCs w:val="22"/>
        </w:rPr>
        <w:fldChar w:fldCharType="separate"/>
      </w:r>
      <w:r w:rsidR="00151A1C">
        <w:rPr>
          <w:rFonts w:cs="Arial"/>
          <w:sz w:val="22"/>
          <w:szCs w:val="22"/>
        </w:rPr>
        <w:t>84</w:t>
      </w:r>
      <w:r w:rsidR="00B95351">
        <w:rPr>
          <w:rFonts w:cs="Arial"/>
          <w:sz w:val="22"/>
          <w:szCs w:val="22"/>
        </w:rPr>
        <w:fldChar w:fldCharType="end"/>
      </w:r>
      <w:r w:rsidRPr="00F15A09">
        <w:rPr>
          <w:rFonts w:cs="Arial"/>
          <w:sz w:val="22"/>
          <w:szCs w:val="22"/>
        </w:rPr>
        <w:t>). Such unique structural features results in clinically meaningful attributes allowing lower dosage (200mg) and shorter duration of treatment (6 days) associated to enhanced safety tolerability and ease of use of a once daily treatment</w:t>
      </w:r>
      <w:r w:rsidR="00F15A09" w:rsidRPr="00F15A09">
        <w:rPr>
          <w:rFonts w:cs="Arial"/>
          <w:sz w:val="22"/>
          <w:szCs w:val="22"/>
        </w:rPr>
        <w:t xml:space="preserve"> </w:t>
      </w:r>
      <w:r w:rsidRPr="00F15A09">
        <w:rPr>
          <w:rFonts w:cs="Arial"/>
          <w:sz w:val="22"/>
          <w:szCs w:val="22"/>
        </w:rPr>
        <w:t>(</w:t>
      </w:r>
      <w:r w:rsidR="00211BCD">
        <w:rPr>
          <w:rFonts w:cs="Arial"/>
          <w:sz w:val="22"/>
          <w:szCs w:val="22"/>
        </w:rPr>
        <w:fldChar w:fldCharType="begin"/>
      </w:r>
      <w:r w:rsidR="00211BCD">
        <w:rPr>
          <w:rFonts w:cs="Arial"/>
          <w:sz w:val="22"/>
          <w:szCs w:val="22"/>
        </w:rPr>
        <w:instrText xml:space="preserve"> REF _Ref284186927 \r \h </w:instrText>
      </w:r>
      <w:r w:rsidR="00211BCD">
        <w:rPr>
          <w:rFonts w:cs="Arial"/>
          <w:sz w:val="22"/>
          <w:szCs w:val="22"/>
        </w:rPr>
      </w:r>
      <w:r w:rsidR="00211BCD">
        <w:rPr>
          <w:rFonts w:cs="Arial"/>
          <w:sz w:val="22"/>
          <w:szCs w:val="22"/>
        </w:rPr>
        <w:fldChar w:fldCharType="separate"/>
      </w:r>
      <w:r w:rsidR="00151A1C">
        <w:rPr>
          <w:rFonts w:cs="Arial"/>
          <w:sz w:val="22"/>
          <w:szCs w:val="22"/>
        </w:rPr>
        <w:t>85</w:t>
      </w:r>
      <w:r w:rsidR="00211BCD">
        <w:rPr>
          <w:rFonts w:cs="Arial"/>
          <w:sz w:val="22"/>
          <w:szCs w:val="22"/>
        </w:rPr>
        <w:fldChar w:fldCharType="end"/>
      </w:r>
      <w:r w:rsidRPr="00F15A09">
        <w:rPr>
          <w:rFonts w:cs="Arial"/>
          <w:sz w:val="22"/>
          <w:szCs w:val="22"/>
        </w:rPr>
        <w:t xml:space="preserve">).  </w:t>
      </w:r>
    </w:p>
    <w:p w14:paraId="3A52A656" w14:textId="77777777" w:rsidR="00BE194A" w:rsidRDefault="00BE194A" w:rsidP="00F702ED">
      <w:pPr>
        <w:widowControl w:val="0"/>
        <w:autoSpaceDE w:val="0"/>
        <w:autoSpaceDN w:val="0"/>
        <w:adjustRightInd w:val="0"/>
        <w:rPr>
          <w:rFonts w:cs="Arial"/>
          <w:sz w:val="22"/>
          <w:szCs w:val="22"/>
        </w:rPr>
      </w:pPr>
    </w:p>
    <w:p w14:paraId="0FC40E28" w14:textId="500B020B" w:rsidR="00BE194A" w:rsidRPr="00F15A09" w:rsidRDefault="00F15A09" w:rsidP="00C35C1F">
      <w:pPr>
        <w:pStyle w:val="ListParagraph"/>
        <w:widowControl w:val="0"/>
        <w:numPr>
          <w:ilvl w:val="0"/>
          <w:numId w:val="69"/>
        </w:numPr>
        <w:autoSpaceDE w:val="0"/>
        <w:autoSpaceDN w:val="0"/>
        <w:adjustRightInd w:val="0"/>
        <w:rPr>
          <w:rFonts w:cs="Arial"/>
          <w:sz w:val="22"/>
          <w:szCs w:val="22"/>
        </w:rPr>
      </w:pPr>
      <w:r>
        <w:rPr>
          <w:rFonts w:cs="Arial"/>
          <w:b/>
          <w:sz w:val="22"/>
          <w:szCs w:val="22"/>
        </w:rPr>
        <w:lastRenderedPageBreak/>
        <w:t xml:space="preserve">Addressing concerns about compliance </w:t>
      </w:r>
    </w:p>
    <w:p w14:paraId="7D200273" w14:textId="77777777" w:rsidR="00F15A09" w:rsidRPr="00F15A09" w:rsidRDefault="00F15A09" w:rsidP="00F15A09">
      <w:pPr>
        <w:pStyle w:val="ListParagraph"/>
        <w:widowControl w:val="0"/>
        <w:autoSpaceDE w:val="0"/>
        <w:autoSpaceDN w:val="0"/>
        <w:adjustRightInd w:val="0"/>
        <w:ind w:left="360"/>
        <w:rPr>
          <w:rFonts w:cs="Arial"/>
          <w:sz w:val="22"/>
          <w:szCs w:val="22"/>
        </w:rPr>
      </w:pPr>
    </w:p>
    <w:p w14:paraId="35E1FFE4" w14:textId="7125F4CE" w:rsidR="00997F12" w:rsidRPr="00FE193F" w:rsidRDefault="00997F12" w:rsidP="00F702ED">
      <w:pPr>
        <w:widowControl w:val="0"/>
        <w:autoSpaceDE w:val="0"/>
        <w:autoSpaceDN w:val="0"/>
        <w:adjustRightInd w:val="0"/>
        <w:rPr>
          <w:rFonts w:cs="Arial"/>
          <w:sz w:val="22"/>
          <w:szCs w:val="22"/>
        </w:rPr>
      </w:pPr>
      <w:r w:rsidRPr="00FE193F">
        <w:rPr>
          <w:rFonts w:cs="Arial"/>
          <w:sz w:val="22"/>
          <w:szCs w:val="22"/>
        </w:rPr>
        <w:t xml:space="preserve">Finally, the shorter duration of treatment associated with tedizolid phosphate may help address concerns about compliance. </w:t>
      </w:r>
      <w:r w:rsidR="00FE193F" w:rsidRPr="00FE193F">
        <w:rPr>
          <w:rFonts w:cs="Arial"/>
          <w:sz w:val="22"/>
          <w:szCs w:val="22"/>
          <w:lang w:val="en-US" w:eastAsia="ja-JP"/>
        </w:rPr>
        <w:t>It is widely known that many patients worldwide underdose their antimicrobial medications by missing doses, taking doses at incorrect intervals, and/or by stopping therapy early (</w:t>
      </w:r>
      <w:r w:rsidR="00211BCD">
        <w:rPr>
          <w:rFonts w:cs="Arial"/>
          <w:sz w:val="22"/>
          <w:szCs w:val="22"/>
          <w:lang w:val="en-US" w:eastAsia="ja-JP"/>
        </w:rPr>
        <w:fldChar w:fldCharType="begin"/>
      </w:r>
      <w:r w:rsidR="00211BCD">
        <w:rPr>
          <w:rFonts w:cs="Arial"/>
          <w:sz w:val="22"/>
          <w:szCs w:val="22"/>
          <w:lang w:val="en-US" w:eastAsia="ja-JP"/>
        </w:rPr>
        <w:instrText xml:space="preserve"> REF _Ref284186948 \r \h </w:instrText>
      </w:r>
      <w:r w:rsidR="00211BCD">
        <w:rPr>
          <w:rFonts w:cs="Arial"/>
          <w:sz w:val="22"/>
          <w:szCs w:val="22"/>
          <w:lang w:val="en-US" w:eastAsia="ja-JP"/>
        </w:rPr>
      </w:r>
      <w:r w:rsidR="00211BCD">
        <w:rPr>
          <w:rFonts w:cs="Arial"/>
          <w:sz w:val="22"/>
          <w:szCs w:val="22"/>
          <w:lang w:val="en-US" w:eastAsia="ja-JP"/>
        </w:rPr>
        <w:fldChar w:fldCharType="separate"/>
      </w:r>
      <w:r w:rsidR="00151A1C">
        <w:rPr>
          <w:rFonts w:cs="Arial"/>
          <w:sz w:val="22"/>
          <w:szCs w:val="22"/>
          <w:lang w:val="en-US" w:eastAsia="ja-JP"/>
        </w:rPr>
        <w:t>86</w:t>
      </w:r>
      <w:r w:rsidR="00211BCD">
        <w:rPr>
          <w:rFonts w:cs="Arial"/>
          <w:sz w:val="22"/>
          <w:szCs w:val="22"/>
          <w:lang w:val="en-US" w:eastAsia="ja-JP"/>
        </w:rPr>
        <w:fldChar w:fldCharType="end"/>
      </w:r>
      <w:r w:rsidR="00FE193F" w:rsidRPr="00FE193F">
        <w:rPr>
          <w:rFonts w:cs="Arial"/>
          <w:sz w:val="22"/>
          <w:szCs w:val="22"/>
          <w:lang w:val="en-US" w:eastAsia="ja-JP"/>
        </w:rPr>
        <w:t xml:space="preserve">). A literature review was conducted by the manufacturer to understand the potential benefits of the simpler and shorter-duration dosing schedule of tedizolid phosphate (once daily for 6 days) compared with the dosing schedule of linezolid (twice daily </w:t>
      </w:r>
      <w:r w:rsidR="002A2810">
        <w:rPr>
          <w:rFonts w:cs="Arial"/>
          <w:sz w:val="22"/>
          <w:szCs w:val="22"/>
          <w:lang w:val="en-US" w:eastAsia="ja-JP"/>
        </w:rPr>
        <w:t>for 10-14 days</w:t>
      </w:r>
      <w:r w:rsidR="00FE193F" w:rsidRPr="00FE193F">
        <w:rPr>
          <w:rFonts w:cs="Arial"/>
          <w:sz w:val="22"/>
          <w:szCs w:val="22"/>
          <w:lang w:val="en-US" w:eastAsia="ja-JP"/>
        </w:rPr>
        <w:t>). From the evidence in this review, adults are more likely to take the correct number of doses of antibiotics per day, at appropriate time intervals, and for the prescribed duration when the regimen is simpler. Adherence is higher with a once-daily dosing regimen, where the duration of treatment is approximately 5 days or less, and when patients have laborat</w:t>
      </w:r>
      <w:r w:rsidR="00211BCD">
        <w:rPr>
          <w:rFonts w:cs="Arial"/>
          <w:sz w:val="22"/>
          <w:szCs w:val="22"/>
          <w:lang w:val="en-US" w:eastAsia="ja-JP"/>
        </w:rPr>
        <w:t>ory confirmation of the illness</w:t>
      </w:r>
      <w:r w:rsidR="00FE193F" w:rsidRPr="00C224C8">
        <w:rPr>
          <w:rFonts w:cs="Arial"/>
          <w:sz w:val="22"/>
          <w:szCs w:val="22"/>
          <w:lang w:val="en-US" w:eastAsia="ja-JP"/>
        </w:rPr>
        <w:t>. </w:t>
      </w:r>
    </w:p>
    <w:p w14:paraId="26B89A0F" w14:textId="77777777" w:rsidR="00CE691B" w:rsidRPr="008E4E92" w:rsidRDefault="00CE691B" w:rsidP="008E4E92">
      <w:pPr>
        <w:pStyle w:val="EndnoteText"/>
        <w:tabs>
          <w:tab w:val="num" w:pos="567"/>
        </w:tabs>
        <w:ind w:left="567" w:hanging="567"/>
        <w:jc w:val="both"/>
        <w:rPr>
          <w:rFonts w:ascii="Arial" w:hAnsi="Arial" w:cs="Arial"/>
          <w:szCs w:val="22"/>
        </w:rPr>
      </w:pPr>
    </w:p>
    <w:p w14:paraId="229099C7" w14:textId="77777777" w:rsidR="008E4E92" w:rsidRPr="00917DF6"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917DF6">
        <w:rPr>
          <w:rFonts w:ascii="Arial" w:hAnsi="Arial" w:cs="Arial"/>
          <w:b w:val="0"/>
          <w:i/>
          <w:color w:val="auto"/>
          <w:sz w:val="22"/>
          <w:szCs w:val="22"/>
        </w:rPr>
        <w:t xml:space="preserve">State if data on the clinical benefits and adverse effects with the medicine in the indication(s) under review relative to relevant comparator(s) were available from active-controlled studies. If these were, please omit questions (h) to (m), unless further analyses (e.g. a mixed treatment comparison) have been used in the economic model. </w:t>
      </w:r>
    </w:p>
    <w:p w14:paraId="206822F0" w14:textId="77777777" w:rsidR="008E4E92" w:rsidRDefault="008E4E92" w:rsidP="008E4E92">
      <w:pPr>
        <w:tabs>
          <w:tab w:val="num" w:pos="567"/>
        </w:tabs>
        <w:jc w:val="both"/>
        <w:rPr>
          <w:rFonts w:cs="Arial"/>
          <w:sz w:val="22"/>
          <w:szCs w:val="22"/>
        </w:rPr>
      </w:pPr>
    </w:p>
    <w:p w14:paraId="33819710" w14:textId="48F070D8" w:rsidR="00C56E47" w:rsidRPr="00BA685C" w:rsidRDefault="00C56E47" w:rsidP="000F28E9">
      <w:pPr>
        <w:pStyle w:val="Answer"/>
        <w:spacing w:line="240" w:lineRule="auto"/>
      </w:pPr>
      <w:r w:rsidRPr="00BA685C">
        <w:t xml:space="preserve">As described in section 3 and elsewhere in this NPAF, head-to-head comparative data on the efficacy and safety of tedizolid phosphate versus linezolid is available in the </w:t>
      </w:r>
      <w:r w:rsidR="000F28E9" w:rsidRPr="00BA685C">
        <w:t xml:space="preserve">active-controlled </w:t>
      </w:r>
      <w:r w:rsidRPr="00BA685C">
        <w:t>Phase 3 studies, ESTABLISH-1 and ESTABLISH-2.  It is anticipated that tedizolid phosphate would replace linezolid in the treatment of MRSA-caused ABSSSI in NHS Scotland, where considered appropriate on the advice of a microbiologist or specialist clinician.</w:t>
      </w:r>
    </w:p>
    <w:p w14:paraId="4A2C689C" w14:textId="688D7A5D" w:rsidR="00DD55E7" w:rsidRDefault="00C56E47" w:rsidP="00997F12">
      <w:pPr>
        <w:pStyle w:val="Answer"/>
        <w:spacing w:line="240" w:lineRule="auto"/>
      </w:pPr>
      <w:r w:rsidRPr="00BA685C">
        <w:t xml:space="preserve">However, as noted in section 5d) above, there are a </w:t>
      </w:r>
      <w:r w:rsidR="00250AD1" w:rsidRPr="00BA685C">
        <w:t xml:space="preserve">number </w:t>
      </w:r>
      <w:r w:rsidRPr="00BA685C">
        <w:t xml:space="preserve">of other antibiotics licensed to treat Gram-positive </w:t>
      </w:r>
      <w:r w:rsidR="00340304" w:rsidRPr="00BA685C">
        <w:t>cSSSIs/cSSTIs</w:t>
      </w:r>
      <w:r w:rsidRPr="00BA685C">
        <w:t xml:space="preserve">, three of which (daptomycin, ceftaroline and tigecycline) have been accepted for restricted use in NHS Scotland by the SMC. </w:t>
      </w:r>
      <w:r w:rsidR="00817466" w:rsidRPr="00BA685C">
        <w:t>Moreover, vancomycin is considered to be first-line agent of choice for infections proven or sus</w:t>
      </w:r>
      <w:r w:rsidR="00340304" w:rsidRPr="00BA685C">
        <w:t xml:space="preserve">pected to be caused by </w:t>
      </w:r>
      <w:r w:rsidR="00E008AA">
        <w:t>MRSA</w:t>
      </w:r>
      <w:r w:rsidR="00340304" w:rsidRPr="00BA685C">
        <w:t xml:space="preserve"> (</w:t>
      </w:r>
      <w:r w:rsidR="00211BCD">
        <w:fldChar w:fldCharType="begin"/>
      </w:r>
      <w:r w:rsidR="00211BCD">
        <w:instrText xml:space="preserve"> REF _Ref284168509 \r \h </w:instrText>
      </w:r>
      <w:r w:rsidR="00211BCD">
        <w:fldChar w:fldCharType="separate"/>
      </w:r>
      <w:r w:rsidR="00151A1C">
        <w:t>3</w:t>
      </w:r>
      <w:r w:rsidR="00211BCD">
        <w:fldChar w:fldCharType="end"/>
      </w:r>
      <w:r w:rsidR="00817466" w:rsidRPr="00BA685C">
        <w:t>). There are no head-to</w:t>
      </w:r>
      <w:r w:rsidR="00340304" w:rsidRPr="00BA685C">
        <w:t>-head studies comparing the efficacy and safety of tedizoli</w:t>
      </w:r>
      <w:r w:rsidR="00817466" w:rsidRPr="00BA685C">
        <w:t xml:space="preserve">d phosphate with any of these other active treatments. </w:t>
      </w:r>
    </w:p>
    <w:p w14:paraId="11F1A570" w14:textId="24ACD35B" w:rsidR="00B60D6A" w:rsidRPr="00C224C8" w:rsidRDefault="00340304" w:rsidP="00570945">
      <w:pPr>
        <w:pStyle w:val="Answer"/>
        <w:spacing w:line="240" w:lineRule="auto"/>
      </w:pPr>
      <w:r w:rsidRPr="00C224C8">
        <w:lastRenderedPageBreak/>
        <w:t xml:space="preserve">In the absence of head-to-head evidence, </w:t>
      </w:r>
      <w:r w:rsidR="00DD55E7" w:rsidRPr="00C224C8">
        <w:t xml:space="preserve">the manufacturer commissioned </w:t>
      </w:r>
      <w:r w:rsidRPr="00C224C8">
        <w:t>a systematic review (SR) and m</w:t>
      </w:r>
      <w:r w:rsidR="004E1FAA" w:rsidRPr="00C224C8">
        <w:t xml:space="preserve">ixed-treatment comparison (MTC, underpinned by a Network Meta-Analysis (NMA)) </w:t>
      </w:r>
      <w:r w:rsidR="00DD55E7" w:rsidRPr="00C224C8">
        <w:t>to</w:t>
      </w:r>
      <w:r w:rsidRPr="00C224C8">
        <w:t xml:space="preserve"> estimate the relative efficacy of tedizolid phosphate versus these other antibiotics in order to demonstrate therapeutic equivalence, as well </w:t>
      </w:r>
      <w:r w:rsidR="00EA7BDE" w:rsidRPr="00C224C8">
        <w:t>as to support the pharmacoeconom</w:t>
      </w:r>
      <w:r w:rsidRPr="00C224C8">
        <w:t>ic approach taken by the manufacturer (see section 6)</w:t>
      </w:r>
      <w:r w:rsidR="00917DF6" w:rsidRPr="00C224C8">
        <w:t>.</w:t>
      </w:r>
      <w:r w:rsidR="00570945">
        <w:t xml:space="preserve"> Further details of the SR and NMA are presented in Appendix D.</w:t>
      </w:r>
    </w:p>
    <w:p w14:paraId="56111B24" w14:textId="77777777" w:rsidR="008E4E92" w:rsidRPr="00C224C8" w:rsidRDefault="008E4E92" w:rsidP="00997F1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C224C8">
        <w:rPr>
          <w:rFonts w:ascii="Arial" w:hAnsi="Arial" w:cs="Arial"/>
          <w:b w:val="0"/>
          <w:i/>
          <w:color w:val="auto"/>
          <w:sz w:val="22"/>
          <w:szCs w:val="22"/>
        </w:rPr>
        <w:t xml:space="preserve">If results from indirect or mixed treatment comparisons have been used in the economic model to define clinical benefits and adverse effects to be expected in practice with the medicine and relevant comparator(s) in the indication(s) under review, please provide an overview and brief details of the presented analysis. </w:t>
      </w:r>
    </w:p>
    <w:p w14:paraId="1ECCE5DC" w14:textId="77777777" w:rsidR="00491671" w:rsidRPr="00C224C8" w:rsidRDefault="00491671" w:rsidP="00997F12">
      <w:pPr>
        <w:rPr>
          <w:sz w:val="22"/>
          <w:szCs w:val="22"/>
        </w:rPr>
      </w:pPr>
    </w:p>
    <w:p w14:paraId="6ADF121A" w14:textId="1855B0A7" w:rsidR="00917DF6" w:rsidRPr="00C224C8" w:rsidRDefault="00A7021C" w:rsidP="00997F12">
      <w:pPr>
        <w:pStyle w:val="List"/>
        <w:tabs>
          <w:tab w:val="left" w:pos="0"/>
        </w:tabs>
        <w:ind w:left="0" w:firstLine="0"/>
        <w:rPr>
          <w:rFonts w:cs="Arial"/>
          <w:sz w:val="22"/>
          <w:szCs w:val="22"/>
          <w:lang w:val="en-US"/>
        </w:rPr>
      </w:pPr>
      <w:r w:rsidRPr="00C224C8">
        <w:rPr>
          <w:rFonts w:cs="Arial"/>
          <w:sz w:val="22"/>
          <w:szCs w:val="22"/>
          <w:lang w:val="en-US"/>
        </w:rPr>
        <w:t xml:space="preserve">Not applicable. The economic evaluation presented in section 6 is based on the clinical data derived from the phase 3 head-to-head studies vs. linezolid. </w:t>
      </w:r>
    </w:p>
    <w:p w14:paraId="0AC64DC9" w14:textId="77777777" w:rsidR="00917DF6" w:rsidRPr="00C224C8" w:rsidRDefault="00917DF6" w:rsidP="00997F12">
      <w:pPr>
        <w:pStyle w:val="List"/>
        <w:tabs>
          <w:tab w:val="left" w:pos="0"/>
        </w:tabs>
        <w:ind w:left="0" w:firstLine="0"/>
        <w:rPr>
          <w:rFonts w:cs="Arial"/>
          <w:b/>
          <w:sz w:val="22"/>
          <w:szCs w:val="22"/>
          <w:lang w:val="en-US"/>
        </w:rPr>
      </w:pPr>
    </w:p>
    <w:p w14:paraId="5BD5E62F" w14:textId="77777777" w:rsidR="008E4E92" w:rsidRPr="00C224C8" w:rsidRDefault="008E4E92" w:rsidP="00997F1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C224C8">
        <w:rPr>
          <w:rFonts w:ascii="Arial" w:hAnsi="Arial" w:cs="Arial"/>
          <w:b w:val="0"/>
          <w:i/>
          <w:color w:val="auto"/>
          <w:sz w:val="22"/>
          <w:szCs w:val="22"/>
        </w:rPr>
        <w:t>Provide a diagram of the network and details of the data sources used in the indirect or mixed treatment comparison(s) to provide evidence of clinical benefits and adverse effects. Include an assessment of the quality of the data sources and specific reasons for excluding any additional studies.</w:t>
      </w:r>
    </w:p>
    <w:p w14:paraId="37EC91EF" w14:textId="77777777" w:rsidR="008E4E92" w:rsidRPr="00C224C8" w:rsidRDefault="008E4E92" w:rsidP="00997F12">
      <w:pPr>
        <w:tabs>
          <w:tab w:val="num" w:pos="567"/>
        </w:tabs>
        <w:ind w:left="567" w:hanging="567"/>
        <w:rPr>
          <w:rFonts w:cs="Arial"/>
          <w:sz w:val="22"/>
          <w:szCs w:val="22"/>
        </w:rPr>
      </w:pPr>
    </w:p>
    <w:p w14:paraId="2A66B682" w14:textId="3769C4D2" w:rsidR="00A7021C" w:rsidRPr="00C224C8" w:rsidRDefault="00A7021C" w:rsidP="00997F12">
      <w:pPr>
        <w:tabs>
          <w:tab w:val="num" w:pos="0"/>
        </w:tabs>
        <w:rPr>
          <w:rFonts w:cs="Arial"/>
          <w:sz w:val="22"/>
          <w:szCs w:val="22"/>
        </w:rPr>
      </w:pPr>
      <w:r w:rsidRPr="00C224C8">
        <w:rPr>
          <w:rFonts w:cs="Arial"/>
          <w:sz w:val="22"/>
          <w:szCs w:val="22"/>
        </w:rPr>
        <w:t xml:space="preserve">Not applicable. </w:t>
      </w:r>
    </w:p>
    <w:p w14:paraId="417469C6" w14:textId="77777777" w:rsidR="00A7021C" w:rsidRPr="00C224C8" w:rsidRDefault="00A7021C" w:rsidP="00997F12">
      <w:pPr>
        <w:tabs>
          <w:tab w:val="num" w:pos="0"/>
        </w:tabs>
        <w:rPr>
          <w:rFonts w:cs="Arial"/>
          <w:sz w:val="22"/>
          <w:szCs w:val="22"/>
        </w:rPr>
      </w:pPr>
    </w:p>
    <w:p w14:paraId="09A75724" w14:textId="77777777" w:rsidR="008E4E92" w:rsidRPr="0050763F" w:rsidRDefault="008E4E92" w:rsidP="008E4E92">
      <w:pPr>
        <w:pStyle w:val="Heading1"/>
        <w:keepLines w:val="0"/>
        <w:numPr>
          <w:ilvl w:val="1"/>
          <w:numId w:val="5"/>
        </w:numPr>
        <w:tabs>
          <w:tab w:val="num" w:pos="567"/>
        </w:tabs>
        <w:spacing w:before="0"/>
        <w:ind w:left="567" w:hanging="567"/>
        <w:jc w:val="both"/>
        <w:rPr>
          <w:rFonts w:ascii="Arial" w:hAnsi="Arial" w:cs="Arial"/>
          <w:b w:val="0"/>
          <w:i/>
          <w:color w:val="auto"/>
          <w:sz w:val="22"/>
          <w:szCs w:val="22"/>
        </w:rPr>
      </w:pPr>
      <w:r w:rsidRPr="0050763F">
        <w:rPr>
          <w:rFonts w:ascii="Arial" w:hAnsi="Arial" w:cs="Arial"/>
          <w:b w:val="0"/>
          <w:i/>
          <w:color w:val="auto"/>
          <w:sz w:val="22"/>
          <w:szCs w:val="22"/>
        </w:rPr>
        <w:t>Provide details of any relevant differences between the data sources providing evidence of clinical benefits and adverse effects with the medicine in the indication(s) under review and those providing evidence for indirect comparator(s). These would include, but not be limited to, differences in terms of (a) patient populations; (b) baseline severity of conditions; (c) interventions; (d) any additional treatments used; (e) outcomes measured; (f) methodology; (g) length of study; (h) results; and (i) study limitations.</w:t>
      </w:r>
    </w:p>
    <w:p w14:paraId="73C6C755" w14:textId="77777777" w:rsidR="008E4E92" w:rsidRPr="008472CC" w:rsidRDefault="008E4E92" w:rsidP="008E4E92">
      <w:pPr>
        <w:ind w:left="567"/>
        <w:jc w:val="both"/>
        <w:rPr>
          <w:rFonts w:cs="Arial"/>
          <w:sz w:val="22"/>
          <w:szCs w:val="22"/>
        </w:rPr>
      </w:pPr>
    </w:p>
    <w:p w14:paraId="637801C0" w14:textId="1C4A0B0F" w:rsidR="00A7021C" w:rsidRPr="00C224C8" w:rsidRDefault="00A7021C" w:rsidP="00C21816">
      <w:pPr>
        <w:pStyle w:val="Heading3"/>
        <w:keepLines w:val="0"/>
        <w:numPr>
          <w:ilvl w:val="2"/>
          <w:numId w:val="0"/>
        </w:numPr>
        <w:tabs>
          <w:tab w:val="num" w:pos="0"/>
        </w:tabs>
        <w:spacing w:before="0"/>
        <w:rPr>
          <w:rFonts w:ascii="Arial" w:hAnsi="Arial" w:cs="Arial"/>
          <w:b w:val="0"/>
          <w:color w:val="auto"/>
          <w:sz w:val="22"/>
          <w:szCs w:val="22"/>
        </w:rPr>
      </w:pPr>
      <w:r w:rsidRPr="00C224C8">
        <w:rPr>
          <w:rFonts w:ascii="Arial" w:hAnsi="Arial" w:cs="Arial"/>
          <w:b w:val="0"/>
          <w:color w:val="auto"/>
          <w:sz w:val="22"/>
          <w:szCs w:val="22"/>
        </w:rPr>
        <w:t xml:space="preserve">Not applicable. </w:t>
      </w:r>
    </w:p>
    <w:p w14:paraId="2561B5D3" w14:textId="77777777" w:rsidR="00770560" w:rsidRPr="00C224C8" w:rsidRDefault="00770560" w:rsidP="00C21816">
      <w:pPr>
        <w:jc w:val="both"/>
        <w:rPr>
          <w:rFonts w:cs="Arial"/>
          <w:sz w:val="22"/>
          <w:szCs w:val="22"/>
        </w:rPr>
      </w:pPr>
    </w:p>
    <w:p w14:paraId="2BD9FE1E" w14:textId="77777777" w:rsidR="008E4E92" w:rsidRPr="00C224C8" w:rsidRDefault="008E4E92" w:rsidP="008E4E92">
      <w:pPr>
        <w:ind w:left="567" w:hanging="567"/>
        <w:jc w:val="both"/>
        <w:rPr>
          <w:rFonts w:cs="Arial"/>
          <w:sz w:val="22"/>
          <w:szCs w:val="22"/>
        </w:rPr>
      </w:pPr>
      <w:r w:rsidRPr="00C224C8">
        <w:rPr>
          <w:rFonts w:cs="Arial"/>
          <w:sz w:val="22"/>
          <w:szCs w:val="22"/>
        </w:rPr>
        <w:t>l)</w:t>
      </w:r>
      <w:r w:rsidRPr="00C224C8">
        <w:rPr>
          <w:rFonts w:cs="Arial"/>
          <w:sz w:val="22"/>
          <w:szCs w:val="22"/>
        </w:rPr>
        <w:tab/>
      </w:r>
      <w:r w:rsidRPr="00C224C8">
        <w:rPr>
          <w:rFonts w:cs="Arial"/>
          <w:i/>
          <w:sz w:val="22"/>
          <w:szCs w:val="22"/>
        </w:rPr>
        <w:t xml:space="preserve">Provide results (hazard ratios and 95% confidence or credible intervals) and where appropriate include ranking of treatments, a measure of heterogeneity or sensitivity </w:t>
      </w:r>
      <w:r w:rsidRPr="00C224C8">
        <w:rPr>
          <w:rFonts w:cs="Arial"/>
          <w:i/>
          <w:sz w:val="22"/>
          <w:szCs w:val="22"/>
        </w:rPr>
        <w:lastRenderedPageBreak/>
        <w:t>analysis to account for heterogeneity, description of evidence consistency, use of random or fixed effects or other relevant information.</w:t>
      </w:r>
    </w:p>
    <w:p w14:paraId="64F690A6" w14:textId="77777777" w:rsidR="008E4E92" w:rsidRPr="00C224C8" w:rsidRDefault="008E4E92" w:rsidP="008E4E92">
      <w:pPr>
        <w:jc w:val="both"/>
        <w:rPr>
          <w:rFonts w:cs="Arial"/>
          <w:sz w:val="22"/>
          <w:szCs w:val="22"/>
        </w:rPr>
      </w:pPr>
    </w:p>
    <w:p w14:paraId="5F96FAEA" w14:textId="25C91BD6" w:rsidR="00A7021C" w:rsidRPr="00C224C8" w:rsidRDefault="00A7021C" w:rsidP="00C36D05">
      <w:pPr>
        <w:pStyle w:val="ReportText"/>
        <w:spacing w:line="240" w:lineRule="auto"/>
        <w:jc w:val="left"/>
        <w:rPr>
          <w:rFonts w:cs="Arial"/>
        </w:rPr>
      </w:pPr>
      <w:r w:rsidRPr="00C224C8">
        <w:rPr>
          <w:rFonts w:cs="Arial"/>
        </w:rPr>
        <w:t xml:space="preserve">Not applicable. </w:t>
      </w:r>
    </w:p>
    <w:p w14:paraId="52943590" w14:textId="77777777" w:rsidR="00A7021C" w:rsidRPr="00C224C8" w:rsidRDefault="00A7021C" w:rsidP="003B69E8">
      <w:pPr>
        <w:pStyle w:val="ReportText"/>
        <w:spacing w:line="240" w:lineRule="auto"/>
        <w:rPr>
          <w:rFonts w:cs="Arial"/>
          <w:szCs w:val="22"/>
        </w:rPr>
      </w:pPr>
    </w:p>
    <w:p w14:paraId="621822A5" w14:textId="77777777" w:rsidR="008E4E92" w:rsidRPr="00C224C8" w:rsidRDefault="008E4E92" w:rsidP="008E4E92">
      <w:pPr>
        <w:ind w:left="567" w:hanging="567"/>
        <w:jc w:val="both"/>
        <w:rPr>
          <w:rFonts w:cs="Arial"/>
          <w:sz w:val="22"/>
          <w:szCs w:val="22"/>
        </w:rPr>
      </w:pPr>
      <w:r w:rsidRPr="00C224C8">
        <w:rPr>
          <w:rFonts w:cs="Arial"/>
          <w:sz w:val="22"/>
          <w:szCs w:val="22"/>
        </w:rPr>
        <w:t xml:space="preserve">m)  </w:t>
      </w:r>
      <w:r w:rsidRPr="00C224C8">
        <w:rPr>
          <w:rFonts w:cs="Arial"/>
          <w:sz w:val="22"/>
          <w:szCs w:val="22"/>
        </w:rPr>
        <w:tab/>
      </w:r>
      <w:r w:rsidRPr="00C224C8">
        <w:rPr>
          <w:rFonts w:cs="Arial"/>
          <w:i/>
          <w:sz w:val="22"/>
          <w:szCs w:val="22"/>
        </w:rPr>
        <w:t>Provide a conclusion detailing any limitations in terms of the evidence synthesis or     extrapolation to the Scottish population.</w:t>
      </w:r>
    </w:p>
    <w:p w14:paraId="11AEE263" w14:textId="77777777" w:rsidR="00044F41" w:rsidRPr="00C224C8" w:rsidRDefault="008E4E92" w:rsidP="00044F41">
      <w:pPr>
        <w:rPr>
          <w:rFonts w:cs="Arial"/>
          <w:b/>
          <w:sz w:val="22"/>
          <w:szCs w:val="22"/>
        </w:rPr>
      </w:pPr>
      <w:r w:rsidRPr="00C224C8">
        <w:rPr>
          <w:rFonts w:cs="Arial"/>
          <w:b/>
          <w:sz w:val="22"/>
          <w:szCs w:val="22"/>
        </w:rPr>
        <w:tab/>
      </w:r>
    </w:p>
    <w:p w14:paraId="52F5F4D3" w14:textId="7CD5B33C" w:rsidR="008E4E92" w:rsidRPr="00C224C8" w:rsidRDefault="00BF1105" w:rsidP="00A12044">
      <w:pPr>
        <w:rPr>
          <w:rFonts w:eastAsia="Times New Roman"/>
          <w:sz w:val="22"/>
          <w:szCs w:val="22"/>
        </w:rPr>
      </w:pPr>
      <w:r w:rsidRPr="00C224C8">
        <w:rPr>
          <w:rFonts w:eastAsia="Times New Roman"/>
          <w:sz w:val="22"/>
          <w:szCs w:val="22"/>
        </w:rPr>
        <w:t xml:space="preserve">Not applicable. </w:t>
      </w:r>
    </w:p>
    <w:p w14:paraId="31904F4C" w14:textId="77777777" w:rsidR="008E4E92" w:rsidRPr="00FB0D23" w:rsidRDefault="008E4E92" w:rsidP="008E4E92">
      <w:pPr>
        <w:pBdr>
          <w:top w:val="single" w:sz="4" w:space="0" w:color="auto"/>
          <w:bottom w:val="single" w:sz="4" w:space="1" w:color="auto"/>
        </w:pBdr>
        <w:tabs>
          <w:tab w:val="left" w:pos="567"/>
        </w:tabs>
        <w:spacing w:line="360" w:lineRule="auto"/>
        <w:rPr>
          <w:rFonts w:cs="Arial"/>
          <w:b/>
          <w:sz w:val="28"/>
          <w:szCs w:val="28"/>
        </w:rPr>
      </w:pPr>
      <w:r w:rsidRPr="008E4E92">
        <w:rPr>
          <w:rFonts w:cs="Arial"/>
          <w:b/>
          <w:sz w:val="22"/>
          <w:szCs w:val="22"/>
        </w:rPr>
        <w:br w:type="page"/>
      </w:r>
      <w:r w:rsidRPr="00FB0D23">
        <w:rPr>
          <w:rFonts w:cs="Arial"/>
          <w:b/>
          <w:sz w:val="28"/>
          <w:szCs w:val="28"/>
        </w:rPr>
        <w:lastRenderedPageBreak/>
        <w:t>6.</w:t>
      </w:r>
      <w:r w:rsidRPr="00FB0D23">
        <w:rPr>
          <w:rFonts w:cs="Arial"/>
          <w:b/>
          <w:sz w:val="28"/>
          <w:szCs w:val="28"/>
        </w:rPr>
        <w:tab/>
      </w:r>
      <w:bookmarkStart w:id="194" w:name="Pharmaco_economic_Evaluation"/>
      <w:r w:rsidRPr="00FB0D23">
        <w:rPr>
          <w:rFonts w:cs="Arial"/>
          <w:b/>
          <w:sz w:val="28"/>
          <w:szCs w:val="28"/>
        </w:rPr>
        <w:t>Pharmaco-economic Evaluation</w:t>
      </w:r>
      <w:bookmarkEnd w:id="194"/>
    </w:p>
    <w:p w14:paraId="083EE596" w14:textId="77777777" w:rsidR="008E4E92" w:rsidRPr="008E4E92" w:rsidRDefault="008E4E92" w:rsidP="008E4E92">
      <w:pPr>
        <w:rPr>
          <w:rFonts w:cs="Arial"/>
          <w:sz w:val="22"/>
          <w:szCs w:val="22"/>
        </w:rPr>
      </w:pPr>
    </w:p>
    <w:p w14:paraId="6FFA7033" w14:textId="77777777" w:rsidR="008E4E92" w:rsidRPr="008E4E92" w:rsidRDefault="008E4E92" w:rsidP="008E4E92">
      <w:pPr>
        <w:jc w:val="both"/>
        <w:rPr>
          <w:rFonts w:cs="Arial"/>
          <w:sz w:val="22"/>
          <w:szCs w:val="22"/>
        </w:rPr>
      </w:pPr>
      <w:r w:rsidRPr="008E4E92">
        <w:rPr>
          <w:rFonts w:cs="Arial"/>
          <w:sz w:val="22"/>
          <w:szCs w:val="22"/>
        </w:rPr>
        <w:t xml:space="preserve">The economic evaluation supporting the submission can either be included below or attached as an appendix to the submission.  An appropriate economic evaluation is required for all full submissions and re-submissions, including those for medicines that will be used to treat ultra-orphan conditions. In addition, for medicines used to treat ultra-orphan conditions, please complete the summary table shown in appendix A. Please refer to the Checklist below, the Guidance to Manufacturers and the Supplement on medicines for end of life and very rare conditions for further details. </w:t>
      </w:r>
    </w:p>
    <w:p w14:paraId="75AF4405" w14:textId="77777777" w:rsidR="008E4E92" w:rsidRPr="008E4E92" w:rsidRDefault="008E4E92" w:rsidP="008E4E92">
      <w:pPr>
        <w:jc w:val="both"/>
        <w:rPr>
          <w:rFonts w:cs="Arial"/>
          <w:sz w:val="22"/>
          <w:szCs w:val="22"/>
        </w:rPr>
      </w:pPr>
    </w:p>
    <w:p w14:paraId="5FD15872" w14:textId="77777777" w:rsidR="008E4E92" w:rsidRPr="008E4E92" w:rsidRDefault="008E4E92" w:rsidP="008E4E92">
      <w:pPr>
        <w:jc w:val="both"/>
        <w:rPr>
          <w:rFonts w:cs="Arial"/>
          <w:sz w:val="22"/>
          <w:szCs w:val="22"/>
        </w:rPr>
      </w:pPr>
      <w:r w:rsidRPr="008E4E92">
        <w:rPr>
          <w:rFonts w:cs="Arial"/>
          <w:sz w:val="22"/>
          <w:szCs w:val="22"/>
        </w:rPr>
        <w:t>In this section you must complete the following checklist to show in which paragraph and / or page the following points have been addressed:</w:t>
      </w:r>
    </w:p>
    <w:p w14:paraId="7D3AE527" w14:textId="77777777" w:rsidR="008E4E92" w:rsidRPr="008E4E92" w:rsidRDefault="008E4E92" w:rsidP="008E4E92">
      <w:pPr>
        <w:jc w:val="both"/>
        <w:rPr>
          <w:rFonts w:cs="Arial"/>
          <w:sz w:val="22"/>
          <w:szCs w:val="22"/>
        </w:rPr>
      </w:pPr>
    </w:p>
    <w:tbl>
      <w:tblPr>
        <w:tblW w:w="8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6768"/>
        <w:gridCol w:w="1439"/>
      </w:tblGrid>
      <w:tr w:rsidR="0014347C" w:rsidRPr="002A1891" w14:paraId="4AB0A5D1" w14:textId="77777777" w:rsidTr="00BE69CC">
        <w:tc>
          <w:tcPr>
            <w:tcW w:w="7513" w:type="dxa"/>
            <w:gridSpan w:val="2"/>
            <w:vAlign w:val="center"/>
          </w:tcPr>
          <w:p w14:paraId="2FB7E4A1" w14:textId="77777777" w:rsidR="0014347C" w:rsidRPr="002A1891" w:rsidRDefault="0014347C" w:rsidP="00BE69CC">
            <w:pPr>
              <w:tabs>
                <w:tab w:val="left" w:pos="720"/>
              </w:tabs>
              <w:spacing w:before="60" w:after="60"/>
              <w:rPr>
                <w:rFonts w:cs="Arial"/>
                <w:b/>
                <w:bCs/>
                <w:szCs w:val="22"/>
              </w:rPr>
            </w:pPr>
            <w:r w:rsidRPr="002A1891">
              <w:rPr>
                <w:rFonts w:cs="Arial"/>
                <w:b/>
                <w:bCs/>
                <w:sz w:val="22"/>
                <w:szCs w:val="22"/>
              </w:rPr>
              <w:t>The design of the evaluation</w:t>
            </w:r>
          </w:p>
        </w:tc>
        <w:tc>
          <w:tcPr>
            <w:tcW w:w="1439" w:type="dxa"/>
          </w:tcPr>
          <w:p w14:paraId="3CCAC9E8" w14:textId="77777777" w:rsidR="0014347C" w:rsidRPr="002A1891" w:rsidRDefault="0014347C" w:rsidP="00BE69CC">
            <w:pPr>
              <w:tabs>
                <w:tab w:val="left" w:pos="720"/>
              </w:tabs>
              <w:spacing w:before="60" w:after="60"/>
              <w:rPr>
                <w:rFonts w:cs="Arial"/>
                <w:b/>
                <w:bCs/>
                <w:szCs w:val="22"/>
              </w:rPr>
            </w:pPr>
            <w:r w:rsidRPr="002A1891">
              <w:rPr>
                <w:rFonts w:cs="Arial"/>
                <w:b/>
                <w:bCs/>
                <w:sz w:val="22"/>
                <w:szCs w:val="22"/>
              </w:rPr>
              <w:t>Page no. in submission</w:t>
            </w:r>
          </w:p>
        </w:tc>
      </w:tr>
      <w:tr w:rsidR="0014347C" w:rsidRPr="002A1891" w14:paraId="762C1D28" w14:textId="77777777" w:rsidTr="00BE69CC">
        <w:tc>
          <w:tcPr>
            <w:tcW w:w="745" w:type="dxa"/>
          </w:tcPr>
          <w:p w14:paraId="75D62946" w14:textId="77777777" w:rsidR="0014347C" w:rsidRPr="002A1891" w:rsidRDefault="0014347C" w:rsidP="0014347C">
            <w:pPr>
              <w:numPr>
                <w:ilvl w:val="0"/>
                <w:numId w:val="7"/>
              </w:numPr>
              <w:tabs>
                <w:tab w:val="left" w:pos="720"/>
              </w:tabs>
              <w:spacing w:before="60" w:after="60"/>
              <w:ind w:left="0" w:firstLine="0"/>
              <w:jc w:val="center"/>
              <w:rPr>
                <w:rFonts w:cs="Arial"/>
                <w:szCs w:val="22"/>
              </w:rPr>
            </w:pPr>
            <w:bookmarkStart w:id="195" w:name="_Ref284168296"/>
          </w:p>
        </w:tc>
        <w:bookmarkEnd w:id="195"/>
        <w:tc>
          <w:tcPr>
            <w:tcW w:w="6768" w:type="dxa"/>
            <w:vAlign w:val="center"/>
          </w:tcPr>
          <w:p w14:paraId="33FA6747" w14:textId="77777777" w:rsidR="0014347C" w:rsidRPr="002A1891" w:rsidRDefault="0014347C" w:rsidP="00BE69CC">
            <w:pPr>
              <w:tabs>
                <w:tab w:val="left" w:pos="720"/>
              </w:tabs>
              <w:spacing w:before="60" w:after="60"/>
              <w:rPr>
                <w:rFonts w:cs="Arial"/>
                <w:szCs w:val="22"/>
              </w:rPr>
            </w:pPr>
            <w:r w:rsidRPr="002A1891">
              <w:rPr>
                <w:rFonts w:cs="Arial"/>
                <w:sz w:val="22"/>
                <w:szCs w:val="22"/>
              </w:rPr>
              <w:t>The alternatives compared are clearly described.</w:t>
            </w:r>
          </w:p>
        </w:tc>
        <w:tc>
          <w:tcPr>
            <w:tcW w:w="1439" w:type="dxa"/>
          </w:tcPr>
          <w:p w14:paraId="2858EA95" w14:textId="77777777" w:rsidR="0014347C" w:rsidRPr="002A1891" w:rsidRDefault="0014347C" w:rsidP="00BE69CC">
            <w:pPr>
              <w:tabs>
                <w:tab w:val="left" w:pos="720"/>
              </w:tabs>
              <w:spacing w:before="60" w:after="60"/>
              <w:jc w:val="center"/>
              <w:rPr>
                <w:rFonts w:cs="Arial"/>
                <w:szCs w:val="22"/>
              </w:rPr>
            </w:pPr>
            <w:r>
              <w:rPr>
                <w:rFonts w:cs="Arial"/>
                <w:sz w:val="22"/>
                <w:szCs w:val="22"/>
              </w:rPr>
              <w:t>6.3.4, 6.3.5</w:t>
            </w:r>
          </w:p>
        </w:tc>
      </w:tr>
      <w:tr w:rsidR="0014347C" w:rsidRPr="002A1891" w14:paraId="0B478071" w14:textId="77777777" w:rsidTr="00BE69CC">
        <w:tc>
          <w:tcPr>
            <w:tcW w:w="745" w:type="dxa"/>
          </w:tcPr>
          <w:p w14:paraId="15678F3B"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40EE7C1C" w14:textId="77777777" w:rsidR="0014347C" w:rsidRPr="002A1891" w:rsidRDefault="0014347C" w:rsidP="00BE69CC">
            <w:pPr>
              <w:tabs>
                <w:tab w:val="left" w:pos="720"/>
              </w:tabs>
              <w:spacing w:before="60" w:after="60"/>
              <w:rPr>
                <w:rFonts w:cs="Arial"/>
                <w:szCs w:val="22"/>
              </w:rPr>
            </w:pPr>
            <w:r w:rsidRPr="002A1891">
              <w:rPr>
                <w:rFonts w:cs="Arial"/>
                <w:sz w:val="22"/>
                <w:szCs w:val="22"/>
              </w:rPr>
              <w:t>The rationale for choosing the alternative programmes or interventions compared is stated.</w:t>
            </w:r>
          </w:p>
        </w:tc>
        <w:tc>
          <w:tcPr>
            <w:tcW w:w="1439" w:type="dxa"/>
          </w:tcPr>
          <w:p w14:paraId="181C286C" w14:textId="77777777" w:rsidR="0014347C" w:rsidRPr="002A1891" w:rsidRDefault="0014347C" w:rsidP="00BE69CC">
            <w:pPr>
              <w:tabs>
                <w:tab w:val="left" w:pos="720"/>
              </w:tabs>
              <w:spacing w:before="60" w:after="60"/>
              <w:jc w:val="center"/>
              <w:rPr>
                <w:rFonts w:cs="Arial"/>
                <w:szCs w:val="22"/>
              </w:rPr>
            </w:pPr>
            <w:r>
              <w:rPr>
                <w:rFonts w:cs="Arial"/>
                <w:sz w:val="22"/>
                <w:szCs w:val="22"/>
              </w:rPr>
              <w:t>6.3.4, 6.3.5</w:t>
            </w:r>
          </w:p>
        </w:tc>
      </w:tr>
      <w:tr w:rsidR="0014347C" w:rsidRPr="002A1891" w14:paraId="5585A04B" w14:textId="77777777" w:rsidTr="00BE69CC">
        <w:tc>
          <w:tcPr>
            <w:tcW w:w="745" w:type="dxa"/>
          </w:tcPr>
          <w:p w14:paraId="51173449"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023DA812" w14:textId="77777777" w:rsidR="0014347C" w:rsidRPr="002A1891" w:rsidRDefault="0014347C" w:rsidP="00BE69CC">
            <w:pPr>
              <w:tabs>
                <w:tab w:val="left" w:pos="720"/>
              </w:tabs>
              <w:spacing w:before="60" w:after="60"/>
              <w:rPr>
                <w:rFonts w:cs="Arial"/>
                <w:szCs w:val="22"/>
              </w:rPr>
            </w:pPr>
            <w:r w:rsidRPr="002A1891">
              <w:rPr>
                <w:rFonts w:cs="Arial"/>
                <w:sz w:val="22"/>
                <w:szCs w:val="22"/>
              </w:rPr>
              <w:t>The patient group(s) considered in the economic evaluation is (are) clearly stated and justified.</w:t>
            </w:r>
          </w:p>
        </w:tc>
        <w:tc>
          <w:tcPr>
            <w:tcW w:w="1439" w:type="dxa"/>
          </w:tcPr>
          <w:p w14:paraId="12655BF6" w14:textId="77777777" w:rsidR="0014347C" w:rsidRPr="002A1891" w:rsidRDefault="0014347C" w:rsidP="00BE69CC">
            <w:pPr>
              <w:tabs>
                <w:tab w:val="left" w:pos="720"/>
              </w:tabs>
              <w:spacing w:before="60" w:after="60"/>
              <w:jc w:val="center"/>
              <w:rPr>
                <w:rFonts w:cs="Arial"/>
                <w:szCs w:val="22"/>
              </w:rPr>
            </w:pPr>
            <w:r>
              <w:rPr>
                <w:rFonts w:cs="Arial"/>
                <w:sz w:val="22"/>
                <w:szCs w:val="22"/>
              </w:rPr>
              <w:t>6.3.3</w:t>
            </w:r>
          </w:p>
        </w:tc>
      </w:tr>
      <w:tr w:rsidR="0014347C" w:rsidRPr="002A1891" w14:paraId="79050781" w14:textId="77777777" w:rsidTr="00BE69CC">
        <w:tc>
          <w:tcPr>
            <w:tcW w:w="745" w:type="dxa"/>
          </w:tcPr>
          <w:p w14:paraId="0263495F"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3602791C" w14:textId="77777777" w:rsidR="0014347C" w:rsidRPr="002A1891" w:rsidRDefault="0014347C" w:rsidP="00BE69CC">
            <w:pPr>
              <w:tabs>
                <w:tab w:val="left" w:pos="720"/>
              </w:tabs>
              <w:spacing w:before="60" w:after="60"/>
              <w:rPr>
                <w:rFonts w:cs="Arial"/>
                <w:szCs w:val="22"/>
              </w:rPr>
            </w:pPr>
            <w:r w:rsidRPr="002A1891">
              <w:rPr>
                <w:rFonts w:cs="Arial"/>
                <w:sz w:val="22"/>
                <w:szCs w:val="22"/>
              </w:rPr>
              <w:t>The viewpoint of the analysis is clearly stated and justified.</w:t>
            </w:r>
          </w:p>
        </w:tc>
        <w:tc>
          <w:tcPr>
            <w:tcW w:w="1439" w:type="dxa"/>
          </w:tcPr>
          <w:p w14:paraId="17ECF879" w14:textId="77777777" w:rsidR="0014347C" w:rsidRPr="002A1891" w:rsidRDefault="0014347C" w:rsidP="00BE69CC">
            <w:pPr>
              <w:tabs>
                <w:tab w:val="left" w:pos="720"/>
              </w:tabs>
              <w:spacing w:before="60" w:after="60"/>
              <w:jc w:val="center"/>
              <w:rPr>
                <w:rFonts w:cs="Arial"/>
                <w:szCs w:val="22"/>
              </w:rPr>
            </w:pPr>
            <w:r>
              <w:rPr>
                <w:rFonts w:cs="Arial"/>
                <w:sz w:val="22"/>
                <w:szCs w:val="22"/>
              </w:rPr>
              <w:t>6.3.7</w:t>
            </w:r>
          </w:p>
        </w:tc>
      </w:tr>
      <w:tr w:rsidR="0014347C" w:rsidRPr="002A1891" w14:paraId="15736783" w14:textId="77777777" w:rsidTr="00BE69CC">
        <w:tc>
          <w:tcPr>
            <w:tcW w:w="745" w:type="dxa"/>
          </w:tcPr>
          <w:p w14:paraId="50FDDFFD"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3686DE21" w14:textId="77777777" w:rsidR="0014347C" w:rsidRPr="002A1891" w:rsidRDefault="0014347C" w:rsidP="00BE69CC">
            <w:pPr>
              <w:tabs>
                <w:tab w:val="left" w:pos="720"/>
              </w:tabs>
              <w:spacing w:before="60" w:after="60"/>
              <w:rPr>
                <w:rFonts w:cs="Arial"/>
                <w:szCs w:val="22"/>
              </w:rPr>
            </w:pPr>
            <w:r w:rsidRPr="002A1891">
              <w:rPr>
                <w:rFonts w:cs="Arial"/>
                <w:sz w:val="22"/>
                <w:szCs w:val="22"/>
              </w:rPr>
              <w:t>The time horizon over which costs and benefits were calculated is stated and justified.</w:t>
            </w:r>
          </w:p>
        </w:tc>
        <w:tc>
          <w:tcPr>
            <w:tcW w:w="1439" w:type="dxa"/>
          </w:tcPr>
          <w:p w14:paraId="6F045D12" w14:textId="77777777" w:rsidR="0014347C" w:rsidRPr="002A1891" w:rsidRDefault="0014347C" w:rsidP="00BE69CC">
            <w:pPr>
              <w:tabs>
                <w:tab w:val="left" w:pos="720"/>
              </w:tabs>
              <w:spacing w:before="60" w:after="60"/>
              <w:jc w:val="center"/>
              <w:rPr>
                <w:rFonts w:cs="Arial"/>
                <w:szCs w:val="22"/>
              </w:rPr>
            </w:pPr>
            <w:r>
              <w:rPr>
                <w:rFonts w:cs="Arial"/>
                <w:sz w:val="22"/>
                <w:szCs w:val="22"/>
              </w:rPr>
              <w:t>6.3.6</w:t>
            </w:r>
          </w:p>
        </w:tc>
      </w:tr>
      <w:tr w:rsidR="0014347C" w:rsidRPr="002A1891" w14:paraId="46CEF164" w14:textId="77777777" w:rsidTr="00BE69CC">
        <w:tc>
          <w:tcPr>
            <w:tcW w:w="745" w:type="dxa"/>
          </w:tcPr>
          <w:p w14:paraId="0756DCB1" w14:textId="77777777" w:rsidR="0014347C" w:rsidRPr="002A1891" w:rsidRDefault="0014347C" w:rsidP="0014347C">
            <w:pPr>
              <w:pStyle w:val="Corpsdetextemarge"/>
              <w:numPr>
                <w:ilvl w:val="0"/>
                <w:numId w:val="7"/>
              </w:numPr>
              <w:tabs>
                <w:tab w:val="left" w:pos="720"/>
              </w:tabs>
              <w:spacing w:before="60" w:after="60"/>
              <w:ind w:left="0" w:firstLine="0"/>
              <w:jc w:val="center"/>
              <w:rPr>
                <w:rFonts w:ascii="Arial" w:hAnsi="Arial" w:cs="Arial"/>
                <w:sz w:val="22"/>
                <w:szCs w:val="22"/>
                <w:lang w:val="en-GB"/>
              </w:rPr>
            </w:pPr>
          </w:p>
        </w:tc>
        <w:tc>
          <w:tcPr>
            <w:tcW w:w="6768" w:type="dxa"/>
            <w:vAlign w:val="center"/>
          </w:tcPr>
          <w:p w14:paraId="2A5D2C72" w14:textId="77777777" w:rsidR="0014347C" w:rsidRPr="002A1891" w:rsidRDefault="0014347C" w:rsidP="00BE69CC">
            <w:pPr>
              <w:pStyle w:val="Corpsdetextemarge"/>
              <w:tabs>
                <w:tab w:val="left" w:pos="720"/>
              </w:tabs>
              <w:spacing w:before="60" w:after="60"/>
              <w:jc w:val="left"/>
              <w:rPr>
                <w:rFonts w:ascii="Arial" w:hAnsi="Arial" w:cs="Arial"/>
                <w:sz w:val="22"/>
                <w:szCs w:val="22"/>
                <w:lang w:val="en-GB"/>
              </w:rPr>
            </w:pPr>
            <w:r w:rsidRPr="002A1891">
              <w:rPr>
                <w:rFonts w:ascii="Arial" w:hAnsi="Arial" w:cs="Arial"/>
                <w:sz w:val="22"/>
                <w:szCs w:val="22"/>
                <w:lang w:val="en-GB"/>
              </w:rPr>
              <w:t>The primary outcome measure(s) for the economic evaluation is clearly stated and justified.</w:t>
            </w:r>
          </w:p>
        </w:tc>
        <w:tc>
          <w:tcPr>
            <w:tcW w:w="1439" w:type="dxa"/>
          </w:tcPr>
          <w:p w14:paraId="537EE974" w14:textId="77777777" w:rsidR="0014347C" w:rsidRPr="002A1891" w:rsidRDefault="0014347C" w:rsidP="00BE69CC">
            <w:pPr>
              <w:pStyle w:val="Corpsdetextemarge"/>
              <w:tabs>
                <w:tab w:val="left" w:pos="720"/>
              </w:tabs>
              <w:spacing w:before="60" w:after="60"/>
              <w:jc w:val="center"/>
              <w:rPr>
                <w:rFonts w:ascii="Arial" w:hAnsi="Arial" w:cs="Arial"/>
                <w:sz w:val="22"/>
                <w:szCs w:val="22"/>
                <w:lang w:val="en-GB"/>
              </w:rPr>
            </w:pPr>
            <w:r>
              <w:rPr>
                <w:rFonts w:ascii="Arial" w:hAnsi="Arial" w:cs="Arial"/>
                <w:sz w:val="22"/>
                <w:szCs w:val="22"/>
                <w:lang w:val="en-GB"/>
              </w:rPr>
              <w:t>6.3.1</w:t>
            </w:r>
          </w:p>
        </w:tc>
      </w:tr>
      <w:tr w:rsidR="0014347C" w:rsidRPr="002A1891" w14:paraId="7C37366C" w14:textId="77777777" w:rsidTr="00BE69CC">
        <w:tc>
          <w:tcPr>
            <w:tcW w:w="745" w:type="dxa"/>
          </w:tcPr>
          <w:p w14:paraId="0C0F5289" w14:textId="77777777" w:rsidR="0014347C" w:rsidRPr="002A1891" w:rsidRDefault="0014347C" w:rsidP="0014347C">
            <w:pPr>
              <w:pStyle w:val="Corpsdetextemarge"/>
              <w:numPr>
                <w:ilvl w:val="0"/>
                <w:numId w:val="7"/>
              </w:numPr>
              <w:tabs>
                <w:tab w:val="left" w:pos="720"/>
              </w:tabs>
              <w:spacing w:before="60" w:after="60"/>
              <w:ind w:left="0" w:firstLine="0"/>
              <w:jc w:val="center"/>
              <w:rPr>
                <w:rFonts w:ascii="Arial" w:hAnsi="Arial" w:cs="Arial"/>
                <w:sz w:val="22"/>
                <w:szCs w:val="22"/>
                <w:lang w:val="en-GB"/>
              </w:rPr>
            </w:pPr>
          </w:p>
        </w:tc>
        <w:tc>
          <w:tcPr>
            <w:tcW w:w="6768" w:type="dxa"/>
            <w:vAlign w:val="center"/>
          </w:tcPr>
          <w:p w14:paraId="42DE1701" w14:textId="77777777" w:rsidR="0014347C" w:rsidRPr="002A1891" w:rsidRDefault="0014347C" w:rsidP="00BE69CC">
            <w:pPr>
              <w:pStyle w:val="Corpsdetextemarge"/>
              <w:tabs>
                <w:tab w:val="left" w:pos="720"/>
              </w:tabs>
              <w:spacing w:before="60" w:after="60"/>
              <w:jc w:val="left"/>
              <w:rPr>
                <w:rFonts w:ascii="Arial" w:hAnsi="Arial" w:cs="Arial"/>
                <w:sz w:val="22"/>
                <w:szCs w:val="22"/>
                <w:lang w:val="en-GB"/>
              </w:rPr>
            </w:pPr>
            <w:r w:rsidRPr="002A1891">
              <w:rPr>
                <w:rFonts w:ascii="Arial" w:hAnsi="Arial" w:cs="Arial"/>
                <w:sz w:val="22"/>
                <w:szCs w:val="22"/>
                <w:lang w:val="en-GB"/>
              </w:rPr>
              <w:t>Evidence is provided linking proxy or disease-specific outcomes to final health outcomes.</w:t>
            </w:r>
          </w:p>
        </w:tc>
        <w:tc>
          <w:tcPr>
            <w:tcW w:w="1439" w:type="dxa"/>
          </w:tcPr>
          <w:p w14:paraId="5D2554E8" w14:textId="77777777" w:rsidR="0014347C" w:rsidRPr="002A1891" w:rsidRDefault="0014347C" w:rsidP="00BE69CC">
            <w:pPr>
              <w:pStyle w:val="Corpsdetextemarge"/>
              <w:tabs>
                <w:tab w:val="left" w:pos="720"/>
              </w:tabs>
              <w:spacing w:before="60" w:after="60"/>
              <w:jc w:val="center"/>
              <w:rPr>
                <w:rFonts w:ascii="Arial" w:hAnsi="Arial" w:cs="Arial"/>
                <w:sz w:val="22"/>
                <w:szCs w:val="22"/>
                <w:lang w:val="en-GB"/>
              </w:rPr>
            </w:pPr>
            <w:r w:rsidRPr="002A1891">
              <w:rPr>
                <w:rFonts w:ascii="Arial" w:hAnsi="Arial" w:cs="Arial"/>
                <w:sz w:val="22"/>
                <w:szCs w:val="22"/>
                <w:lang w:val="en-GB"/>
              </w:rPr>
              <w:t>Not applicable</w:t>
            </w:r>
          </w:p>
        </w:tc>
      </w:tr>
      <w:tr w:rsidR="0014347C" w:rsidRPr="002A1891" w14:paraId="6741E519" w14:textId="77777777" w:rsidTr="00BE69CC">
        <w:tc>
          <w:tcPr>
            <w:tcW w:w="7513" w:type="dxa"/>
            <w:gridSpan w:val="2"/>
            <w:vAlign w:val="center"/>
          </w:tcPr>
          <w:p w14:paraId="6D2FCDE2" w14:textId="77777777" w:rsidR="0014347C" w:rsidRPr="002A1891" w:rsidRDefault="0014347C" w:rsidP="00BE69CC">
            <w:pPr>
              <w:tabs>
                <w:tab w:val="left" w:pos="720"/>
              </w:tabs>
              <w:spacing w:before="60" w:after="60"/>
              <w:rPr>
                <w:rFonts w:cs="Arial"/>
                <w:szCs w:val="22"/>
              </w:rPr>
            </w:pPr>
            <w:r w:rsidRPr="002A1891">
              <w:rPr>
                <w:rFonts w:cs="Arial"/>
                <w:b/>
                <w:bCs/>
                <w:sz w:val="22"/>
                <w:szCs w:val="22"/>
              </w:rPr>
              <w:t>Data collection</w:t>
            </w:r>
          </w:p>
        </w:tc>
        <w:tc>
          <w:tcPr>
            <w:tcW w:w="1439" w:type="dxa"/>
          </w:tcPr>
          <w:p w14:paraId="5DFA52A8" w14:textId="77777777" w:rsidR="0014347C" w:rsidRPr="002A1891" w:rsidRDefault="0014347C" w:rsidP="00BE69CC">
            <w:pPr>
              <w:tabs>
                <w:tab w:val="left" w:pos="720"/>
              </w:tabs>
              <w:spacing w:before="60" w:after="60"/>
              <w:jc w:val="center"/>
              <w:rPr>
                <w:rFonts w:cs="Arial"/>
                <w:szCs w:val="22"/>
              </w:rPr>
            </w:pPr>
          </w:p>
        </w:tc>
      </w:tr>
      <w:tr w:rsidR="0014347C" w:rsidRPr="002A1891" w14:paraId="591CB389" w14:textId="77777777" w:rsidTr="00BE69CC">
        <w:tc>
          <w:tcPr>
            <w:tcW w:w="745" w:type="dxa"/>
          </w:tcPr>
          <w:p w14:paraId="65FEE9C3"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7F5ADD70" w14:textId="77777777" w:rsidR="0014347C" w:rsidRPr="002A1891" w:rsidRDefault="0014347C" w:rsidP="00BE69CC">
            <w:pPr>
              <w:tabs>
                <w:tab w:val="left" w:pos="720"/>
              </w:tabs>
              <w:spacing w:before="60" w:after="60"/>
              <w:rPr>
                <w:rFonts w:cs="Arial"/>
                <w:szCs w:val="22"/>
              </w:rPr>
            </w:pPr>
            <w:r w:rsidRPr="002A1891">
              <w:rPr>
                <w:rFonts w:cs="Arial"/>
                <w:sz w:val="22"/>
                <w:szCs w:val="22"/>
              </w:rPr>
              <w:t>The source(s) of effectiveness estimates used is (are) stated and cross-referenced to the clinical section of the submission.</w:t>
            </w:r>
          </w:p>
        </w:tc>
        <w:tc>
          <w:tcPr>
            <w:tcW w:w="1439" w:type="dxa"/>
          </w:tcPr>
          <w:p w14:paraId="5BEE1EB4" w14:textId="77777777" w:rsidR="0014347C" w:rsidRPr="002A1891" w:rsidRDefault="0014347C" w:rsidP="00BE69CC">
            <w:pPr>
              <w:tabs>
                <w:tab w:val="left" w:pos="720"/>
              </w:tabs>
              <w:spacing w:before="60" w:after="60"/>
              <w:jc w:val="center"/>
              <w:rPr>
                <w:rFonts w:cs="Arial"/>
                <w:szCs w:val="22"/>
              </w:rPr>
            </w:pPr>
            <w:r>
              <w:rPr>
                <w:rFonts w:cs="Arial"/>
                <w:sz w:val="22"/>
                <w:szCs w:val="22"/>
              </w:rPr>
              <w:t>6.3.2, 6.4.1</w:t>
            </w:r>
          </w:p>
        </w:tc>
      </w:tr>
      <w:tr w:rsidR="0014347C" w:rsidRPr="002A1891" w14:paraId="446E54D2" w14:textId="77777777" w:rsidTr="00BE69CC">
        <w:tc>
          <w:tcPr>
            <w:tcW w:w="745" w:type="dxa"/>
          </w:tcPr>
          <w:p w14:paraId="3D2067EF"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1F401B83" w14:textId="77777777" w:rsidR="0014347C" w:rsidRPr="002A1891" w:rsidRDefault="0014347C" w:rsidP="00BE69CC">
            <w:pPr>
              <w:tabs>
                <w:tab w:val="left" w:pos="720"/>
              </w:tabs>
              <w:spacing w:before="60" w:after="60"/>
              <w:rPr>
                <w:rFonts w:cs="Arial"/>
                <w:szCs w:val="22"/>
              </w:rPr>
            </w:pPr>
            <w:r w:rsidRPr="002A1891">
              <w:rPr>
                <w:rFonts w:cs="Arial"/>
                <w:sz w:val="22"/>
                <w:szCs w:val="22"/>
              </w:rPr>
              <w:t>Methods to value health states and other benefits are stated and details of the subjects from whom valuations were obtained are given.</w:t>
            </w:r>
          </w:p>
        </w:tc>
        <w:tc>
          <w:tcPr>
            <w:tcW w:w="1439" w:type="dxa"/>
          </w:tcPr>
          <w:p w14:paraId="796C2257" w14:textId="77777777" w:rsidR="0014347C" w:rsidRPr="002A1891" w:rsidRDefault="0014347C" w:rsidP="00BE69CC">
            <w:pPr>
              <w:tabs>
                <w:tab w:val="left" w:pos="720"/>
              </w:tabs>
              <w:spacing w:before="60" w:after="60"/>
              <w:jc w:val="center"/>
              <w:rPr>
                <w:rFonts w:cs="Arial"/>
                <w:szCs w:val="22"/>
              </w:rPr>
            </w:pPr>
            <w:r w:rsidRPr="002A1891">
              <w:rPr>
                <w:rFonts w:cs="Arial"/>
                <w:sz w:val="22"/>
                <w:szCs w:val="22"/>
              </w:rPr>
              <w:t>Not applicable</w:t>
            </w:r>
          </w:p>
        </w:tc>
      </w:tr>
      <w:tr w:rsidR="0014347C" w:rsidRPr="002A1891" w14:paraId="07A0222D" w14:textId="77777777" w:rsidTr="00BE69CC">
        <w:tc>
          <w:tcPr>
            <w:tcW w:w="745" w:type="dxa"/>
          </w:tcPr>
          <w:p w14:paraId="57B8E7CF"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6BA1E323" w14:textId="77777777" w:rsidR="0014347C" w:rsidRPr="002A1891" w:rsidRDefault="0014347C" w:rsidP="00BE69CC">
            <w:pPr>
              <w:tabs>
                <w:tab w:val="left" w:pos="720"/>
              </w:tabs>
              <w:spacing w:before="60" w:after="60"/>
              <w:rPr>
                <w:rFonts w:cs="Arial"/>
                <w:szCs w:val="22"/>
              </w:rPr>
            </w:pPr>
            <w:r w:rsidRPr="002A1891">
              <w:rPr>
                <w:rFonts w:cs="Arial"/>
                <w:sz w:val="22"/>
                <w:szCs w:val="22"/>
              </w:rPr>
              <w:t>Quantities of resources are reported separately from their unit costs.</w:t>
            </w:r>
          </w:p>
        </w:tc>
        <w:tc>
          <w:tcPr>
            <w:tcW w:w="1439" w:type="dxa"/>
          </w:tcPr>
          <w:p w14:paraId="3C93A7FB" w14:textId="0AD271EB" w:rsidR="0014347C" w:rsidRPr="002A1891" w:rsidRDefault="00DD7EE4" w:rsidP="00BE69CC">
            <w:pPr>
              <w:tabs>
                <w:tab w:val="left" w:pos="720"/>
              </w:tabs>
              <w:spacing w:before="60" w:after="60"/>
              <w:jc w:val="center"/>
              <w:rPr>
                <w:rFonts w:cs="Arial"/>
                <w:szCs w:val="22"/>
              </w:rPr>
            </w:pPr>
            <w:r>
              <w:rPr>
                <w:rFonts w:cs="Arial"/>
                <w:sz w:val="22"/>
                <w:szCs w:val="22"/>
              </w:rPr>
              <w:t>6</w:t>
            </w:r>
            <w:r w:rsidR="00E45F00">
              <w:rPr>
                <w:rFonts w:cs="Arial"/>
                <w:sz w:val="22"/>
                <w:szCs w:val="22"/>
              </w:rPr>
              <w:t>.4.2.2, 6.5, 6.6</w:t>
            </w:r>
            <w:r>
              <w:rPr>
                <w:rFonts w:cs="Arial"/>
                <w:sz w:val="22"/>
                <w:szCs w:val="22"/>
              </w:rPr>
              <w:t>.3</w:t>
            </w:r>
          </w:p>
        </w:tc>
      </w:tr>
      <w:tr w:rsidR="0014347C" w:rsidRPr="002A1891" w14:paraId="28C22E56" w14:textId="77777777" w:rsidTr="00BE69CC">
        <w:tc>
          <w:tcPr>
            <w:tcW w:w="745" w:type="dxa"/>
          </w:tcPr>
          <w:p w14:paraId="254BD198"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68B4855D" w14:textId="77777777" w:rsidR="0014347C" w:rsidRPr="002A1891" w:rsidRDefault="0014347C" w:rsidP="00BE69CC">
            <w:pPr>
              <w:tabs>
                <w:tab w:val="left" w:pos="720"/>
              </w:tabs>
              <w:spacing w:before="60" w:after="60"/>
              <w:rPr>
                <w:rFonts w:cs="Arial"/>
                <w:szCs w:val="22"/>
              </w:rPr>
            </w:pPr>
            <w:r w:rsidRPr="002A1891">
              <w:rPr>
                <w:rFonts w:cs="Arial"/>
                <w:sz w:val="22"/>
                <w:szCs w:val="22"/>
              </w:rPr>
              <w:t>Methods for the estimation of quantities and unit costs are described.</w:t>
            </w:r>
          </w:p>
        </w:tc>
        <w:tc>
          <w:tcPr>
            <w:tcW w:w="1439" w:type="dxa"/>
          </w:tcPr>
          <w:p w14:paraId="706D361F" w14:textId="5AF834D4" w:rsidR="0014347C" w:rsidRPr="002A1891" w:rsidRDefault="00E45F00" w:rsidP="00BE69CC">
            <w:pPr>
              <w:tabs>
                <w:tab w:val="left" w:pos="720"/>
              </w:tabs>
              <w:spacing w:before="60" w:after="60"/>
              <w:jc w:val="center"/>
              <w:rPr>
                <w:rFonts w:cs="Arial"/>
                <w:szCs w:val="22"/>
              </w:rPr>
            </w:pPr>
            <w:r>
              <w:rPr>
                <w:rFonts w:cs="Arial"/>
                <w:sz w:val="22"/>
                <w:szCs w:val="22"/>
              </w:rPr>
              <w:t>6.4.2.2, 6.5, 6.6.3</w:t>
            </w:r>
          </w:p>
        </w:tc>
      </w:tr>
      <w:tr w:rsidR="0014347C" w:rsidRPr="002A1891" w14:paraId="18915613" w14:textId="77777777" w:rsidTr="00BE69CC">
        <w:tc>
          <w:tcPr>
            <w:tcW w:w="745" w:type="dxa"/>
          </w:tcPr>
          <w:p w14:paraId="3C786273" w14:textId="77777777" w:rsidR="0014347C" w:rsidRPr="002A1891" w:rsidRDefault="0014347C" w:rsidP="0014347C">
            <w:pPr>
              <w:numPr>
                <w:ilvl w:val="0"/>
                <w:numId w:val="7"/>
              </w:numPr>
              <w:tabs>
                <w:tab w:val="left" w:pos="720"/>
              </w:tabs>
              <w:spacing w:before="60" w:after="60"/>
              <w:ind w:left="0" w:firstLine="0"/>
              <w:jc w:val="center"/>
              <w:rPr>
                <w:rFonts w:cs="Arial"/>
                <w:szCs w:val="22"/>
              </w:rPr>
            </w:pPr>
          </w:p>
        </w:tc>
        <w:tc>
          <w:tcPr>
            <w:tcW w:w="6768" w:type="dxa"/>
            <w:vAlign w:val="center"/>
          </w:tcPr>
          <w:p w14:paraId="71659B02" w14:textId="77777777" w:rsidR="0014347C" w:rsidRPr="002A1891" w:rsidRDefault="0014347C" w:rsidP="00BE69CC">
            <w:pPr>
              <w:tabs>
                <w:tab w:val="left" w:pos="720"/>
              </w:tabs>
              <w:spacing w:before="60" w:after="60"/>
              <w:rPr>
                <w:rFonts w:cs="Arial"/>
                <w:szCs w:val="22"/>
              </w:rPr>
            </w:pPr>
            <w:r w:rsidRPr="002A1891">
              <w:rPr>
                <w:rFonts w:cs="Arial"/>
                <w:sz w:val="22"/>
                <w:szCs w:val="22"/>
              </w:rPr>
              <w:t>If a model is used, the choice of approach is justified.</w:t>
            </w:r>
          </w:p>
        </w:tc>
        <w:tc>
          <w:tcPr>
            <w:tcW w:w="1439" w:type="dxa"/>
          </w:tcPr>
          <w:p w14:paraId="61F895A2" w14:textId="77777777" w:rsidR="0014347C" w:rsidRPr="002A1891" w:rsidRDefault="0014347C" w:rsidP="00BE69CC">
            <w:pPr>
              <w:tabs>
                <w:tab w:val="left" w:pos="720"/>
              </w:tabs>
              <w:spacing w:before="60" w:after="60"/>
              <w:jc w:val="center"/>
              <w:rPr>
                <w:rFonts w:cs="Arial"/>
                <w:szCs w:val="22"/>
              </w:rPr>
            </w:pPr>
            <w:r>
              <w:rPr>
                <w:rFonts w:cs="Arial"/>
                <w:sz w:val="22"/>
                <w:szCs w:val="22"/>
              </w:rPr>
              <w:t>6.2</w:t>
            </w:r>
          </w:p>
        </w:tc>
      </w:tr>
      <w:tr w:rsidR="0014347C" w:rsidRPr="002A1891" w14:paraId="3E4E0336" w14:textId="77777777" w:rsidTr="00BE69CC">
        <w:tc>
          <w:tcPr>
            <w:tcW w:w="7513" w:type="dxa"/>
            <w:gridSpan w:val="2"/>
            <w:vAlign w:val="center"/>
          </w:tcPr>
          <w:p w14:paraId="1A9FD1CC"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b/>
                <w:bCs/>
                <w:sz w:val="22"/>
                <w:szCs w:val="22"/>
              </w:rPr>
              <w:t>Analysis and interpretation of results</w:t>
            </w:r>
          </w:p>
        </w:tc>
        <w:tc>
          <w:tcPr>
            <w:tcW w:w="1439" w:type="dxa"/>
          </w:tcPr>
          <w:p w14:paraId="0040501C" w14:textId="77777777" w:rsidR="0014347C" w:rsidRPr="002A1891" w:rsidRDefault="0014347C" w:rsidP="00BE69CC">
            <w:pPr>
              <w:pStyle w:val="NormalWeb"/>
              <w:tabs>
                <w:tab w:val="left" w:pos="720"/>
              </w:tabs>
              <w:spacing w:before="60" w:after="60"/>
              <w:jc w:val="center"/>
              <w:rPr>
                <w:rFonts w:ascii="Arial" w:hAnsi="Arial" w:cs="Arial"/>
                <w:szCs w:val="22"/>
              </w:rPr>
            </w:pPr>
          </w:p>
        </w:tc>
      </w:tr>
      <w:tr w:rsidR="0014347C" w:rsidRPr="002A1891" w14:paraId="58175604" w14:textId="77777777" w:rsidTr="00BE69CC">
        <w:tc>
          <w:tcPr>
            <w:tcW w:w="745" w:type="dxa"/>
          </w:tcPr>
          <w:p w14:paraId="51DDFB92" w14:textId="77777777" w:rsidR="0014347C" w:rsidRPr="002A1891" w:rsidRDefault="0014347C" w:rsidP="0014347C">
            <w:pPr>
              <w:pStyle w:val="NormalWeb"/>
              <w:numPr>
                <w:ilvl w:val="0"/>
                <w:numId w:val="7"/>
              </w:numPr>
              <w:tabs>
                <w:tab w:val="left" w:pos="720"/>
              </w:tabs>
              <w:spacing w:before="60" w:after="60"/>
              <w:ind w:left="0" w:firstLine="0"/>
              <w:jc w:val="center"/>
              <w:rPr>
                <w:rFonts w:ascii="Arial" w:hAnsi="Arial" w:cs="Arial"/>
                <w:szCs w:val="22"/>
              </w:rPr>
            </w:pPr>
          </w:p>
        </w:tc>
        <w:tc>
          <w:tcPr>
            <w:tcW w:w="6768" w:type="dxa"/>
            <w:vAlign w:val="center"/>
          </w:tcPr>
          <w:p w14:paraId="4C08E6CE"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sz w:val="22"/>
                <w:szCs w:val="22"/>
              </w:rPr>
              <w:t>The approach to sensitivity analysis is stated.</w:t>
            </w:r>
          </w:p>
        </w:tc>
        <w:tc>
          <w:tcPr>
            <w:tcW w:w="1439" w:type="dxa"/>
          </w:tcPr>
          <w:p w14:paraId="0C8B53B7" w14:textId="638EC7D1" w:rsidR="0014347C" w:rsidRPr="002A1891" w:rsidRDefault="00E45F00" w:rsidP="00BE69CC">
            <w:pPr>
              <w:pStyle w:val="NormalWeb"/>
              <w:tabs>
                <w:tab w:val="left" w:pos="720"/>
              </w:tabs>
              <w:spacing w:before="60" w:after="60"/>
              <w:jc w:val="center"/>
              <w:rPr>
                <w:rFonts w:ascii="Arial" w:hAnsi="Arial" w:cs="Arial"/>
                <w:szCs w:val="22"/>
              </w:rPr>
            </w:pPr>
            <w:r>
              <w:rPr>
                <w:rFonts w:ascii="Arial" w:hAnsi="Arial" w:cs="Arial"/>
                <w:sz w:val="22"/>
                <w:szCs w:val="22"/>
              </w:rPr>
              <w:t>6.5</w:t>
            </w:r>
          </w:p>
        </w:tc>
      </w:tr>
      <w:tr w:rsidR="0014347C" w:rsidRPr="002A1891" w14:paraId="6E4AE8F5" w14:textId="77777777" w:rsidTr="00BE69CC">
        <w:tc>
          <w:tcPr>
            <w:tcW w:w="745" w:type="dxa"/>
          </w:tcPr>
          <w:p w14:paraId="124BBCAF" w14:textId="77777777" w:rsidR="0014347C" w:rsidRPr="002A1891" w:rsidRDefault="0014347C" w:rsidP="0014347C">
            <w:pPr>
              <w:pStyle w:val="NormalWeb"/>
              <w:numPr>
                <w:ilvl w:val="0"/>
                <w:numId w:val="7"/>
              </w:numPr>
              <w:tabs>
                <w:tab w:val="left" w:pos="720"/>
              </w:tabs>
              <w:spacing w:before="60" w:after="60"/>
              <w:ind w:left="0" w:firstLine="0"/>
              <w:jc w:val="center"/>
              <w:rPr>
                <w:rFonts w:ascii="Arial" w:hAnsi="Arial" w:cs="Arial"/>
                <w:szCs w:val="22"/>
              </w:rPr>
            </w:pPr>
          </w:p>
        </w:tc>
        <w:tc>
          <w:tcPr>
            <w:tcW w:w="6768" w:type="dxa"/>
            <w:vAlign w:val="center"/>
          </w:tcPr>
          <w:p w14:paraId="7E924842"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sz w:val="22"/>
                <w:szCs w:val="22"/>
              </w:rPr>
              <w:t>The choice of variables for sensitivity analysis and the ranges over which the variables are varied is stated and justified.</w:t>
            </w:r>
          </w:p>
        </w:tc>
        <w:tc>
          <w:tcPr>
            <w:tcW w:w="1439" w:type="dxa"/>
          </w:tcPr>
          <w:p w14:paraId="4CEAFF24" w14:textId="14AA095D" w:rsidR="0014347C" w:rsidRPr="002A1891" w:rsidRDefault="00E45F00" w:rsidP="00BE69CC">
            <w:pPr>
              <w:pStyle w:val="NormalWeb"/>
              <w:tabs>
                <w:tab w:val="left" w:pos="720"/>
              </w:tabs>
              <w:spacing w:before="60" w:after="60"/>
              <w:jc w:val="center"/>
              <w:rPr>
                <w:rFonts w:ascii="Arial" w:hAnsi="Arial" w:cs="Arial"/>
                <w:szCs w:val="22"/>
              </w:rPr>
            </w:pPr>
            <w:r>
              <w:rPr>
                <w:rFonts w:ascii="Arial" w:hAnsi="Arial" w:cs="Arial"/>
                <w:sz w:val="22"/>
                <w:szCs w:val="22"/>
              </w:rPr>
              <w:t>6.5</w:t>
            </w:r>
            <w:r w:rsidR="0014347C">
              <w:rPr>
                <w:rFonts w:ascii="Arial" w:hAnsi="Arial" w:cs="Arial"/>
                <w:sz w:val="22"/>
                <w:szCs w:val="22"/>
              </w:rPr>
              <w:t>.2</w:t>
            </w:r>
          </w:p>
        </w:tc>
      </w:tr>
      <w:tr w:rsidR="0014347C" w:rsidRPr="002A1891" w14:paraId="764B613C" w14:textId="77777777" w:rsidTr="00BE69CC">
        <w:tc>
          <w:tcPr>
            <w:tcW w:w="745" w:type="dxa"/>
          </w:tcPr>
          <w:p w14:paraId="4AD7F9E3" w14:textId="77777777" w:rsidR="0014347C" w:rsidRPr="002A1891" w:rsidRDefault="0014347C" w:rsidP="0014347C">
            <w:pPr>
              <w:pStyle w:val="NormalWeb"/>
              <w:numPr>
                <w:ilvl w:val="0"/>
                <w:numId w:val="7"/>
              </w:numPr>
              <w:tabs>
                <w:tab w:val="left" w:pos="720"/>
              </w:tabs>
              <w:spacing w:before="60" w:after="60"/>
              <w:ind w:left="0" w:firstLine="0"/>
              <w:jc w:val="center"/>
              <w:rPr>
                <w:rFonts w:ascii="Arial" w:hAnsi="Arial" w:cs="Arial"/>
                <w:szCs w:val="22"/>
              </w:rPr>
            </w:pPr>
          </w:p>
        </w:tc>
        <w:tc>
          <w:tcPr>
            <w:tcW w:w="6768" w:type="dxa"/>
            <w:vAlign w:val="center"/>
          </w:tcPr>
          <w:p w14:paraId="5A9A4F1B"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sz w:val="22"/>
                <w:szCs w:val="22"/>
              </w:rPr>
              <w:t>Major outcomes are presented in a disaggregated as well as aggregated form.</w:t>
            </w:r>
          </w:p>
        </w:tc>
        <w:tc>
          <w:tcPr>
            <w:tcW w:w="1439" w:type="dxa"/>
          </w:tcPr>
          <w:p w14:paraId="6CD9B03F" w14:textId="18E4691D" w:rsidR="0014347C" w:rsidRPr="002A1891" w:rsidRDefault="0014347C" w:rsidP="00BE69CC">
            <w:pPr>
              <w:pStyle w:val="NormalWeb"/>
              <w:tabs>
                <w:tab w:val="left" w:pos="720"/>
              </w:tabs>
              <w:spacing w:before="60" w:after="60"/>
              <w:jc w:val="center"/>
              <w:rPr>
                <w:rFonts w:ascii="Arial" w:hAnsi="Arial" w:cs="Arial"/>
                <w:szCs w:val="22"/>
              </w:rPr>
            </w:pPr>
            <w:r>
              <w:rPr>
                <w:rFonts w:ascii="Arial" w:hAnsi="Arial" w:cs="Arial"/>
                <w:sz w:val="22"/>
                <w:szCs w:val="22"/>
              </w:rPr>
              <w:t>6.</w:t>
            </w:r>
            <w:r w:rsidR="00E45F00">
              <w:rPr>
                <w:rFonts w:ascii="Arial" w:hAnsi="Arial" w:cs="Arial"/>
                <w:sz w:val="22"/>
                <w:szCs w:val="22"/>
              </w:rPr>
              <w:t>7</w:t>
            </w:r>
          </w:p>
        </w:tc>
      </w:tr>
      <w:tr w:rsidR="0014347C" w:rsidRPr="002A1891" w14:paraId="5D233C4E" w14:textId="77777777" w:rsidTr="00BE69CC">
        <w:tc>
          <w:tcPr>
            <w:tcW w:w="745" w:type="dxa"/>
          </w:tcPr>
          <w:p w14:paraId="44DE40D8" w14:textId="77777777" w:rsidR="0014347C" w:rsidRPr="002A1891" w:rsidRDefault="0014347C" w:rsidP="0014347C">
            <w:pPr>
              <w:pStyle w:val="NormalWeb"/>
              <w:numPr>
                <w:ilvl w:val="0"/>
                <w:numId w:val="7"/>
              </w:numPr>
              <w:tabs>
                <w:tab w:val="left" w:pos="720"/>
              </w:tabs>
              <w:spacing w:before="60" w:after="60"/>
              <w:ind w:left="0" w:firstLine="0"/>
              <w:jc w:val="center"/>
              <w:rPr>
                <w:rFonts w:ascii="Arial" w:hAnsi="Arial" w:cs="Arial"/>
                <w:szCs w:val="22"/>
              </w:rPr>
            </w:pPr>
          </w:p>
        </w:tc>
        <w:tc>
          <w:tcPr>
            <w:tcW w:w="6768" w:type="dxa"/>
            <w:vAlign w:val="center"/>
          </w:tcPr>
          <w:p w14:paraId="1D6A76A9"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sz w:val="22"/>
                <w:szCs w:val="22"/>
              </w:rPr>
              <w:t>The relevance (generalisability) of the analysis to Scotland is discussed.</w:t>
            </w:r>
          </w:p>
        </w:tc>
        <w:tc>
          <w:tcPr>
            <w:tcW w:w="1439" w:type="dxa"/>
          </w:tcPr>
          <w:p w14:paraId="18570338" w14:textId="7F79E860" w:rsidR="0014347C" w:rsidRPr="002A1891" w:rsidRDefault="0014347C" w:rsidP="00BE69CC">
            <w:pPr>
              <w:pStyle w:val="NormalWeb"/>
              <w:tabs>
                <w:tab w:val="left" w:pos="720"/>
              </w:tabs>
              <w:spacing w:before="60" w:after="60"/>
              <w:jc w:val="center"/>
              <w:rPr>
                <w:rFonts w:ascii="Arial" w:hAnsi="Arial" w:cs="Arial"/>
                <w:szCs w:val="22"/>
              </w:rPr>
            </w:pPr>
            <w:r>
              <w:rPr>
                <w:rFonts w:ascii="Arial" w:hAnsi="Arial" w:cs="Arial"/>
                <w:sz w:val="22"/>
                <w:szCs w:val="22"/>
              </w:rPr>
              <w:t>6.</w:t>
            </w:r>
            <w:r w:rsidR="00E45F00">
              <w:rPr>
                <w:rFonts w:ascii="Arial" w:hAnsi="Arial" w:cs="Arial"/>
                <w:sz w:val="22"/>
                <w:szCs w:val="22"/>
              </w:rPr>
              <w:t>8</w:t>
            </w:r>
          </w:p>
        </w:tc>
      </w:tr>
      <w:tr w:rsidR="0014347C" w:rsidRPr="002A1891" w14:paraId="6E3B7490" w14:textId="77777777" w:rsidTr="00BE69CC">
        <w:tc>
          <w:tcPr>
            <w:tcW w:w="745" w:type="dxa"/>
          </w:tcPr>
          <w:p w14:paraId="2BCD68AF" w14:textId="77777777" w:rsidR="0014347C" w:rsidRPr="002A1891" w:rsidRDefault="0014347C" w:rsidP="0014347C">
            <w:pPr>
              <w:pStyle w:val="NormalWeb"/>
              <w:numPr>
                <w:ilvl w:val="0"/>
                <w:numId w:val="7"/>
              </w:numPr>
              <w:tabs>
                <w:tab w:val="left" w:pos="720"/>
              </w:tabs>
              <w:spacing w:before="60" w:after="60"/>
              <w:ind w:left="0" w:firstLine="0"/>
              <w:jc w:val="center"/>
              <w:rPr>
                <w:rFonts w:ascii="Arial" w:hAnsi="Arial" w:cs="Arial"/>
                <w:szCs w:val="22"/>
              </w:rPr>
            </w:pPr>
          </w:p>
        </w:tc>
        <w:tc>
          <w:tcPr>
            <w:tcW w:w="6768" w:type="dxa"/>
            <w:vAlign w:val="center"/>
          </w:tcPr>
          <w:p w14:paraId="0235CE15" w14:textId="77777777" w:rsidR="0014347C" w:rsidRPr="002A1891" w:rsidRDefault="0014347C" w:rsidP="00BE69CC">
            <w:pPr>
              <w:pStyle w:val="NormalWeb"/>
              <w:tabs>
                <w:tab w:val="left" w:pos="720"/>
              </w:tabs>
              <w:spacing w:before="60" w:after="60"/>
              <w:rPr>
                <w:rFonts w:ascii="Arial" w:hAnsi="Arial" w:cs="Arial"/>
                <w:szCs w:val="22"/>
              </w:rPr>
            </w:pPr>
            <w:r w:rsidRPr="002A1891">
              <w:rPr>
                <w:rFonts w:ascii="Arial" w:hAnsi="Arial" w:cs="Arial"/>
                <w:sz w:val="22"/>
                <w:szCs w:val="22"/>
              </w:rPr>
              <w:t>Any equity implications of the analysis are discussed.</w:t>
            </w:r>
          </w:p>
        </w:tc>
        <w:tc>
          <w:tcPr>
            <w:tcW w:w="1439" w:type="dxa"/>
          </w:tcPr>
          <w:p w14:paraId="652F9A33" w14:textId="77777777" w:rsidR="0014347C" w:rsidRPr="002A1891" w:rsidRDefault="0014347C" w:rsidP="00BE69CC">
            <w:pPr>
              <w:pStyle w:val="NormalWeb"/>
              <w:tabs>
                <w:tab w:val="left" w:pos="720"/>
              </w:tabs>
              <w:spacing w:before="60" w:after="60"/>
              <w:jc w:val="center"/>
              <w:rPr>
                <w:rFonts w:ascii="Arial" w:hAnsi="Arial" w:cs="Arial"/>
                <w:szCs w:val="22"/>
              </w:rPr>
            </w:pPr>
            <w:r w:rsidRPr="002A1891">
              <w:rPr>
                <w:rFonts w:ascii="Arial" w:hAnsi="Arial" w:cs="Arial"/>
                <w:sz w:val="22"/>
                <w:szCs w:val="22"/>
              </w:rPr>
              <w:t>Not applicable</w:t>
            </w:r>
          </w:p>
        </w:tc>
      </w:tr>
    </w:tbl>
    <w:p w14:paraId="15A99332" w14:textId="77777777" w:rsidR="008E4E92" w:rsidRPr="008E4E92" w:rsidRDefault="008E4E92" w:rsidP="008E4E92">
      <w:pPr>
        <w:pStyle w:val="NormalWeb"/>
        <w:spacing w:before="0" w:after="0"/>
        <w:jc w:val="both"/>
        <w:rPr>
          <w:rFonts w:ascii="Arial" w:hAnsi="Arial" w:cs="Arial"/>
          <w:sz w:val="22"/>
          <w:szCs w:val="22"/>
        </w:rPr>
      </w:pPr>
    </w:p>
    <w:p w14:paraId="2580A647" w14:textId="77777777" w:rsidR="008E4E92" w:rsidRDefault="008E4E92" w:rsidP="008E4E92">
      <w:pPr>
        <w:pStyle w:val="NormalWeb"/>
        <w:spacing w:before="0" w:after="0"/>
        <w:rPr>
          <w:rFonts w:ascii="Arial" w:hAnsi="Arial" w:cs="Arial"/>
          <w:sz w:val="22"/>
          <w:szCs w:val="22"/>
        </w:rPr>
      </w:pPr>
      <w:r w:rsidRPr="008E4E92">
        <w:rPr>
          <w:rFonts w:ascii="Arial" w:hAnsi="Arial" w:cs="Arial"/>
          <w:sz w:val="22"/>
          <w:szCs w:val="22"/>
        </w:rPr>
        <w:t>Authors may enter N/A if an item on the checklist is not appropriate, but this is only acceptable for items 7, 9, 12 and 17.</w:t>
      </w:r>
    </w:p>
    <w:p w14:paraId="768366AC" w14:textId="77777777" w:rsidR="00BE69CC" w:rsidRDefault="00BE69CC" w:rsidP="008E4E92">
      <w:pPr>
        <w:pStyle w:val="NormalWeb"/>
        <w:spacing w:before="0" w:after="0"/>
        <w:rPr>
          <w:rFonts w:ascii="Arial" w:hAnsi="Arial" w:cs="Arial"/>
          <w:sz w:val="22"/>
          <w:szCs w:val="22"/>
        </w:rPr>
      </w:pPr>
    </w:p>
    <w:p w14:paraId="595944EF" w14:textId="77777777" w:rsidR="00BE69CC" w:rsidRPr="002A1891" w:rsidRDefault="00BE69CC" w:rsidP="00BE69CC">
      <w:pPr>
        <w:pStyle w:val="Numberedheading2"/>
        <w:numPr>
          <w:ilvl w:val="0"/>
          <w:numId w:val="0"/>
        </w:numPr>
        <w:ind w:left="1134" w:hanging="1134"/>
        <w:rPr>
          <w:sz w:val="22"/>
          <w:szCs w:val="22"/>
        </w:rPr>
      </w:pPr>
      <w:bookmarkStart w:id="196" w:name="_Toc372031281"/>
      <w:r w:rsidRPr="002A1891">
        <w:rPr>
          <w:sz w:val="22"/>
          <w:szCs w:val="22"/>
        </w:rPr>
        <w:t xml:space="preserve">Summary of </w:t>
      </w:r>
      <w:bookmarkEnd w:id="196"/>
      <w:r w:rsidRPr="002A1891">
        <w:rPr>
          <w:sz w:val="22"/>
          <w:szCs w:val="22"/>
        </w:rPr>
        <w:t xml:space="preserve">pharmaco-economic evaluation </w:t>
      </w:r>
    </w:p>
    <w:tbl>
      <w:tblPr>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9016"/>
      </w:tblGrid>
      <w:tr w:rsidR="00BE69CC" w:rsidRPr="002A1891" w14:paraId="185723EF" w14:textId="77777777" w:rsidTr="00BE69CC">
        <w:tc>
          <w:tcPr>
            <w:tcW w:w="8522" w:type="dxa"/>
            <w:shd w:val="clear" w:color="auto" w:fill="auto"/>
          </w:tcPr>
          <w:p w14:paraId="50B66DA6" w14:textId="77777777" w:rsidR="00BE69CC" w:rsidRPr="002A1891" w:rsidRDefault="00BE69CC" w:rsidP="00BE69CC">
            <w:pPr>
              <w:pStyle w:val="Summaryboxtextlevel1"/>
              <w:spacing w:before="120" w:line="240" w:lineRule="auto"/>
              <w:ind w:left="357" w:hanging="357"/>
            </w:pPr>
            <w:r w:rsidRPr="002A1891">
              <w:t>In the absence of statistically significant differences in efficacy or safety between tedizolid phosphate and linezolid as demonstrated by the non-inferiority studies, ESTABLISH-1 and ESTABLISH-2, a cost-minimisation analysis (CMA) was chosen.</w:t>
            </w:r>
          </w:p>
          <w:p w14:paraId="01995792" w14:textId="586DFBE7" w:rsidR="00BE69CC" w:rsidRPr="002A1891" w:rsidRDefault="00BE69CC" w:rsidP="00BE69CC">
            <w:pPr>
              <w:pStyle w:val="Summaryboxtextlevel1"/>
              <w:spacing w:before="120" w:line="240" w:lineRule="auto"/>
              <w:ind w:left="357" w:hanging="357"/>
            </w:pPr>
            <w:r w:rsidRPr="002A1891">
              <w:lastRenderedPageBreak/>
              <w:t>A CMA was deemed the most appropriate economic evaluation because therapeutic equivalence in terms of efficacy between tedizolid phosphate and linezolid had been demonstrated in the Phase 3 randomised controlled t</w:t>
            </w:r>
            <w:r w:rsidR="00A4487D">
              <w:t xml:space="preserve">rials, which were of </w:t>
            </w:r>
            <w:r w:rsidR="00D70B1C">
              <w:t>non-inferiority</w:t>
            </w:r>
            <w:r w:rsidRPr="002A1891">
              <w:t xml:space="preserve"> design. A conservative approach was taken, which assumed no difference between tedizolid phosphate and its comparator in efficacy, adverse events, or tolerability.  </w:t>
            </w:r>
          </w:p>
          <w:p w14:paraId="72C11C7B" w14:textId="2FD8BAF5" w:rsidR="00BE69CC" w:rsidRPr="002A1891" w:rsidRDefault="00BE69CC" w:rsidP="00BE69CC">
            <w:pPr>
              <w:pStyle w:val="Summaryboxtextlevel1"/>
              <w:spacing w:line="240" w:lineRule="auto"/>
            </w:pPr>
            <w:r w:rsidRPr="002A1891">
              <w:t xml:space="preserve">The CMA considered the </w:t>
            </w:r>
            <w:r w:rsidR="0007241E">
              <w:t xml:space="preserve">medicine </w:t>
            </w:r>
            <w:r w:rsidRPr="002A1891">
              <w:t xml:space="preserve">acquisition costs of tedizolid phosphate and linezolid for </w:t>
            </w:r>
            <w:r>
              <w:t xml:space="preserve">a </w:t>
            </w:r>
            <w:r w:rsidRPr="002A1891">
              <w:t>course of treatment</w:t>
            </w:r>
            <w:r w:rsidR="00D80DEB">
              <w:t>,</w:t>
            </w:r>
            <w:r w:rsidRPr="002A1891">
              <w:t xml:space="preserve"> </w:t>
            </w:r>
            <w:r w:rsidR="0007241E">
              <w:t>as well as</w:t>
            </w:r>
            <w:r w:rsidRPr="002A1891">
              <w:t xml:space="preserve"> the </w:t>
            </w:r>
            <w:r w:rsidR="0007241E">
              <w:t xml:space="preserve">associated </w:t>
            </w:r>
            <w:r w:rsidRPr="002A1891">
              <w:t>cost</w:t>
            </w:r>
            <w:r w:rsidR="0007241E">
              <w:t>s of intravenous administration and monitoring.</w:t>
            </w:r>
            <w:r w:rsidRPr="002A1891">
              <w:t xml:space="preserve"> </w:t>
            </w:r>
          </w:p>
          <w:p w14:paraId="56020562" w14:textId="77777777" w:rsidR="00D80DEB" w:rsidRPr="002A1891" w:rsidRDefault="00D80DEB" w:rsidP="00D80DEB">
            <w:pPr>
              <w:pStyle w:val="Summaryboxtextlevel1"/>
              <w:spacing w:line="240" w:lineRule="auto"/>
            </w:pPr>
            <w:r>
              <w:t xml:space="preserve">In the base case, </w:t>
            </w:r>
            <w:r w:rsidRPr="002A1891">
              <w:t xml:space="preserve">a 6-day course of tedizolid phosphate </w:t>
            </w:r>
            <w:r>
              <w:t>was cost-saving</w:t>
            </w:r>
            <w:r w:rsidRPr="002A1891">
              <w:t xml:space="preserve"> </w:t>
            </w:r>
            <w:r>
              <w:t xml:space="preserve">in year 1 </w:t>
            </w:r>
            <w:r w:rsidRPr="002A1891">
              <w:t xml:space="preserve">compared to a 10-day course of linezolid. </w:t>
            </w:r>
          </w:p>
          <w:p w14:paraId="2D364AD4" w14:textId="6AFABD80" w:rsidR="00BE69CC" w:rsidRPr="002A1891" w:rsidRDefault="00BE69CC" w:rsidP="00D80DEB">
            <w:pPr>
              <w:pStyle w:val="Summaryboxtextlevel1"/>
              <w:spacing w:line="240" w:lineRule="auto"/>
            </w:pPr>
            <w:r w:rsidRPr="002A1891">
              <w:t>Sensitivity analyses considered the effect of varying the relative IV/oral split</w:t>
            </w:r>
            <w:r w:rsidR="007B6DD8">
              <w:t>,</w:t>
            </w:r>
            <w:r w:rsidRPr="002A1891">
              <w:t xml:space="preserve"> overall duration of treatment</w:t>
            </w:r>
            <w:r w:rsidR="007B6DD8">
              <w:t xml:space="preserve"> and proportion of patients monitored with linezolid</w:t>
            </w:r>
            <w:r w:rsidRPr="002A1891">
              <w:t>. Key assumptions were derived from the Phase 3 clinical trials, network meta-analysis or the literature, and were validated by a Delphi Panel of Scottish clinicians and microbiologists.</w:t>
            </w:r>
          </w:p>
          <w:p w14:paraId="16E161D6" w14:textId="15B57307" w:rsidR="00BE69CC" w:rsidRPr="002A1891" w:rsidRDefault="00BE69CC" w:rsidP="00BE69CC">
            <w:pPr>
              <w:pStyle w:val="Summaryboxtextlevel1"/>
              <w:spacing w:line="240" w:lineRule="auto"/>
            </w:pPr>
            <w:r w:rsidRPr="002A1891">
              <w:t>A number of scenario analyses explored, inter alia, va</w:t>
            </w:r>
            <w:r w:rsidR="00D80DEB">
              <w:t xml:space="preserve">riations in the costs of an oral/IV regime, </w:t>
            </w:r>
            <w:r w:rsidRPr="002A1891">
              <w:t>the impact of an OPAT service, and</w:t>
            </w:r>
            <w:r w:rsidR="00D80DEB">
              <w:t xml:space="preserve"> the length of stay in hospital prior to discharge</w:t>
            </w:r>
            <w:r w:rsidRPr="002A1891">
              <w:t>.</w:t>
            </w:r>
          </w:p>
          <w:p w14:paraId="5D8A2916" w14:textId="2889034D" w:rsidR="00BE69CC" w:rsidRPr="002A1891" w:rsidRDefault="00BE69CC" w:rsidP="00BE69CC">
            <w:pPr>
              <w:pStyle w:val="Summaryboxtextlevel1"/>
              <w:spacing w:line="240" w:lineRule="auto"/>
            </w:pPr>
            <w:r w:rsidRPr="002A1891">
              <w:t xml:space="preserve">In one-way sensitivity analyses and scenario analyses, treatment with tedizolid phosphate was </w:t>
            </w:r>
            <w:r w:rsidR="00D80DEB">
              <w:t xml:space="preserve">also </w:t>
            </w:r>
            <w:r w:rsidRPr="002A1891">
              <w:t xml:space="preserve">cost-saving, primarily as a result of the once-daily administration and shorter duration of treatment course compared to linezolid. </w:t>
            </w:r>
          </w:p>
        </w:tc>
      </w:tr>
    </w:tbl>
    <w:p w14:paraId="620A53BA" w14:textId="77777777" w:rsidR="00BE69CC" w:rsidRPr="002A1891" w:rsidRDefault="00BE69CC" w:rsidP="00BE69CC">
      <w:pPr>
        <w:pStyle w:val="NormalWeb"/>
        <w:spacing w:before="0" w:after="0"/>
        <w:rPr>
          <w:rFonts w:ascii="Arial" w:hAnsi="Arial" w:cs="Arial"/>
          <w:b/>
          <w:sz w:val="22"/>
          <w:szCs w:val="22"/>
        </w:rPr>
      </w:pPr>
    </w:p>
    <w:p w14:paraId="413AE07C" w14:textId="77777777"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t>6.1</w:t>
      </w:r>
      <w:r w:rsidRPr="002A1891">
        <w:rPr>
          <w:rFonts w:ascii="Arial" w:hAnsi="Arial" w:cs="Arial"/>
          <w:b/>
          <w:sz w:val="22"/>
          <w:szCs w:val="22"/>
        </w:rPr>
        <w:tab/>
        <w:t xml:space="preserve">Overview </w:t>
      </w:r>
    </w:p>
    <w:p w14:paraId="0AC2CDB1" w14:textId="77777777" w:rsidR="00BE69CC" w:rsidRPr="002A1891" w:rsidRDefault="00BE69CC" w:rsidP="00BE69CC">
      <w:pPr>
        <w:pStyle w:val="NormalWeb"/>
        <w:spacing w:before="0" w:after="0"/>
        <w:rPr>
          <w:rFonts w:ascii="Arial" w:hAnsi="Arial" w:cs="Arial"/>
          <w:b/>
          <w:sz w:val="22"/>
          <w:szCs w:val="22"/>
        </w:rPr>
      </w:pPr>
    </w:p>
    <w:p w14:paraId="6E59AE34" w14:textId="77777777" w:rsidR="00BE69CC" w:rsidRPr="002A1891" w:rsidRDefault="00BE69CC" w:rsidP="00BE69CC">
      <w:pPr>
        <w:rPr>
          <w:sz w:val="22"/>
          <w:szCs w:val="22"/>
        </w:rPr>
      </w:pPr>
      <w:r w:rsidRPr="002A1891">
        <w:rPr>
          <w:sz w:val="22"/>
          <w:szCs w:val="22"/>
        </w:rPr>
        <w:t>The primary objective of this analysis is to assess the cost-effectiveness of tedizolid phosphate for the treatment of MRSA-caused ABSSSIs in the NHS in Scotland in 2014.</w:t>
      </w:r>
    </w:p>
    <w:p w14:paraId="017CF5DC" w14:textId="77777777" w:rsidR="00BE69CC" w:rsidRPr="002A1891" w:rsidRDefault="00BE69CC" w:rsidP="00BE69CC">
      <w:pPr>
        <w:pStyle w:val="NormalWeb"/>
        <w:spacing w:before="0" w:after="0"/>
        <w:rPr>
          <w:rFonts w:ascii="Arial" w:hAnsi="Arial" w:cs="Arial"/>
          <w:sz w:val="22"/>
          <w:szCs w:val="22"/>
        </w:rPr>
      </w:pPr>
    </w:p>
    <w:p w14:paraId="31F09ADE" w14:textId="751B3FF6" w:rsidR="00BE69CC" w:rsidRPr="002A1891" w:rsidRDefault="00BE69CC" w:rsidP="00BE69CC">
      <w:pPr>
        <w:rPr>
          <w:sz w:val="22"/>
          <w:szCs w:val="22"/>
        </w:rPr>
      </w:pPr>
      <w:r w:rsidRPr="002A1891">
        <w:rPr>
          <w:sz w:val="22"/>
          <w:szCs w:val="22"/>
        </w:rPr>
        <w:t xml:space="preserve">In this analysis, a decision analytic model is used to estimate the cost-effectiveness of tedizolid phosphate in the Scottish healthcare setting in 2014 using a cost-minimisation approach. The analysis is performed for a cohort of patients with MRSA-caused ABSSSI, which is the subject of this selective submission to the SMC. Data sources used </w:t>
      </w:r>
      <w:r w:rsidRPr="002A1891">
        <w:rPr>
          <w:sz w:val="22"/>
          <w:szCs w:val="22"/>
        </w:rPr>
        <w:lastRenderedPageBreak/>
        <w:t xml:space="preserve">include the Phase 3 clinical studies (ESTABLISH-1 and ESTABLISH-2), published literature, official Scottish price/tariff lists and national population statistics. The model includes relevant economic measures such as resource utilisation patterns associated with outpatient and inpatient care for the treatment of ABSSSIs. The primary perspective of the study is that of the </w:t>
      </w:r>
      <w:r w:rsidRPr="002A1891">
        <w:rPr>
          <w:rFonts w:cs="Arial"/>
          <w:sz w:val="22"/>
          <w:szCs w:val="22"/>
        </w:rPr>
        <w:t>NHS in Scotland and social work.</w:t>
      </w:r>
      <w:r w:rsidRPr="002A1891">
        <w:rPr>
          <w:sz w:val="22"/>
          <w:szCs w:val="22"/>
        </w:rPr>
        <w:t xml:space="preserve"> Costs used in the model are expressed in 2014 </w:t>
      </w:r>
      <w:r w:rsidRPr="002A1891">
        <w:rPr>
          <w:rFonts w:cs="Arial"/>
          <w:sz w:val="22"/>
          <w:szCs w:val="22"/>
        </w:rPr>
        <w:t>GBP Pound (£)</w:t>
      </w:r>
      <w:r w:rsidRPr="002A1891">
        <w:rPr>
          <w:sz w:val="22"/>
          <w:szCs w:val="22"/>
        </w:rPr>
        <w:t xml:space="preserve">, and older costs are adjusted to 2014 costs by using an inflation correction, if necessary. </w:t>
      </w:r>
    </w:p>
    <w:p w14:paraId="7671F4FD" w14:textId="77777777" w:rsidR="00BE69CC" w:rsidRDefault="00BE69CC" w:rsidP="00BE69CC">
      <w:pPr>
        <w:pStyle w:val="NormalWeb"/>
        <w:spacing w:before="0" w:after="0"/>
        <w:rPr>
          <w:rFonts w:ascii="Arial" w:hAnsi="Arial" w:cs="Arial"/>
          <w:sz w:val="22"/>
          <w:szCs w:val="22"/>
        </w:rPr>
      </w:pPr>
    </w:p>
    <w:p w14:paraId="3A358A88" w14:textId="77777777" w:rsidR="00582249" w:rsidRDefault="00582249">
      <w:pPr>
        <w:ind w:left="357" w:hanging="357"/>
        <w:jc w:val="both"/>
        <w:rPr>
          <w:rFonts w:cs="Arial"/>
          <w:sz w:val="22"/>
          <w:szCs w:val="22"/>
        </w:rPr>
      </w:pPr>
      <w:r>
        <w:rPr>
          <w:rFonts w:cs="Arial"/>
          <w:sz w:val="22"/>
          <w:szCs w:val="22"/>
        </w:rPr>
        <w:br w:type="page"/>
      </w:r>
    </w:p>
    <w:p w14:paraId="0CD0780D" w14:textId="73EF30F1"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lastRenderedPageBreak/>
        <w:t>6.2</w:t>
      </w:r>
      <w:r w:rsidRPr="002A1891">
        <w:rPr>
          <w:rFonts w:ascii="Arial" w:hAnsi="Arial" w:cs="Arial"/>
          <w:b/>
          <w:sz w:val="22"/>
          <w:szCs w:val="22"/>
        </w:rPr>
        <w:tab/>
        <w:t>Choice and justification of approach</w:t>
      </w:r>
    </w:p>
    <w:p w14:paraId="349A3668" w14:textId="77777777" w:rsidR="00BE69CC" w:rsidRPr="002A1891" w:rsidRDefault="00BE69CC" w:rsidP="00BE69CC">
      <w:pPr>
        <w:pStyle w:val="NormalWeb"/>
        <w:spacing w:before="0" w:after="0"/>
        <w:rPr>
          <w:rFonts w:ascii="Arial" w:hAnsi="Arial" w:cs="Arial"/>
          <w:b/>
          <w:sz w:val="22"/>
          <w:szCs w:val="22"/>
        </w:rPr>
      </w:pPr>
    </w:p>
    <w:p w14:paraId="1B2609A7" w14:textId="77777777" w:rsidR="00BE69CC" w:rsidRPr="002A1891" w:rsidRDefault="00BE69CC" w:rsidP="00BE69CC">
      <w:pPr>
        <w:pStyle w:val="NormalWeb"/>
        <w:spacing w:before="0" w:after="0"/>
        <w:rPr>
          <w:rFonts w:ascii="Arial" w:hAnsi="Arial" w:cs="Arial"/>
          <w:sz w:val="22"/>
          <w:szCs w:val="22"/>
        </w:rPr>
      </w:pPr>
      <w:r w:rsidRPr="002A1891">
        <w:rPr>
          <w:rFonts w:ascii="Arial" w:hAnsi="Arial" w:cs="Arial"/>
          <w:sz w:val="22"/>
          <w:szCs w:val="22"/>
        </w:rPr>
        <w:t>A cost-minimisation approach has been adopted. This approach is both appropriate and justified for the following reasons:</w:t>
      </w:r>
    </w:p>
    <w:p w14:paraId="1D4D054A" w14:textId="27CABD5B" w:rsidR="00BE69CC" w:rsidRPr="002A1891" w:rsidRDefault="00BE69CC" w:rsidP="00BE69CC">
      <w:pPr>
        <w:widowControl w:val="0"/>
        <w:autoSpaceDE w:val="0"/>
        <w:autoSpaceDN w:val="0"/>
        <w:adjustRightInd w:val="0"/>
        <w:spacing w:before="120"/>
        <w:ind w:left="426" w:hanging="426"/>
        <w:rPr>
          <w:sz w:val="22"/>
          <w:szCs w:val="22"/>
        </w:rPr>
      </w:pPr>
      <w:r w:rsidRPr="002A1891">
        <w:rPr>
          <w:sz w:val="22"/>
          <w:szCs w:val="22"/>
        </w:rPr>
        <w:t>(i)    Clinical equivalence between tedizolid, linezolid and other antibiot</w:t>
      </w:r>
      <w:r w:rsidR="007B6DD8">
        <w:rPr>
          <w:sz w:val="22"/>
          <w:szCs w:val="22"/>
        </w:rPr>
        <w:t>ics commonly used to treat MRSA-</w:t>
      </w:r>
      <w:r w:rsidRPr="002A1891">
        <w:rPr>
          <w:sz w:val="22"/>
          <w:szCs w:val="22"/>
        </w:rPr>
        <w:t>ABSSSIs in Scotland can be assumed.</w:t>
      </w:r>
    </w:p>
    <w:p w14:paraId="2ED0B583" w14:textId="77777777" w:rsidR="00BE69CC" w:rsidRPr="002A1891" w:rsidRDefault="00BE69CC" w:rsidP="00BE69CC">
      <w:pPr>
        <w:widowControl w:val="0"/>
        <w:autoSpaceDE w:val="0"/>
        <w:autoSpaceDN w:val="0"/>
        <w:adjustRightInd w:val="0"/>
        <w:spacing w:before="120"/>
        <w:ind w:left="426"/>
        <w:rPr>
          <w:rFonts w:cs="Arial"/>
          <w:sz w:val="22"/>
          <w:szCs w:val="22"/>
        </w:rPr>
      </w:pPr>
      <w:r w:rsidRPr="002A1891">
        <w:rPr>
          <w:sz w:val="22"/>
          <w:szCs w:val="22"/>
        </w:rPr>
        <w:t xml:space="preserve">The comparator for the base case is linezolid, which is the most widely-used antibiotic in NHS Scotland for the treatment of MRSA-ABSSSIs, after initial treatment with a glycopeptide such as vancomycin. For linezolid, outcomes measured in the Phase 3 clinical studies demonstrated that tedizolid phosphate was non-inferior to linezolid on all primary and key secondary endpoints, within the pre-specified non-inferiority margin of 10%. As such, the cost-minimisation analysis (CMA) is underpinned by high quality, Phase 3 RCT evidence which demonstrates the clinical equivalence of these two active treatments.  </w:t>
      </w:r>
    </w:p>
    <w:p w14:paraId="17D01CF6" w14:textId="77777777" w:rsidR="00BE69CC" w:rsidRPr="002A1891" w:rsidRDefault="00BE69CC" w:rsidP="00BE69CC">
      <w:pPr>
        <w:pStyle w:val="ReportText"/>
        <w:spacing w:line="240" w:lineRule="auto"/>
        <w:jc w:val="left"/>
        <w:rPr>
          <w:szCs w:val="22"/>
        </w:rPr>
      </w:pPr>
    </w:p>
    <w:p w14:paraId="25F3CFF4" w14:textId="1095D9F7" w:rsidR="00BE69CC" w:rsidRPr="002A1891" w:rsidRDefault="00BE69CC" w:rsidP="00BE69CC">
      <w:pPr>
        <w:pStyle w:val="ReportText"/>
        <w:spacing w:line="240" w:lineRule="auto"/>
        <w:ind w:left="426"/>
        <w:jc w:val="left"/>
        <w:rPr>
          <w:rFonts w:cs="Arial"/>
          <w:szCs w:val="22"/>
        </w:rPr>
      </w:pPr>
      <w:r w:rsidRPr="002A1891">
        <w:rPr>
          <w:szCs w:val="22"/>
        </w:rPr>
        <w:t xml:space="preserve">In addition, where there is a lack of head-to-head clinical trial data comparing tedizolid </w:t>
      </w:r>
      <w:r w:rsidR="0075674B">
        <w:rPr>
          <w:szCs w:val="22"/>
        </w:rPr>
        <w:t xml:space="preserve">phosphate </w:t>
      </w:r>
      <w:r w:rsidRPr="002A1891">
        <w:rPr>
          <w:szCs w:val="22"/>
        </w:rPr>
        <w:t>with agents other than linezolid, a network meta-analysis (see details in</w:t>
      </w:r>
      <w:r w:rsidR="00B673CF">
        <w:rPr>
          <w:szCs w:val="22"/>
        </w:rPr>
        <w:t xml:space="preserve"> Appendix D</w:t>
      </w:r>
      <w:r w:rsidRPr="002A1891">
        <w:rPr>
          <w:szCs w:val="22"/>
        </w:rPr>
        <w:t>) showed that there was no evidence of a difference between any of the treatments included in the network (</w:t>
      </w:r>
      <w:r w:rsidRPr="002A1891">
        <w:rPr>
          <w:rFonts w:cs="Arial"/>
          <w:szCs w:val="22"/>
        </w:rPr>
        <w:t xml:space="preserve">vancomycin, linezolid, daptomycin, teicoplanin, tigecycline, telavancin, ceftaroline) </w:t>
      </w:r>
      <w:r w:rsidRPr="002A1891">
        <w:rPr>
          <w:szCs w:val="22"/>
        </w:rPr>
        <w:t xml:space="preserve">for clinical response (efficacy) and discontinuation due to AE for all possible comparisons. </w:t>
      </w:r>
    </w:p>
    <w:p w14:paraId="157D7B2A" w14:textId="77777777" w:rsidR="00BE69CC" w:rsidRPr="002A1891" w:rsidRDefault="00BE69CC" w:rsidP="00BE69CC">
      <w:pPr>
        <w:widowControl w:val="0"/>
        <w:autoSpaceDE w:val="0"/>
        <w:autoSpaceDN w:val="0"/>
        <w:adjustRightInd w:val="0"/>
        <w:spacing w:before="120"/>
        <w:rPr>
          <w:rFonts w:cs="Arial"/>
          <w:sz w:val="22"/>
          <w:szCs w:val="22"/>
        </w:rPr>
      </w:pPr>
    </w:p>
    <w:p w14:paraId="09EAC497" w14:textId="77777777" w:rsidR="00BE69CC" w:rsidRPr="002A1891" w:rsidRDefault="00BE69CC" w:rsidP="00BE69CC">
      <w:pPr>
        <w:widowControl w:val="0"/>
        <w:autoSpaceDE w:val="0"/>
        <w:autoSpaceDN w:val="0"/>
        <w:adjustRightInd w:val="0"/>
        <w:ind w:left="426" w:hanging="426"/>
        <w:rPr>
          <w:sz w:val="22"/>
          <w:szCs w:val="22"/>
        </w:rPr>
      </w:pPr>
      <w:r w:rsidRPr="002A1891">
        <w:rPr>
          <w:sz w:val="22"/>
          <w:szCs w:val="22"/>
        </w:rPr>
        <w:t>(ii)</w:t>
      </w:r>
      <w:r w:rsidRPr="002A1891">
        <w:rPr>
          <w:sz w:val="22"/>
          <w:szCs w:val="22"/>
        </w:rPr>
        <w:tab/>
        <w:t xml:space="preserve">CMA is a justifiable choice when comparing treatments for infectious diseases, such as MRSA-caused ABSSSIs given the acute, episodic nature of the infection and the short duration of treatment where no difference in terms of clinical-effectiveness or long-term benefits are expected.   </w:t>
      </w:r>
    </w:p>
    <w:p w14:paraId="0E848F87" w14:textId="77777777" w:rsidR="00BE69CC" w:rsidRPr="002A1891" w:rsidRDefault="00BE69CC" w:rsidP="00BE69CC">
      <w:pPr>
        <w:widowControl w:val="0"/>
        <w:autoSpaceDE w:val="0"/>
        <w:autoSpaceDN w:val="0"/>
        <w:adjustRightInd w:val="0"/>
        <w:rPr>
          <w:sz w:val="22"/>
          <w:szCs w:val="22"/>
        </w:rPr>
      </w:pPr>
    </w:p>
    <w:p w14:paraId="0E82EA24" w14:textId="77777777" w:rsidR="00BE69CC" w:rsidRPr="002A1891" w:rsidRDefault="00BE69CC" w:rsidP="00BE69CC">
      <w:pPr>
        <w:widowControl w:val="0"/>
        <w:autoSpaceDE w:val="0"/>
        <w:autoSpaceDN w:val="0"/>
        <w:adjustRightInd w:val="0"/>
        <w:ind w:left="360" w:hanging="360"/>
        <w:rPr>
          <w:sz w:val="22"/>
          <w:szCs w:val="22"/>
        </w:rPr>
      </w:pPr>
      <w:r w:rsidRPr="002A1891">
        <w:rPr>
          <w:sz w:val="22"/>
          <w:szCs w:val="22"/>
        </w:rPr>
        <w:t>(iii) The SMC has previously accepted treatments for use in NHS Scotland for similar indications where the manufacturer has presented a CMA, specifically:</w:t>
      </w:r>
    </w:p>
    <w:p w14:paraId="4F5D0E1D" w14:textId="18175D09" w:rsidR="00BE69CC" w:rsidRPr="002A1891" w:rsidRDefault="00BE69CC" w:rsidP="00C35C1F">
      <w:pPr>
        <w:pStyle w:val="ListParagraph"/>
        <w:numPr>
          <w:ilvl w:val="0"/>
          <w:numId w:val="52"/>
        </w:numPr>
        <w:rPr>
          <w:sz w:val="22"/>
        </w:rPr>
      </w:pPr>
      <w:r w:rsidRPr="002A1891">
        <w:rPr>
          <w:sz w:val="22"/>
        </w:rPr>
        <w:t>Ceftaroline vs. daptomycin and linezolid (SMC advice 830/12)</w:t>
      </w:r>
      <w:r w:rsidR="00211BCD">
        <w:rPr>
          <w:sz w:val="22"/>
        </w:rPr>
        <w:fldChar w:fldCharType="begin"/>
      </w:r>
      <w:r w:rsidR="00211BCD">
        <w:rPr>
          <w:sz w:val="22"/>
        </w:rPr>
        <w:instrText xml:space="preserve"> REF _Ref284185925 \r \h </w:instrText>
      </w:r>
      <w:r w:rsidR="00211BCD">
        <w:rPr>
          <w:sz w:val="22"/>
        </w:rPr>
      </w:r>
      <w:r w:rsidR="00211BCD">
        <w:rPr>
          <w:sz w:val="22"/>
        </w:rPr>
        <w:fldChar w:fldCharType="separate"/>
      </w:r>
      <w:r w:rsidR="00151A1C">
        <w:rPr>
          <w:sz w:val="22"/>
        </w:rPr>
        <w:t>65</w:t>
      </w:r>
      <w:r w:rsidR="00211BCD">
        <w:rPr>
          <w:sz w:val="22"/>
        </w:rPr>
        <w:fldChar w:fldCharType="end"/>
      </w:r>
    </w:p>
    <w:p w14:paraId="3FF360BA" w14:textId="3643F1BF" w:rsidR="00BE69CC" w:rsidRPr="002A1891" w:rsidRDefault="00BE69CC" w:rsidP="00C35C1F">
      <w:pPr>
        <w:pStyle w:val="ListParagraph"/>
        <w:numPr>
          <w:ilvl w:val="0"/>
          <w:numId w:val="52"/>
        </w:numPr>
        <w:rPr>
          <w:sz w:val="22"/>
        </w:rPr>
      </w:pPr>
      <w:r w:rsidRPr="002A1891">
        <w:rPr>
          <w:sz w:val="22"/>
        </w:rPr>
        <w:t>Daptomycin vs. vancomycin (SMC advice 248/06)</w:t>
      </w:r>
      <w:r w:rsidR="00211BCD">
        <w:rPr>
          <w:sz w:val="22"/>
        </w:rPr>
        <w:fldChar w:fldCharType="begin"/>
      </w:r>
      <w:r w:rsidR="00211BCD">
        <w:rPr>
          <w:sz w:val="22"/>
        </w:rPr>
        <w:instrText xml:space="preserve"> REF _Ref284185723 \r \h </w:instrText>
      </w:r>
      <w:r w:rsidR="00211BCD">
        <w:rPr>
          <w:sz w:val="22"/>
        </w:rPr>
      </w:r>
      <w:r w:rsidR="00211BCD">
        <w:rPr>
          <w:sz w:val="22"/>
        </w:rPr>
        <w:fldChar w:fldCharType="separate"/>
      </w:r>
      <w:r w:rsidR="00151A1C">
        <w:rPr>
          <w:sz w:val="22"/>
        </w:rPr>
        <w:t>61</w:t>
      </w:r>
      <w:r w:rsidR="00211BCD">
        <w:rPr>
          <w:sz w:val="22"/>
        </w:rPr>
        <w:fldChar w:fldCharType="end"/>
      </w:r>
    </w:p>
    <w:p w14:paraId="76D29283" w14:textId="77777777" w:rsidR="00BE69CC" w:rsidRPr="002A1891" w:rsidRDefault="00BE69CC" w:rsidP="00BE69CC">
      <w:pPr>
        <w:rPr>
          <w:sz w:val="22"/>
        </w:rPr>
      </w:pPr>
    </w:p>
    <w:p w14:paraId="074BAEB8" w14:textId="61CEA3AE" w:rsidR="00BE69CC" w:rsidRPr="002A1891" w:rsidRDefault="00BE69CC" w:rsidP="00BE69CC">
      <w:pPr>
        <w:widowControl w:val="0"/>
        <w:autoSpaceDE w:val="0"/>
        <w:autoSpaceDN w:val="0"/>
        <w:adjustRightInd w:val="0"/>
        <w:spacing w:before="120"/>
        <w:rPr>
          <w:rFonts w:cs="Arial"/>
          <w:sz w:val="22"/>
          <w:szCs w:val="22"/>
        </w:rPr>
      </w:pPr>
      <w:r w:rsidRPr="002A1891">
        <w:rPr>
          <w:rFonts w:cs="Arial"/>
          <w:sz w:val="22"/>
          <w:szCs w:val="22"/>
        </w:rPr>
        <w:t xml:space="preserve">The manufacturer has adopted a conservative approach. As described in section 4 of </w:t>
      </w:r>
      <w:r w:rsidRPr="002A1891">
        <w:rPr>
          <w:rFonts w:cs="Arial"/>
          <w:sz w:val="22"/>
          <w:szCs w:val="22"/>
        </w:rPr>
        <w:lastRenderedPageBreak/>
        <w:t>this NPAF, treatment with tedizolid phosphate is associated with fewer gastrointestinal adverse events than linezolid, and is not associated with either neph</w:t>
      </w:r>
      <w:r w:rsidR="00E711F5">
        <w:rPr>
          <w:rFonts w:cs="Arial"/>
          <w:sz w:val="22"/>
          <w:szCs w:val="22"/>
        </w:rPr>
        <w:t xml:space="preserve">rotoxicity or myelosuppression </w:t>
      </w:r>
      <w:r w:rsidRPr="002A1891">
        <w:rPr>
          <w:rFonts w:cs="Arial"/>
          <w:sz w:val="22"/>
          <w:szCs w:val="22"/>
        </w:rPr>
        <w:t>(</w:t>
      </w:r>
      <w:r w:rsidR="006F010F">
        <w:rPr>
          <w:rFonts w:cs="Arial"/>
          <w:sz w:val="22"/>
          <w:szCs w:val="22"/>
        </w:rPr>
        <w:fldChar w:fldCharType="begin"/>
      </w:r>
      <w:r w:rsidR="006F010F">
        <w:rPr>
          <w:rFonts w:cs="Arial"/>
          <w:sz w:val="22"/>
          <w:szCs w:val="22"/>
        </w:rPr>
        <w:instrText xml:space="preserve"> REF _Ref284439522 \r \h </w:instrText>
      </w:r>
      <w:r w:rsidR="006F010F">
        <w:rPr>
          <w:rFonts w:cs="Arial"/>
          <w:sz w:val="22"/>
          <w:szCs w:val="22"/>
        </w:rPr>
      </w:r>
      <w:r w:rsidR="006F010F">
        <w:rPr>
          <w:rFonts w:cs="Arial"/>
          <w:sz w:val="22"/>
          <w:szCs w:val="22"/>
        </w:rPr>
        <w:fldChar w:fldCharType="separate"/>
      </w:r>
      <w:r w:rsidR="00151A1C">
        <w:rPr>
          <w:rFonts w:cs="Arial"/>
          <w:sz w:val="22"/>
          <w:szCs w:val="22"/>
        </w:rPr>
        <w:t>74</w:t>
      </w:r>
      <w:r w:rsidR="006F010F">
        <w:rPr>
          <w:rFonts w:cs="Arial"/>
          <w:sz w:val="22"/>
          <w:szCs w:val="22"/>
        </w:rPr>
        <w:fldChar w:fldCharType="end"/>
      </w:r>
      <w:r w:rsidRPr="002A1891">
        <w:rPr>
          <w:rFonts w:cs="Arial"/>
          <w:sz w:val="22"/>
          <w:szCs w:val="22"/>
        </w:rPr>
        <w:t xml:space="preserve">). Nevertheless, for the purposes of this economic analysis, the manufacturer has </w:t>
      </w:r>
      <w:r w:rsidRPr="00D132D5">
        <w:rPr>
          <w:rFonts w:cs="Arial"/>
          <w:sz w:val="22"/>
          <w:szCs w:val="22"/>
        </w:rPr>
        <w:t>assumed that the benefits for tedizolid phosphate and linezolid in terms of efficacy, safety and tolerability are identical.</w:t>
      </w:r>
      <w:r w:rsidR="00E711F5" w:rsidRPr="00D132D5">
        <w:rPr>
          <w:rFonts w:cs="Arial"/>
          <w:sz w:val="22"/>
          <w:szCs w:val="22"/>
        </w:rPr>
        <w:t xml:space="preserve"> In addition, </w:t>
      </w:r>
      <w:r w:rsidR="00E711F5" w:rsidRPr="00D132D5">
        <w:rPr>
          <w:rFonts w:eastAsia="Times New Roman"/>
          <w:sz w:val="22"/>
          <w:szCs w:val="22"/>
          <w:lang w:eastAsia="ja-JP"/>
        </w:rPr>
        <w:t xml:space="preserve">the manufacturer has conservatively assumed </w:t>
      </w:r>
      <w:r w:rsidR="00D132D5" w:rsidRPr="00D132D5">
        <w:rPr>
          <w:rFonts w:eastAsia="Times New Roman"/>
          <w:sz w:val="22"/>
          <w:szCs w:val="22"/>
          <w:lang w:eastAsia="ja-JP"/>
        </w:rPr>
        <w:t xml:space="preserve">that the duration of a course of linezolid treatment would be only 10 days, as per the Phase 3 studies, even though the </w:t>
      </w:r>
      <w:r w:rsidR="00E711F5" w:rsidRPr="00D132D5">
        <w:rPr>
          <w:rFonts w:eastAsia="Times New Roman"/>
          <w:sz w:val="22"/>
          <w:szCs w:val="22"/>
          <w:lang w:eastAsia="ja-JP"/>
        </w:rPr>
        <w:t xml:space="preserve">recommended </w:t>
      </w:r>
      <w:r w:rsidR="00D132D5" w:rsidRPr="00D132D5">
        <w:rPr>
          <w:rFonts w:eastAsia="Times New Roman"/>
          <w:sz w:val="22"/>
          <w:szCs w:val="22"/>
          <w:lang w:eastAsia="ja-JP"/>
        </w:rPr>
        <w:t xml:space="preserve">licensed dose </w:t>
      </w:r>
      <w:r w:rsidR="00E711F5" w:rsidRPr="00D132D5">
        <w:rPr>
          <w:rFonts w:eastAsia="Times New Roman"/>
          <w:sz w:val="22"/>
          <w:szCs w:val="22"/>
          <w:lang w:eastAsia="ja-JP"/>
        </w:rPr>
        <w:t>for linezolid is 10-14 consecutive days (</w:t>
      </w:r>
      <w:r w:rsidR="006F010F">
        <w:rPr>
          <w:rFonts w:eastAsia="Times New Roman"/>
          <w:sz w:val="22"/>
          <w:szCs w:val="22"/>
          <w:lang w:eastAsia="ja-JP"/>
        </w:rPr>
        <w:fldChar w:fldCharType="begin"/>
      </w:r>
      <w:r w:rsidR="006F010F">
        <w:rPr>
          <w:rFonts w:eastAsia="Times New Roman"/>
          <w:sz w:val="22"/>
          <w:szCs w:val="22"/>
          <w:lang w:eastAsia="ja-JP"/>
        </w:rPr>
        <w:instrText xml:space="preserve"> REF _Ref284439522 \r \h </w:instrText>
      </w:r>
      <w:r w:rsidR="006F010F">
        <w:rPr>
          <w:rFonts w:eastAsia="Times New Roman"/>
          <w:sz w:val="22"/>
          <w:szCs w:val="22"/>
          <w:lang w:eastAsia="ja-JP"/>
        </w:rPr>
      </w:r>
      <w:r w:rsidR="006F010F">
        <w:rPr>
          <w:rFonts w:eastAsia="Times New Roman"/>
          <w:sz w:val="22"/>
          <w:szCs w:val="22"/>
          <w:lang w:eastAsia="ja-JP"/>
        </w:rPr>
        <w:fldChar w:fldCharType="separate"/>
      </w:r>
      <w:r w:rsidR="00151A1C">
        <w:rPr>
          <w:rFonts w:eastAsia="Times New Roman"/>
          <w:sz w:val="22"/>
          <w:szCs w:val="22"/>
          <w:lang w:eastAsia="ja-JP"/>
        </w:rPr>
        <w:t>74</w:t>
      </w:r>
      <w:r w:rsidR="006F010F">
        <w:rPr>
          <w:rFonts w:eastAsia="Times New Roman"/>
          <w:sz w:val="22"/>
          <w:szCs w:val="22"/>
          <w:lang w:eastAsia="ja-JP"/>
        </w:rPr>
        <w:fldChar w:fldCharType="end"/>
      </w:r>
      <w:r w:rsidR="00E711F5" w:rsidRPr="00D132D5">
        <w:rPr>
          <w:rFonts w:eastAsia="Times New Roman"/>
          <w:sz w:val="22"/>
          <w:szCs w:val="22"/>
          <w:lang w:eastAsia="ja-JP"/>
        </w:rPr>
        <w:t>).</w:t>
      </w:r>
      <w:r w:rsidR="00E711F5" w:rsidRPr="00E711F5">
        <w:rPr>
          <w:rFonts w:eastAsia="Times New Roman"/>
          <w:color w:val="FF0000"/>
          <w:lang w:eastAsia="ja-JP"/>
        </w:rPr>
        <w:t xml:space="preserve"> </w:t>
      </w:r>
    </w:p>
    <w:p w14:paraId="7D7A7785" w14:textId="77777777" w:rsidR="00BE69CC" w:rsidRPr="002A1891" w:rsidRDefault="00BE69CC" w:rsidP="00BE69CC">
      <w:pPr>
        <w:pStyle w:val="NormalWeb"/>
        <w:spacing w:before="0" w:after="0"/>
        <w:rPr>
          <w:rFonts w:ascii="Arial" w:hAnsi="Arial" w:cs="Arial"/>
          <w:b/>
          <w:sz w:val="22"/>
          <w:szCs w:val="22"/>
        </w:rPr>
      </w:pPr>
    </w:p>
    <w:p w14:paraId="5E482FBC" w14:textId="77777777"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t>6.3</w:t>
      </w:r>
      <w:r w:rsidRPr="002A1891">
        <w:rPr>
          <w:rFonts w:ascii="Arial" w:hAnsi="Arial" w:cs="Arial"/>
          <w:b/>
          <w:sz w:val="22"/>
          <w:szCs w:val="22"/>
        </w:rPr>
        <w:tab/>
        <w:t xml:space="preserve">Design of economic evaluation </w:t>
      </w:r>
    </w:p>
    <w:p w14:paraId="125C3A68" w14:textId="77777777" w:rsidR="00BE69CC" w:rsidRPr="002A1891" w:rsidRDefault="00BE69CC" w:rsidP="00BE69CC">
      <w:pPr>
        <w:pStyle w:val="NormalWeb"/>
        <w:spacing w:before="0" w:after="0"/>
        <w:rPr>
          <w:rFonts w:ascii="Arial" w:hAnsi="Arial" w:cs="Arial"/>
          <w:b/>
          <w:sz w:val="22"/>
          <w:szCs w:val="22"/>
        </w:rPr>
      </w:pPr>
    </w:p>
    <w:p w14:paraId="77396BF7" w14:textId="77777777" w:rsidR="00BE69CC" w:rsidRPr="002A1891" w:rsidRDefault="00BE69CC" w:rsidP="00BE69CC">
      <w:pPr>
        <w:pStyle w:val="Answer"/>
        <w:spacing w:line="240" w:lineRule="auto"/>
      </w:pPr>
      <w:r w:rsidRPr="002A1891">
        <w:t>As there were no statistically significant differences in efficacy between tedizolid phosphate and linezolid, a cost minimisation approach, where costs are the only input that differ by intervention, was considered to be the most appropriate form of economic evaluation.  A cost-minimisation model was developed in Microsoft</w:t>
      </w:r>
      <w:r w:rsidRPr="002A1891">
        <w:rPr>
          <w:vertAlign w:val="superscript"/>
        </w:rPr>
        <w:t xml:space="preserve">® </w:t>
      </w:r>
      <w:r w:rsidRPr="002A1891">
        <w:t>Excel to compare the costs of tedizolid phosphate (administered by IV or orally) and linezolid (administered by IV or orally) over the duration of a full treatment course (as per their respective marketing authorisations) from the perspective of NHS Scotland and social work.</w:t>
      </w:r>
    </w:p>
    <w:p w14:paraId="70EFC7CE" w14:textId="77777777" w:rsidR="00BE69CC" w:rsidRDefault="00BE69CC" w:rsidP="00BE69CC">
      <w:pPr>
        <w:pStyle w:val="NormalWeb"/>
        <w:spacing w:before="0" w:after="0"/>
        <w:rPr>
          <w:rFonts w:ascii="Arial" w:hAnsi="Arial" w:cs="Arial"/>
          <w:b/>
          <w:sz w:val="22"/>
          <w:szCs w:val="22"/>
        </w:rPr>
      </w:pPr>
    </w:p>
    <w:p w14:paraId="565AC973" w14:textId="77777777" w:rsidR="00582249" w:rsidRDefault="00582249">
      <w:pPr>
        <w:ind w:left="357" w:hanging="357"/>
        <w:jc w:val="both"/>
        <w:rPr>
          <w:rFonts w:cs="Arial"/>
          <w:b/>
          <w:sz w:val="22"/>
          <w:szCs w:val="22"/>
        </w:rPr>
      </w:pPr>
      <w:r>
        <w:rPr>
          <w:rFonts w:cs="Arial"/>
          <w:b/>
          <w:sz w:val="22"/>
          <w:szCs w:val="22"/>
        </w:rPr>
        <w:br w:type="page"/>
      </w:r>
    </w:p>
    <w:p w14:paraId="39D12B63" w14:textId="1D3A083D"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lastRenderedPageBreak/>
        <w:t>6.3.1 Desired outcome of the evaluation</w:t>
      </w:r>
    </w:p>
    <w:p w14:paraId="287A510E" w14:textId="77777777" w:rsidR="00BE69CC" w:rsidRPr="002A1891" w:rsidRDefault="00BE69CC" w:rsidP="00BE69CC">
      <w:pPr>
        <w:pStyle w:val="NormalWeb"/>
        <w:spacing w:before="0" w:after="0"/>
        <w:rPr>
          <w:rFonts w:ascii="Arial" w:hAnsi="Arial" w:cs="Arial"/>
          <w:b/>
          <w:sz w:val="22"/>
          <w:szCs w:val="22"/>
        </w:rPr>
      </w:pPr>
    </w:p>
    <w:p w14:paraId="4E524E50" w14:textId="3044DA40" w:rsidR="00211BCD" w:rsidRPr="007B6DD8" w:rsidRDefault="00BE69CC" w:rsidP="007B6DD8">
      <w:pPr>
        <w:pStyle w:val="Answer"/>
        <w:spacing w:line="240" w:lineRule="auto"/>
      </w:pPr>
      <w:r w:rsidRPr="002A1891">
        <w:t>The outcome measure is the cost savings associated with the use of tedizolid phosphate vs. the comparator treatment over a full course of treatment.</w:t>
      </w:r>
    </w:p>
    <w:p w14:paraId="469331D9" w14:textId="77777777" w:rsidR="00211BCD" w:rsidRPr="002A1891" w:rsidRDefault="00211BCD" w:rsidP="00BE69CC">
      <w:pPr>
        <w:pStyle w:val="NormalWeb"/>
        <w:spacing w:before="0" w:after="0"/>
        <w:rPr>
          <w:rFonts w:ascii="Arial" w:hAnsi="Arial" w:cs="Arial"/>
          <w:b/>
          <w:sz w:val="22"/>
          <w:szCs w:val="22"/>
        </w:rPr>
      </w:pPr>
    </w:p>
    <w:p w14:paraId="2CDD1BC8" w14:textId="77777777" w:rsidR="00BE69CC" w:rsidRPr="002A1891" w:rsidRDefault="00BE69CC" w:rsidP="00C35C1F">
      <w:pPr>
        <w:pStyle w:val="NormalWeb"/>
        <w:numPr>
          <w:ilvl w:val="2"/>
          <w:numId w:val="62"/>
        </w:numPr>
        <w:spacing w:before="0" w:after="0"/>
        <w:ind w:left="567" w:hanging="567"/>
        <w:rPr>
          <w:rFonts w:ascii="Arial" w:hAnsi="Arial" w:cs="Arial"/>
          <w:b/>
          <w:sz w:val="22"/>
          <w:szCs w:val="22"/>
        </w:rPr>
      </w:pPr>
      <w:r w:rsidRPr="002A1891">
        <w:rPr>
          <w:rFonts w:ascii="Arial" w:hAnsi="Arial" w:cs="Arial"/>
          <w:b/>
          <w:sz w:val="22"/>
          <w:szCs w:val="22"/>
        </w:rPr>
        <w:t xml:space="preserve">Model structure  </w:t>
      </w:r>
    </w:p>
    <w:p w14:paraId="397FA3D2" w14:textId="77777777" w:rsidR="00BE69CC" w:rsidRPr="002A1891" w:rsidRDefault="00BE69CC" w:rsidP="00BE69CC">
      <w:pPr>
        <w:pStyle w:val="NormalWeb"/>
        <w:spacing w:before="0" w:after="0"/>
        <w:rPr>
          <w:rFonts w:ascii="Arial" w:hAnsi="Arial"/>
          <w:sz w:val="22"/>
          <w:szCs w:val="22"/>
        </w:rPr>
      </w:pPr>
    </w:p>
    <w:p w14:paraId="16E06A02" w14:textId="77777777" w:rsidR="00151A1C" w:rsidRPr="002A1891" w:rsidRDefault="00BE69CC" w:rsidP="00DD7EE4">
      <w:pPr>
        <w:rPr>
          <w:sz w:val="22"/>
          <w:szCs w:val="22"/>
        </w:rPr>
      </w:pPr>
      <w:r w:rsidRPr="002A1891">
        <w:rPr>
          <w:sz w:val="22"/>
          <w:szCs w:val="22"/>
        </w:rPr>
        <w:t xml:space="preserve">In this CMA, a simple decision tree analytic model has been used to demonstrate the cost-effectiveness of tedizolid phosphate for the treatment of ABSSSIs. </w:t>
      </w:r>
      <w:r w:rsidRPr="002A1891">
        <w:rPr>
          <w:sz w:val="22"/>
          <w:szCs w:val="22"/>
        </w:rPr>
        <w:fldChar w:fldCharType="begin"/>
      </w:r>
      <w:r w:rsidRPr="002A1891">
        <w:rPr>
          <w:sz w:val="22"/>
          <w:szCs w:val="22"/>
        </w:rPr>
        <w:instrText xml:space="preserve"> REF _Ref282770370 \h </w:instrText>
      </w:r>
      <w:r w:rsidRPr="002A1891">
        <w:rPr>
          <w:sz w:val="22"/>
          <w:szCs w:val="22"/>
        </w:rPr>
      </w:r>
      <w:r w:rsidRPr="002A1891">
        <w:rPr>
          <w:sz w:val="22"/>
          <w:szCs w:val="22"/>
        </w:rPr>
        <w:fldChar w:fldCharType="separate"/>
      </w:r>
    </w:p>
    <w:p w14:paraId="088CEF34" w14:textId="0EF55D8B" w:rsidR="00BE69CC" w:rsidRPr="002A1891" w:rsidRDefault="00151A1C" w:rsidP="00DD7EE4">
      <w:pPr>
        <w:rPr>
          <w:sz w:val="22"/>
          <w:szCs w:val="22"/>
        </w:rPr>
      </w:pPr>
      <w:r w:rsidRPr="002A1891">
        <w:rPr>
          <w:sz w:val="22"/>
          <w:szCs w:val="22"/>
        </w:rPr>
        <w:t xml:space="preserve">Figure </w:t>
      </w:r>
      <w:r>
        <w:rPr>
          <w:noProof/>
          <w:sz w:val="22"/>
          <w:szCs w:val="22"/>
        </w:rPr>
        <w:t>14</w:t>
      </w:r>
      <w:r w:rsidR="00BE69CC" w:rsidRPr="002A1891">
        <w:rPr>
          <w:sz w:val="22"/>
          <w:szCs w:val="22"/>
        </w:rPr>
        <w:fldChar w:fldCharType="end"/>
      </w:r>
      <w:r w:rsidR="00BE69CC" w:rsidRPr="002A1891">
        <w:rPr>
          <w:sz w:val="22"/>
          <w:szCs w:val="22"/>
        </w:rPr>
        <w:t xml:space="preserve"> shows the design of the CMA model.</w:t>
      </w:r>
      <w:bookmarkStart w:id="197" w:name="_Ref282770370"/>
    </w:p>
    <w:p w14:paraId="21C1515E" w14:textId="77777777" w:rsidR="00BE69CC" w:rsidRPr="002A1891" w:rsidRDefault="00BE69CC" w:rsidP="00BE69CC">
      <w:pPr>
        <w:pStyle w:val="Caption"/>
        <w:rPr>
          <w:rFonts w:ascii="Arial" w:hAnsi="Arial"/>
          <w:sz w:val="22"/>
          <w:szCs w:val="22"/>
        </w:rPr>
      </w:pPr>
      <w:r w:rsidRPr="002A1891">
        <w:rPr>
          <w:rFonts w:ascii="Arial" w:hAnsi="Arial"/>
          <w:sz w:val="22"/>
          <w:szCs w:val="22"/>
        </w:rPr>
        <w:t xml:space="preserve">Figure </w:t>
      </w:r>
      <w:r w:rsidRPr="002A1891">
        <w:rPr>
          <w:rFonts w:ascii="Arial" w:hAnsi="Arial"/>
          <w:sz w:val="22"/>
          <w:szCs w:val="22"/>
        </w:rPr>
        <w:fldChar w:fldCharType="begin"/>
      </w:r>
      <w:r w:rsidRPr="002A1891">
        <w:rPr>
          <w:rFonts w:ascii="Arial" w:hAnsi="Arial"/>
          <w:sz w:val="22"/>
          <w:szCs w:val="22"/>
        </w:rPr>
        <w:instrText xml:space="preserve"> SEQ Figure \* ARABIC </w:instrText>
      </w:r>
      <w:r w:rsidRPr="002A1891">
        <w:rPr>
          <w:rFonts w:ascii="Arial" w:hAnsi="Arial"/>
          <w:sz w:val="22"/>
          <w:szCs w:val="22"/>
        </w:rPr>
        <w:fldChar w:fldCharType="separate"/>
      </w:r>
      <w:r w:rsidR="00151A1C">
        <w:rPr>
          <w:rFonts w:ascii="Arial" w:hAnsi="Arial"/>
          <w:noProof/>
          <w:sz w:val="22"/>
          <w:szCs w:val="22"/>
        </w:rPr>
        <w:t>14</w:t>
      </w:r>
      <w:r w:rsidRPr="002A1891">
        <w:rPr>
          <w:rFonts w:ascii="Arial" w:hAnsi="Arial"/>
          <w:sz w:val="22"/>
          <w:szCs w:val="22"/>
        </w:rPr>
        <w:fldChar w:fldCharType="end"/>
      </w:r>
      <w:bookmarkEnd w:id="197"/>
      <w:r w:rsidRPr="002A1891">
        <w:rPr>
          <w:rFonts w:ascii="Arial" w:hAnsi="Arial"/>
          <w:sz w:val="22"/>
          <w:szCs w:val="22"/>
        </w:rPr>
        <w:t>: Structure of CMA model</w:t>
      </w:r>
    </w:p>
    <w:p w14:paraId="105B54D3" w14:textId="079BBA76" w:rsidR="00BE69CC" w:rsidRPr="002A1891" w:rsidRDefault="000D273E" w:rsidP="00BE69CC">
      <w:pPr>
        <w:rPr>
          <w:sz w:val="22"/>
          <w:szCs w:val="22"/>
        </w:rPr>
      </w:pPr>
      <w:r>
        <w:rPr>
          <w:noProof/>
          <w:lang w:eastAsia="en-GB"/>
        </w:rPr>
        <w:drawing>
          <wp:inline distT="0" distB="0" distL="0" distR="0" wp14:anchorId="08F238A6" wp14:editId="5DA58D52">
            <wp:extent cx="5730240" cy="1003300"/>
            <wp:effectExtent l="0" t="0" r="0" b="0"/>
            <wp:docPr id="8" name="Afbeelding 1" descr="Untitled Tre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Tree 2.bmp"/>
                    <pic:cNvPicPr/>
                  </pic:nvPicPr>
                  <pic:blipFill>
                    <a:blip r:embed="rId35"/>
                    <a:stretch>
                      <a:fillRect/>
                    </a:stretch>
                  </pic:blipFill>
                  <pic:spPr>
                    <a:xfrm>
                      <a:off x="0" y="0"/>
                      <a:ext cx="5731510" cy="1003522"/>
                    </a:xfrm>
                    <a:prstGeom prst="rect">
                      <a:avLst/>
                    </a:prstGeom>
                  </pic:spPr>
                </pic:pic>
              </a:graphicData>
            </a:graphic>
          </wp:inline>
        </w:drawing>
      </w:r>
    </w:p>
    <w:p w14:paraId="1AD1D5AE" w14:textId="23036974" w:rsidR="00BE69CC" w:rsidRPr="002A1891" w:rsidRDefault="00BE69CC" w:rsidP="00BE69CC">
      <w:pPr>
        <w:spacing w:before="120"/>
        <w:rPr>
          <w:sz w:val="22"/>
          <w:szCs w:val="22"/>
        </w:rPr>
      </w:pPr>
      <w:r w:rsidRPr="002A1891">
        <w:rPr>
          <w:sz w:val="22"/>
          <w:szCs w:val="22"/>
        </w:rPr>
        <w:t>Treatment of an ABSSSI is usually initiated with IV (intravenous) antibiotics, as well as prompt and thorough incision and drainage of abscesses in addition to debridement of wounds where necessary (</w:t>
      </w:r>
      <w:r w:rsidR="00582249">
        <w:rPr>
          <w:sz w:val="22"/>
          <w:szCs w:val="22"/>
        </w:rPr>
        <w:fldChar w:fldCharType="begin"/>
      </w:r>
      <w:r w:rsidR="00582249">
        <w:rPr>
          <w:sz w:val="22"/>
          <w:szCs w:val="22"/>
        </w:rPr>
        <w:instrText xml:space="preserve"> REF _Ref284439811 \r \h </w:instrText>
      </w:r>
      <w:r w:rsidR="00582249">
        <w:rPr>
          <w:sz w:val="22"/>
          <w:szCs w:val="22"/>
        </w:rPr>
      </w:r>
      <w:r w:rsidR="00582249">
        <w:rPr>
          <w:sz w:val="22"/>
          <w:szCs w:val="22"/>
        </w:rPr>
        <w:fldChar w:fldCharType="separate"/>
      </w:r>
      <w:r w:rsidR="00151A1C">
        <w:rPr>
          <w:sz w:val="22"/>
          <w:szCs w:val="22"/>
        </w:rPr>
        <w:t>87</w:t>
      </w:r>
      <w:r w:rsidR="00582249">
        <w:rPr>
          <w:sz w:val="22"/>
          <w:szCs w:val="22"/>
        </w:rPr>
        <w:fldChar w:fldCharType="end"/>
      </w:r>
      <w:r w:rsidRPr="002A1891">
        <w:rPr>
          <w:sz w:val="22"/>
          <w:szCs w:val="22"/>
        </w:rPr>
        <w:t xml:space="preserve">). Oral antibacterials can be substituted in a step-down approach from the initial parenteral therapy in cases involving mild-to-moderate infections. However, for patients who present with severe infection or in those whose infection is progressing despite empiric therapy, it is recommended that aggressive treatment is undertaken based upon diagnosis of the infecting pathogen and drug susceptibility analysis. </w:t>
      </w:r>
    </w:p>
    <w:p w14:paraId="7EFF426F" w14:textId="109A9D2F" w:rsidR="00BE69CC" w:rsidRPr="002A1891" w:rsidRDefault="00BE69CC" w:rsidP="00BE69CC">
      <w:pPr>
        <w:spacing w:before="120"/>
        <w:rPr>
          <w:sz w:val="22"/>
          <w:szCs w:val="22"/>
        </w:rPr>
      </w:pPr>
      <w:r w:rsidRPr="002A1891">
        <w:rPr>
          <w:sz w:val="22"/>
          <w:szCs w:val="22"/>
        </w:rPr>
        <w:t>As described in section 5e) above, the initial treatment for an ABSSSI suspected or proven to be caused by MRSA is a glycopeptide, usually vancomycin (</w:t>
      </w:r>
      <w:r w:rsidR="00211BCD">
        <w:rPr>
          <w:sz w:val="22"/>
          <w:szCs w:val="22"/>
        </w:rPr>
        <w:fldChar w:fldCharType="begin"/>
      </w:r>
      <w:r w:rsidR="00211BCD">
        <w:rPr>
          <w:sz w:val="22"/>
          <w:szCs w:val="22"/>
        </w:rPr>
        <w:instrText xml:space="preserve"> REF _Ref284168416 \r \h </w:instrText>
      </w:r>
      <w:r w:rsidR="00211BCD">
        <w:rPr>
          <w:sz w:val="22"/>
          <w:szCs w:val="22"/>
        </w:rPr>
      </w:r>
      <w:r w:rsidR="00211BCD">
        <w:rPr>
          <w:sz w:val="22"/>
          <w:szCs w:val="22"/>
        </w:rPr>
        <w:fldChar w:fldCharType="separate"/>
      </w:r>
      <w:r w:rsidR="00151A1C">
        <w:rPr>
          <w:sz w:val="22"/>
          <w:szCs w:val="22"/>
        </w:rPr>
        <w:t>2</w:t>
      </w:r>
      <w:r w:rsidR="00211BCD">
        <w:rPr>
          <w:sz w:val="22"/>
          <w:szCs w:val="22"/>
        </w:rPr>
        <w:fldChar w:fldCharType="end"/>
      </w:r>
      <w:r w:rsidRPr="002A1891">
        <w:rPr>
          <w:sz w:val="22"/>
          <w:szCs w:val="22"/>
        </w:rPr>
        <w:t>;</w:t>
      </w:r>
      <w:r w:rsidR="00211BCD">
        <w:rPr>
          <w:sz w:val="22"/>
          <w:szCs w:val="22"/>
        </w:rPr>
        <w:fldChar w:fldCharType="begin"/>
      </w:r>
      <w:r w:rsidR="00211BCD">
        <w:rPr>
          <w:sz w:val="22"/>
          <w:szCs w:val="22"/>
        </w:rPr>
        <w:instrText xml:space="preserve"> REF _Ref284168509 \r \h </w:instrText>
      </w:r>
      <w:r w:rsidR="00211BCD">
        <w:rPr>
          <w:sz w:val="22"/>
          <w:szCs w:val="22"/>
        </w:rPr>
      </w:r>
      <w:r w:rsidR="00211BCD">
        <w:rPr>
          <w:sz w:val="22"/>
          <w:szCs w:val="22"/>
        </w:rPr>
        <w:fldChar w:fldCharType="separate"/>
      </w:r>
      <w:r w:rsidR="00151A1C">
        <w:rPr>
          <w:sz w:val="22"/>
          <w:szCs w:val="22"/>
        </w:rPr>
        <w:t>3</w:t>
      </w:r>
      <w:r w:rsidR="00211BCD">
        <w:rPr>
          <w:sz w:val="22"/>
          <w:szCs w:val="22"/>
        </w:rPr>
        <w:fldChar w:fldCharType="end"/>
      </w:r>
      <w:r w:rsidRPr="002A1891">
        <w:rPr>
          <w:sz w:val="22"/>
          <w:szCs w:val="22"/>
        </w:rPr>
        <w:t>;</w:t>
      </w:r>
      <w:r w:rsidR="00211BCD">
        <w:rPr>
          <w:sz w:val="22"/>
          <w:szCs w:val="22"/>
        </w:rPr>
        <w:fldChar w:fldCharType="begin"/>
      </w:r>
      <w:r w:rsidR="00211BCD">
        <w:rPr>
          <w:sz w:val="22"/>
          <w:szCs w:val="22"/>
        </w:rPr>
        <w:instrText xml:space="preserve"> REF _Ref284168565 \r \h </w:instrText>
      </w:r>
      <w:r w:rsidR="00211BCD">
        <w:rPr>
          <w:sz w:val="22"/>
          <w:szCs w:val="22"/>
        </w:rPr>
      </w:r>
      <w:r w:rsidR="00211BCD">
        <w:rPr>
          <w:sz w:val="22"/>
          <w:szCs w:val="22"/>
        </w:rPr>
        <w:fldChar w:fldCharType="separate"/>
      </w:r>
      <w:r w:rsidR="00151A1C">
        <w:rPr>
          <w:sz w:val="22"/>
          <w:szCs w:val="22"/>
        </w:rPr>
        <w:t>4</w:t>
      </w:r>
      <w:r w:rsidR="00211BCD">
        <w:rPr>
          <w:sz w:val="22"/>
          <w:szCs w:val="22"/>
        </w:rPr>
        <w:fldChar w:fldCharType="end"/>
      </w:r>
      <w:r w:rsidRPr="002A1891">
        <w:rPr>
          <w:sz w:val="22"/>
          <w:szCs w:val="22"/>
        </w:rPr>
        <w:t xml:space="preserve">). Initial antibiotic therapy is usually empiric and, due to the need for rapid treatment before culture and susceptibility results are available, is not based on a definite diagnosis of the infecting pathogen. </w:t>
      </w:r>
    </w:p>
    <w:p w14:paraId="21A48E71" w14:textId="77777777" w:rsidR="00BE69CC" w:rsidRPr="002A1891" w:rsidRDefault="00BE69CC" w:rsidP="00BE69CC">
      <w:pPr>
        <w:spacing w:before="120"/>
        <w:rPr>
          <w:sz w:val="22"/>
          <w:szCs w:val="22"/>
        </w:rPr>
      </w:pPr>
      <w:r w:rsidRPr="002A1891">
        <w:rPr>
          <w:sz w:val="22"/>
          <w:szCs w:val="22"/>
        </w:rPr>
        <w:lastRenderedPageBreak/>
        <w:t>Patients enter the model at the point at which a change in treatment is being considered when the results of the culture are available, either because vancomycin is not suitable and an alternative agent is appropriate, or because vancomycin has not been tolerated or has been unsuccessful.  It has been assumed that the patient would be hospitalised at this point. Treatment with IV tedizolid phosphate or IV linezolid would be appropriate in these circumstances. Over time, the patient could be discharged into the community on oral therapy to continue the course of treatment, perhaps through an OPAT service.</w:t>
      </w:r>
    </w:p>
    <w:p w14:paraId="40F9511A" w14:textId="77777777" w:rsidR="00BE69CC" w:rsidRPr="002A1891" w:rsidRDefault="00BE69CC" w:rsidP="00BE69CC">
      <w:pPr>
        <w:rPr>
          <w:b/>
          <w:i/>
          <w:sz w:val="22"/>
          <w:szCs w:val="22"/>
        </w:rPr>
      </w:pPr>
    </w:p>
    <w:p w14:paraId="37A93A4C" w14:textId="77777777" w:rsidR="00BE69CC" w:rsidRPr="002A1891" w:rsidRDefault="00BE69CC" w:rsidP="00BE69CC">
      <w:pPr>
        <w:rPr>
          <w:b/>
          <w:sz w:val="22"/>
          <w:szCs w:val="22"/>
        </w:rPr>
      </w:pPr>
      <w:r w:rsidRPr="002A1891">
        <w:rPr>
          <w:b/>
          <w:sz w:val="22"/>
          <w:szCs w:val="22"/>
        </w:rPr>
        <w:t>6.3.3 Patient group considered</w:t>
      </w:r>
    </w:p>
    <w:p w14:paraId="722E4601" w14:textId="77777777" w:rsidR="00BE69CC" w:rsidRPr="002A1891" w:rsidRDefault="00BE69CC" w:rsidP="00BE69CC">
      <w:pPr>
        <w:widowControl w:val="0"/>
        <w:autoSpaceDE w:val="0"/>
        <w:autoSpaceDN w:val="0"/>
        <w:adjustRightInd w:val="0"/>
        <w:rPr>
          <w:sz w:val="22"/>
          <w:szCs w:val="22"/>
        </w:rPr>
      </w:pPr>
    </w:p>
    <w:p w14:paraId="744090BE" w14:textId="28CC7BF9" w:rsidR="00BE69CC" w:rsidRPr="002A1891" w:rsidRDefault="00BE69CC" w:rsidP="00BE69CC">
      <w:pPr>
        <w:widowControl w:val="0"/>
        <w:autoSpaceDE w:val="0"/>
        <w:autoSpaceDN w:val="0"/>
        <w:adjustRightInd w:val="0"/>
        <w:rPr>
          <w:sz w:val="22"/>
          <w:szCs w:val="22"/>
        </w:rPr>
      </w:pPr>
      <w:r w:rsidRPr="002A1891">
        <w:rPr>
          <w:sz w:val="22"/>
          <w:szCs w:val="22"/>
        </w:rPr>
        <w:t>The model consists of adult patients with Gram-positive</w:t>
      </w:r>
      <w:r w:rsidR="00AA6291">
        <w:rPr>
          <w:sz w:val="22"/>
          <w:szCs w:val="22"/>
        </w:rPr>
        <w:t xml:space="preserve"> </w:t>
      </w:r>
      <w:r w:rsidRPr="002A1891">
        <w:rPr>
          <w:sz w:val="22"/>
          <w:szCs w:val="22"/>
        </w:rPr>
        <w:t xml:space="preserve">ABSSSIs, either suspected </w:t>
      </w:r>
      <w:r w:rsidR="00AA6291">
        <w:rPr>
          <w:sz w:val="22"/>
          <w:szCs w:val="22"/>
        </w:rPr>
        <w:t xml:space="preserve">to be </w:t>
      </w:r>
      <w:r w:rsidRPr="002A1891">
        <w:rPr>
          <w:sz w:val="22"/>
          <w:szCs w:val="22"/>
        </w:rPr>
        <w:t xml:space="preserve">or confirmed </w:t>
      </w:r>
      <w:r w:rsidR="00AA6291">
        <w:rPr>
          <w:sz w:val="22"/>
          <w:szCs w:val="22"/>
        </w:rPr>
        <w:t>as</w:t>
      </w:r>
      <w:r w:rsidRPr="002A1891">
        <w:rPr>
          <w:sz w:val="22"/>
          <w:szCs w:val="22"/>
        </w:rPr>
        <w:t xml:space="preserve"> caused by </w:t>
      </w:r>
      <w:r w:rsidR="00AA6291">
        <w:rPr>
          <w:sz w:val="22"/>
        </w:rPr>
        <w:t>MRSA</w:t>
      </w:r>
      <w:r w:rsidRPr="002A1891">
        <w:rPr>
          <w:sz w:val="22"/>
        </w:rPr>
        <w:t>. This represents a sub-population of the ITT population in the Phase 3 clinical studies, consistent with making a selective submission to the SMC. Please refer to section 3b) (‘comparative efficacy’) and section 5 l) (iii) ‘(clinical effectiveness’) for relevant details and outcomes data in the MRSA subpopulation of ABSSSI patients.</w:t>
      </w:r>
    </w:p>
    <w:p w14:paraId="6BFDB6F1" w14:textId="77777777" w:rsidR="00BE69CC" w:rsidRPr="002A1891" w:rsidRDefault="00BE69CC" w:rsidP="00BE69CC">
      <w:pPr>
        <w:widowControl w:val="0"/>
        <w:autoSpaceDE w:val="0"/>
        <w:autoSpaceDN w:val="0"/>
        <w:adjustRightInd w:val="0"/>
        <w:rPr>
          <w:sz w:val="22"/>
        </w:rPr>
      </w:pPr>
    </w:p>
    <w:p w14:paraId="7F60275E" w14:textId="77777777"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t>6.3.4 Comparator</w:t>
      </w:r>
    </w:p>
    <w:p w14:paraId="26D3500A" w14:textId="244F2C7E" w:rsidR="00BE69CC" w:rsidRPr="002A1891" w:rsidRDefault="00BE69CC" w:rsidP="00BE69CC">
      <w:pPr>
        <w:spacing w:before="120"/>
        <w:rPr>
          <w:sz w:val="22"/>
          <w:szCs w:val="22"/>
        </w:rPr>
      </w:pPr>
      <w:r w:rsidRPr="002A1891">
        <w:rPr>
          <w:sz w:val="22"/>
          <w:szCs w:val="22"/>
        </w:rPr>
        <w:t>The two most commonly-used antibiotics used in NHS Scotland indicated for ABSSSI confirmed to be caused by MRSA are linezolid and vancomycin (</w:t>
      </w:r>
      <w:r w:rsidR="00211BCD">
        <w:rPr>
          <w:sz w:val="22"/>
          <w:szCs w:val="22"/>
        </w:rPr>
        <w:fldChar w:fldCharType="begin"/>
      </w:r>
      <w:r w:rsidR="00211BCD">
        <w:rPr>
          <w:sz w:val="22"/>
          <w:szCs w:val="22"/>
        </w:rPr>
        <w:instrText xml:space="preserve"> REF _Ref284185599 \r \h </w:instrText>
      </w:r>
      <w:r w:rsidR="00211BCD">
        <w:rPr>
          <w:sz w:val="22"/>
          <w:szCs w:val="22"/>
        </w:rPr>
      </w:r>
      <w:r w:rsidR="00211BCD">
        <w:rPr>
          <w:sz w:val="22"/>
          <w:szCs w:val="22"/>
        </w:rPr>
        <w:fldChar w:fldCharType="separate"/>
      </w:r>
      <w:r w:rsidR="00151A1C">
        <w:rPr>
          <w:sz w:val="22"/>
          <w:szCs w:val="22"/>
        </w:rPr>
        <w:t>59</w:t>
      </w:r>
      <w:r w:rsidR="00211BCD">
        <w:rPr>
          <w:sz w:val="22"/>
          <w:szCs w:val="22"/>
        </w:rPr>
        <w:fldChar w:fldCharType="end"/>
      </w:r>
      <w:r w:rsidRPr="002A1891">
        <w:rPr>
          <w:sz w:val="22"/>
          <w:szCs w:val="22"/>
        </w:rPr>
        <w:t xml:space="preserve">; </w:t>
      </w:r>
      <w:r w:rsidR="00211BCD">
        <w:rPr>
          <w:sz w:val="22"/>
          <w:szCs w:val="22"/>
        </w:rPr>
        <w:fldChar w:fldCharType="begin"/>
      </w:r>
      <w:r w:rsidR="00211BCD">
        <w:rPr>
          <w:sz w:val="22"/>
          <w:szCs w:val="22"/>
        </w:rPr>
        <w:instrText xml:space="preserve"> REF _Ref284187181 \r \h </w:instrText>
      </w:r>
      <w:r w:rsidR="00211BCD">
        <w:rPr>
          <w:sz w:val="22"/>
          <w:szCs w:val="22"/>
        </w:rPr>
      </w:r>
      <w:r w:rsidR="00211BCD">
        <w:rPr>
          <w:sz w:val="22"/>
          <w:szCs w:val="22"/>
        </w:rPr>
        <w:fldChar w:fldCharType="separate"/>
      </w:r>
      <w:r w:rsidR="00151A1C">
        <w:rPr>
          <w:sz w:val="22"/>
          <w:szCs w:val="22"/>
        </w:rPr>
        <w:t>88</w:t>
      </w:r>
      <w:r w:rsidR="00211BCD">
        <w:rPr>
          <w:sz w:val="22"/>
          <w:szCs w:val="22"/>
        </w:rPr>
        <w:fldChar w:fldCharType="end"/>
      </w:r>
      <w:r w:rsidRPr="002A1891">
        <w:rPr>
          <w:sz w:val="22"/>
          <w:szCs w:val="22"/>
        </w:rPr>
        <w:t>; Scottish expert clinical opinion). This is consistent with current SAPG guidelines (</w:t>
      </w:r>
      <w:r w:rsidR="00211BCD">
        <w:rPr>
          <w:sz w:val="22"/>
          <w:szCs w:val="22"/>
        </w:rPr>
        <w:fldChar w:fldCharType="begin"/>
      </w:r>
      <w:r w:rsidR="00211BCD">
        <w:rPr>
          <w:sz w:val="22"/>
          <w:szCs w:val="22"/>
        </w:rPr>
        <w:instrText xml:space="preserve"> REF _Ref284168509 \r \h </w:instrText>
      </w:r>
      <w:r w:rsidR="00211BCD">
        <w:rPr>
          <w:sz w:val="22"/>
          <w:szCs w:val="22"/>
        </w:rPr>
      </w:r>
      <w:r w:rsidR="00211BCD">
        <w:rPr>
          <w:sz w:val="22"/>
          <w:szCs w:val="22"/>
        </w:rPr>
        <w:fldChar w:fldCharType="separate"/>
      </w:r>
      <w:r w:rsidR="00151A1C">
        <w:rPr>
          <w:sz w:val="22"/>
          <w:szCs w:val="22"/>
        </w:rPr>
        <w:t>3</w:t>
      </w:r>
      <w:r w:rsidR="00211BCD">
        <w:rPr>
          <w:sz w:val="22"/>
          <w:szCs w:val="22"/>
        </w:rPr>
        <w:fldChar w:fldCharType="end"/>
      </w:r>
      <w:r w:rsidRPr="002A1891">
        <w:rPr>
          <w:sz w:val="22"/>
          <w:szCs w:val="22"/>
        </w:rPr>
        <w:t>), as well as the BSAC and BNF recommendations (</w:t>
      </w:r>
      <w:r w:rsidR="00211BCD">
        <w:rPr>
          <w:sz w:val="22"/>
          <w:szCs w:val="22"/>
        </w:rPr>
        <w:fldChar w:fldCharType="begin"/>
      </w:r>
      <w:r w:rsidR="00211BCD">
        <w:rPr>
          <w:sz w:val="22"/>
          <w:szCs w:val="22"/>
        </w:rPr>
        <w:instrText xml:space="preserve"> REF _Ref284168416 \r \h </w:instrText>
      </w:r>
      <w:r w:rsidR="00211BCD">
        <w:rPr>
          <w:sz w:val="22"/>
          <w:szCs w:val="22"/>
        </w:rPr>
      </w:r>
      <w:r w:rsidR="00211BCD">
        <w:rPr>
          <w:sz w:val="22"/>
          <w:szCs w:val="22"/>
        </w:rPr>
        <w:fldChar w:fldCharType="separate"/>
      </w:r>
      <w:r w:rsidR="00151A1C">
        <w:rPr>
          <w:sz w:val="22"/>
          <w:szCs w:val="22"/>
        </w:rPr>
        <w:t>2</w:t>
      </w:r>
      <w:r w:rsidR="00211BCD">
        <w:rPr>
          <w:sz w:val="22"/>
          <w:szCs w:val="22"/>
        </w:rPr>
        <w:fldChar w:fldCharType="end"/>
      </w:r>
      <w:r w:rsidRPr="002A1891">
        <w:rPr>
          <w:sz w:val="22"/>
          <w:szCs w:val="22"/>
        </w:rPr>
        <w:t>;</w:t>
      </w:r>
      <w:r w:rsidR="00211BCD">
        <w:rPr>
          <w:sz w:val="22"/>
          <w:szCs w:val="22"/>
        </w:rPr>
        <w:fldChar w:fldCharType="begin"/>
      </w:r>
      <w:r w:rsidR="00211BCD">
        <w:rPr>
          <w:sz w:val="22"/>
          <w:szCs w:val="22"/>
        </w:rPr>
        <w:instrText xml:space="preserve"> REF _Ref284168565 \r \h </w:instrText>
      </w:r>
      <w:r w:rsidR="00211BCD">
        <w:rPr>
          <w:sz w:val="22"/>
          <w:szCs w:val="22"/>
        </w:rPr>
      </w:r>
      <w:r w:rsidR="00211BCD">
        <w:rPr>
          <w:sz w:val="22"/>
          <w:szCs w:val="22"/>
        </w:rPr>
        <w:fldChar w:fldCharType="separate"/>
      </w:r>
      <w:r w:rsidR="00151A1C">
        <w:rPr>
          <w:sz w:val="22"/>
          <w:szCs w:val="22"/>
        </w:rPr>
        <w:t>4</w:t>
      </w:r>
      <w:r w:rsidR="00211BCD">
        <w:rPr>
          <w:sz w:val="22"/>
          <w:szCs w:val="22"/>
        </w:rPr>
        <w:fldChar w:fldCharType="end"/>
      </w:r>
      <w:r w:rsidRPr="002A1891">
        <w:rPr>
          <w:sz w:val="22"/>
          <w:szCs w:val="22"/>
        </w:rPr>
        <w:t>).</w:t>
      </w:r>
    </w:p>
    <w:p w14:paraId="13B25219" w14:textId="77777777" w:rsidR="00BE69CC" w:rsidRPr="002A1891" w:rsidRDefault="00BE69CC" w:rsidP="00BE69CC">
      <w:pPr>
        <w:rPr>
          <w:rFonts w:cs="Arial"/>
          <w:sz w:val="22"/>
          <w:szCs w:val="22"/>
        </w:rPr>
      </w:pPr>
    </w:p>
    <w:p w14:paraId="3B0440FB" w14:textId="6CB7FB87" w:rsidR="00BE69CC" w:rsidRPr="002A1891" w:rsidRDefault="00BE69CC" w:rsidP="00BE69CC">
      <w:pPr>
        <w:pStyle w:val="NormalWeb"/>
        <w:spacing w:before="0" w:after="0"/>
        <w:rPr>
          <w:rFonts w:ascii="Arial" w:hAnsi="Arial"/>
          <w:sz w:val="22"/>
          <w:szCs w:val="22"/>
        </w:rPr>
      </w:pPr>
      <w:r w:rsidRPr="002A1891">
        <w:rPr>
          <w:rFonts w:ascii="Arial" w:hAnsi="Arial"/>
          <w:sz w:val="22"/>
        </w:rPr>
        <w:t xml:space="preserve">From the SMC perspective, the SMC is most interested in the medicine that will most likely be replaced if the medicine under consideration (tedizolid phosphate) is accepted for use in Scotland. The </w:t>
      </w:r>
      <w:r w:rsidR="008428B6">
        <w:rPr>
          <w:rFonts w:ascii="Arial" w:hAnsi="Arial"/>
          <w:sz w:val="22"/>
        </w:rPr>
        <w:t xml:space="preserve">medicine </w:t>
      </w:r>
      <w:r w:rsidRPr="002A1891">
        <w:rPr>
          <w:rFonts w:ascii="Arial" w:hAnsi="Arial"/>
          <w:sz w:val="22"/>
        </w:rPr>
        <w:t xml:space="preserve">most likely to be replaced by the introduction of tedizolid </w:t>
      </w:r>
      <w:r w:rsidR="0075674B">
        <w:rPr>
          <w:rFonts w:ascii="Arial" w:hAnsi="Arial"/>
          <w:sz w:val="22"/>
        </w:rPr>
        <w:t xml:space="preserve">phosphate </w:t>
      </w:r>
      <w:r w:rsidRPr="002A1891">
        <w:rPr>
          <w:rFonts w:ascii="Arial" w:hAnsi="Arial"/>
          <w:sz w:val="22"/>
        </w:rPr>
        <w:t xml:space="preserve">is linezolid, not vancomycin. Linezolid was the direct comparator in the tedizolid </w:t>
      </w:r>
      <w:r w:rsidR="0075674B">
        <w:rPr>
          <w:rFonts w:ascii="Arial" w:hAnsi="Arial"/>
          <w:sz w:val="22"/>
        </w:rPr>
        <w:t xml:space="preserve">phosphate </w:t>
      </w:r>
      <w:r w:rsidRPr="002A1891">
        <w:rPr>
          <w:rFonts w:ascii="Arial" w:hAnsi="Arial"/>
          <w:sz w:val="22"/>
        </w:rPr>
        <w:t xml:space="preserve">phase 3 studies, ESTABLISH-1 and ESTABLISH-2. In ESTABLISH-1, the </w:t>
      </w:r>
      <w:r w:rsidR="00D70B1C">
        <w:rPr>
          <w:rFonts w:ascii="Arial" w:hAnsi="Arial"/>
          <w:sz w:val="22"/>
        </w:rPr>
        <w:t>non-inferiority</w:t>
      </w:r>
      <w:r w:rsidRPr="002A1891">
        <w:rPr>
          <w:rFonts w:ascii="Arial" w:hAnsi="Arial"/>
          <w:sz w:val="22"/>
        </w:rPr>
        <w:t xml:space="preserve"> of 6 days of oral tedizolid phosphate vs. 10 days of oral linezolid was demonstrated across the primary and key secondary efficacy and safety outcomes in both the ITT and Clinically-Evaluable populations, in the pooled analysis of Phase 3 data and in a sub-population of ABSSSI patients with MRSA at baseline. </w:t>
      </w:r>
      <w:r w:rsidRPr="002A1891">
        <w:rPr>
          <w:rFonts w:ascii="Arial" w:hAnsi="Arial"/>
          <w:sz w:val="22"/>
          <w:szCs w:val="22"/>
        </w:rPr>
        <w:t xml:space="preserve">ESTABLISH-2 </w:t>
      </w:r>
      <w:r w:rsidRPr="002A1891">
        <w:rPr>
          <w:rFonts w:ascii="Arial" w:hAnsi="Arial"/>
          <w:sz w:val="22"/>
          <w:szCs w:val="22"/>
        </w:rPr>
        <w:lastRenderedPageBreak/>
        <w:t>implemented an intravenous (IV) to oral switch for both treatment arms with an otherwise similar trial design to ESTABLISH-1, with similar results. The non-inferiority margin of -10% was met on all primary and key secondary endpoints.</w:t>
      </w:r>
    </w:p>
    <w:p w14:paraId="2D3DA3FE" w14:textId="77777777" w:rsidR="00BE69CC" w:rsidRPr="002A1891" w:rsidRDefault="00BE69CC" w:rsidP="00BE69CC">
      <w:pPr>
        <w:pStyle w:val="NormalWeb"/>
        <w:spacing w:before="0" w:after="0"/>
        <w:rPr>
          <w:rFonts w:ascii="Arial" w:hAnsi="Arial" w:cs="Arial"/>
          <w:b/>
          <w:sz w:val="22"/>
          <w:szCs w:val="22"/>
        </w:rPr>
      </w:pPr>
    </w:p>
    <w:p w14:paraId="30C913B4" w14:textId="138A0DF2" w:rsidR="00BE69CC" w:rsidRPr="002A1891" w:rsidRDefault="00BE69CC" w:rsidP="00BE69CC">
      <w:pPr>
        <w:rPr>
          <w:sz w:val="22"/>
        </w:rPr>
      </w:pPr>
      <w:r w:rsidRPr="002A1891">
        <w:rPr>
          <w:sz w:val="22"/>
          <w:szCs w:val="22"/>
        </w:rPr>
        <w:t xml:space="preserve">The CMA approach, model structure and assumptions taken from the literature were validated by Professor Ian Gould, a Consultant and Service Clinical Director for Medical Microbiology at Aberdeen Royal Infirmary (see section 6.3.8 below). </w:t>
      </w:r>
      <w:r w:rsidRPr="002A1891">
        <w:rPr>
          <w:sz w:val="22"/>
        </w:rPr>
        <w:t xml:space="preserve">Professor Gould </w:t>
      </w:r>
      <w:r w:rsidRPr="00F83733">
        <w:rPr>
          <w:sz w:val="22"/>
        </w:rPr>
        <w:t>confirmed that, in his expert clinical opinion, linezolid was the most appropriate comparator to tedizolid phosphate in accordance with Scottish clinical practice, and this is supported by the data in the Seaton paper, a study in hospitals in the Greater Glasgow and Clyde Health Board</w:t>
      </w:r>
      <w:r w:rsidR="00335048" w:rsidRPr="00F83733">
        <w:rPr>
          <w:sz w:val="22"/>
        </w:rPr>
        <w:t>, which showed that 9.2% of patients with MRSA-confirmed ABSSSIs were treated with linezolid</w:t>
      </w:r>
      <w:r w:rsidRPr="00F83733">
        <w:rPr>
          <w:sz w:val="22"/>
        </w:rPr>
        <w:t xml:space="preserve"> (see Table 3 in Seaton, 2013</w:t>
      </w:r>
      <w:r w:rsidR="00211BCD">
        <w:rPr>
          <w:sz w:val="22"/>
        </w:rPr>
        <w:t xml:space="preserve"> </w:t>
      </w:r>
      <w:r w:rsidR="00211BCD">
        <w:rPr>
          <w:sz w:val="22"/>
        </w:rPr>
        <w:fldChar w:fldCharType="begin"/>
      </w:r>
      <w:r w:rsidR="00211BCD">
        <w:rPr>
          <w:sz w:val="22"/>
        </w:rPr>
        <w:instrText xml:space="preserve"> REF _Ref284169362 \r \h </w:instrText>
      </w:r>
      <w:r w:rsidR="00211BCD">
        <w:rPr>
          <w:sz w:val="22"/>
        </w:rPr>
      </w:r>
      <w:r w:rsidR="00211BCD">
        <w:rPr>
          <w:sz w:val="22"/>
        </w:rPr>
        <w:fldChar w:fldCharType="separate"/>
      </w:r>
      <w:r w:rsidR="00151A1C">
        <w:rPr>
          <w:sz w:val="22"/>
        </w:rPr>
        <w:t>20</w:t>
      </w:r>
      <w:r w:rsidR="00211BCD">
        <w:rPr>
          <w:sz w:val="22"/>
        </w:rPr>
        <w:fldChar w:fldCharType="end"/>
      </w:r>
      <w:r w:rsidRPr="00F83733">
        <w:rPr>
          <w:sz w:val="22"/>
        </w:rPr>
        <w:t>).</w:t>
      </w:r>
    </w:p>
    <w:p w14:paraId="2D059E5C" w14:textId="77777777" w:rsidR="00BE69CC" w:rsidRPr="002A1891" w:rsidRDefault="00BE69CC" w:rsidP="00BE69CC">
      <w:pPr>
        <w:pStyle w:val="NormalWeb"/>
        <w:spacing w:before="0" w:after="0"/>
        <w:rPr>
          <w:rFonts w:ascii="Arial" w:hAnsi="Arial" w:cs="Arial"/>
          <w:b/>
          <w:sz w:val="22"/>
          <w:szCs w:val="22"/>
        </w:rPr>
      </w:pPr>
    </w:p>
    <w:p w14:paraId="4B98EB37" w14:textId="77777777" w:rsidR="00BE69CC" w:rsidRPr="002A1891" w:rsidRDefault="00BE69CC" w:rsidP="00BE69CC">
      <w:pPr>
        <w:pStyle w:val="NormalWeb"/>
        <w:spacing w:before="0" w:after="0"/>
        <w:rPr>
          <w:rFonts w:ascii="Arial" w:hAnsi="Arial" w:cs="Arial"/>
          <w:sz w:val="22"/>
          <w:szCs w:val="22"/>
        </w:rPr>
      </w:pPr>
      <w:r w:rsidRPr="002A1891">
        <w:rPr>
          <w:rFonts w:ascii="Arial" w:hAnsi="Arial" w:cs="Arial"/>
          <w:sz w:val="22"/>
          <w:szCs w:val="22"/>
        </w:rPr>
        <w:t>For the purposes of this economic analysis, the manufacturer has taken a conservative approach and assumed that the benefits for tedizolid phosphate and linezolid in terms of efficacy, safety and tolerability are identical.</w:t>
      </w:r>
    </w:p>
    <w:p w14:paraId="448474DF" w14:textId="77777777" w:rsidR="00BE69CC" w:rsidRPr="002A1891" w:rsidRDefault="00BE69CC" w:rsidP="00BE69CC">
      <w:pPr>
        <w:pStyle w:val="NormalWeb"/>
        <w:spacing w:before="0" w:after="0"/>
        <w:rPr>
          <w:rFonts w:ascii="Arial" w:hAnsi="Arial" w:cs="Arial"/>
          <w:b/>
          <w:sz w:val="22"/>
          <w:szCs w:val="22"/>
        </w:rPr>
      </w:pPr>
    </w:p>
    <w:p w14:paraId="28846B53" w14:textId="77777777" w:rsidR="00BE69CC" w:rsidRPr="002A1891" w:rsidRDefault="00BE69CC" w:rsidP="00BE69CC">
      <w:pPr>
        <w:pStyle w:val="NormalWeb"/>
        <w:spacing w:before="0" w:after="0"/>
        <w:rPr>
          <w:rFonts w:ascii="Arial" w:hAnsi="Arial" w:cs="Arial"/>
          <w:b/>
          <w:sz w:val="22"/>
          <w:szCs w:val="22"/>
        </w:rPr>
      </w:pPr>
      <w:r w:rsidRPr="002A1891">
        <w:rPr>
          <w:rFonts w:ascii="Arial" w:hAnsi="Arial" w:cs="Arial"/>
          <w:b/>
          <w:sz w:val="22"/>
          <w:szCs w:val="22"/>
        </w:rPr>
        <w:t>6.3.5 Other interventions considered</w:t>
      </w:r>
    </w:p>
    <w:p w14:paraId="7B162099" w14:textId="77777777" w:rsidR="00BE69CC" w:rsidRPr="002A1891" w:rsidRDefault="00BE69CC" w:rsidP="00BE69CC">
      <w:pPr>
        <w:pStyle w:val="NormalWeb"/>
        <w:spacing w:before="0" w:after="0"/>
        <w:rPr>
          <w:rFonts w:ascii="Arial" w:hAnsi="Arial" w:cs="Arial"/>
          <w:b/>
          <w:sz w:val="22"/>
          <w:szCs w:val="22"/>
        </w:rPr>
      </w:pPr>
    </w:p>
    <w:p w14:paraId="1AED786F" w14:textId="77777777" w:rsidR="00BE69CC" w:rsidRPr="002A1891" w:rsidRDefault="00BE69CC" w:rsidP="00BE69CC">
      <w:pPr>
        <w:pStyle w:val="Normal1"/>
        <w:numPr>
          <w:ilvl w:val="0"/>
          <w:numId w:val="0"/>
        </w:numPr>
        <w:spacing w:line="240" w:lineRule="auto"/>
        <w:jc w:val="left"/>
        <w:rPr>
          <w:rFonts w:ascii="Arial" w:hAnsi="Arial"/>
          <w:lang w:val="en-GB"/>
        </w:rPr>
      </w:pPr>
      <w:r w:rsidRPr="002A1891">
        <w:rPr>
          <w:rFonts w:ascii="Arial" w:hAnsi="Arial"/>
          <w:lang w:val="en-GB"/>
        </w:rPr>
        <w:t>Vancomycin, linezolid, daptomycin, teicoplanin, ceftaroline, and tigecycline (among others) are all approved for the treatment of ABSSSI and MRSA-ABSSSI (cSSTI or MRSA-associated cSSTI) in the EU. Daptomycin, ceftaroline and tigecycline have all been accepted for restricted use in NHS Scotland by the SMC but are not used frequently, if at all, in the subpopulation of ABSSSI patients or interest for this selective submission. Vancomycin and linezolid have been reported as the most commonly prescribed for MRSA-caused ABSSSIs.</w:t>
      </w:r>
    </w:p>
    <w:p w14:paraId="2331EEB4" w14:textId="77777777" w:rsidR="00BE69CC" w:rsidRPr="002A1891" w:rsidRDefault="00BE69CC" w:rsidP="00BE69CC">
      <w:pPr>
        <w:pStyle w:val="Normal1"/>
        <w:numPr>
          <w:ilvl w:val="0"/>
          <w:numId w:val="0"/>
        </w:numPr>
        <w:spacing w:line="240" w:lineRule="auto"/>
        <w:jc w:val="left"/>
        <w:rPr>
          <w:rFonts w:ascii="Arial" w:hAnsi="Arial"/>
          <w:lang w:val="en-GB"/>
        </w:rPr>
      </w:pPr>
    </w:p>
    <w:p w14:paraId="4D9F2198" w14:textId="06F056FF" w:rsidR="00BE69CC" w:rsidRPr="002A1891" w:rsidRDefault="00BE69CC" w:rsidP="00213D51">
      <w:pPr>
        <w:pStyle w:val="Normal1"/>
        <w:numPr>
          <w:ilvl w:val="0"/>
          <w:numId w:val="0"/>
        </w:numPr>
        <w:spacing w:line="240" w:lineRule="auto"/>
        <w:jc w:val="left"/>
        <w:rPr>
          <w:rFonts w:ascii="Arial" w:hAnsi="Arial"/>
          <w:position w:val="6"/>
          <w:lang w:val="en-GB"/>
        </w:rPr>
      </w:pPr>
      <w:bookmarkStart w:id="198" w:name="_Ref378934021"/>
      <w:bookmarkStart w:id="199" w:name="_Toc377727848"/>
      <w:r w:rsidRPr="002A1891">
        <w:rPr>
          <w:rFonts w:ascii="Arial" w:hAnsi="Arial"/>
          <w:lang w:val="en-GB"/>
        </w:rPr>
        <w:t>Initial antibiotic therapy is usually empiric (</w:t>
      </w:r>
      <w:r w:rsidR="00211BCD">
        <w:rPr>
          <w:rFonts w:ascii="Arial" w:hAnsi="Arial"/>
          <w:lang w:val="en-GB"/>
        </w:rPr>
        <w:fldChar w:fldCharType="begin"/>
      </w:r>
      <w:r w:rsidR="00211BCD">
        <w:rPr>
          <w:rFonts w:ascii="Arial" w:hAnsi="Arial"/>
          <w:lang w:val="en-GB"/>
        </w:rPr>
        <w:instrText xml:space="preserve"> REF _Ref284168509 \r \h </w:instrText>
      </w:r>
      <w:r w:rsidR="00211BCD">
        <w:rPr>
          <w:rFonts w:ascii="Arial" w:hAnsi="Arial"/>
          <w:lang w:val="en-GB"/>
        </w:rPr>
      </w:r>
      <w:r w:rsidR="00211BCD">
        <w:rPr>
          <w:rFonts w:ascii="Arial" w:hAnsi="Arial"/>
          <w:lang w:val="en-GB"/>
        </w:rPr>
        <w:fldChar w:fldCharType="separate"/>
      </w:r>
      <w:r w:rsidR="00151A1C">
        <w:rPr>
          <w:rFonts w:ascii="Arial" w:hAnsi="Arial"/>
          <w:lang w:val="en-GB"/>
        </w:rPr>
        <w:t>3</w:t>
      </w:r>
      <w:r w:rsidR="00211BCD">
        <w:rPr>
          <w:rFonts w:ascii="Arial" w:hAnsi="Arial"/>
          <w:lang w:val="en-GB"/>
        </w:rPr>
        <w:fldChar w:fldCharType="end"/>
      </w:r>
      <w:r w:rsidRPr="002A1891">
        <w:rPr>
          <w:rFonts w:ascii="Arial" w:hAnsi="Arial"/>
          <w:lang w:val="en-GB"/>
        </w:rPr>
        <w:t>) and, due to the need for rapid treatment before culture and susceptibility results are available, is not based on a definite diagnosis of the infecting pathogen (</w:t>
      </w:r>
      <w:r w:rsidR="006F010F">
        <w:rPr>
          <w:rFonts w:ascii="Arial" w:hAnsi="Arial"/>
          <w:lang w:val="en-GB"/>
        </w:rPr>
        <w:fldChar w:fldCharType="begin"/>
      </w:r>
      <w:r w:rsidR="006F010F">
        <w:rPr>
          <w:rFonts w:ascii="Arial" w:hAnsi="Arial"/>
          <w:lang w:val="en-GB"/>
        </w:rPr>
        <w:instrText xml:space="preserve"> REF _Ref284439811 \r \h </w:instrText>
      </w:r>
      <w:r w:rsidR="006F010F">
        <w:rPr>
          <w:rFonts w:ascii="Arial" w:hAnsi="Arial"/>
          <w:lang w:val="en-GB"/>
        </w:rPr>
      </w:r>
      <w:r w:rsidR="006F010F">
        <w:rPr>
          <w:rFonts w:ascii="Arial" w:hAnsi="Arial"/>
          <w:lang w:val="en-GB"/>
        </w:rPr>
        <w:fldChar w:fldCharType="separate"/>
      </w:r>
      <w:r w:rsidR="00151A1C">
        <w:rPr>
          <w:rFonts w:ascii="Arial" w:hAnsi="Arial"/>
          <w:lang w:val="en-GB"/>
        </w:rPr>
        <w:t>87</w:t>
      </w:r>
      <w:r w:rsidR="006F010F">
        <w:rPr>
          <w:rFonts w:ascii="Arial" w:hAnsi="Arial"/>
          <w:lang w:val="en-GB"/>
        </w:rPr>
        <w:fldChar w:fldCharType="end"/>
      </w:r>
      <w:r w:rsidRPr="002A1891">
        <w:rPr>
          <w:rFonts w:ascii="Arial" w:hAnsi="Arial"/>
          <w:lang w:val="en-GB"/>
        </w:rPr>
        <w:t>). Treatment decisions to initiate empiric therapy are based on prediction of the most likely pathogens and are typically guided by local antimicrobial susceptibilit</w:t>
      </w:r>
      <w:r w:rsidR="00211BCD">
        <w:rPr>
          <w:rFonts w:ascii="Arial" w:hAnsi="Arial"/>
          <w:lang w:val="en-GB"/>
        </w:rPr>
        <w:t>y patterns</w:t>
      </w:r>
      <w:r w:rsidRPr="002A1891">
        <w:rPr>
          <w:rFonts w:ascii="Arial" w:hAnsi="Arial"/>
          <w:lang w:val="en-GB"/>
        </w:rPr>
        <w:t>. Once the</w:t>
      </w:r>
      <w:r w:rsidRPr="002A1891">
        <w:rPr>
          <w:rFonts w:ascii="Arial" w:eastAsia="+mn-ea" w:hAnsi="Arial"/>
          <w:lang w:val="en-GB"/>
        </w:rPr>
        <w:t xml:space="preserve"> pathogen(s) has been confirmed, </w:t>
      </w:r>
      <w:r w:rsidRPr="002A1891">
        <w:rPr>
          <w:rFonts w:ascii="Arial" w:hAnsi="Arial"/>
          <w:lang w:val="en-GB"/>
        </w:rPr>
        <w:t>antimicrobial treatment can be modified based on the pathogen and susceptibility patterns present</w:t>
      </w:r>
      <w:bookmarkEnd w:id="198"/>
      <w:bookmarkEnd w:id="199"/>
      <w:r w:rsidRPr="002A1891">
        <w:rPr>
          <w:rFonts w:ascii="Arial" w:hAnsi="Arial"/>
          <w:lang w:val="en-GB"/>
        </w:rPr>
        <w:t xml:space="preserve"> (</w:t>
      </w:r>
      <w:r w:rsidR="006F010F">
        <w:rPr>
          <w:rFonts w:ascii="Arial" w:hAnsi="Arial"/>
          <w:lang w:val="en-GB"/>
        </w:rPr>
        <w:fldChar w:fldCharType="begin"/>
      </w:r>
      <w:r w:rsidR="006F010F">
        <w:rPr>
          <w:rFonts w:ascii="Arial" w:hAnsi="Arial"/>
          <w:lang w:val="en-GB"/>
        </w:rPr>
        <w:instrText xml:space="preserve"> REF _Ref284439811 \r \h </w:instrText>
      </w:r>
      <w:r w:rsidR="006F010F">
        <w:rPr>
          <w:rFonts w:ascii="Arial" w:hAnsi="Arial"/>
          <w:lang w:val="en-GB"/>
        </w:rPr>
      </w:r>
      <w:r w:rsidR="006F010F">
        <w:rPr>
          <w:rFonts w:ascii="Arial" w:hAnsi="Arial"/>
          <w:lang w:val="en-GB"/>
        </w:rPr>
        <w:fldChar w:fldCharType="separate"/>
      </w:r>
      <w:r w:rsidR="00151A1C">
        <w:rPr>
          <w:rFonts w:ascii="Arial" w:hAnsi="Arial"/>
          <w:lang w:val="en-GB"/>
        </w:rPr>
        <w:t>87</w:t>
      </w:r>
      <w:r w:rsidR="006F010F">
        <w:rPr>
          <w:rFonts w:ascii="Arial" w:hAnsi="Arial"/>
          <w:lang w:val="en-GB"/>
        </w:rPr>
        <w:fldChar w:fldCharType="end"/>
      </w:r>
      <w:r w:rsidRPr="002A1891">
        <w:rPr>
          <w:rFonts w:ascii="Arial" w:hAnsi="Arial"/>
          <w:lang w:val="en-GB"/>
        </w:rPr>
        <w:t xml:space="preserve">). Glycopeptides, such as vancomycin, are recommended as first choice treatment for </w:t>
      </w:r>
      <w:r w:rsidRPr="002A1891">
        <w:rPr>
          <w:rFonts w:ascii="Arial" w:hAnsi="Arial"/>
          <w:lang w:val="en-GB"/>
        </w:rPr>
        <w:lastRenderedPageBreak/>
        <w:t>MRSA-caused ABSSSIs in several guidelines, including the BSAC, BNF and SAPG guidelines (</w:t>
      </w:r>
      <w:r w:rsidR="00211BCD">
        <w:rPr>
          <w:rFonts w:ascii="Arial" w:hAnsi="Arial"/>
          <w:lang w:val="en-GB"/>
        </w:rPr>
        <w:fldChar w:fldCharType="begin"/>
      </w:r>
      <w:r w:rsidR="00211BCD">
        <w:rPr>
          <w:rFonts w:ascii="Arial" w:hAnsi="Arial"/>
          <w:lang w:val="en-GB"/>
        </w:rPr>
        <w:instrText xml:space="preserve"> REF _Ref284168416 \r \h </w:instrText>
      </w:r>
      <w:r w:rsidR="00211BCD">
        <w:rPr>
          <w:rFonts w:ascii="Arial" w:hAnsi="Arial"/>
          <w:lang w:val="en-GB"/>
        </w:rPr>
      </w:r>
      <w:r w:rsidR="00211BCD">
        <w:rPr>
          <w:rFonts w:ascii="Arial" w:hAnsi="Arial"/>
          <w:lang w:val="en-GB"/>
        </w:rPr>
        <w:fldChar w:fldCharType="separate"/>
      </w:r>
      <w:r w:rsidR="00151A1C">
        <w:rPr>
          <w:rFonts w:ascii="Arial" w:hAnsi="Arial"/>
          <w:lang w:val="en-GB"/>
        </w:rPr>
        <w:t>2</w:t>
      </w:r>
      <w:r w:rsidR="00211BCD">
        <w:rPr>
          <w:rFonts w:ascii="Arial" w:hAnsi="Arial"/>
          <w:lang w:val="en-GB"/>
        </w:rPr>
        <w:fldChar w:fldCharType="end"/>
      </w:r>
      <w:r w:rsidRPr="002A1891">
        <w:rPr>
          <w:rFonts w:ascii="Arial" w:hAnsi="Arial"/>
          <w:lang w:val="en-GB"/>
        </w:rPr>
        <w:t>;</w:t>
      </w:r>
      <w:r w:rsidR="00211BCD">
        <w:rPr>
          <w:rFonts w:ascii="Arial" w:hAnsi="Arial"/>
          <w:lang w:val="en-GB"/>
        </w:rPr>
        <w:fldChar w:fldCharType="begin"/>
      </w:r>
      <w:r w:rsidR="00211BCD">
        <w:rPr>
          <w:rFonts w:ascii="Arial" w:hAnsi="Arial"/>
          <w:lang w:val="en-GB"/>
        </w:rPr>
        <w:instrText xml:space="preserve"> REF _Ref284168509 \r \h </w:instrText>
      </w:r>
      <w:r w:rsidR="00211BCD">
        <w:rPr>
          <w:rFonts w:ascii="Arial" w:hAnsi="Arial"/>
          <w:lang w:val="en-GB"/>
        </w:rPr>
      </w:r>
      <w:r w:rsidR="00211BCD">
        <w:rPr>
          <w:rFonts w:ascii="Arial" w:hAnsi="Arial"/>
          <w:lang w:val="en-GB"/>
        </w:rPr>
        <w:fldChar w:fldCharType="separate"/>
      </w:r>
      <w:r w:rsidR="00151A1C">
        <w:rPr>
          <w:rFonts w:ascii="Arial" w:hAnsi="Arial"/>
          <w:lang w:val="en-GB"/>
        </w:rPr>
        <w:t>3</w:t>
      </w:r>
      <w:r w:rsidR="00211BCD">
        <w:rPr>
          <w:rFonts w:ascii="Arial" w:hAnsi="Arial"/>
          <w:lang w:val="en-GB"/>
        </w:rPr>
        <w:fldChar w:fldCharType="end"/>
      </w:r>
      <w:r w:rsidRPr="002A1891">
        <w:rPr>
          <w:rFonts w:ascii="Arial" w:hAnsi="Arial"/>
          <w:lang w:val="en-GB"/>
        </w:rPr>
        <w:t>;</w:t>
      </w:r>
      <w:r w:rsidR="00211BCD">
        <w:rPr>
          <w:rFonts w:ascii="Arial" w:hAnsi="Arial"/>
          <w:lang w:val="en-GB"/>
        </w:rPr>
        <w:fldChar w:fldCharType="begin"/>
      </w:r>
      <w:r w:rsidR="00211BCD">
        <w:rPr>
          <w:rFonts w:ascii="Arial" w:hAnsi="Arial"/>
          <w:lang w:val="en-GB"/>
        </w:rPr>
        <w:instrText xml:space="preserve"> REF _Ref284168565 \r \h </w:instrText>
      </w:r>
      <w:r w:rsidR="00211BCD">
        <w:rPr>
          <w:rFonts w:ascii="Arial" w:hAnsi="Arial"/>
          <w:lang w:val="en-GB"/>
        </w:rPr>
      </w:r>
      <w:r w:rsidR="00211BCD">
        <w:rPr>
          <w:rFonts w:ascii="Arial" w:hAnsi="Arial"/>
          <w:lang w:val="en-GB"/>
        </w:rPr>
        <w:fldChar w:fldCharType="separate"/>
      </w:r>
      <w:r w:rsidR="00151A1C">
        <w:rPr>
          <w:rFonts w:ascii="Arial" w:hAnsi="Arial"/>
          <w:lang w:val="en-GB"/>
        </w:rPr>
        <w:t>4</w:t>
      </w:r>
      <w:r w:rsidR="00211BCD">
        <w:rPr>
          <w:rFonts w:ascii="Arial" w:hAnsi="Arial"/>
          <w:lang w:val="en-GB"/>
        </w:rPr>
        <w:fldChar w:fldCharType="end"/>
      </w:r>
      <w:r w:rsidRPr="002A1891">
        <w:rPr>
          <w:rFonts w:ascii="Arial" w:hAnsi="Arial"/>
          <w:lang w:val="en-GB"/>
        </w:rPr>
        <w:t>).</w:t>
      </w:r>
      <w:r w:rsidRPr="002A1891">
        <w:rPr>
          <w:rFonts w:ascii="Arial" w:hAnsi="Arial"/>
          <w:position w:val="6"/>
          <w:lang w:val="en-GB"/>
        </w:rPr>
        <w:t xml:space="preserve"> </w:t>
      </w:r>
    </w:p>
    <w:p w14:paraId="6CD89284" w14:textId="77777777" w:rsidR="00BE69CC" w:rsidRPr="002A1891" w:rsidRDefault="00BE69CC" w:rsidP="00213D51">
      <w:pPr>
        <w:pStyle w:val="Normal1"/>
        <w:numPr>
          <w:ilvl w:val="0"/>
          <w:numId w:val="0"/>
        </w:numPr>
        <w:spacing w:line="240" w:lineRule="auto"/>
        <w:jc w:val="left"/>
        <w:rPr>
          <w:rFonts w:ascii="Arial" w:hAnsi="Arial"/>
          <w:position w:val="6"/>
          <w:lang w:val="en-GB"/>
        </w:rPr>
      </w:pPr>
    </w:p>
    <w:p w14:paraId="4B79CB09" w14:textId="77777777" w:rsidR="00BE69CC" w:rsidRPr="002A1891" w:rsidRDefault="00BE69CC" w:rsidP="00213D51">
      <w:pPr>
        <w:pStyle w:val="Normal1"/>
        <w:numPr>
          <w:ilvl w:val="0"/>
          <w:numId w:val="0"/>
        </w:numPr>
        <w:spacing w:line="240" w:lineRule="auto"/>
        <w:jc w:val="left"/>
        <w:rPr>
          <w:rFonts w:ascii="Arial" w:hAnsi="Arial"/>
          <w:position w:val="6"/>
          <w:lang w:val="en-GB"/>
        </w:rPr>
      </w:pPr>
      <w:r w:rsidRPr="002A1891">
        <w:rPr>
          <w:rFonts w:ascii="Arial" w:hAnsi="Arial"/>
          <w:position w:val="6"/>
          <w:lang w:val="en-GB"/>
        </w:rPr>
        <w:t>Professor Gould and members of the Delphi panel confirmed that initial treatment in Scottish clinical practice is empiric and that it can take up to 48 hours to confirm the underlying pathogen. They also confirmed that the BSAC and SAPG guidelines (see section 5e) are the most widely-used treatment guidelines, as well as local health board vancomycin protocols.</w:t>
      </w:r>
    </w:p>
    <w:p w14:paraId="1A6F067E" w14:textId="77777777" w:rsidR="00BE69CC" w:rsidRPr="002A1891" w:rsidRDefault="00BE69CC" w:rsidP="00213D51">
      <w:pPr>
        <w:pStyle w:val="Normal1"/>
        <w:numPr>
          <w:ilvl w:val="0"/>
          <w:numId w:val="0"/>
        </w:numPr>
        <w:spacing w:line="240" w:lineRule="auto"/>
        <w:jc w:val="left"/>
        <w:rPr>
          <w:rFonts w:ascii="Arial" w:hAnsi="Arial"/>
          <w:lang w:val="en-GB"/>
        </w:rPr>
      </w:pPr>
    </w:p>
    <w:p w14:paraId="3058CAAB" w14:textId="77777777" w:rsidR="00BE69CC" w:rsidRPr="002A1891" w:rsidRDefault="00BE69CC" w:rsidP="00213D51">
      <w:pPr>
        <w:pStyle w:val="Normal1"/>
        <w:numPr>
          <w:ilvl w:val="0"/>
          <w:numId w:val="0"/>
        </w:numPr>
        <w:spacing w:line="240" w:lineRule="auto"/>
        <w:jc w:val="left"/>
        <w:rPr>
          <w:rFonts w:ascii="Arial" w:hAnsi="Arial"/>
          <w:lang w:val="en-GB"/>
        </w:rPr>
      </w:pPr>
      <w:r w:rsidRPr="002A1891">
        <w:rPr>
          <w:rFonts w:ascii="Arial" w:hAnsi="Arial"/>
          <w:lang w:val="en-GB"/>
        </w:rPr>
        <w:t>At a meeting held in November 2014 to validate the modelling approach and assumptions, Professor Gould confirmed that:</w:t>
      </w:r>
    </w:p>
    <w:p w14:paraId="5963D31E" w14:textId="77777777" w:rsidR="00BE69CC" w:rsidRPr="002A1891" w:rsidRDefault="00BE69CC" w:rsidP="00213D51">
      <w:pPr>
        <w:pStyle w:val="Normal1"/>
        <w:numPr>
          <w:ilvl w:val="0"/>
          <w:numId w:val="48"/>
        </w:numPr>
        <w:spacing w:line="240" w:lineRule="auto"/>
        <w:ind w:left="567"/>
        <w:jc w:val="left"/>
        <w:rPr>
          <w:rFonts w:ascii="Arial" w:hAnsi="Arial"/>
        </w:rPr>
      </w:pPr>
      <w:r w:rsidRPr="002A1891">
        <w:rPr>
          <w:rFonts w:ascii="Arial" w:hAnsi="Arial"/>
        </w:rPr>
        <w:t>Vancomycin will be first choice in NHS Scotland, particularly on the basis of its low cost;</w:t>
      </w:r>
    </w:p>
    <w:p w14:paraId="65A70D4C" w14:textId="203531F6" w:rsidR="00335048" w:rsidRPr="002A1891" w:rsidRDefault="00BE69CC" w:rsidP="00213D51">
      <w:pPr>
        <w:pStyle w:val="Normal1"/>
        <w:numPr>
          <w:ilvl w:val="0"/>
          <w:numId w:val="48"/>
        </w:numPr>
        <w:spacing w:line="240" w:lineRule="auto"/>
        <w:ind w:left="567"/>
        <w:jc w:val="left"/>
        <w:rPr>
          <w:rFonts w:ascii="Arial" w:hAnsi="Arial"/>
        </w:rPr>
      </w:pPr>
      <w:r w:rsidRPr="002A1891">
        <w:rPr>
          <w:rFonts w:ascii="Arial" w:hAnsi="Arial"/>
        </w:rPr>
        <w:t xml:space="preserve">Linezolid will be </w:t>
      </w:r>
      <w:r w:rsidR="00335048">
        <w:rPr>
          <w:rFonts w:ascii="Arial" w:hAnsi="Arial"/>
        </w:rPr>
        <w:t>a second choice agent</w:t>
      </w:r>
      <w:r w:rsidRPr="002A1891">
        <w:rPr>
          <w:rFonts w:ascii="Arial" w:hAnsi="Arial"/>
        </w:rPr>
        <w:t xml:space="preserve"> where a change in therapy is required or appropriate. </w:t>
      </w:r>
    </w:p>
    <w:p w14:paraId="54B60FEC" w14:textId="608739AC" w:rsidR="00BE69CC" w:rsidRPr="002A1891" w:rsidRDefault="00BE69CC" w:rsidP="00335048">
      <w:pPr>
        <w:pStyle w:val="Normal1"/>
        <w:numPr>
          <w:ilvl w:val="0"/>
          <w:numId w:val="0"/>
        </w:numPr>
        <w:spacing w:line="240" w:lineRule="auto"/>
        <w:ind w:left="207"/>
        <w:jc w:val="left"/>
        <w:rPr>
          <w:rFonts w:ascii="Arial" w:hAnsi="Arial"/>
        </w:rPr>
      </w:pPr>
    </w:p>
    <w:p w14:paraId="1C88D10C" w14:textId="41C66C07" w:rsidR="00BE69CC" w:rsidRPr="002A1891" w:rsidRDefault="00BE69CC" w:rsidP="00BE69CC">
      <w:pPr>
        <w:pStyle w:val="NormalWeb"/>
        <w:spacing w:before="0" w:after="0"/>
        <w:rPr>
          <w:rFonts w:ascii="Arial" w:hAnsi="Arial" w:cs="Arial"/>
          <w:sz w:val="22"/>
          <w:szCs w:val="22"/>
        </w:rPr>
      </w:pPr>
      <w:r w:rsidRPr="002A1891">
        <w:rPr>
          <w:rFonts w:ascii="Arial" w:hAnsi="Arial" w:cs="Arial"/>
          <w:sz w:val="22"/>
          <w:szCs w:val="22"/>
        </w:rPr>
        <w:t xml:space="preserve">Apart from linezolid, therefore, none of these other agents are considered relevant comparators for the CMA base case. </w:t>
      </w:r>
    </w:p>
    <w:p w14:paraId="47C86DA9" w14:textId="77777777" w:rsidR="00BE69CC" w:rsidRPr="002A1891" w:rsidRDefault="00BE69CC" w:rsidP="00BE69CC">
      <w:pPr>
        <w:pStyle w:val="NormalWeb"/>
        <w:spacing w:before="0" w:after="0"/>
        <w:rPr>
          <w:rFonts w:ascii="Arial" w:hAnsi="Arial" w:cs="Arial"/>
          <w:b/>
          <w:sz w:val="22"/>
          <w:szCs w:val="22"/>
        </w:rPr>
      </w:pPr>
    </w:p>
    <w:p w14:paraId="6F23BDFD" w14:textId="77777777" w:rsidR="00BE69CC" w:rsidRPr="002A1891" w:rsidRDefault="00BE69CC" w:rsidP="00C35C1F">
      <w:pPr>
        <w:pStyle w:val="NormalWeb"/>
        <w:numPr>
          <w:ilvl w:val="2"/>
          <w:numId w:val="63"/>
        </w:numPr>
        <w:spacing w:before="0" w:after="0"/>
        <w:ind w:left="567" w:hanging="567"/>
        <w:rPr>
          <w:rFonts w:ascii="Arial" w:hAnsi="Arial" w:cs="Arial"/>
          <w:b/>
          <w:sz w:val="22"/>
          <w:szCs w:val="22"/>
        </w:rPr>
      </w:pPr>
      <w:r w:rsidRPr="002A1891">
        <w:rPr>
          <w:rFonts w:ascii="Arial" w:hAnsi="Arial" w:cs="Arial"/>
          <w:b/>
          <w:sz w:val="22"/>
          <w:szCs w:val="22"/>
        </w:rPr>
        <w:t>Time horizon</w:t>
      </w:r>
    </w:p>
    <w:p w14:paraId="493C8BB2" w14:textId="77777777" w:rsidR="00BE69CC" w:rsidRPr="002A1891" w:rsidRDefault="00BE69CC" w:rsidP="00BE69CC">
      <w:pPr>
        <w:spacing w:before="120"/>
        <w:rPr>
          <w:sz w:val="22"/>
          <w:szCs w:val="22"/>
        </w:rPr>
      </w:pPr>
      <w:r w:rsidRPr="002A1891">
        <w:rPr>
          <w:sz w:val="22"/>
          <w:szCs w:val="22"/>
        </w:rPr>
        <w:t>The time horizon for the CMA base case corresponds to the duration of antibiotic treatment, which may include the period of hospitalisation and the period after discharge related to the treatment period of the antibiotic therapy.</w:t>
      </w:r>
    </w:p>
    <w:p w14:paraId="3D688478" w14:textId="77777777" w:rsidR="00BE69CC" w:rsidRPr="002A1891" w:rsidRDefault="00BE69CC" w:rsidP="00BE69CC">
      <w:pPr>
        <w:pStyle w:val="NormalWeb"/>
        <w:spacing w:before="0" w:after="0"/>
        <w:rPr>
          <w:rFonts w:ascii="Arial" w:hAnsi="Arial" w:cs="Arial"/>
          <w:sz w:val="22"/>
          <w:szCs w:val="22"/>
        </w:rPr>
      </w:pPr>
    </w:p>
    <w:p w14:paraId="6DAEBF17" w14:textId="77777777" w:rsidR="00BE69CC" w:rsidRPr="002A1891" w:rsidRDefault="00BE69CC" w:rsidP="00C35C1F">
      <w:pPr>
        <w:pStyle w:val="NormalWeb"/>
        <w:numPr>
          <w:ilvl w:val="2"/>
          <w:numId w:val="63"/>
        </w:numPr>
        <w:spacing w:before="0" w:after="0"/>
        <w:ind w:left="567" w:hanging="567"/>
        <w:rPr>
          <w:rFonts w:ascii="Arial" w:hAnsi="Arial" w:cs="Arial"/>
          <w:b/>
          <w:sz w:val="22"/>
          <w:szCs w:val="22"/>
        </w:rPr>
      </w:pPr>
      <w:r w:rsidRPr="002A1891">
        <w:rPr>
          <w:rFonts w:ascii="Arial" w:hAnsi="Arial" w:cs="Arial"/>
          <w:b/>
          <w:sz w:val="22"/>
          <w:szCs w:val="22"/>
        </w:rPr>
        <w:t>Perspective and setting</w:t>
      </w:r>
    </w:p>
    <w:p w14:paraId="63E5CAD7" w14:textId="77777777" w:rsidR="00BE69CC" w:rsidRPr="002A1891" w:rsidRDefault="00BE69CC" w:rsidP="00BE69CC">
      <w:pPr>
        <w:pStyle w:val="Default"/>
        <w:spacing w:before="120"/>
        <w:rPr>
          <w:rFonts w:ascii="Arial" w:hAnsi="Arial"/>
          <w:color w:val="auto"/>
          <w:sz w:val="22"/>
          <w:szCs w:val="22"/>
          <w:lang w:val="en-GB"/>
        </w:rPr>
      </w:pPr>
      <w:r w:rsidRPr="002A1891">
        <w:rPr>
          <w:rFonts w:ascii="Arial" w:hAnsi="Arial"/>
          <w:color w:val="auto"/>
          <w:sz w:val="22"/>
          <w:szCs w:val="22"/>
          <w:lang w:val="en-GB"/>
        </w:rPr>
        <w:t xml:space="preserve">This analysis is conducted from the perspective of the NHS in Scotland </w:t>
      </w:r>
      <w:r w:rsidRPr="002A1891">
        <w:rPr>
          <w:rFonts w:ascii="Arial" w:hAnsi="Arial" w:cs="Arial"/>
          <w:color w:val="auto"/>
          <w:sz w:val="22"/>
          <w:szCs w:val="22"/>
          <w:lang w:val="en-GB"/>
        </w:rPr>
        <w:t xml:space="preserve">and social work </w:t>
      </w:r>
      <w:r w:rsidRPr="002A1891">
        <w:rPr>
          <w:rFonts w:ascii="Arial" w:hAnsi="Arial"/>
          <w:color w:val="auto"/>
          <w:sz w:val="22"/>
          <w:szCs w:val="22"/>
          <w:lang w:val="en-GB"/>
        </w:rPr>
        <w:t xml:space="preserve">in line with current SMC guidelines. </w:t>
      </w:r>
      <w:r w:rsidRPr="002A1891">
        <w:rPr>
          <w:rFonts w:ascii="Arial" w:hAnsi="Arial" w:cs="Arial"/>
          <w:color w:val="auto"/>
          <w:sz w:val="22"/>
          <w:szCs w:val="22"/>
          <w:lang w:val="en-GB"/>
        </w:rPr>
        <w:t xml:space="preserve">Due to the perspective taken, societal or </w:t>
      </w:r>
      <w:r w:rsidRPr="002A1891">
        <w:rPr>
          <w:rFonts w:ascii="Arial" w:hAnsi="Arial"/>
          <w:color w:val="auto"/>
          <w:sz w:val="22"/>
          <w:szCs w:val="22"/>
          <w:lang w:val="en-GB"/>
        </w:rPr>
        <w:t xml:space="preserve">indirect costs (such as the value of lost work time) are not included in the analysis. </w:t>
      </w:r>
    </w:p>
    <w:p w14:paraId="01A3931E" w14:textId="77777777" w:rsidR="00BE69CC" w:rsidRPr="002A1891" w:rsidRDefault="00BE69CC" w:rsidP="00BE69CC">
      <w:pPr>
        <w:pStyle w:val="NormalWeb"/>
        <w:spacing w:before="0" w:after="0"/>
        <w:rPr>
          <w:rFonts w:ascii="Arial" w:hAnsi="Arial" w:cs="Arial"/>
          <w:b/>
          <w:sz w:val="22"/>
          <w:szCs w:val="22"/>
        </w:rPr>
      </w:pPr>
    </w:p>
    <w:p w14:paraId="7B4FA6C8" w14:textId="77777777" w:rsidR="00BE69CC" w:rsidRPr="002A1891" w:rsidRDefault="00BE69CC" w:rsidP="00C35C1F">
      <w:pPr>
        <w:pStyle w:val="NormalWeb"/>
        <w:numPr>
          <w:ilvl w:val="2"/>
          <w:numId w:val="63"/>
        </w:numPr>
        <w:spacing w:before="0" w:after="0"/>
        <w:ind w:left="567" w:hanging="567"/>
        <w:rPr>
          <w:rFonts w:ascii="Arial" w:hAnsi="Arial" w:cs="Arial"/>
          <w:b/>
          <w:sz w:val="22"/>
          <w:szCs w:val="22"/>
        </w:rPr>
      </w:pPr>
      <w:r w:rsidRPr="002A1891">
        <w:rPr>
          <w:rFonts w:ascii="Arial" w:hAnsi="Arial" w:cs="Arial"/>
          <w:b/>
          <w:sz w:val="22"/>
          <w:szCs w:val="22"/>
        </w:rPr>
        <w:t xml:space="preserve">Discounting </w:t>
      </w:r>
    </w:p>
    <w:p w14:paraId="39BE5266" w14:textId="215BE3DA" w:rsidR="00BE69CC" w:rsidRPr="002A1891" w:rsidRDefault="00BE69CC" w:rsidP="00BE69CC">
      <w:pPr>
        <w:spacing w:before="120"/>
        <w:rPr>
          <w:sz w:val="22"/>
          <w:szCs w:val="22"/>
        </w:rPr>
      </w:pPr>
      <w:r w:rsidRPr="002A1891">
        <w:rPr>
          <w:sz w:val="22"/>
          <w:szCs w:val="22"/>
        </w:rPr>
        <w:lastRenderedPageBreak/>
        <w:t>No discounting is applied in the base case analysis for CMA, as the time horizon of the model is shorter than one year. Similarly, because of the short duration of treatment, costs in a</w:t>
      </w:r>
      <w:r w:rsidR="00AA6291">
        <w:rPr>
          <w:sz w:val="22"/>
          <w:szCs w:val="22"/>
        </w:rPr>
        <w:t>l</w:t>
      </w:r>
      <w:r w:rsidRPr="002A1891">
        <w:rPr>
          <w:sz w:val="22"/>
          <w:szCs w:val="22"/>
        </w:rPr>
        <w:t xml:space="preserve">l sensitivity and scenario analyses were discounted at 0%. </w:t>
      </w:r>
    </w:p>
    <w:p w14:paraId="556BEF4A" w14:textId="77777777" w:rsidR="00BE69CC" w:rsidRPr="002A1891" w:rsidRDefault="00BE69CC" w:rsidP="00BE69CC">
      <w:pPr>
        <w:spacing w:before="120"/>
        <w:rPr>
          <w:rFonts w:cs="Arial"/>
          <w:b/>
          <w:sz w:val="22"/>
          <w:szCs w:val="22"/>
        </w:rPr>
      </w:pPr>
    </w:p>
    <w:p w14:paraId="28C7DABA" w14:textId="77777777" w:rsidR="00BE69CC" w:rsidRPr="002A1891" w:rsidRDefault="00BE69CC" w:rsidP="00C35C1F">
      <w:pPr>
        <w:pStyle w:val="NormalWeb"/>
        <w:numPr>
          <w:ilvl w:val="2"/>
          <w:numId w:val="63"/>
        </w:numPr>
        <w:spacing w:before="0" w:after="0"/>
        <w:rPr>
          <w:rFonts w:ascii="Arial" w:hAnsi="Arial" w:cs="Arial"/>
          <w:b/>
          <w:sz w:val="22"/>
          <w:szCs w:val="22"/>
        </w:rPr>
      </w:pPr>
      <w:r w:rsidRPr="002A1891">
        <w:rPr>
          <w:rFonts w:ascii="Arial" w:hAnsi="Arial" w:cs="Arial"/>
          <w:b/>
          <w:sz w:val="22"/>
          <w:szCs w:val="22"/>
        </w:rPr>
        <w:t xml:space="preserve">Clinician input and validation </w:t>
      </w:r>
    </w:p>
    <w:p w14:paraId="161EDA2E" w14:textId="77777777" w:rsidR="00BE69CC" w:rsidRPr="002A1891" w:rsidRDefault="00BE69CC" w:rsidP="00BE69CC">
      <w:pPr>
        <w:spacing w:before="120"/>
        <w:rPr>
          <w:rFonts w:cs="Arial"/>
          <w:sz w:val="22"/>
          <w:szCs w:val="22"/>
        </w:rPr>
      </w:pPr>
      <w:r w:rsidRPr="002A1891">
        <w:rPr>
          <w:rFonts w:cs="Arial"/>
          <w:sz w:val="22"/>
          <w:szCs w:val="22"/>
        </w:rPr>
        <w:t>The CMA approach, treatment comparators, model structure and assumptions derived from the literature were validated by Professor Ian Gould, Consultant and Service Clinical Director for Medical Microbiology, Aberdeen Royal Infirmary, Foresterhill, Aberdeen during a meeting on November 24, 2014. The objectives of this meeting were:</w:t>
      </w:r>
    </w:p>
    <w:p w14:paraId="38A4CA90" w14:textId="77777777" w:rsidR="00BE69CC" w:rsidRPr="002A1891" w:rsidRDefault="00BE69CC" w:rsidP="00BE69CC">
      <w:pPr>
        <w:spacing w:before="120"/>
        <w:rPr>
          <w:rFonts w:cs="Arial"/>
          <w:sz w:val="22"/>
          <w:szCs w:val="22"/>
        </w:rPr>
      </w:pPr>
    </w:p>
    <w:p w14:paraId="24FBC477" w14:textId="77777777" w:rsidR="00BE69CC" w:rsidRPr="002A1891" w:rsidRDefault="00BE69CC" w:rsidP="00C35C1F">
      <w:pPr>
        <w:pStyle w:val="ListParagraph"/>
        <w:numPr>
          <w:ilvl w:val="0"/>
          <w:numId w:val="50"/>
        </w:numPr>
        <w:rPr>
          <w:rFonts w:cs="Arial"/>
          <w:sz w:val="22"/>
        </w:rPr>
      </w:pPr>
      <w:r w:rsidRPr="002A1891">
        <w:rPr>
          <w:rFonts w:cs="Arial"/>
          <w:sz w:val="22"/>
        </w:rPr>
        <w:t>To validate the structure of the model, the assumptions and the data sources for the health economic model.</w:t>
      </w:r>
    </w:p>
    <w:p w14:paraId="69ACCE03" w14:textId="77777777" w:rsidR="00BE69CC" w:rsidRPr="002A1891" w:rsidRDefault="00BE69CC" w:rsidP="00C35C1F">
      <w:pPr>
        <w:pStyle w:val="ListParagraph"/>
        <w:numPr>
          <w:ilvl w:val="0"/>
          <w:numId w:val="50"/>
        </w:numPr>
        <w:rPr>
          <w:rFonts w:cs="Arial"/>
          <w:sz w:val="22"/>
        </w:rPr>
      </w:pPr>
      <w:r w:rsidRPr="002A1891">
        <w:rPr>
          <w:rFonts w:cs="Arial"/>
          <w:sz w:val="22"/>
        </w:rPr>
        <w:t>To provide suggestions for potential members for the Delphi members.</w:t>
      </w:r>
    </w:p>
    <w:p w14:paraId="25683F8E" w14:textId="77777777" w:rsidR="00BE69CC" w:rsidRPr="002A1891" w:rsidRDefault="00BE69CC" w:rsidP="00C35C1F">
      <w:pPr>
        <w:pStyle w:val="ListParagraph"/>
        <w:numPr>
          <w:ilvl w:val="0"/>
          <w:numId w:val="50"/>
        </w:numPr>
        <w:rPr>
          <w:rFonts w:cs="Arial"/>
          <w:sz w:val="22"/>
        </w:rPr>
      </w:pPr>
      <w:r w:rsidRPr="002A1891">
        <w:rPr>
          <w:rFonts w:cs="Arial"/>
          <w:sz w:val="22"/>
        </w:rPr>
        <w:t>To provide and/or recommend any relevant publications or unpublished research, which is relevant for the cost-effectiveness model.</w:t>
      </w:r>
    </w:p>
    <w:p w14:paraId="2B5AE4BB" w14:textId="77777777" w:rsidR="00BE69CC" w:rsidRPr="002A1891" w:rsidRDefault="00BE69CC" w:rsidP="00BE69CC">
      <w:pPr>
        <w:widowControl w:val="0"/>
        <w:autoSpaceDE w:val="0"/>
        <w:autoSpaceDN w:val="0"/>
        <w:adjustRightInd w:val="0"/>
        <w:rPr>
          <w:rFonts w:cs="Arial"/>
          <w:sz w:val="22"/>
          <w:szCs w:val="22"/>
        </w:rPr>
      </w:pPr>
    </w:p>
    <w:p w14:paraId="5905B1F9" w14:textId="77777777" w:rsidR="00BE69CC" w:rsidRPr="002A1891" w:rsidRDefault="00BE69CC" w:rsidP="00BE69CC">
      <w:pPr>
        <w:widowControl w:val="0"/>
        <w:autoSpaceDE w:val="0"/>
        <w:autoSpaceDN w:val="0"/>
        <w:adjustRightInd w:val="0"/>
        <w:rPr>
          <w:rFonts w:cs="Arial"/>
          <w:sz w:val="22"/>
          <w:szCs w:val="22"/>
        </w:rPr>
      </w:pPr>
      <w:r w:rsidRPr="002A1891">
        <w:rPr>
          <w:rFonts w:cs="Arial"/>
          <w:bCs/>
          <w:sz w:val="22"/>
          <w:szCs w:val="22"/>
        </w:rPr>
        <w:t xml:space="preserve">A </w:t>
      </w:r>
      <w:r w:rsidRPr="002A1891">
        <w:rPr>
          <w:rFonts w:cs="Arial"/>
          <w:sz w:val="22"/>
          <w:szCs w:val="22"/>
        </w:rPr>
        <w:t>Delphi panel was also conducted with four Scottish physicians.  They were asked to answer a series of survey questions, which allowed the manufacturer to validate and confirm assumptions about treatment patterns and related resource utilisation with ABSSSIs derived from the literature or clinical guidelines. The Delphi panel was conducted in December 2014 and the following experts participated:</w:t>
      </w:r>
    </w:p>
    <w:p w14:paraId="4A8987B4" w14:textId="77777777" w:rsidR="00BE69CC" w:rsidRPr="002A1891" w:rsidRDefault="00BE69CC" w:rsidP="00C35C1F">
      <w:pPr>
        <w:widowControl w:val="0"/>
        <w:numPr>
          <w:ilvl w:val="0"/>
          <w:numId w:val="61"/>
        </w:numPr>
        <w:autoSpaceDE w:val="0"/>
        <w:autoSpaceDN w:val="0"/>
        <w:adjustRightInd w:val="0"/>
        <w:rPr>
          <w:rFonts w:cs="Arial"/>
          <w:sz w:val="22"/>
          <w:szCs w:val="22"/>
        </w:rPr>
      </w:pPr>
      <w:r w:rsidRPr="002A1891">
        <w:rPr>
          <w:rFonts w:cs="Arial"/>
          <w:sz w:val="22"/>
          <w:szCs w:val="22"/>
        </w:rPr>
        <w:t>Professor Alistair Leanord, Consultant Microbiologist, Southern General Hospital, Glasgow</w:t>
      </w:r>
    </w:p>
    <w:p w14:paraId="1927F3F6" w14:textId="77777777" w:rsidR="00BE69CC" w:rsidRPr="002A1891" w:rsidRDefault="00BE69CC" w:rsidP="00C35C1F">
      <w:pPr>
        <w:widowControl w:val="0"/>
        <w:numPr>
          <w:ilvl w:val="0"/>
          <w:numId w:val="61"/>
        </w:numPr>
        <w:autoSpaceDE w:val="0"/>
        <w:autoSpaceDN w:val="0"/>
        <w:adjustRightInd w:val="0"/>
        <w:rPr>
          <w:rFonts w:cs="Arial"/>
          <w:sz w:val="22"/>
          <w:szCs w:val="22"/>
        </w:rPr>
      </w:pPr>
      <w:r w:rsidRPr="002A1891">
        <w:rPr>
          <w:rFonts w:cs="Arial"/>
          <w:sz w:val="22"/>
          <w:szCs w:val="22"/>
        </w:rPr>
        <w:t>Dr. Abhijit Bal, Consultant Microbiologist, University Hospital Crosshouse, Kilmarnock</w:t>
      </w:r>
    </w:p>
    <w:p w14:paraId="2CC6E99A" w14:textId="77777777" w:rsidR="00BE69CC" w:rsidRPr="002A1891" w:rsidRDefault="00BE69CC" w:rsidP="00C35C1F">
      <w:pPr>
        <w:widowControl w:val="0"/>
        <w:numPr>
          <w:ilvl w:val="0"/>
          <w:numId w:val="61"/>
        </w:numPr>
        <w:autoSpaceDE w:val="0"/>
        <w:autoSpaceDN w:val="0"/>
        <w:adjustRightInd w:val="0"/>
        <w:rPr>
          <w:rFonts w:cs="Arial"/>
          <w:sz w:val="22"/>
          <w:szCs w:val="22"/>
        </w:rPr>
      </w:pPr>
      <w:r w:rsidRPr="002A1891">
        <w:rPr>
          <w:rFonts w:cs="Arial"/>
          <w:sz w:val="22"/>
          <w:szCs w:val="22"/>
        </w:rPr>
        <w:t>Dr Alexander Mackenzie, Consultant Physician, Infection Unit &amp; General Medicine, Emergency Care Centre, Aberdeen Royal Infirmary, Aberdeen</w:t>
      </w:r>
    </w:p>
    <w:p w14:paraId="65FC8C7D" w14:textId="77777777" w:rsidR="00BE69CC" w:rsidRPr="002A1891" w:rsidRDefault="00BE69CC" w:rsidP="00C35C1F">
      <w:pPr>
        <w:widowControl w:val="0"/>
        <w:numPr>
          <w:ilvl w:val="0"/>
          <w:numId w:val="61"/>
        </w:numPr>
        <w:autoSpaceDE w:val="0"/>
        <w:autoSpaceDN w:val="0"/>
        <w:adjustRightInd w:val="0"/>
        <w:rPr>
          <w:rFonts w:cs="Arial"/>
          <w:sz w:val="22"/>
          <w:szCs w:val="22"/>
        </w:rPr>
      </w:pPr>
      <w:r w:rsidRPr="002A1891">
        <w:rPr>
          <w:rFonts w:cs="Arial"/>
          <w:sz w:val="22"/>
          <w:szCs w:val="22"/>
        </w:rPr>
        <w:t>Professor Gould, Consultant and Service Clinical Director; Medical Microbiology, Aberdeen</w:t>
      </w:r>
    </w:p>
    <w:p w14:paraId="24A6858F" w14:textId="77777777" w:rsidR="00BE69CC" w:rsidRPr="002A1891" w:rsidRDefault="00BE69CC" w:rsidP="00BE69CC">
      <w:pPr>
        <w:widowControl w:val="0"/>
        <w:autoSpaceDE w:val="0"/>
        <w:autoSpaceDN w:val="0"/>
        <w:adjustRightInd w:val="0"/>
        <w:rPr>
          <w:sz w:val="22"/>
        </w:rPr>
      </w:pPr>
    </w:p>
    <w:p w14:paraId="235E72E0" w14:textId="77777777" w:rsidR="00BE69CC" w:rsidRPr="002A1891" w:rsidRDefault="00BE69CC" w:rsidP="00BE69CC">
      <w:pPr>
        <w:pStyle w:val="Answer"/>
        <w:rPr>
          <w:rFonts w:eastAsia="Times New Roman" w:cs="Times New Roman"/>
          <w:b/>
          <w:szCs w:val="20"/>
          <w:lang w:eastAsia="ja-JP"/>
        </w:rPr>
      </w:pPr>
      <w:r w:rsidRPr="002A1891">
        <w:rPr>
          <w:rFonts w:eastAsia="Times New Roman" w:cs="Times New Roman"/>
          <w:b/>
          <w:szCs w:val="20"/>
          <w:lang w:eastAsia="ja-JP"/>
        </w:rPr>
        <w:t xml:space="preserve">6.4 Cost minimisation model and base case </w:t>
      </w:r>
    </w:p>
    <w:p w14:paraId="7969D07E" w14:textId="77777777" w:rsidR="00BE69CC" w:rsidRPr="002A1891" w:rsidRDefault="00BE69CC" w:rsidP="00BE69CC">
      <w:pPr>
        <w:pStyle w:val="Answer"/>
        <w:spacing w:line="240" w:lineRule="auto"/>
        <w:rPr>
          <w:rFonts w:eastAsia="Times New Roman"/>
          <w:b/>
          <w:i/>
          <w:szCs w:val="20"/>
          <w:lang w:eastAsia="ja-JP"/>
        </w:rPr>
      </w:pPr>
      <w:r w:rsidRPr="002A1891">
        <w:rPr>
          <w:rFonts w:eastAsia="Times New Roman"/>
          <w:b/>
          <w:i/>
          <w:szCs w:val="20"/>
          <w:lang w:eastAsia="ja-JP"/>
        </w:rPr>
        <w:t>6.4.1 Clinical data justifying CMA approach</w:t>
      </w:r>
    </w:p>
    <w:p w14:paraId="6B7058CC" w14:textId="489B7344" w:rsidR="00BE69CC" w:rsidRPr="002A1891" w:rsidRDefault="00BE69CC" w:rsidP="00BE69CC">
      <w:pPr>
        <w:pStyle w:val="NormalWeb"/>
        <w:spacing w:before="0" w:after="0"/>
        <w:rPr>
          <w:rFonts w:ascii="Arial" w:hAnsi="Arial" w:cs="Arial"/>
          <w:sz w:val="22"/>
          <w:szCs w:val="22"/>
        </w:rPr>
      </w:pPr>
      <w:r w:rsidRPr="002A1891">
        <w:rPr>
          <w:rFonts w:ascii="Arial" w:hAnsi="Arial" w:cs="Arial"/>
          <w:sz w:val="22"/>
          <w:szCs w:val="22"/>
        </w:rPr>
        <w:lastRenderedPageBreak/>
        <w:t xml:space="preserve">The CMA design is based on </w:t>
      </w:r>
      <w:r w:rsidR="0075674B">
        <w:rPr>
          <w:rFonts w:ascii="Arial" w:hAnsi="Arial" w:cs="Arial"/>
          <w:sz w:val="22"/>
          <w:szCs w:val="22"/>
        </w:rPr>
        <w:t xml:space="preserve">the </w:t>
      </w:r>
      <w:r w:rsidRPr="002A1891">
        <w:rPr>
          <w:rFonts w:ascii="Arial" w:hAnsi="Arial" w:cs="Arial"/>
          <w:sz w:val="22"/>
          <w:szCs w:val="22"/>
        </w:rPr>
        <w:t xml:space="preserve">fact that </w:t>
      </w:r>
      <w:r w:rsidR="0075674B">
        <w:rPr>
          <w:rFonts w:ascii="Arial" w:hAnsi="Arial" w:cs="Arial"/>
          <w:sz w:val="22"/>
          <w:szCs w:val="22"/>
        </w:rPr>
        <w:t xml:space="preserve">the </w:t>
      </w:r>
      <w:r w:rsidRPr="002A1891">
        <w:rPr>
          <w:rFonts w:ascii="Arial" w:hAnsi="Arial" w:cs="Arial"/>
          <w:sz w:val="22"/>
          <w:szCs w:val="22"/>
        </w:rPr>
        <w:t xml:space="preserve">tedizolid </w:t>
      </w:r>
      <w:r w:rsidR="0075674B">
        <w:rPr>
          <w:rFonts w:ascii="Arial" w:hAnsi="Arial" w:cs="Arial"/>
          <w:sz w:val="22"/>
          <w:szCs w:val="22"/>
        </w:rPr>
        <w:t xml:space="preserve">phosphate </w:t>
      </w:r>
      <w:r w:rsidRPr="002A1891">
        <w:rPr>
          <w:rFonts w:ascii="Arial" w:hAnsi="Arial" w:cs="Arial"/>
          <w:sz w:val="22"/>
          <w:szCs w:val="22"/>
        </w:rPr>
        <w:t xml:space="preserve">clinical trials are non-inferiority studies and therefore no difference in effectiveness </w:t>
      </w:r>
      <w:r w:rsidR="00721CB2">
        <w:rPr>
          <w:rFonts w:ascii="Arial" w:hAnsi="Arial" w:cs="Arial"/>
          <w:sz w:val="22"/>
          <w:szCs w:val="22"/>
        </w:rPr>
        <w:t>was demonstrated</w:t>
      </w:r>
      <w:r w:rsidRPr="002A1891">
        <w:rPr>
          <w:rFonts w:ascii="Arial" w:hAnsi="Arial" w:cs="Arial"/>
          <w:sz w:val="22"/>
          <w:szCs w:val="22"/>
        </w:rPr>
        <w:t xml:space="preserve">. For the purposes of this economic analysis, the benefits for tedizolid phosphate and linezolid in terms of efficacy, safety and tolerability are assumed to be identical. Consequently, the base case analysis for the CMA is based on the relative </w:t>
      </w:r>
      <w:r w:rsidR="008428B6">
        <w:rPr>
          <w:rFonts w:ascii="Arial" w:hAnsi="Arial" w:cs="Arial"/>
          <w:sz w:val="22"/>
          <w:szCs w:val="22"/>
        </w:rPr>
        <w:t xml:space="preserve">medicine </w:t>
      </w:r>
      <w:r w:rsidRPr="002A1891">
        <w:rPr>
          <w:rFonts w:ascii="Arial" w:hAnsi="Arial" w:cs="Arial"/>
          <w:sz w:val="22"/>
          <w:szCs w:val="22"/>
        </w:rPr>
        <w:t xml:space="preserve">drug acquisition and </w:t>
      </w:r>
      <w:r w:rsidR="008428B6">
        <w:rPr>
          <w:rFonts w:ascii="Arial" w:hAnsi="Arial" w:cs="Arial"/>
          <w:sz w:val="22"/>
          <w:szCs w:val="22"/>
        </w:rPr>
        <w:t>medicine</w:t>
      </w:r>
      <w:r w:rsidRPr="002A1891">
        <w:rPr>
          <w:rFonts w:ascii="Arial" w:hAnsi="Arial" w:cs="Arial"/>
          <w:sz w:val="22"/>
          <w:szCs w:val="22"/>
        </w:rPr>
        <w:t>-related costs for tedizolid phosphate and linezolid.</w:t>
      </w:r>
    </w:p>
    <w:p w14:paraId="500B8105" w14:textId="77777777" w:rsidR="00BE69CC" w:rsidRPr="002A1891" w:rsidRDefault="00BE69CC" w:rsidP="00BE69CC">
      <w:pPr>
        <w:widowControl w:val="0"/>
        <w:autoSpaceDE w:val="0"/>
        <w:autoSpaceDN w:val="0"/>
        <w:adjustRightInd w:val="0"/>
        <w:rPr>
          <w:rFonts w:cs="Arial"/>
          <w:sz w:val="22"/>
        </w:rPr>
      </w:pPr>
    </w:p>
    <w:p w14:paraId="646180D8" w14:textId="74DB321E" w:rsidR="00BE69CC" w:rsidRPr="002A1891" w:rsidRDefault="00BE69CC" w:rsidP="00BE69CC">
      <w:pPr>
        <w:widowControl w:val="0"/>
        <w:autoSpaceDE w:val="0"/>
        <w:autoSpaceDN w:val="0"/>
        <w:adjustRightInd w:val="0"/>
        <w:rPr>
          <w:rFonts w:cs="Arial"/>
          <w:sz w:val="22"/>
          <w:szCs w:val="22"/>
        </w:rPr>
      </w:pPr>
      <w:r w:rsidRPr="002A1891">
        <w:rPr>
          <w:rFonts w:cs="Arial"/>
          <w:sz w:val="22"/>
        </w:rPr>
        <w:t>The base case analysis compares tedizolid phosphate with linezolid and assumes the same course of treatment for both agents as was evaluated in the Phase 3 clinical studies</w:t>
      </w:r>
      <w:r w:rsidR="00E711F5">
        <w:rPr>
          <w:rFonts w:cs="Arial"/>
          <w:sz w:val="22"/>
        </w:rPr>
        <w:t xml:space="preserve"> </w:t>
      </w:r>
      <w:r w:rsidR="00E711F5" w:rsidRPr="002A1891">
        <w:rPr>
          <w:rFonts w:cs="Arial"/>
          <w:sz w:val="22"/>
          <w:szCs w:val="22"/>
        </w:rPr>
        <w:t>(ESTABLISH-1 and ESTABLISH-2)</w:t>
      </w:r>
      <w:r w:rsidRPr="002A1891">
        <w:rPr>
          <w:rFonts w:cs="Arial"/>
          <w:sz w:val="22"/>
        </w:rPr>
        <w:t xml:space="preserve">. </w:t>
      </w:r>
      <w:r w:rsidR="00E711F5" w:rsidRPr="00946031">
        <w:rPr>
          <w:rFonts w:cs="Arial"/>
          <w:sz w:val="22"/>
        </w:rPr>
        <w:t>The manufacturer has assumed that patients received 2 days of IV treatment in the base case, which was the minimum duration in those studies (</w:t>
      </w:r>
      <w:r w:rsidR="00E711F5" w:rsidRPr="00946031">
        <w:rPr>
          <w:rFonts w:cs="Arial"/>
          <w:sz w:val="22"/>
        </w:rPr>
        <w:fldChar w:fldCharType="begin"/>
      </w:r>
      <w:r w:rsidR="00E711F5" w:rsidRPr="00946031">
        <w:rPr>
          <w:rFonts w:cs="Arial"/>
          <w:sz w:val="22"/>
        </w:rPr>
        <w:instrText xml:space="preserve"> REF _Ref284184350 \r \h </w:instrText>
      </w:r>
      <w:r w:rsidR="00E711F5" w:rsidRPr="00946031">
        <w:rPr>
          <w:rFonts w:cs="Arial"/>
          <w:sz w:val="22"/>
        </w:rPr>
      </w:r>
      <w:r w:rsidR="00E711F5" w:rsidRPr="00946031">
        <w:rPr>
          <w:rFonts w:cs="Arial"/>
          <w:sz w:val="22"/>
        </w:rPr>
        <w:fldChar w:fldCharType="separate"/>
      </w:r>
      <w:r w:rsidR="00151A1C">
        <w:rPr>
          <w:rFonts w:cs="Arial"/>
          <w:sz w:val="22"/>
        </w:rPr>
        <w:t>52</w:t>
      </w:r>
      <w:r w:rsidR="00E711F5" w:rsidRPr="00946031">
        <w:rPr>
          <w:rFonts w:cs="Arial"/>
          <w:sz w:val="22"/>
        </w:rPr>
        <w:fldChar w:fldCharType="end"/>
      </w:r>
      <w:r w:rsidR="00E711F5" w:rsidRPr="00946031">
        <w:rPr>
          <w:rFonts w:cs="Arial"/>
          <w:sz w:val="22"/>
        </w:rPr>
        <w:t xml:space="preserve">). </w:t>
      </w:r>
      <w:r w:rsidRPr="00946031">
        <w:rPr>
          <w:rFonts w:cs="Arial"/>
          <w:sz w:val="22"/>
          <w:szCs w:val="22"/>
        </w:rPr>
        <w:t>The base case analysis is based</w:t>
      </w:r>
      <w:r w:rsidRPr="002A1891">
        <w:rPr>
          <w:rFonts w:cs="Arial"/>
          <w:sz w:val="22"/>
          <w:szCs w:val="22"/>
        </w:rPr>
        <w:t xml:space="preserve"> on the following days of treatment with tedizolid </w:t>
      </w:r>
      <w:r w:rsidR="0075674B">
        <w:rPr>
          <w:rFonts w:cs="Arial"/>
          <w:sz w:val="22"/>
          <w:szCs w:val="22"/>
        </w:rPr>
        <w:t xml:space="preserve">phosphate </w:t>
      </w:r>
      <w:r w:rsidRPr="002A1891">
        <w:rPr>
          <w:rFonts w:cs="Arial"/>
          <w:sz w:val="22"/>
          <w:szCs w:val="22"/>
        </w:rPr>
        <w:t>and linezolid, as per the Phase 3 clinical studies and as recommended by an advisory board of Scottish clinical experts:</w:t>
      </w:r>
    </w:p>
    <w:p w14:paraId="0B98CB1E" w14:textId="676B096F" w:rsidR="00BE69CC" w:rsidRPr="002A1891" w:rsidRDefault="00BE69CC" w:rsidP="00C35C1F">
      <w:pPr>
        <w:widowControl w:val="0"/>
        <w:numPr>
          <w:ilvl w:val="0"/>
          <w:numId w:val="49"/>
        </w:numPr>
        <w:autoSpaceDE w:val="0"/>
        <w:autoSpaceDN w:val="0"/>
        <w:adjustRightInd w:val="0"/>
        <w:rPr>
          <w:rFonts w:cs="Arial"/>
          <w:sz w:val="22"/>
          <w:szCs w:val="22"/>
        </w:rPr>
      </w:pPr>
      <w:r w:rsidRPr="002A1891">
        <w:rPr>
          <w:rFonts w:cs="Arial"/>
          <w:sz w:val="22"/>
          <w:szCs w:val="22"/>
        </w:rPr>
        <w:t xml:space="preserve">Tedizolid </w:t>
      </w:r>
      <w:r w:rsidR="0075674B">
        <w:rPr>
          <w:rFonts w:cs="Arial"/>
          <w:sz w:val="22"/>
          <w:szCs w:val="22"/>
        </w:rPr>
        <w:t xml:space="preserve">phosphate </w:t>
      </w:r>
      <w:r w:rsidRPr="002A1891">
        <w:rPr>
          <w:rFonts w:cs="Arial"/>
          <w:sz w:val="22"/>
          <w:szCs w:val="22"/>
        </w:rPr>
        <w:t>– 2 days IV treatment, followed by 4 days oral treatment (total treatment course of 6 days)</w:t>
      </w:r>
    </w:p>
    <w:p w14:paraId="7FB4FFE8" w14:textId="77777777" w:rsidR="00BE69CC" w:rsidRPr="002A1891" w:rsidRDefault="00BE69CC" w:rsidP="00C35C1F">
      <w:pPr>
        <w:widowControl w:val="0"/>
        <w:numPr>
          <w:ilvl w:val="0"/>
          <w:numId w:val="49"/>
        </w:numPr>
        <w:autoSpaceDE w:val="0"/>
        <w:autoSpaceDN w:val="0"/>
        <w:adjustRightInd w:val="0"/>
        <w:rPr>
          <w:rFonts w:cs="Arial"/>
          <w:sz w:val="22"/>
          <w:szCs w:val="22"/>
        </w:rPr>
      </w:pPr>
      <w:r w:rsidRPr="002A1891">
        <w:rPr>
          <w:rFonts w:cs="Arial"/>
          <w:sz w:val="22"/>
          <w:szCs w:val="22"/>
        </w:rPr>
        <w:t>Linezolid – 2 days IV treatment, followed by 8 days oral treatment (total treatment course of 10 days)</w:t>
      </w:r>
    </w:p>
    <w:p w14:paraId="5DCA6875" w14:textId="77777777" w:rsidR="00BE69CC" w:rsidRPr="002A1891" w:rsidRDefault="00BE69CC" w:rsidP="00BE69CC">
      <w:pPr>
        <w:widowControl w:val="0"/>
        <w:autoSpaceDE w:val="0"/>
        <w:autoSpaceDN w:val="0"/>
        <w:adjustRightInd w:val="0"/>
        <w:ind w:left="66"/>
        <w:rPr>
          <w:rFonts w:cs="Arial"/>
          <w:sz w:val="22"/>
          <w:szCs w:val="22"/>
        </w:rPr>
      </w:pPr>
    </w:p>
    <w:p w14:paraId="233DB9D0" w14:textId="3BDC3BC2" w:rsidR="00BE69CC" w:rsidRPr="002A1891" w:rsidRDefault="00BE69CC" w:rsidP="00BE69CC">
      <w:pPr>
        <w:pStyle w:val="Answer"/>
        <w:spacing w:line="240" w:lineRule="auto"/>
        <w:rPr>
          <w:rFonts w:eastAsia="Times New Roman"/>
          <w:szCs w:val="20"/>
          <w:lang w:eastAsia="ja-JP"/>
        </w:rPr>
      </w:pPr>
      <w:r w:rsidRPr="002A1891">
        <w:rPr>
          <w:rFonts w:eastAsia="Times New Roman"/>
          <w:szCs w:val="20"/>
          <w:lang w:eastAsia="ja-JP"/>
        </w:rPr>
        <w:t>It is important to note that, whereas tedizolid phosphate is expected to be licensed for a 6-day course of treatment, the licensed dose recommended for linezolid is 10-14 consecutive days (</w:t>
      </w:r>
      <w:r w:rsidR="006F010F">
        <w:rPr>
          <w:rFonts w:eastAsia="Times New Roman"/>
          <w:szCs w:val="20"/>
          <w:lang w:eastAsia="ja-JP"/>
        </w:rPr>
        <w:fldChar w:fldCharType="begin"/>
      </w:r>
      <w:r w:rsidR="006F010F">
        <w:rPr>
          <w:rFonts w:eastAsia="Times New Roman"/>
          <w:szCs w:val="20"/>
          <w:lang w:eastAsia="ja-JP"/>
        </w:rPr>
        <w:instrText xml:space="preserve"> REF _Ref284439522 \r \h </w:instrText>
      </w:r>
      <w:r w:rsidR="006F010F">
        <w:rPr>
          <w:rFonts w:eastAsia="Times New Roman"/>
          <w:szCs w:val="20"/>
          <w:lang w:eastAsia="ja-JP"/>
        </w:rPr>
      </w:r>
      <w:r w:rsidR="006F010F">
        <w:rPr>
          <w:rFonts w:eastAsia="Times New Roman"/>
          <w:szCs w:val="20"/>
          <w:lang w:eastAsia="ja-JP"/>
        </w:rPr>
        <w:fldChar w:fldCharType="separate"/>
      </w:r>
      <w:r w:rsidR="00151A1C">
        <w:rPr>
          <w:rFonts w:eastAsia="Times New Roman"/>
          <w:szCs w:val="20"/>
          <w:lang w:eastAsia="ja-JP"/>
        </w:rPr>
        <w:t>74</w:t>
      </w:r>
      <w:r w:rsidR="006F010F">
        <w:rPr>
          <w:rFonts w:eastAsia="Times New Roman"/>
          <w:szCs w:val="20"/>
          <w:lang w:eastAsia="ja-JP"/>
        </w:rPr>
        <w:fldChar w:fldCharType="end"/>
      </w:r>
      <w:r w:rsidRPr="002A1891">
        <w:rPr>
          <w:rFonts w:eastAsia="Times New Roman"/>
          <w:szCs w:val="20"/>
          <w:lang w:eastAsia="ja-JP"/>
        </w:rPr>
        <w:t>). 10 days is, therefore, the shortest duration of treatment of linezolid permitted under its marketing authorisation.</w:t>
      </w:r>
    </w:p>
    <w:p w14:paraId="120E33A9" w14:textId="77777777" w:rsidR="00BE69CC" w:rsidRPr="002A1891" w:rsidRDefault="00BE69CC" w:rsidP="00BE69CC">
      <w:pPr>
        <w:pStyle w:val="Answer"/>
        <w:spacing w:line="240" w:lineRule="auto"/>
        <w:rPr>
          <w:rFonts w:eastAsia="Times New Roman"/>
          <w:szCs w:val="20"/>
          <w:lang w:eastAsia="ja-JP"/>
        </w:rPr>
      </w:pPr>
      <w:r w:rsidRPr="002A1891">
        <w:rPr>
          <w:rFonts w:eastAsia="Times New Roman"/>
          <w:szCs w:val="20"/>
          <w:lang w:eastAsia="ja-JP"/>
        </w:rPr>
        <w:t>100% compliance was also assumed in the base case (that is, it was assumed that all patients completed the full course of treatment, whether 6 days or 10 days and whether administered as IV or oral therapy).</w:t>
      </w:r>
    </w:p>
    <w:p w14:paraId="45E09EBB" w14:textId="77777777" w:rsidR="00BE69CC" w:rsidRPr="002A1891" w:rsidRDefault="00BE69CC" w:rsidP="00BE69CC">
      <w:pPr>
        <w:pStyle w:val="Answer"/>
        <w:spacing w:line="240" w:lineRule="auto"/>
        <w:rPr>
          <w:rFonts w:eastAsia="Times New Roman"/>
          <w:b/>
          <w:i/>
          <w:szCs w:val="20"/>
          <w:lang w:eastAsia="ja-JP"/>
        </w:rPr>
      </w:pPr>
      <w:r w:rsidRPr="002A1891">
        <w:rPr>
          <w:rFonts w:eastAsia="Times New Roman"/>
          <w:b/>
          <w:i/>
          <w:szCs w:val="20"/>
          <w:lang w:eastAsia="ja-JP"/>
        </w:rPr>
        <w:t>6.4.2 Costs</w:t>
      </w:r>
    </w:p>
    <w:p w14:paraId="55363896" w14:textId="77777777" w:rsidR="00BE69CC" w:rsidRPr="002A1891" w:rsidRDefault="00BE69CC" w:rsidP="00BE69CC">
      <w:pPr>
        <w:rPr>
          <w:rFonts w:cs="Arial"/>
          <w:sz w:val="22"/>
        </w:rPr>
      </w:pPr>
      <w:r w:rsidRPr="002A1891">
        <w:rPr>
          <w:rFonts w:cs="Arial"/>
          <w:sz w:val="22"/>
        </w:rPr>
        <w:t>Because equivalent efficacy has been assumed between tedizolid phosphate and linezolid based on the Phase 3 study outcomes data, the only differentiating variables for consideration in the CMA are:</w:t>
      </w:r>
    </w:p>
    <w:p w14:paraId="1C25A55E" w14:textId="77777777" w:rsidR="00BE69CC" w:rsidRPr="002A1891" w:rsidRDefault="00BE69CC" w:rsidP="00BE69CC">
      <w:pPr>
        <w:rPr>
          <w:rFonts w:cs="Arial"/>
          <w:sz w:val="22"/>
        </w:rPr>
      </w:pPr>
    </w:p>
    <w:p w14:paraId="6B45B693" w14:textId="16C11B7F" w:rsidR="00BE69CC" w:rsidRPr="002A1891" w:rsidRDefault="008428B6" w:rsidP="00C35C1F">
      <w:pPr>
        <w:pStyle w:val="ListParagraph"/>
        <w:numPr>
          <w:ilvl w:val="0"/>
          <w:numId w:val="59"/>
        </w:numPr>
        <w:spacing w:after="160"/>
        <w:jc w:val="both"/>
        <w:rPr>
          <w:rFonts w:cs="Arial"/>
          <w:sz w:val="22"/>
        </w:rPr>
      </w:pPr>
      <w:r>
        <w:rPr>
          <w:rFonts w:cs="Arial"/>
          <w:sz w:val="22"/>
        </w:rPr>
        <w:t>Medicine</w:t>
      </w:r>
      <w:r w:rsidR="00BE69CC" w:rsidRPr="002A1891">
        <w:rPr>
          <w:rFonts w:cs="Arial"/>
          <w:sz w:val="22"/>
        </w:rPr>
        <w:t xml:space="preserve"> acquisition costs</w:t>
      </w:r>
    </w:p>
    <w:p w14:paraId="6C7A24C7" w14:textId="4175BE20" w:rsidR="00BE69CC" w:rsidRPr="002A1891" w:rsidRDefault="00BE69CC" w:rsidP="00C35C1F">
      <w:pPr>
        <w:pStyle w:val="ListParagraph"/>
        <w:numPr>
          <w:ilvl w:val="0"/>
          <w:numId w:val="59"/>
        </w:numPr>
        <w:spacing w:after="160"/>
        <w:jc w:val="both"/>
        <w:rPr>
          <w:rFonts w:cs="Arial"/>
          <w:sz w:val="22"/>
        </w:rPr>
      </w:pPr>
      <w:r w:rsidRPr="002A1891">
        <w:rPr>
          <w:rFonts w:cs="Arial"/>
          <w:sz w:val="22"/>
        </w:rPr>
        <w:t xml:space="preserve">The costs associated with administering the </w:t>
      </w:r>
      <w:r w:rsidR="008428B6">
        <w:rPr>
          <w:rFonts w:cs="Arial"/>
          <w:sz w:val="22"/>
        </w:rPr>
        <w:t>medicine</w:t>
      </w:r>
    </w:p>
    <w:p w14:paraId="24E1DE68" w14:textId="77777777" w:rsidR="00BE69CC" w:rsidRPr="002A1891" w:rsidRDefault="00BE69CC" w:rsidP="00C35C1F">
      <w:pPr>
        <w:pStyle w:val="ListParagraph"/>
        <w:numPr>
          <w:ilvl w:val="0"/>
          <w:numId w:val="59"/>
        </w:numPr>
        <w:spacing w:after="160"/>
        <w:jc w:val="both"/>
        <w:rPr>
          <w:rFonts w:cs="Arial"/>
          <w:sz w:val="22"/>
        </w:rPr>
      </w:pPr>
      <w:r w:rsidRPr="002A1891">
        <w:rPr>
          <w:rFonts w:cs="Arial"/>
          <w:sz w:val="22"/>
        </w:rPr>
        <w:lastRenderedPageBreak/>
        <w:t xml:space="preserve">The costs associated with monitoring and follow up, if applicable. </w:t>
      </w:r>
    </w:p>
    <w:p w14:paraId="3562E318" w14:textId="672DBE77" w:rsidR="00236852" w:rsidRPr="00F83733" w:rsidRDefault="00BE69CC" w:rsidP="00BE69CC">
      <w:pPr>
        <w:pStyle w:val="Answer"/>
        <w:spacing w:line="240" w:lineRule="auto"/>
        <w:rPr>
          <w:rFonts w:eastAsia="Times New Roman"/>
          <w:szCs w:val="20"/>
          <w:lang w:eastAsia="ja-JP"/>
        </w:rPr>
      </w:pPr>
      <w:r w:rsidRPr="00F83733">
        <w:rPr>
          <w:rFonts w:eastAsia="Times New Roman"/>
          <w:szCs w:val="20"/>
          <w:lang w:eastAsia="ja-JP"/>
        </w:rPr>
        <w:t xml:space="preserve">The model </w:t>
      </w:r>
      <w:r w:rsidR="00236852" w:rsidRPr="00F83733">
        <w:rPr>
          <w:rFonts w:eastAsia="Times New Roman"/>
          <w:szCs w:val="20"/>
          <w:lang w:eastAsia="ja-JP"/>
        </w:rPr>
        <w:t xml:space="preserve">base case </w:t>
      </w:r>
      <w:r w:rsidRPr="00F83733">
        <w:rPr>
          <w:rFonts w:eastAsia="Times New Roman"/>
          <w:szCs w:val="20"/>
          <w:lang w:eastAsia="ja-JP"/>
        </w:rPr>
        <w:t>considers</w:t>
      </w:r>
      <w:r w:rsidR="00236852" w:rsidRPr="00F83733">
        <w:rPr>
          <w:rFonts w:eastAsia="Times New Roman"/>
          <w:szCs w:val="20"/>
          <w:lang w:eastAsia="ja-JP"/>
        </w:rPr>
        <w:t xml:space="preserve"> all three of these </w:t>
      </w:r>
      <w:r w:rsidRPr="00F83733">
        <w:rPr>
          <w:rFonts w:eastAsia="Times New Roman"/>
          <w:szCs w:val="20"/>
          <w:lang w:eastAsia="ja-JP"/>
        </w:rPr>
        <w:t>components</w:t>
      </w:r>
      <w:r w:rsidR="00F338B7" w:rsidRPr="00F83733">
        <w:rPr>
          <w:rFonts w:eastAsia="Times New Roman"/>
          <w:szCs w:val="20"/>
          <w:lang w:eastAsia="ja-JP"/>
        </w:rPr>
        <w:t xml:space="preserve">, </w:t>
      </w:r>
      <w:r w:rsidRPr="00F83733">
        <w:rPr>
          <w:rFonts w:eastAsia="Times New Roman"/>
          <w:szCs w:val="20"/>
          <w:lang w:eastAsia="ja-JP"/>
        </w:rPr>
        <w:t xml:space="preserve">the sum of which generates a total cost </w:t>
      </w:r>
      <w:r w:rsidR="00F338B7" w:rsidRPr="00F83733">
        <w:rPr>
          <w:rFonts w:eastAsia="Times New Roman"/>
          <w:szCs w:val="20"/>
          <w:lang w:eastAsia="ja-JP"/>
        </w:rPr>
        <w:t xml:space="preserve">per product </w:t>
      </w:r>
      <w:r w:rsidRPr="00F83733">
        <w:rPr>
          <w:rFonts w:eastAsia="Times New Roman"/>
          <w:szCs w:val="20"/>
          <w:lang w:eastAsia="ja-JP"/>
        </w:rPr>
        <w:t xml:space="preserve">over a full course of </w:t>
      </w:r>
      <w:r w:rsidR="00F338B7" w:rsidRPr="00F83733">
        <w:rPr>
          <w:rFonts w:eastAsia="Times New Roman"/>
          <w:szCs w:val="20"/>
          <w:lang w:eastAsia="ja-JP"/>
        </w:rPr>
        <w:t xml:space="preserve">antibiotic </w:t>
      </w:r>
      <w:r w:rsidRPr="00F83733">
        <w:rPr>
          <w:rFonts w:eastAsia="Times New Roman"/>
          <w:szCs w:val="20"/>
          <w:lang w:eastAsia="ja-JP"/>
        </w:rPr>
        <w:t xml:space="preserve">treatment. </w:t>
      </w:r>
    </w:p>
    <w:p w14:paraId="4F5009BC" w14:textId="77777777" w:rsidR="00BE69CC" w:rsidRPr="002A1891" w:rsidRDefault="00BE69CC" w:rsidP="00BE69CC">
      <w:pPr>
        <w:rPr>
          <w:rFonts w:cs="Arial"/>
          <w:sz w:val="22"/>
          <w:szCs w:val="22"/>
        </w:rPr>
      </w:pPr>
      <w:r w:rsidRPr="002A1891">
        <w:rPr>
          <w:rFonts w:cs="Arial"/>
          <w:sz w:val="22"/>
          <w:szCs w:val="22"/>
        </w:rPr>
        <w:t xml:space="preserve">Waste is not included in the base case analysis. </w:t>
      </w:r>
    </w:p>
    <w:p w14:paraId="4C92458C" w14:textId="77777777" w:rsidR="00BE69CC" w:rsidRPr="002A1891" w:rsidRDefault="00BE69CC" w:rsidP="00BE69CC">
      <w:pPr>
        <w:rPr>
          <w:rFonts w:cs="Arial"/>
          <w:sz w:val="22"/>
          <w:szCs w:val="22"/>
        </w:rPr>
      </w:pPr>
    </w:p>
    <w:p w14:paraId="2282FB0E" w14:textId="3FB52729" w:rsidR="00BE69CC" w:rsidRPr="002A1891" w:rsidRDefault="00BE69CC" w:rsidP="00BE69CC">
      <w:pPr>
        <w:rPr>
          <w:b/>
          <w:i/>
          <w:sz w:val="22"/>
          <w:szCs w:val="22"/>
        </w:rPr>
      </w:pPr>
      <w:r w:rsidRPr="002A1891">
        <w:rPr>
          <w:b/>
          <w:i/>
          <w:sz w:val="22"/>
          <w:szCs w:val="22"/>
        </w:rPr>
        <w:t xml:space="preserve">6.4.2.1 </w:t>
      </w:r>
      <w:r w:rsidR="008428B6">
        <w:rPr>
          <w:b/>
          <w:i/>
          <w:sz w:val="22"/>
          <w:szCs w:val="22"/>
        </w:rPr>
        <w:t>Medicine</w:t>
      </w:r>
      <w:r w:rsidRPr="002A1891">
        <w:rPr>
          <w:b/>
          <w:i/>
          <w:sz w:val="22"/>
          <w:szCs w:val="22"/>
        </w:rPr>
        <w:t xml:space="preserve"> acquisition costs </w:t>
      </w:r>
    </w:p>
    <w:p w14:paraId="15E610D8" w14:textId="77777777" w:rsidR="00BE69CC" w:rsidRPr="002A1891" w:rsidRDefault="00BE69CC" w:rsidP="00BE69CC">
      <w:pPr>
        <w:rPr>
          <w:sz w:val="22"/>
          <w:szCs w:val="22"/>
        </w:rPr>
      </w:pPr>
    </w:p>
    <w:p w14:paraId="28ADD9E3" w14:textId="2D6F4C5E" w:rsidR="00BE69CC" w:rsidRPr="002A1891" w:rsidRDefault="00BE69CC" w:rsidP="00BE69CC">
      <w:pPr>
        <w:rPr>
          <w:sz w:val="22"/>
          <w:szCs w:val="22"/>
        </w:rPr>
      </w:pPr>
      <w:r w:rsidRPr="002A1891">
        <w:rPr>
          <w:sz w:val="22"/>
          <w:szCs w:val="22"/>
        </w:rPr>
        <w:t xml:space="preserve">The </w:t>
      </w:r>
      <w:r w:rsidR="008428B6">
        <w:rPr>
          <w:sz w:val="22"/>
          <w:szCs w:val="22"/>
        </w:rPr>
        <w:t xml:space="preserve">medicine </w:t>
      </w:r>
      <w:r w:rsidRPr="002A1891">
        <w:rPr>
          <w:sz w:val="22"/>
          <w:szCs w:val="22"/>
        </w:rPr>
        <w:t xml:space="preserve">acquisition costs relevant to the base case are shown in </w:t>
      </w:r>
      <w:r w:rsidRPr="002A1891">
        <w:rPr>
          <w:sz w:val="22"/>
          <w:szCs w:val="22"/>
        </w:rPr>
        <w:fldChar w:fldCharType="begin"/>
      </w:r>
      <w:r w:rsidRPr="002A1891">
        <w:rPr>
          <w:sz w:val="22"/>
          <w:szCs w:val="22"/>
        </w:rPr>
        <w:instrText xml:space="preserve"> REF _Ref282966836 \h </w:instrText>
      </w:r>
      <w:r w:rsidRPr="002A1891">
        <w:rPr>
          <w:sz w:val="22"/>
          <w:szCs w:val="22"/>
        </w:rPr>
      </w:r>
      <w:r w:rsidRPr="002A1891">
        <w:rPr>
          <w:sz w:val="22"/>
          <w:szCs w:val="22"/>
        </w:rPr>
        <w:fldChar w:fldCharType="separate"/>
      </w:r>
      <w:r w:rsidR="00151A1C" w:rsidRPr="002A1891">
        <w:rPr>
          <w:rFonts w:cs="Arial"/>
          <w:sz w:val="22"/>
          <w:szCs w:val="22"/>
        </w:rPr>
        <w:t xml:space="preserve">Table </w:t>
      </w:r>
      <w:r w:rsidR="00151A1C">
        <w:rPr>
          <w:rFonts w:cs="Arial"/>
          <w:noProof/>
          <w:sz w:val="22"/>
          <w:szCs w:val="22"/>
        </w:rPr>
        <w:t>44</w:t>
      </w:r>
      <w:r w:rsidRPr="002A1891">
        <w:rPr>
          <w:sz w:val="22"/>
          <w:szCs w:val="22"/>
        </w:rPr>
        <w:fldChar w:fldCharType="end"/>
      </w:r>
      <w:r w:rsidRPr="002A1891">
        <w:rPr>
          <w:sz w:val="22"/>
          <w:szCs w:val="22"/>
        </w:rPr>
        <w:t>.</w:t>
      </w:r>
      <w:r w:rsidRPr="002A1891">
        <w:rPr>
          <w:rFonts w:cs="Arial"/>
          <w:bCs/>
          <w:sz w:val="22"/>
          <w:szCs w:val="22"/>
        </w:rPr>
        <w:t xml:space="preserve"> As described in section 6.4.1 above, the length of the course of treatment is based on the comparative Phase 3 clinical studies</w:t>
      </w:r>
      <w:r w:rsidR="00F338B7">
        <w:rPr>
          <w:rFonts w:cs="Arial"/>
          <w:bCs/>
          <w:sz w:val="22"/>
          <w:szCs w:val="22"/>
        </w:rPr>
        <w:t xml:space="preserve"> (6 days vs. 10 days)</w:t>
      </w:r>
      <w:r w:rsidRPr="002A1891">
        <w:rPr>
          <w:rFonts w:cs="Arial"/>
          <w:bCs/>
          <w:sz w:val="22"/>
          <w:szCs w:val="22"/>
        </w:rPr>
        <w:t>, not on the marketing authorisation, which recommends 10-14 consecutive days treatment for linezolid (</w:t>
      </w:r>
      <w:r w:rsidR="006F010F">
        <w:rPr>
          <w:rFonts w:cs="Arial"/>
          <w:bCs/>
          <w:sz w:val="22"/>
          <w:szCs w:val="22"/>
        </w:rPr>
        <w:fldChar w:fldCharType="begin"/>
      </w:r>
      <w:r w:rsidR="006F010F">
        <w:rPr>
          <w:rFonts w:cs="Arial"/>
          <w:bCs/>
          <w:sz w:val="22"/>
          <w:szCs w:val="22"/>
        </w:rPr>
        <w:instrText xml:space="preserve"> REF _Ref284439522 \r \h </w:instrText>
      </w:r>
      <w:r w:rsidR="006F010F">
        <w:rPr>
          <w:rFonts w:cs="Arial"/>
          <w:bCs/>
          <w:sz w:val="22"/>
          <w:szCs w:val="22"/>
        </w:rPr>
      </w:r>
      <w:r w:rsidR="006F010F">
        <w:rPr>
          <w:rFonts w:cs="Arial"/>
          <w:bCs/>
          <w:sz w:val="22"/>
          <w:szCs w:val="22"/>
        </w:rPr>
        <w:fldChar w:fldCharType="separate"/>
      </w:r>
      <w:r w:rsidR="00151A1C">
        <w:rPr>
          <w:rFonts w:cs="Arial"/>
          <w:bCs/>
          <w:sz w:val="22"/>
          <w:szCs w:val="22"/>
        </w:rPr>
        <w:t>74</w:t>
      </w:r>
      <w:r w:rsidR="006F010F">
        <w:rPr>
          <w:rFonts w:cs="Arial"/>
          <w:bCs/>
          <w:sz w:val="22"/>
          <w:szCs w:val="22"/>
        </w:rPr>
        <w:fldChar w:fldCharType="end"/>
      </w:r>
      <w:r w:rsidRPr="002A1891">
        <w:rPr>
          <w:rFonts w:cs="Arial"/>
          <w:bCs/>
          <w:sz w:val="22"/>
          <w:szCs w:val="22"/>
        </w:rPr>
        <w:t>).</w:t>
      </w:r>
    </w:p>
    <w:p w14:paraId="308C9F00" w14:textId="136D6911" w:rsidR="00BE69CC" w:rsidRPr="002A1891" w:rsidRDefault="00BE69CC" w:rsidP="00BE69CC">
      <w:pPr>
        <w:pStyle w:val="Caption"/>
        <w:rPr>
          <w:rFonts w:ascii="Arial" w:hAnsi="Arial" w:cs="Arial"/>
          <w:sz w:val="22"/>
          <w:szCs w:val="22"/>
        </w:rPr>
      </w:pPr>
      <w:bookmarkStart w:id="200" w:name="_Ref282966836"/>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44</w:t>
      </w:r>
      <w:r w:rsidRPr="002A1891">
        <w:rPr>
          <w:rFonts w:ascii="Arial" w:hAnsi="Arial" w:cs="Arial"/>
          <w:sz w:val="22"/>
          <w:szCs w:val="22"/>
        </w:rPr>
        <w:fldChar w:fldCharType="end"/>
      </w:r>
      <w:bookmarkEnd w:id="200"/>
      <w:r w:rsidRPr="002A1891">
        <w:rPr>
          <w:rFonts w:ascii="Arial" w:hAnsi="Arial" w:cs="Arial"/>
          <w:sz w:val="22"/>
          <w:szCs w:val="22"/>
        </w:rPr>
        <w:t xml:space="preserve">: </w:t>
      </w:r>
      <w:r w:rsidR="008428B6">
        <w:rPr>
          <w:rFonts w:ascii="Arial" w:hAnsi="Arial" w:cs="Arial"/>
          <w:sz w:val="22"/>
          <w:szCs w:val="22"/>
        </w:rPr>
        <w:t>Medicine</w:t>
      </w:r>
      <w:r w:rsidRPr="002A1891">
        <w:rPr>
          <w:rFonts w:ascii="Arial" w:hAnsi="Arial" w:cs="Arial"/>
          <w:sz w:val="22"/>
          <w:szCs w:val="22"/>
        </w:rPr>
        <w:t xml:space="preserve"> acquisition costs – CMA base case </w:t>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850"/>
        <w:gridCol w:w="992"/>
        <w:gridCol w:w="993"/>
        <w:gridCol w:w="992"/>
        <w:gridCol w:w="1134"/>
        <w:gridCol w:w="1700"/>
      </w:tblGrid>
      <w:tr w:rsidR="00BE69CC" w:rsidRPr="002A1891" w14:paraId="2A3DEA09" w14:textId="77777777" w:rsidTr="00BE69CC">
        <w:trPr>
          <w:trHeight w:val="260"/>
        </w:trPr>
        <w:tc>
          <w:tcPr>
            <w:tcW w:w="1276" w:type="dxa"/>
            <w:shd w:val="clear" w:color="auto" w:fill="auto"/>
            <w:noWrap/>
            <w:vAlign w:val="bottom"/>
          </w:tcPr>
          <w:p w14:paraId="1DBC8C0F" w14:textId="3AC246CB" w:rsidR="00BE69CC" w:rsidRPr="002A1891" w:rsidRDefault="00460B3B" w:rsidP="00BE69CC">
            <w:pPr>
              <w:jc w:val="center"/>
              <w:rPr>
                <w:b/>
                <w:bCs/>
                <w:sz w:val="20"/>
              </w:rPr>
            </w:pPr>
            <w:r>
              <w:rPr>
                <w:b/>
                <w:bCs/>
                <w:sz w:val="20"/>
              </w:rPr>
              <w:t>Medicine</w:t>
            </w:r>
          </w:p>
          <w:p w14:paraId="6555D2BF" w14:textId="77777777" w:rsidR="00BE69CC" w:rsidRPr="002A1891" w:rsidRDefault="00BE69CC" w:rsidP="00BE69CC">
            <w:pPr>
              <w:jc w:val="center"/>
              <w:rPr>
                <w:b/>
                <w:bCs/>
                <w:sz w:val="20"/>
              </w:rPr>
            </w:pPr>
          </w:p>
        </w:tc>
        <w:tc>
          <w:tcPr>
            <w:tcW w:w="1418" w:type="dxa"/>
            <w:shd w:val="clear" w:color="auto" w:fill="auto"/>
            <w:noWrap/>
            <w:vAlign w:val="bottom"/>
          </w:tcPr>
          <w:p w14:paraId="2882C52D" w14:textId="77777777" w:rsidR="00BE69CC" w:rsidRPr="002A1891" w:rsidRDefault="00BE69CC" w:rsidP="00BE69CC">
            <w:pPr>
              <w:jc w:val="center"/>
              <w:rPr>
                <w:b/>
                <w:sz w:val="20"/>
              </w:rPr>
            </w:pPr>
            <w:r w:rsidRPr="002A1891">
              <w:rPr>
                <w:b/>
                <w:sz w:val="20"/>
              </w:rPr>
              <w:t>Formulation</w:t>
            </w:r>
          </w:p>
          <w:p w14:paraId="3BD31661" w14:textId="77777777" w:rsidR="00BE69CC" w:rsidRPr="002A1891" w:rsidRDefault="00BE69CC" w:rsidP="00BE69CC">
            <w:pPr>
              <w:jc w:val="center"/>
              <w:rPr>
                <w:b/>
                <w:sz w:val="20"/>
              </w:rPr>
            </w:pPr>
          </w:p>
        </w:tc>
        <w:tc>
          <w:tcPr>
            <w:tcW w:w="850" w:type="dxa"/>
            <w:shd w:val="clear" w:color="auto" w:fill="auto"/>
            <w:noWrap/>
            <w:vAlign w:val="bottom"/>
          </w:tcPr>
          <w:p w14:paraId="2C0E6892" w14:textId="77777777" w:rsidR="00BE69CC" w:rsidRPr="002A1891" w:rsidRDefault="00BE69CC" w:rsidP="00BE69CC">
            <w:pPr>
              <w:jc w:val="center"/>
              <w:rPr>
                <w:b/>
                <w:sz w:val="20"/>
              </w:rPr>
            </w:pPr>
            <w:r w:rsidRPr="002A1891">
              <w:rPr>
                <w:b/>
                <w:sz w:val="20"/>
              </w:rPr>
              <w:t>Dose (mg)</w:t>
            </w:r>
          </w:p>
          <w:p w14:paraId="3FCE8101" w14:textId="77777777" w:rsidR="00BE69CC" w:rsidRPr="002A1891" w:rsidRDefault="00BE69CC" w:rsidP="00BE69CC">
            <w:pPr>
              <w:jc w:val="center"/>
              <w:rPr>
                <w:b/>
                <w:sz w:val="20"/>
              </w:rPr>
            </w:pPr>
          </w:p>
        </w:tc>
        <w:tc>
          <w:tcPr>
            <w:tcW w:w="992" w:type="dxa"/>
            <w:shd w:val="clear" w:color="auto" w:fill="auto"/>
            <w:noWrap/>
            <w:vAlign w:val="bottom"/>
          </w:tcPr>
          <w:p w14:paraId="7037E6A4" w14:textId="77777777" w:rsidR="00BE69CC" w:rsidRPr="002A1891" w:rsidRDefault="00BE69CC" w:rsidP="00BE69CC">
            <w:pPr>
              <w:jc w:val="center"/>
              <w:rPr>
                <w:b/>
                <w:sz w:val="20"/>
              </w:rPr>
            </w:pPr>
            <w:r w:rsidRPr="002A1891">
              <w:rPr>
                <w:b/>
                <w:sz w:val="20"/>
              </w:rPr>
              <w:t>Cost/ dose</w:t>
            </w:r>
          </w:p>
          <w:p w14:paraId="2B981545" w14:textId="77777777" w:rsidR="00BE69CC" w:rsidRPr="002A1891" w:rsidRDefault="00BE69CC" w:rsidP="00BE69CC">
            <w:pPr>
              <w:jc w:val="center"/>
              <w:rPr>
                <w:b/>
                <w:sz w:val="20"/>
              </w:rPr>
            </w:pPr>
          </w:p>
        </w:tc>
        <w:tc>
          <w:tcPr>
            <w:tcW w:w="993" w:type="dxa"/>
            <w:shd w:val="clear" w:color="auto" w:fill="auto"/>
            <w:noWrap/>
            <w:vAlign w:val="bottom"/>
          </w:tcPr>
          <w:p w14:paraId="0474BCEE" w14:textId="77777777" w:rsidR="00BE69CC" w:rsidRPr="002A1891" w:rsidRDefault="00BE69CC" w:rsidP="00BE69CC">
            <w:pPr>
              <w:jc w:val="center"/>
              <w:rPr>
                <w:b/>
                <w:sz w:val="20"/>
              </w:rPr>
            </w:pPr>
            <w:r w:rsidRPr="002A1891">
              <w:rPr>
                <w:b/>
                <w:sz w:val="20"/>
              </w:rPr>
              <w:t>Number of doses per day</w:t>
            </w:r>
          </w:p>
          <w:p w14:paraId="0D80A72B" w14:textId="77777777" w:rsidR="00BE69CC" w:rsidRPr="002A1891" w:rsidRDefault="00BE69CC" w:rsidP="00BE69CC">
            <w:pPr>
              <w:jc w:val="center"/>
              <w:rPr>
                <w:b/>
                <w:sz w:val="20"/>
              </w:rPr>
            </w:pPr>
          </w:p>
        </w:tc>
        <w:tc>
          <w:tcPr>
            <w:tcW w:w="992" w:type="dxa"/>
          </w:tcPr>
          <w:p w14:paraId="1B99D2A6" w14:textId="77777777" w:rsidR="00BE69CC" w:rsidRPr="002A1891" w:rsidRDefault="00BE69CC" w:rsidP="00BE69CC">
            <w:pPr>
              <w:jc w:val="center"/>
              <w:rPr>
                <w:b/>
                <w:sz w:val="20"/>
              </w:rPr>
            </w:pPr>
            <w:r w:rsidRPr="002A1891">
              <w:rPr>
                <w:b/>
                <w:sz w:val="20"/>
              </w:rPr>
              <w:t>Cost/ day</w:t>
            </w:r>
          </w:p>
          <w:p w14:paraId="7732DC5B" w14:textId="77777777" w:rsidR="00BE69CC" w:rsidRPr="002A1891" w:rsidRDefault="00BE69CC" w:rsidP="00BE69CC">
            <w:pPr>
              <w:jc w:val="center"/>
              <w:rPr>
                <w:b/>
                <w:sz w:val="20"/>
              </w:rPr>
            </w:pPr>
          </w:p>
        </w:tc>
        <w:tc>
          <w:tcPr>
            <w:tcW w:w="1134" w:type="dxa"/>
            <w:shd w:val="clear" w:color="auto" w:fill="auto"/>
            <w:noWrap/>
            <w:vAlign w:val="bottom"/>
          </w:tcPr>
          <w:p w14:paraId="753C75C8" w14:textId="77777777" w:rsidR="00BE69CC" w:rsidRPr="002A1891" w:rsidRDefault="00BE69CC" w:rsidP="00BE69CC">
            <w:pPr>
              <w:jc w:val="center"/>
              <w:rPr>
                <w:b/>
                <w:sz w:val="20"/>
                <w:vertAlign w:val="superscript"/>
              </w:rPr>
            </w:pPr>
            <w:r w:rsidRPr="002A1891">
              <w:rPr>
                <w:b/>
                <w:sz w:val="20"/>
              </w:rPr>
              <w:t>Duration of treatment (days)</w:t>
            </w:r>
            <w:r w:rsidRPr="002A1891">
              <w:rPr>
                <w:b/>
                <w:sz w:val="20"/>
                <w:vertAlign w:val="superscript"/>
              </w:rPr>
              <w:t>a</w:t>
            </w:r>
          </w:p>
          <w:p w14:paraId="2B7F7B0F" w14:textId="77777777" w:rsidR="00BE69CC" w:rsidRPr="002A1891" w:rsidRDefault="00BE69CC" w:rsidP="00BE69CC">
            <w:pPr>
              <w:jc w:val="center"/>
              <w:rPr>
                <w:b/>
                <w:sz w:val="20"/>
              </w:rPr>
            </w:pPr>
          </w:p>
        </w:tc>
        <w:tc>
          <w:tcPr>
            <w:tcW w:w="1700" w:type="dxa"/>
          </w:tcPr>
          <w:p w14:paraId="54A0BC99" w14:textId="77777777" w:rsidR="00BE69CC" w:rsidRPr="002A1891" w:rsidRDefault="00BE69CC" w:rsidP="00BE69CC">
            <w:pPr>
              <w:jc w:val="center"/>
              <w:rPr>
                <w:b/>
                <w:sz w:val="20"/>
              </w:rPr>
            </w:pPr>
            <w:r w:rsidRPr="002A1891">
              <w:rPr>
                <w:b/>
                <w:sz w:val="20"/>
              </w:rPr>
              <w:t>Total cost/ course of treatment</w:t>
            </w:r>
          </w:p>
          <w:p w14:paraId="357024BB" w14:textId="77777777" w:rsidR="00BE69CC" w:rsidRPr="002A1891" w:rsidRDefault="00BE69CC" w:rsidP="00BE69CC">
            <w:pPr>
              <w:jc w:val="center"/>
              <w:rPr>
                <w:b/>
                <w:sz w:val="20"/>
              </w:rPr>
            </w:pPr>
          </w:p>
        </w:tc>
      </w:tr>
      <w:tr w:rsidR="00BE69CC" w:rsidRPr="002A1891" w14:paraId="564C9C70" w14:textId="77777777" w:rsidTr="00BE69CC">
        <w:trPr>
          <w:trHeight w:val="260"/>
        </w:trPr>
        <w:tc>
          <w:tcPr>
            <w:tcW w:w="1276" w:type="dxa"/>
            <w:shd w:val="clear" w:color="auto" w:fill="auto"/>
            <w:noWrap/>
          </w:tcPr>
          <w:p w14:paraId="2448156A" w14:textId="77777777" w:rsidR="00BE69CC" w:rsidRPr="002A1891" w:rsidRDefault="00BE69CC" w:rsidP="00BE69CC">
            <w:pPr>
              <w:rPr>
                <w:sz w:val="20"/>
              </w:rPr>
            </w:pPr>
            <w:r w:rsidRPr="002A1891">
              <w:rPr>
                <w:sz w:val="20"/>
              </w:rPr>
              <w:t>Tedizolid phosphate</w:t>
            </w:r>
          </w:p>
        </w:tc>
        <w:tc>
          <w:tcPr>
            <w:tcW w:w="1418" w:type="dxa"/>
            <w:shd w:val="clear" w:color="auto" w:fill="auto"/>
            <w:noWrap/>
          </w:tcPr>
          <w:p w14:paraId="7C6A5B8C" w14:textId="77777777" w:rsidR="00BE69CC" w:rsidRPr="002A1891" w:rsidRDefault="00BE69CC" w:rsidP="00BE69CC">
            <w:pPr>
              <w:rPr>
                <w:sz w:val="20"/>
              </w:rPr>
            </w:pPr>
            <w:r w:rsidRPr="002A1891">
              <w:rPr>
                <w:sz w:val="20"/>
              </w:rPr>
              <w:t>IV/oral</w:t>
            </w:r>
          </w:p>
        </w:tc>
        <w:tc>
          <w:tcPr>
            <w:tcW w:w="850" w:type="dxa"/>
            <w:shd w:val="clear" w:color="auto" w:fill="auto"/>
            <w:noWrap/>
          </w:tcPr>
          <w:p w14:paraId="1746F41C" w14:textId="4B10E1DA" w:rsidR="00BE69CC" w:rsidRPr="00312EC5" w:rsidRDefault="00BE69CC" w:rsidP="00BE69CC">
            <w:pPr>
              <w:jc w:val="center"/>
              <w:rPr>
                <w:sz w:val="20"/>
              </w:rPr>
            </w:pPr>
            <w:r w:rsidRPr="00312EC5">
              <w:rPr>
                <w:sz w:val="20"/>
              </w:rPr>
              <w:t>20</w:t>
            </w:r>
            <w:r w:rsidR="00D31883" w:rsidRPr="00312EC5">
              <w:rPr>
                <w:sz w:val="20"/>
              </w:rPr>
              <w:t>0</w:t>
            </w:r>
          </w:p>
        </w:tc>
        <w:tc>
          <w:tcPr>
            <w:tcW w:w="992" w:type="dxa"/>
            <w:shd w:val="clear" w:color="auto" w:fill="auto"/>
            <w:noWrap/>
          </w:tcPr>
          <w:p w14:paraId="180F9F88" w14:textId="4073964F" w:rsidR="00BE69CC" w:rsidRPr="009A6D06" w:rsidRDefault="00BE69CC" w:rsidP="00BE69CC">
            <w:pPr>
              <w:jc w:val="center"/>
              <w:rPr>
                <w:sz w:val="20"/>
                <w:u w:val="single"/>
                <w:vertAlign w:val="superscript"/>
              </w:rPr>
            </w:pPr>
            <w:r w:rsidRPr="009A6D06">
              <w:rPr>
                <w:sz w:val="20"/>
                <w:u w:val="single"/>
              </w:rPr>
              <w:t>£150.00</w:t>
            </w:r>
            <w:r w:rsidR="00987D72" w:rsidRPr="009A6D06">
              <w:rPr>
                <w:sz w:val="20"/>
                <w:u w:val="single"/>
                <w:vertAlign w:val="superscript"/>
              </w:rPr>
              <w:t>b</w:t>
            </w:r>
          </w:p>
        </w:tc>
        <w:tc>
          <w:tcPr>
            <w:tcW w:w="993" w:type="dxa"/>
            <w:shd w:val="clear" w:color="auto" w:fill="auto"/>
            <w:noWrap/>
          </w:tcPr>
          <w:p w14:paraId="2A67D137" w14:textId="77777777" w:rsidR="00BE69CC" w:rsidRPr="009A6D06" w:rsidRDefault="00BE69CC" w:rsidP="00BE69CC">
            <w:pPr>
              <w:jc w:val="center"/>
              <w:rPr>
                <w:sz w:val="20"/>
                <w:u w:val="single"/>
              </w:rPr>
            </w:pPr>
            <w:r w:rsidRPr="009A6D06">
              <w:rPr>
                <w:sz w:val="20"/>
                <w:u w:val="single"/>
              </w:rPr>
              <w:t>1</w:t>
            </w:r>
          </w:p>
        </w:tc>
        <w:tc>
          <w:tcPr>
            <w:tcW w:w="992" w:type="dxa"/>
          </w:tcPr>
          <w:p w14:paraId="6BD1F648" w14:textId="77777777" w:rsidR="00BE69CC" w:rsidRPr="009A6D06" w:rsidRDefault="00BE69CC" w:rsidP="00BE69CC">
            <w:pPr>
              <w:jc w:val="center"/>
              <w:rPr>
                <w:sz w:val="20"/>
                <w:u w:val="single"/>
                <w:vertAlign w:val="superscript"/>
              </w:rPr>
            </w:pPr>
            <w:r w:rsidRPr="009A6D06">
              <w:rPr>
                <w:sz w:val="20"/>
                <w:u w:val="single"/>
              </w:rPr>
              <w:t>£150.00</w:t>
            </w:r>
            <w:r w:rsidRPr="009A6D06">
              <w:rPr>
                <w:sz w:val="20"/>
                <w:u w:val="single"/>
                <w:vertAlign w:val="superscript"/>
              </w:rPr>
              <w:t>b</w:t>
            </w:r>
          </w:p>
        </w:tc>
        <w:tc>
          <w:tcPr>
            <w:tcW w:w="1134" w:type="dxa"/>
            <w:shd w:val="clear" w:color="auto" w:fill="auto"/>
            <w:noWrap/>
          </w:tcPr>
          <w:p w14:paraId="70E2170C" w14:textId="77777777" w:rsidR="00BE69CC" w:rsidRPr="002A1891" w:rsidRDefault="00BE69CC" w:rsidP="00BE69CC">
            <w:pPr>
              <w:jc w:val="center"/>
              <w:rPr>
                <w:sz w:val="20"/>
              </w:rPr>
            </w:pPr>
            <w:r w:rsidRPr="002A1891">
              <w:rPr>
                <w:sz w:val="20"/>
              </w:rPr>
              <w:t>6</w:t>
            </w:r>
          </w:p>
        </w:tc>
        <w:tc>
          <w:tcPr>
            <w:tcW w:w="1700" w:type="dxa"/>
          </w:tcPr>
          <w:p w14:paraId="2C9B20F8" w14:textId="77777777" w:rsidR="00BE69CC" w:rsidRPr="002A1891" w:rsidRDefault="00BE69CC" w:rsidP="00BE69CC">
            <w:pPr>
              <w:jc w:val="center"/>
              <w:rPr>
                <w:b/>
                <w:sz w:val="20"/>
              </w:rPr>
            </w:pPr>
            <w:r w:rsidRPr="002A1891">
              <w:rPr>
                <w:b/>
                <w:sz w:val="20"/>
              </w:rPr>
              <w:t>£900.00</w:t>
            </w:r>
          </w:p>
        </w:tc>
      </w:tr>
      <w:tr w:rsidR="00BE69CC" w:rsidRPr="002A1891" w14:paraId="0D2A4035" w14:textId="77777777" w:rsidTr="00BE69CC">
        <w:trPr>
          <w:trHeight w:val="260"/>
        </w:trPr>
        <w:tc>
          <w:tcPr>
            <w:tcW w:w="1276" w:type="dxa"/>
            <w:shd w:val="clear" w:color="auto" w:fill="auto"/>
            <w:noWrap/>
          </w:tcPr>
          <w:p w14:paraId="541A666E" w14:textId="77777777" w:rsidR="00BE69CC" w:rsidRPr="002A1891" w:rsidRDefault="00BE69CC" w:rsidP="00BE69CC">
            <w:pPr>
              <w:rPr>
                <w:sz w:val="20"/>
              </w:rPr>
            </w:pPr>
            <w:r w:rsidRPr="002A1891">
              <w:rPr>
                <w:sz w:val="20"/>
              </w:rPr>
              <w:t>Linezolid</w:t>
            </w:r>
          </w:p>
        </w:tc>
        <w:tc>
          <w:tcPr>
            <w:tcW w:w="1418" w:type="dxa"/>
            <w:shd w:val="clear" w:color="auto" w:fill="auto"/>
            <w:noWrap/>
          </w:tcPr>
          <w:p w14:paraId="13D85976" w14:textId="77777777" w:rsidR="00BE69CC" w:rsidRPr="002A1891" w:rsidRDefault="00BE69CC" w:rsidP="00BE69CC">
            <w:pPr>
              <w:rPr>
                <w:sz w:val="20"/>
              </w:rPr>
            </w:pPr>
            <w:r w:rsidRPr="002A1891">
              <w:rPr>
                <w:sz w:val="20"/>
              </w:rPr>
              <w:t>IV/oral</w:t>
            </w:r>
          </w:p>
        </w:tc>
        <w:tc>
          <w:tcPr>
            <w:tcW w:w="850" w:type="dxa"/>
            <w:shd w:val="clear" w:color="auto" w:fill="auto"/>
            <w:noWrap/>
          </w:tcPr>
          <w:p w14:paraId="6DECD2FD" w14:textId="77777777" w:rsidR="00BE69CC" w:rsidRPr="002A1891" w:rsidRDefault="00BE69CC" w:rsidP="00BE69CC">
            <w:pPr>
              <w:jc w:val="center"/>
              <w:rPr>
                <w:sz w:val="20"/>
              </w:rPr>
            </w:pPr>
            <w:r w:rsidRPr="002A1891">
              <w:rPr>
                <w:sz w:val="20"/>
              </w:rPr>
              <w:t>600</w:t>
            </w:r>
          </w:p>
        </w:tc>
        <w:tc>
          <w:tcPr>
            <w:tcW w:w="992" w:type="dxa"/>
            <w:shd w:val="clear" w:color="auto" w:fill="auto"/>
            <w:noWrap/>
          </w:tcPr>
          <w:p w14:paraId="31672CEC" w14:textId="77777777" w:rsidR="00BE69CC" w:rsidRPr="002A1891" w:rsidRDefault="00BE69CC" w:rsidP="00BE69CC">
            <w:pPr>
              <w:jc w:val="center"/>
              <w:rPr>
                <w:sz w:val="20"/>
              </w:rPr>
            </w:pPr>
            <w:r w:rsidRPr="002A1891">
              <w:rPr>
                <w:sz w:val="20"/>
              </w:rPr>
              <w:t>£44.50</w:t>
            </w:r>
          </w:p>
        </w:tc>
        <w:tc>
          <w:tcPr>
            <w:tcW w:w="993" w:type="dxa"/>
            <w:shd w:val="clear" w:color="auto" w:fill="auto"/>
            <w:noWrap/>
          </w:tcPr>
          <w:p w14:paraId="5E331AB2" w14:textId="77777777" w:rsidR="00BE69CC" w:rsidRPr="002A1891" w:rsidRDefault="00BE69CC" w:rsidP="00BE69CC">
            <w:pPr>
              <w:jc w:val="center"/>
              <w:rPr>
                <w:sz w:val="20"/>
              </w:rPr>
            </w:pPr>
            <w:r w:rsidRPr="002A1891">
              <w:rPr>
                <w:sz w:val="20"/>
              </w:rPr>
              <w:t>2</w:t>
            </w:r>
          </w:p>
        </w:tc>
        <w:tc>
          <w:tcPr>
            <w:tcW w:w="992" w:type="dxa"/>
          </w:tcPr>
          <w:p w14:paraId="69940B02" w14:textId="77777777" w:rsidR="00BE69CC" w:rsidRPr="002A1891" w:rsidRDefault="00BE69CC" w:rsidP="00BE69CC">
            <w:pPr>
              <w:jc w:val="center"/>
              <w:rPr>
                <w:sz w:val="20"/>
                <w:vertAlign w:val="superscript"/>
              </w:rPr>
            </w:pPr>
            <w:r w:rsidRPr="002A1891">
              <w:rPr>
                <w:sz w:val="20"/>
              </w:rPr>
              <w:t>£89.00</w:t>
            </w:r>
            <w:r w:rsidRPr="002A1891">
              <w:rPr>
                <w:sz w:val="20"/>
                <w:vertAlign w:val="superscript"/>
              </w:rPr>
              <w:t>c</w:t>
            </w:r>
          </w:p>
        </w:tc>
        <w:tc>
          <w:tcPr>
            <w:tcW w:w="1134" w:type="dxa"/>
            <w:shd w:val="clear" w:color="auto" w:fill="auto"/>
            <w:noWrap/>
          </w:tcPr>
          <w:p w14:paraId="6F773E97" w14:textId="77777777" w:rsidR="00BE69CC" w:rsidRPr="002A1891" w:rsidRDefault="00BE69CC" w:rsidP="00BE69CC">
            <w:pPr>
              <w:jc w:val="center"/>
              <w:rPr>
                <w:sz w:val="20"/>
              </w:rPr>
            </w:pPr>
            <w:r w:rsidRPr="002A1891">
              <w:rPr>
                <w:sz w:val="20"/>
              </w:rPr>
              <w:t>10</w:t>
            </w:r>
          </w:p>
        </w:tc>
        <w:tc>
          <w:tcPr>
            <w:tcW w:w="1700" w:type="dxa"/>
          </w:tcPr>
          <w:p w14:paraId="4CA91227" w14:textId="77777777" w:rsidR="00BE69CC" w:rsidRPr="002A1891" w:rsidRDefault="00BE69CC" w:rsidP="00BE69CC">
            <w:pPr>
              <w:jc w:val="center"/>
              <w:rPr>
                <w:b/>
                <w:sz w:val="20"/>
              </w:rPr>
            </w:pPr>
            <w:r w:rsidRPr="002A1891">
              <w:rPr>
                <w:b/>
                <w:sz w:val="20"/>
              </w:rPr>
              <w:t>£890.00</w:t>
            </w:r>
          </w:p>
        </w:tc>
      </w:tr>
    </w:tbl>
    <w:p w14:paraId="28EDE328" w14:textId="77777777" w:rsidR="00BE69CC" w:rsidRPr="003F73C6" w:rsidRDefault="00BE69CC" w:rsidP="00BE69CC">
      <w:pPr>
        <w:rPr>
          <w:rFonts w:cs="Arial"/>
          <w:bCs/>
          <w:sz w:val="16"/>
          <w:szCs w:val="16"/>
        </w:rPr>
      </w:pPr>
      <w:r w:rsidRPr="003F73C6">
        <w:rPr>
          <w:rFonts w:cs="Arial"/>
          <w:bCs/>
          <w:sz w:val="16"/>
          <w:szCs w:val="16"/>
        </w:rPr>
        <w:t>a As per the Phase 3 clinical studies, ESTABLISH-1 and ESTABLISH-2.</w:t>
      </w:r>
    </w:p>
    <w:p w14:paraId="5D6FAF42" w14:textId="77777777" w:rsidR="003F73C6" w:rsidRPr="003F73C6" w:rsidRDefault="00BE69CC" w:rsidP="00BE69CC">
      <w:pPr>
        <w:pStyle w:val="NormalWeb"/>
        <w:spacing w:before="0" w:after="0"/>
        <w:rPr>
          <w:rFonts w:ascii="Arial" w:hAnsi="Arial" w:cs="Arial"/>
          <w:sz w:val="16"/>
          <w:szCs w:val="16"/>
          <w:u w:val="single"/>
        </w:rPr>
      </w:pPr>
      <w:r w:rsidRPr="003F73C6">
        <w:rPr>
          <w:rFonts w:ascii="Arial" w:hAnsi="Arial" w:cs="Arial"/>
          <w:bCs/>
          <w:sz w:val="16"/>
          <w:szCs w:val="16"/>
          <w:u w:val="single"/>
        </w:rPr>
        <w:t xml:space="preserve">b </w:t>
      </w:r>
      <w:r w:rsidR="003F73C6" w:rsidRPr="003F73C6">
        <w:rPr>
          <w:rFonts w:ascii="Arial" w:hAnsi="Arial" w:cs="Arial"/>
          <w:sz w:val="16"/>
          <w:szCs w:val="16"/>
          <w:u w:val="single"/>
        </w:rPr>
        <w:t>Expected NHS list price pending receipt of marketing authorisation and confirmation from the Department of Health.</w:t>
      </w:r>
    </w:p>
    <w:p w14:paraId="02633700" w14:textId="2A6219AD" w:rsidR="00BE69CC" w:rsidRPr="003F73C6" w:rsidRDefault="00F338B7" w:rsidP="003F73C6">
      <w:pPr>
        <w:pStyle w:val="NormalWeb"/>
        <w:spacing w:before="0" w:after="0"/>
        <w:rPr>
          <w:rFonts w:ascii="Arial" w:hAnsi="Arial" w:cs="Arial"/>
          <w:bCs/>
          <w:sz w:val="16"/>
          <w:szCs w:val="16"/>
        </w:rPr>
      </w:pPr>
      <w:r>
        <w:rPr>
          <w:rFonts w:ascii="Arial" w:hAnsi="Arial" w:cs="Arial"/>
          <w:sz w:val="16"/>
          <w:szCs w:val="16"/>
        </w:rPr>
        <w:t>c</w:t>
      </w:r>
      <w:r w:rsidR="003F73C6" w:rsidRPr="003F73C6">
        <w:rPr>
          <w:rFonts w:ascii="Arial" w:hAnsi="Arial" w:cs="Arial"/>
          <w:sz w:val="16"/>
          <w:szCs w:val="16"/>
        </w:rPr>
        <w:t xml:space="preserve"> </w:t>
      </w:r>
      <w:r w:rsidR="00BE69CC" w:rsidRPr="003F73C6">
        <w:rPr>
          <w:rFonts w:ascii="Arial" w:hAnsi="Arial" w:cs="Arial"/>
          <w:bCs/>
          <w:sz w:val="16"/>
          <w:szCs w:val="16"/>
        </w:rPr>
        <w:t xml:space="preserve">Zyvox (Pharmacia). </w:t>
      </w:r>
      <w:r w:rsidR="00BE69CC" w:rsidRPr="003F73C6">
        <w:rPr>
          <w:rStyle w:val="Strong"/>
          <w:rFonts w:ascii="Arial" w:hAnsi="Arial" w:cs="Arial"/>
          <w:b w:val="0"/>
          <w:sz w:val="16"/>
          <w:szCs w:val="16"/>
        </w:rPr>
        <w:t>Intravenous infusion</w:t>
      </w:r>
      <w:r w:rsidR="00BE69CC" w:rsidRPr="003F73C6">
        <w:rPr>
          <w:rFonts w:ascii="Arial" w:hAnsi="Arial" w:cs="Arial"/>
          <w:sz w:val="16"/>
          <w:szCs w:val="16"/>
        </w:rPr>
        <w:t xml:space="preserve">, linezolid 2 mg/mL, net price 300-mL </w:t>
      </w:r>
      <w:r w:rsidR="00BE69CC" w:rsidRPr="003F73C6">
        <w:rPr>
          <w:rStyle w:val="Emphasis"/>
          <w:rFonts w:ascii="Arial" w:hAnsi="Arial" w:cs="Arial"/>
          <w:sz w:val="16"/>
          <w:szCs w:val="16"/>
        </w:rPr>
        <w:t>Excel</w:t>
      </w:r>
      <w:r w:rsidR="00BE69CC" w:rsidRPr="003F73C6">
        <w:rPr>
          <w:rFonts w:ascii="Arial" w:hAnsi="Arial" w:cs="Arial"/>
          <w:sz w:val="16"/>
          <w:szCs w:val="16"/>
        </w:rPr>
        <w:t>® bag = £44.50</w:t>
      </w:r>
      <w:r w:rsidR="00946031">
        <w:rPr>
          <w:rFonts w:ascii="Arial" w:hAnsi="Arial" w:cs="Arial"/>
          <w:bCs/>
          <w:sz w:val="16"/>
          <w:szCs w:val="16"/>
        </w:rPr>
        <w:t>. Zyvox (Pharmac</w:t>
      </w:r>
      <w:r w:rsidR="00BE69CC" w:rsidRPr="003F73C6">
        <w:rPr>
          <w:rFonts w:ascii="Arial" w:hAnsi="Arial" w:cs="Arial"/>
          <w:bCs/>
          <w:sz w:val="16"/>
          <w:szCs w:val="16"/>
        </w:rPr>
        <w:t xml:space="preserve">ia) </w:t>
      </w:r>
      <w:r w:rsidR="00BE69CC" w:rsidRPr="003F73C6">
        <w:rPr>
          <w:rStyle w:val="Strong"/>
          <w:rFonts w:ascii="Arial" w:hAnsi="Arial" w:cs="Arial"/>
          <w:b w:val="0"/>
          <w:sz w:val="16"/>
          <w:szCs w:val="16"/>
        </w:rPr>
        <w:t>Tablets</w:t>
      </w:r>
      <w:r w:rsidR="00BE69CC" w:rsidRPr="003F73C6">
        <w:rPr>
          <w:rFonts w:ascii="Arial" w:hAnsi="Arial" w:cs="Arial"/>
          <w:sz w:val="16"/>
          <w:szCs w:val="16"/>
        </w:rPr>
        <w:t xml:space="preserve">, f/c, linezolid 600 mg, net price 10-tab pack = £445.00. Label: 9, 10, patient information leaflet </w:t>
      </w:r>
      <w:r w:rsidR="00BE69CC" w:rsidRPr="003F73C6">
        <w:rPr>
          <w:rStyle w:val="Strong"/>
          <w:rFonts w:ascii="Arial" w:hAnsi="Arial" w:cs="Arial"/>
          <w:b w:val="0"/>
          <w:sz w:val="16"/>
          <w:szCs w:val="16"/>
        </w:rPr>
        <w:t>Suspension</w:t>
      </w:r>
      <w:r w:rsidR="00BE69CC" w:rsidRPr="003F73C6">
        <w:rPr>
          <w:rFonts w:ascii="Arial" w:hAnsi="Arial" w:cs="Arial"/>
          <w:sz w:val="16"/>
          <w:szCs w:val="16"/>
        </w:rPr>
        <w:t>, yellow, linezolid 100 mg/5 mL when reconstituted with water, net price 150 mL (orange-flavoured) = £222.50. Label: 9, 10 patient information leaflet.</w:t>
      </w:r>
      <w:r w:rsidR="00BE69CC" w:rsidRPr="003F73C6">
        <w:rPr>
          <w:rFonts w:ascii="Arial" w:hAnsi="Arial" w:cs="Arial"/>
          <w:bCs/>
          <w:sz w:val="16"/>
          <w:szCs w:val="16"/>
        </w:rPr>
        <w:t xml:space="preserve"> </w:t>
      </w:r>
      <w:r w:rsidR="00946031">
        <w:rPr>
          <w:rFonts w:ascii="Arial" w:hAnsi="Arial" w:cs="Arial"/>
          <w:bCs/>
          <w:sz w:val="16"/>
          <w:szCs w:val="16"/>
        </w:rPr>
        <w:t>MIMS. Last accessed 25 January 2015.</w:t>
      </w:r>
    </w:p>
    <w:p w14:paraId="0D87B184" w14:textId="5DECCAF2" w:rsidR="009A0514" w:rsidRDefault="008C150F" w:rsidP="009A0514">
      <w:pPr>
        <w:pStyle w:val="Caption"/>
        <w:spacing w:after="0"/>
        <w:rPr>
          <w:rFonts w:ascii="Arial" w:hAnsi="Arial" w:cs="Arial"/>
          <w:i/>
          <w:sz w:val="22"/>
          <w:szCs w:val="22"/>
        </w:rPr>
      </w:pPr>
      <w:r w:rsidRPr="00662FEB">
        <w:rPr>
          <w:rFonts w:ascii="Arial" w:hAnsi="Arial" w:cs="Arial"/>
          <w:i/>
          <w:sz w:val="22"/>
          <w:szCs w:val="22"/>
        </w:rPr>
        <w:lastRenderedPageBreak/>
        <w:t>6.4.2.2 Costs of administration</w:t>
      </w:r>
      <w:r w:rsidR="00F338B7" w:rsidRPr="00662FEB">
        <w:rPr>
          <w:rFonts w:ascii="Arial" w:hAnsi="Arial" w:cs="Arial"/>
          <w:i/>
          <w:sz w:val="22"/>
          <w:szCs w:val="22"/>
        </w:rPr>
        <w:t xml:space="preserve"> </w:t>
      </w:r>
    </w:p>
    <w:p w14:paraId="2DAE672C" w14:textId="5E697EB7" w:rsidR="00662FEB" w:rsidRPr="008E5A02" w:rsidRDefault="00BE69CC" w:rsidP="00B10F02">
      <w:pPr>
        <w:pStyle w:val="Caption"/>
        <w:spacing w:after="0"/>
        <w:jc w:val="left"/>
        <w:rPr>
          <w:rFonts w:ascii="Arial" w:hAnsi="Arial" w:cs="Arial"/>
          <w:b w:val="0"/>
          <w:sz w:val="22"/>
          <w:szCs w:val="22"/>
        </w:rPr>
      </w:pPr>
      <w:r w:rsidRPr="00662FEB">
        <w:rPr>
          <w:rFonts w:ascii="Arial" w:hAnsi="Arial" w:cs="Arial"/>
          <w:b w:val="0"/>
          <w:sz w:val="22"/>
          <w:szCs w:val="22"/>
        </w:rPr>
        <w:t xml:space="preserve">Tedizolid phosphate requires reconstitution for IV administration, which incurs the cost of </w:t>
      </w:r>
      <w:r w:rsidRPr="008E5A02">
        <w:rPr>
          <w:rFonts w:ascii="Arial" w:hAnsi="Arial" w:cs="Arial"/>
          <w:b w:val="0"/>
          <w:sz w:val="22"/>
          <w:szCs w:val="22"/>
        </w:rPr>
        <w:t>reconstitution fluid</w:t>
      </w:r>
      <w:r w:rsidR="00E63099" w:rsidRPr="008E5A02">
        <w:rPr>
          <w:rFonts w:ascii="Arial" w:hAnsi="Arial" w:cs="Arial"/>
          <w:b w:val="0"/>
          <w:sz w:val="22"/>
          <w:szCs w:val="22"/>
        </w:rPr>
        <w:t>s</w:t>
      </w:r>
      <w:r w:rsidRPr="008E5A02">
        <w:rPr>
          <w:rFonts w:ascii="Arial" w:hAnsi="Arial" w:cs="Arial"/>
          <w:b w:val="0"/>
          <w:sz w:val="22"/>
          <w:szCs w:val="22"/>
        </w:rPr>
        <w:t xml:space="preserve"> </w:t>
      </w:r>
      <w:r w:rsidR="00E63099" w:rsidRPr="008E5A02">
        <w:rPr>
          <w:rFonts w:ascii="Arial" w:hAnsi="Arial" w:cs="Arial"/>
          <w:b w:val="0"/>
          <w:sz w:val="22"/>
          <w:szCs w:val="22"/>
        </w:rPr>
        <w:t xml:space="preserve">(sterile water and sodium chloride), as well as both </w:t>
      </w:r>
      <w:r w:rsidRPr="008E5A02">
        <w:rPr>
          <w:rFonts w:ascii="Arial" w:hAnsi="Arial" w:cs="Arial"/>
          <w:b w:val="0"/>
          <w:sz w:val="22"/>
          <w:szCs w:val="22"/>
        </w:rPr>
        <w:t>pharmacist</w:t>
      </w:r>
      <w:r w:rsidR="00E63099" w:rsidRPr="008E5A02">
        <w:rPr>
          <w:rFonts w:ascii="Arial" w:hAnsi="Arial" w:cs="Arial"/>
          <w:b w:val="0"/>
          <w:sz w:val="22"/>
          <w:szCs w:val="22"/>
        </w:rPr>
        <w:t xml:space="preserve"> and pharmacy technician</w:t>
      </w:r>
      <w:r w:rsidRPr="008E5A02">
        <w:rPr>
          <w:rFonts w:ascii="Arial" w:hAnsi="Arial" w:cs="Arial"/>
          <w:b w:val="0"/>
          <w:sz w:val="22"/>
          <w:szCs w:val="22"/>
        </w:rPr>
        <w:t xml:space="preserve"> time</w:t>
      </w:r>
      <w:r w:rsidR="00E63099" w:rsidRPr="008E5A02">
        <w:rPr>
          <w:rFonts w:ascii="Arial" w:hAnsi="Arial" w:cs="Arial"/>
          <w:b w:val="0"/>
          <w:sz w:val="22"/>
          <w:szCs w:val="22"/>
        </w:rPr>
        <w:t xml:space="preserve"> to prepare the infusion</w:t>
      </w:r>
      <w:r w:rsidRPr="00721CB2">
        <w:rPr>
          <w:rFonts w:ascii="Arial" w:hAnsi="Arial" w:cs="Arial"/>
          <w:b w:val="0"/>
          <w:sz w:val="22"/>
          <w:szCs w:val="22"/>
        </w:rPr>
        <w:t xml:space="preserve">. </w:t>
      </w:r>
      <w:r w:rsidR="00D31883" w:rsidRPr="00721CB2">
        <w:rPr>
          <w:rFonts w:ascii="Arial" w:hAnsi="Arial" w:cs="Arial"/>
          <w:b w:val="0"/>
          <w:sz w:val="22"/>
          <w:szCs w:val="22"/>
        </w:rPr>
        <w:t xml:space="preserve">Linezolid does </w:t>
      </w:r>
      <w:r w:rsidR="005C08AC">
        <w:rPr>
          <w:rFonts w:ascii="Arial" w:hAnsi="Arial" w:cs="Arial"/>
          <w:b w:val="0"/>
          <w:sz w:val="22"/>
          <w:szCs w:val="22"/>
        </w:rPr>
        <w:t>not require reconstitution and,</w:t>
      </w:r>
      <w:r w:rsidR="00D31883" w:rsidRPr="00721CB2">
        <w:rPr>
          <w:rFonts w:ascii="Arial" w:hAnsi="Arial" w:cs="Arial"/>
          <w:b w:val="0"/>
          <w:sz w:val="22"/>
          <w:szCs w:val="22"/>
        </w:rPr>
        <w:t xml:space="preserve"> therefore</w:t>
      </w:r>
      <w:r w:rsidR="005C08AC">
        <w:rPr>
          <w:rFonts w:ascii="Arial" w:hAnsi="Arial" w:cs="Arial"/>
          <w:b w:val="0"/>
          <w:sz w:val="22"/>
          <w:szCs w:val="22"/>
        </w:rPr>
        <w:t>,</w:t>
      </w:r>
      <w:r w:rsidR="00D31883" w:rsidRPr="00721CB2">
        <w:rPr>
          <w:rFonts w:ascii="Arial" w:hAnsi="Arial" w:cs="Arial"/>
          <w:b w:val="0"/>
          <w:sz w:val="22"/>
          <w:szCs w:val="22"/>
        </w:rPr>
        <w:t xml:space="preserve"> incurs reduced pharmacy technician time, although its dispensing will still </w:t>
      </w:r>
      <w:r w:rsidR="005C08AC">
        <w:rPr>
          <w:rFonts w:ascii="Arial" w:hAnsi="Arial" w:cs="Arial"/>
          <w:b w:val="0"/>
          <w:sz w:val="22"/>
          <w:szCs w:val="22"/>
        </w:rPr>
        <w:t>involve the</w:t>
      </w:r>
      <w:r w:rsidR="00D31883" w:rsidRPr="00721CB2">
        <w:rPr>
          <w:rFonts w:ascii="Arial" w:hAnsi="Arial" w:cs="Arial"/>
          <w:b w:val="0"/>
          <w:sz w:val="22"/>
          <w:szCs w:val="22"/>
        </w:rPr>
        <w:t xml:space="preserve"> time </w:t>
      </w:r>
      <w:r w:rsidR="005C08AC">
        <w:rPr>
          <w:rFonts w:ascii="Arial" w:hAnsi="Arial" w:cs="Arial"/>
          <w:b w:val="0"/>
          <w:sz w:val="22"/>
          <w:szCs w:val="22"/>
        </w:rPr>
        <w:t>of</w:t>
      </w:r>
      <w:r w:rsidR="00D31883" w:rsidRPr="00721CB2">
        <w:rPr>
          <w:rFonts w:ascii="Arial" w:hAnsi="Arial" w:cs="Arial"/>
          <w:b w:val="0"/>
          <w:sz w:val="22"/>
          <w:szCs w:val="22"/>
        </w:rPr>
        <w:t xml:space="preserve"> both pharmacist and pharmacy technician. </w:t>
      </w:r>
      <w:r w:rsidRPr="00721CB2">
        <w:rPr>
          <w:rFonts w:ascii="Arial" w:hAnsi="Arial" w:cs="Arial"/>
          <w:b w:val="0"/>
          <w:sz w:val="22"/>
          <w:szCs w:val="22"/>
        </w:rPr>
        <w:t xml:space="preserve">IV formulations of both linezolid and tedizolid phosphate are typically administered by a nurse. Linezolid </w:t>
      </w:r>
      <w:r w:rsidRPr="008E5A02">
        <w:rPr>
          <w:rFonts w:ascii="Arial" w:hAnsi="Arial" w:cs="Arial"/>
          <w:b w:val="0"/>
          <w:sz w:val="22"/>
          <w:szCs w:val="22"/>
        </w:rPr>
        <w:t>requires twice-daily administration; tedizolid phosp</w:t>
      </w:r>
      <w:r w:rsidR="00662FEB" w:rsidRPr="008E5A02">
        <w:rPr>
          <w:rFonts w:ascii="Arial" w:hAnsi="Arial" w:cs="Arial"/>
          <w:b w:val="0"/>
          <w:sz w:val="22"/>
          <w:szCs w:val="22"/>
        </w:rPr>
        <w:t>hate is administered once-daily</w:t>
      </w:r>
      <w:r w:rsidR="00E63099" w:rsidRPr="008E5A02">
        <w:rPr>
          <w:rFonts w:ascii="Arial" w:hAnsi="Arial" w:cs="Arial"/>
          <w:b w:val="0"/>
          <w:sz w:val="22"/>
          <w:szCs w:val="22"/>
        </w:rPr>
        <w:t>.</w:t>
      </w:r>
    </w:p>
    <w:p w14:paraId="599BBFB6" w14:textId="77777777" w:rsidR="008E5A02" w:rsidRPr="008E5A02" w:rsidRDefault="008E5A02" w:rsidP="00B10F02">
      <w:pPr>
        <w:rPr>
          <w:rFonts w:cs="Arial"/>
          <w:sz w:val="22"/>
          <w:szCs w:val="22"/>
        </w:rPr>
      </w:pPr>
    </w:p>
    <w:p w14:paraId="132CFD82" w14:textId="1AA06D1C" w:rsidR="008E5A02" w:rsidRPr="008E5A02" w:rsidRDefault="008E5A02" w:rsidP="00B10F02">
      <w:pPr>
        <w:rPr>
          <w:rFonts w:eastAsia="Cambria"/>
          <w:sz w:val="22"/>
          <w:szCs w:val="22"/>
          <w:lang w:val="en-US" w:eastAsia="nl-NL"/>
        </w:rPr>
      </w:pPr>
      <w:r w:rsidRPr="008E5A02">
        <w:rPr>
          <w:rFonts w:cs="Arial"/>
          <w:sz w:val="22"/>
          <w:szCs w:val="22"/>
        </w:rPr>
        <w:t xml:space="preserve">For the purposes of calculating the administration costs, the manufacturer has assumed that the pharmacist and </w:t>
      </w:r>
      <w:r w:rsidRPr="008E5A02">
        <w:rPr>
          <w:rFonts w:eastAsia="Cambria"/>
          <w:sz w:val="22"/>
          <w:szCs w:val="22"/>
          <w:lang w:val="en-US" w:eastAsia="nl-NL"/>
        </w:rPr>
        <w:t>technician would prepare sufficient antibiotic administrations once a day only for that particular day (i.e. the personnel time involved in preparation would be the same for both tedizolid phosphate and linezolid).</w:t>
      </w:r>
      <w:r w:rsidR="00D26821">
        <w:rPr>
          <w:rFonts w:eastAsia="Cambria"/>
          <w:sz w:val="22"/>
          <w:szCs w:val="22"/>
          <w:lang w:val="en-US" w:eastAsia="nl-NL"/>
        </w:rPr>
        <w:t xml:space="preserve"> </w:t>
      </w:r>
    </w:p>
    <w:p w14:paraId="36CA2A60" w14:textId="77777777" w:rsidR="008E5A02" w:rsidRPr="008E5A02" w:rsidRDefault="008E5A02" w:rsidP="00B10F02">
      <w:pPr>
        <w:rPr>
          <w:rFonts w:eastAsia="Cambria"/>
          <w:sz w:val="22"/>
          <w:szCs w:val="22"/>
          <w:lang w:val="en-US" w:eastAsia="nl-NL"/>
        </w:rPr>
      </w:pPr>
    </w:p>
    <w:p w14:paraId="40062291" w14:textId="6E0708F3" w:rsidR="008E5A02" w:rsidRPr="008E5A02" w:rsidRDefault="008E5A02" w:rsidP="00B10F02">
      <w:pPr>
        <w:rPr>
          <w:rFonts w:eastAsia="Cambria"/>
          <w:sz w:val="22"/>
          <w:szCs w:val="22"/>
          <w:lang w:val="en-US" w:eastAsia="nl-NL"/>
        </w:rPr>
      </w:pPr>
      <w:r w:rsidRPr="008E5A02">
        <w:rPr>
          <w:rFonts w:eastAsia="Cambria"/>
          <w:sz w:val="22"/>
          <w:szCs w:val="22"/>
          <w:lang w:val="en-US" w:eastAsia="nl-NL"/>
        </w:rPr>
        <w:t>The cost of a nurse to undertake the actual administration, however, is assumed to be once per day for tedizolid phosphate and twice per day for linezolid.</w:t>
      </w:r>
    </w:p>
    <w:p w14:paraId="4716935E" w14:textId="77777777" w:rsidR="008E5A02" w:rsidRPr="008E5A02" w:rsidRDefault="008E5A02" w:rsidP="008E5A02">
      <w:pPr>
        <w:rPr>
          <w:rFonts w:eastAsia="Cambria"/>
          <w:sz w:val="22"/>
          <w:szCs w:val="22"/>
          <w:lang w:val="en-US" w:eastAsia="nl-NL"/>
        </w:rPr>
      </w:pPr>
    </w:p>
    <w:p w14:paraId="3239F771" w14:textId="47172A8B" w:rsidR="000D21F1" w:rsidRPr="00721CB2" w:rsidRDefault="00D26821" w:rsidP="00742B11">
      <w:pPr>
        <w:rPr>
          <w:rFonts w:cs="Arial"/>
          <w:sz w:val="22"/>
          <w:szCs w:val="22"/>
        </w:rPr>
      </w:pPr>
      <w:r>
        <w:rPr>
          <w:rFonts w:eastAsia="Cambria"/>
          <w:sz w:val="22"/>
          <w:szCs w:val="22"/>
          <w:lang w:val="en-US" w:eastAsia="nl-NL"/>
        </w:rPr>
        <w:t>The unit personnel costs are taken from the PSSRU</w:t>
      </w:r>
      <w:r w:rsidR="00211BCD">
        <w:rPr>
          <w:rFonts w:eastAsia="Cambria"/>
          <w:sz w:val="22"/>
          <w:szCs w:val="22"/>
          <w:lang w:val="en-US" w:eastAsia="nl-NL"/>
        </w:rPr>
        <w:t xml:space="preserve"> (</w:t>
      </w:r>
      <w:r w:rsidR="00211BCD">
        <w:rPr>
          <w:rFonts w:eastAsia="Cambria"/>
          <w:sz w:val="22"/>
          <w:szCs w:val="22"/>
          <w:lang w:val="en-US" w:eastAsia="nl-NL"/>
        </w:rPr>
        <w:fldChar w:fldCharType="begin"/>
      </w:r>
      <w:r w:rsidR="00211BCD">
        <w:rPr>
          <w:rFonts w:eastAsia="Cambria"/>
          <w:sz w:val="22"/>
          <w:szCs w:val="22"/>
          <w:lang w:val="en-US" w:eastAsia="nl-NL"/>
        </w:rPr>
        <w:instrText xml:space="preserve"> REF _Ref284187549 \r \h </w:instrText>
      </w:r>
      <w:r w:rsidR="00211BCD">
        <w:rPr>
          <w:rFonts w:eastAsia="Cambria"/>
          <w:sz w:val="22"/>
          <w:szCs w:val="22"/>
          <w:lang w:val="en-US" w:eastAsia="nl-NL"/>
        </w:rPr>
      </w:r>
      <w:r w:rsidR="00211BCD">
        <w:rPr>
          <w:rFonts w:eastAsia="Cambria"/>
          <w:sz w:val="22"/>
          <w:szCs w:val="22"/>
          <w:lang w:val="en-US" w:eastAsia="nl-NL"/>
        </w:rPr>
        <w:fldChar w:fldCharType="separate"/>
      </w:r>
      <w:r w:rsidR="00151A1C">
        <w:rPr>
          <w:rFonts w:eastAsia="Cambria"/>
          <w:sz w:val="22"/>
          <w:szCs w:val="22"/>
          <w:lang w:val="en-US" w:eastAsia="nl-NL"/>
        </w:rPr>
        <w:t>89</w:t>
      </w:r>
      <w:r w:rsidR="00211BCD">
        <w:rPr>
          <w:rFonts w:eastAsia="Cambria"/>
          <w:sz w:val="22"/>
          <w:szCs w:val="22"/>
          <w:lang w:val="en-US" w:eastAsia="nl-NL"/>
        </w:rPr>
        <w:fldChar w:fldCharType="end"/>
      </w:r>
      <w:r w:rsidR="00211BCD">
        <w:rPr>
          <w:rFonts w:eastAsia="Cambria"/>
          <w:sz w:val="22"/>
          <w:szCs w:val="22"/>
          <w:lang w:val="en-US" w:eastAsia="nl-NL"/>
        </w:rPr>
        <w:t>)</w:t>
      </w:r>
      <w:r>
        <w:rPr>
          <w:rFonts w:eastAsia="Cambria"/>
          <w:sz w:val="22"/>
          <w:szCs w:val="22"/>
          <w:lang w:val="en-US" w:eastAsia="nl-NL"/>
        </w:rPr>
        <w:t xml:space="preserve">, while the cost of materials are taken from the BNF. Personnel time has been derived from a paper by Pettigrew, which detailed specifically the time associated </w:t>
      </w:r>
      <w:r w:rsidRPr="00721CB2">
        <w:rPr>
          <w:rFonts w:eastAsia="Cambria"/>
          <w:sz w:val="22"/>
          <w:szCs w:val="22"/>
          <w:lang w:val="en-US" w:eastAsia="nl-NL"/>
        </w:rPr>
        <w:t xml:space="preserve">with </w:t>
      </w:r>
      <w:r w:rsidR="00D31883" w:rsidRPr="00721CB2">
        <w:rPr>
          <w:rFonts w:eastAsia="Cambria"/>
          <w:sz w:val="22"/>
          <w:szCs w:val="22"/>
          <w:lang w:val="en-US" w:eastAsia="nl-NL"/>
        </w:rPr>
        <w:t xml:space="preserve">administrating and </w:t>
      </w:r>
      <w:r w:rsidR="00721CB2">
        <w:rPr>
          <w:rFonts w:eastAsia="Cambria"/>
          <w:sz w:val="22"/>
          <w:szCs w:val="22"/>
          <w:lang w:val="en-US" w:eastAsia="nl-NL"/>
        </w:rPr>
        <w:t>monitoring</w:t>
      </w:r>
      <w:r w:rsidR="008D1430">
        <w:rPr>
          <w:rFonts w:eastAsia="Cambria"/>
          <w:sz w:val="22"/>
          <w:szCs w:val="22"/>
          <w:lang w:val="en-US" w:eastAsia="nl-NL"/>
        </w:rPr>
        <w:t xml:space="preserve"> IV antibiotic treatments</w:t>
      </w:r>
      <w:r w:rsidR="009F0E71">
        <w:rPr>
          <w:rFonts w:eastAsia="Cambria"/>
          <w:sz w:val="22"/>
          <w:szCs w:val="22"/>
          <w:lang w:val="en-US" w:eastAsia="nl-NL"/>
        </w:rPr>
        <w:t xml:space="preserve"> (</w:t>
      </w:r>
      <w:r w:rsidR="00211BCD">
        <w:rPr>
          <w:rFonts w:eastAsia="Cambria"/>
          <w:sz w:val="22"/>
          <w:szCs w:val="22"/>
          <w:lang w:val="en-US" w:eastAsia="nl-NL"/>
        </w:rPr>
        <w:fldChar w:fldCharType="begin"/>
      </w:r>
      <w:r w:rsidR="00211BCD">
        <w:rPr>
          <w:rFonts w:eastAsia="Cambria"/>
          <w:sz w:val="22"/>
          <w:szCs w:val="22"/>
          <w:lang w:val="en-US" w:eastAsia="nl-NL"/>
        </w:rPr>
        <w:instrText xml:space="preserve"> REF _Ref284187566 \r \h </w:instrText>
      </w:r>
      <w:r w:rsidR="00211BCD">
        <w:rPr>
          <w:rFonts w:eastAsia="Cambria"/>
          <w:sz w:val="22"/>
          <w:szCs w:val="22"/>
          <w:lang w:val="en-US" w:eastAsia="nl-NL"/>
        </w:rPr>
      </w:r>
      <w:r w:rsidR="00211BCD">
        <w:rPr>
          <w:rFonts w:eastAsia="Cambria"/>
          <w:sz w:val="22"/>
          <w:szCs w:val="22"/>
          <w:lang w:val="en-US" w:eastAsia="nl-NL"/>
        </w:rPr>
        <w:fldChar w:fldCharType="separate"/>
      </w:r>
      <w:r w:rsidR="00151A1C">
        <w:rPr>
          <w:rFonts w:eastAsia="Cambria"/>
          <w:sz w:val="22"/>
          <w:szCs w:val="22"/>
          <w:lang w:val="en-US" w:eastAsia="nl-NL"/>
        </w:rPr>
        <w:t>90</w:t>
      </w:r>
      <w:r w:rsidR="00211BCD">
        <w:rPr>
          <w:rFonts w:eastAsia="Cambria"/>
          <w:sz w:val="22"/>
          <w:szCs w:val="22"/>
          <w:lang w:val="en-US" w:eastAsia="nl-NL"/>
        </w:rPr>
        <w:fldChar w:fldCharType="end"/>
      </w:r>
      <w:r w:rsidR="009F0E71">
        <w:rPr>
          <w:rFonts w:eastAsia="Cambria"/>
          <w:sz w:val="22"/>
          <w:szCs w:val="22"/>
          <w:lang w:val="en-US" w:eastAsia="nl-NL"/>
        </w:rPr>
        <w:t>)</w:t>
      </w:r>
      <w:r w:rsidR="00721CB2">
        <w:rPr>
          <w:rFonts w:eastAsia="Cambria"/>
          <w:sz w:val="22"/>
          <w:szCs w:val="22"/>
          <w:lang w:val="en-US" w:eastAsia="nl-NL"/>
        </w:rPr>
        <w:t xml:space="preserve">. </w:t>
      </w:r>
      <w:r w:rsidR="008E5A02" w:rsidRPr="008E5A02">
        <w:rPr>
          <w:rFonts w:eastAsia="Cambria"/>
          <w:sz w:val="22"/>
          <w:szCs w:val="22"/>
          <w:lang w:val="en-US" w:eastAsia="nl-NL"/>
        </w:rPr>
        <w:t xml:space="preserve">The unit costs and personnel time associated with product administration are presented in </w:t>
      </w:r>
      <w:r w:rsidR="008E5A02" w:rsidRPr="008E5A02">
        <w:rPr>
          <w:rFonts w:eastAsia="Cambria"/>
          <w:sz w:val="22"/>
          <w:szCs w:val="22"/>
          <w:lang w:val="en-US" w:eastAsia="nl-NL"/>
        </w:rPr>
        <w:fldChar w:fldCharType="begin"/>
      </w:r>
      <w:r w:rsidR="008E5A02" w:rsidRPr="008E5A02">
        <w:rPr>
          <w:rFonts w:eastAsia="Cambria"/>
          <w:sz w:val="22"/>
          <w:szCs w:val="22"/>
          <w:lang w:val="en-US" w:eastAsia="nl-NL"/>
        </w:rPr>
        <w:instrText xml:space="preserve"> REF _Ref283224683 \h </w:instrText>
      </w:r>
      <w:r w:rsidR="008E5A02" w:rsidRPr="008E5A02">
        <w:rPr>
          <w:rFonts w:eastAsia="Cambria"/>
          <w:sz w:val="22"/>
          <w:szCs w:val="22"/>
          <w:lang w:val="en-US" w:eastAsia="nl-NL"/>
        </w:rPr>
      </w:r>
      <w:r w:rsidR="008E5A02" w:rsidRPr="008E5A02">
        <w:rPr>
          <w:rFonts w:eastAsia="Cambria"/>
          <w:sz w:val="22"/>
          <w:szCs w:val="22"/>
          <w:lang w:val="en-US" w:eastAsia="nl-NL"/>
        </w:rPr>
        <w:fldChar w:fldCharType="separate"/>
      </w:r>
      <w:r w:rsidR="00151A1C" w:rsidRPr="00662FEB">
        <w:rPr>
          <w:sz w:val="22"/>
          <w:szCs w:val="22"/>
        </w:rPr>
        <w:t xml:space="preserve">Table </w:t>
      </w:r>
      <w:r w:rsidR="00151A1C">
        <w:rPr>
          <w:noProof/>
          <w:sz w:val="22"/>
          <w:szCs w:val="22"/>
        </w:rPr>
        <w:t>45</w:t>
      </w:r>
      <w:r w:rsidR="008E5A02" w:rsidRPr="008E5A02">
        <w:rPr>
          <w:rFonts w:eastAsia="Cambria"/>
          <w:sz w:val="22"/>
          <w:szCs w:val="22"/>
          <w:lang w:val="en-US" w:eastAsia="nl-NL"/>
        </w:rPr>
        <w:fldChar w:fldCharType="end"/>
      </w:r>
      <w:r w:rsidR="008E5A02" w:rsidRPr="008E5A02">
        <w:rPr>
          <w:rFonts w:eastAsia="Cambria"/>
          <w:sz w:val="22"/>
          <w:szCs w:val="22"/>
          <w:lang w:val="en-US" w:eastAsia="nl-NL"/>
        </w:rPr>
        <w:t>.</w:t>
      </w:r>
      <w:r w:rsidR="00D31883">
        <w:rPr>
          <w:rFonts w:eastAsia="Cambria"/>
          <w:sz w:val="22"/>
          <w:szCs w:val="22"/>
          <w:lang w:val="en-US" w:eastAsia="nl-NL"/>
        </w:rPr>
        <w:t xml:space="preserve"> </w:t>
      </w:r>
      <w:r w:rsidR="00D31883" w:rsidRPr="00721CB2">
        <w:rPr>
          <w:rFonts w:eastAsia="Cambria"/>
          <w:sz w:val="22"/>
          <w:szCs w:val="22"/>
          <w:lang w:val="en-US" w:eastAsia="nl-NL"/>
        </w:rPr>
        <w:t xml:space="preserve">From the Pettigrew paper, the time for tedizolid phosphate reconstitution was assumed by using the reconstitution time for vancomycin as a proxy. Pharmacy technician time for preparation of linezolid was </w:t>
      </w:r>
      <w:r w:rsidR="009F0E71">
        <w:rPr>
          <w:rFonts w:eastAsia="Cambria"/>
          <w:sz w:val="22"/>
          <w:szCs w:val="22"/>
          <w:lang w:val="en-US" w:eastAsia="nl-NL"/>
        </w:rPr>
        <w:t xml:space="preserve">also </w:t>
      </w:r>
      <w:r w:rsidR="00D31883" w:rsidRPr="00721CB2">
        <w:rPr>
          <w:rFonts w:eastAsia="Cambria"/>
          <w:sz w:val="22"/>
          <w:szCs w:val="22"/>
          <w:lang w:val="en-US" w:eastAsia="nl-NL"/>
        </w:rPr>
        <w:t xml:space="preserve">given. </w:t>
      </w:r>
      <w:r w:rsidR="00E711F5">
        <w:rPr>
          <w:rFonts w:eastAsia="Cambria"/>
          <w:sz w:val="22"/>
          <w:szCs w:val="22"/>
          <w:lang w:val="en-US" w:eastAsia="nl-NL"/>
        </w:rPr>
        <w:t xml:space="preserve">The time estimates outlined in Pettigrew were deemed reasonable and appropriate to UK clinical practice by a UK pharmacist with expertise in IV administration. </w:t>
      </w:r>
    </w:p>
    <w:p w14:paraId="310D8F37" w14:textId="77777777" w:rsidR="006030DE" w:rsidRPr="00662FEB" w:rsidRDefault="006030DE" w:rsidP="006030DE">
      <w:pPr>
        <w:pStyle w:val="Caption"/>
        <w:rPr>
          <w:rFonts w:ascii="Arial" w:hAnsi="Arial"/>
          <w:sz w:val="22"/>
          <w:szCs w:val="22"/>
        </w:rPr>
      </w:pPr>
      <w:bookmarkStart w:id="201" w:name="_Ref283224683"/>
      <w:r w:rsidRPr="00662FEB">
        <w:rPr>
          <w:rFonts w:ascii="Arial" w:hAnsi="Arial"/>
          <w:sz w:val="22"/>
          <w:szCs w:val="22"/>
        </w:rPr>
        <w:t xml:space="preserve">Table </w:t>
      </w:r>
      <w:r w:rsidRPr="00662FEB">
        <w:rPr>
          <w:rFonts w:ascii="Arial" w:hAnsi="Arial"/>
          <w:sz w:val="22"/>
          <w:szCs w:val="22"/>
        </w:rPr>
        <w:fldChar w:fldCharType="begin"/>
      </w:r>
      <w:r w:rsidRPr="00662FEB">
        <w:rPr>
          <w:rFonts w:ascii="Arial" w:hAnsi="Arial"/>
          <w:sz w:val="22"/>
          <w:szCs w:val="22"/>
        </w:rPr>
        <w:instrText xml:space="preserve"> SEQ Table \* ARABIC </w:instrText>
      </w:r>
      <w:r w:rsidRPr="00662FEB">
        <w:rPr>
          <w:rFonts w:ascii="Arial" w:hAnsi="Arial"/>
          <w:sz w:val="22"/>
          <w:szCs w:val="22"/>
        </w:rPr>
        <w:fldChar w:fldCharType="separate"/>
      </w:r>
      <w:r w:rsidR="00151A1C">
        <w:rPr>
          <w:rFonts w:ascii="Arial" w:hAnsi="Arial"/>
          <w:noProof/>
          <w:sz w:val="22"/>
          <w:szCs w:val="22"/>
        </w:rPr>
        <w:t>45</w:t>
      </w:r>
      <w:r w:rsidRPr="00662FEB">
        <w:rPr>
          <w:rFonts w:ascii="Arial" w:hAnsi="Arial"/>
          <w:sz w:val="22"/>
          <w:szCs w:val="22"/>
        </w:rPr>
        <w:fldChar w:fldCharType="end"/>
      </w:r>
      <w:bookmarkEnd w:id="201"/>
      <w:r w:rsidRPr="00662FEB">
        <w:rPr>
          <w:rFonts w:ascii="Arial" w:hAnsi="Arial"/>
          <w:sz w:val="22"/>
          <w:szCs w:val="22"/>
        </w:rPr>
        <w:t>: Administration Costs – CMA base case</w:t>
      </w:r>
    </w:p>
    <w:tbl>
      <w:tblPr>
        <w:tblStyle w:val="TableGrid"/>
        <w:tblW w:w="9606" w:type="dxa"/>
        <w:tblLayout w:type="fixed"/>
        <w:tblLook w:val="04A0" w:firstRow="1" w:lastRow="0" w:firstColumn="1" w:lastColumn="0" w:noHBand="0" w:noVBand="1"/>
      </w:tblPr>
      <w:tblGrid>
        <w:gridCol w:w="1668"/>
        <w:gridCol w:w="1134"/>
        <w:gridCol w:w="1134"/>
        <w:gridCol w:w="1134"/>
        <w:gridCol w:w="1842"/>
        <w:gridCol w:w="1560"/>
        <w:gridCol w:w="1134"/>
      </w:tblGrid>
      <w:tr w:rsidR="006030DE" w:rsidRPr="002A1891" w14:paraId="560C4360" w14:textId="77777777" w:rsidTr="00C31783">
        <w:tc>
          <w:tcPr>
            <w:tcW w:w="1668" w:type="dxa"/>
          </w:tcPr>
          <w:p w14:paraId="703BECC5" w14:textId="77777777" w:rsidR="006030DE" w:rsidRPr="002A1891" w:rsidRDefault="006030DE" w:rsidP="00C31783">
            <w:pPr>
              <w:jc w:val="center"/>
              <w:rPr>
                <w:b/>
                <w:szCs w:val="22"/>
              </w:rPr>
            </w:pPr>
            <w:r w:rsidRPr="002A1891">
              <w:rPr>
                <w:b/>
                <w:sz w:val="22"/>
                <w:szCs w:val="22"/>
              </w:rPr>
              <w:t>Type of cost</w:t>
            </w:r>
          </w:p>
        </w:tc>
        <w:tc>
          <w:tcPr>
            <w:tcW w:w="1134" w:type="dxa"/>
          </w:tcPr>
          <w:p w14:paraId="45F73FD2" w14:textId="77777777" w:rsidR="006030DE" w:rsidRPr="002A1891" w:rsidRDefault="006030DE" w:rsidP="00C31783">
            <w:pPr>
              <w:jc w:val="center"/>
              <w:rPr>
                <w:b/>
                <w:szCs w:val="22"/>
              </w:rPr>
            </w:pPr>
            <w:r w:rsidRPr="002A1891">
              <w:rPr>
                <w:b/>
                <w:sz w:val="22"/>
                <w:szCs w:val="22"/>
              </w:rPr>
              <w:t xml:space="preserve">Unit </w:t>
            </w:r>
            <w:r>
              <w:rPr>
                <w:b/>
                <w:sz w:val="22"/>
                <w:szCs w:val="22"/>
              </w:rPr>
              <w:t>cost</w:t>
            </w:r>
          </w:p>
        </w:tc>
        <w:tc>
          <w:tcPr>
            <w:tcW w:w="1134" w:type="dxa"/>
          </w:tcPr>
          <w:p w14:paraId="395837AD" w14:textId="77777777" w:rsidR="006030DE" w:rsidRPr="002A1891" w:rsidRDefault="006030DE" w:rsidP="00C31783">
            <w:pPr>
              <w:jc w:val="center"/>
              <w:rPr>
                <w:b/>
                <w:szCs w:val="22"/>
              </w:rPr>
            </w:pPr>
            <w:r w:rsidRPr="002A1891">
              <w:rPr>
                <w:b/>
                <w:sz w:val="22"/>
                <w:szCs w:val="22"/>
              </w:rPr>
              <w:t>Quantity</w:t>
            </w:r>
          </w:p>
        </w:tc>
        <w:tc>
          <w:tcPr>
            <w:tcW w:w="1134" w:type="dxa"/>
          </w:tcPr>
          <w:p w14:paraId="085CC044" w14:textId="77777777" w:rsidR="006030DE" w:rsidRPr="002A1891" w:rsidRDefault="006030DE" w:rsidP="00C31783">
            <w:pPr>
              <w:jc w:val="center"/>
              <w:rPr>
                <w:b/>
                <w:szCs w:val="22"/>
              </w:rPr>
            </w:pPr>
            <w:r w:rsidRPr="002A1891">
              <w:rPr>
                <w:b/>
                <w:sz w:val="22"/>
                <w:szCs w:val="22"/>
              </w:rPr>
              <w:t>Total</w:t>
            </w:r>
          </w:p>
        </w:tc>
        <w:tc>
          <w:tcPr>
            <w:tcW w:w="1842" w:type="dxa"/>
          </w:tcPr>
          <w:p w14:paraId="6948B110" w14:textId="77777777" w:rsidR="006030DE" w:rsidRPr="002A1891" w:rsidRDefault="006030DE" w:rsidP="00C31783">
            <w:pPr>
              <w:jc w:val="center"/>
              <w:rPr>
                <w:b/>
                <w:szCs w:val="22"/>
              </w:rPr>
            </w:pPr>
            <w:r w:rsidRPr="002A1891">
              <w:rPr>
                <w:b/>
                <w:sz w:val="22"/>
                <w:szCs w:val="22"/>
              </w:rPr>
              <w:t>Reference or source</w:t>
            </w:r>
          </w:p>
        </w:tc>
        <w:tc>
          <w:tcPr>
            <w:tcW w:w="1560" w:type="dxa"/>
          </w:tcPr>
          <w:p w14:paraId="24BDB424" w14:textId="77777777" w:rsidR="006030DE" w:rsidRPr="002A1891" w:rsidRDefault="006030DE" w:rsidP="00C31783">
            <w:pPr>
              <w:jc w:val="center"/>
              <w:rPr>
                <w:b/>
                <w:szCs w:val="22"/>
              </w:rPr>
            </w:pPr>
            <w:r w:rsidRPr="002A1891">
              <w:rPr>
                <w:b/>
                <w:sz w:val="22"/>
                <w:szCs w:val="22"/>
              </w:rPr>
              <w:t>Total costs per administration</w:t>
            </w:r>
          </w:p>
        </w:tc>
        <w:tc>
          <w:tcPr>
            <w:tcW w:w="1134" w:type="dxa"/>
          </w:tcPr>
          <w:p w14:paraId="1CB49030" w14:textId="77777777" w:rsidR="006030DE" w:rsidRPr="002A1891" w:rsidRDefault="006030DE" w:rsidP="00C31783">
            <w:pPr>
              <w:jc w:val="center"/>
              <w:rPr>
                <w:b/>
                <w:szCs w:val="22"/>
              </w:rPr>
            </w:pPr>
            <w:r w:rsidRPr="002A1891">
              <w:rPr>
                <w:b/>
                <w:sz w:val="22"/>
                <w:szCs w:val="22"/>
              </w:rPr>
              <w:t>Total costs per day</w:t>
            </w:r>
          </w:p>
        </w:tc>
      </w:tr>
      <w:tr w:rsidR="006030DE" w:rsidRPr="002A1891" w14:paraId="1826AF80" w14:textId="77777777" w:rsidTr="00C31783">
        <w:tc>
          <w:tcPr>
            <w:tcW w:w="9606" w:type="dxa"/>
            <w:gridSpan w:val="7"/>
          </w:tcPr>
          <w:p w14:paraId="2F818DB9" w14:textId="77777777" w:rsidR="006030DE" w:rsidRPr="002A1891" w:rsidRDefault="006030DE" w:rsidP="00C31783">
            <w:pPr>
              <w:widowControl w:val="0"/>
              <w:autoSpaceDE w:val="0"/>
              <w:autoSpaceDN w:val="0"/>
              <w:adjustRightInd w:val="0"/>
              <w:rPr>
                <w:rFonts w:eastAsia="Cambria" w:cs="Helvetica"/>
                <w:b/>
                <w:i/>
                <w:lang w:val="en-US"/>
              </w:rPr>
            </w:pPr>
            <w:r w:rsidRPr="002A1891">
              <w:rPr>
                <w:rFonts w:eastAsia="Cambria" w:cs="Helvetica"/>
                <w:b/>
                <w:i/>
                <w:sz w:val="22"/>
                <w:lang w:val="en-US"/>
              </w:rPr>
              <w:t>Administration costs associated with tedizolid phosphate</w:t>
            </w:r>
          </w:p>
        </w:tc>
      </w:tr>
      <w:tr w:rsidR="006030DE" w:rsidRPr="002A1891" w14:paraId="657CD791" w14:textId="77777777" w:rsidTr="00C31783">
        <w:tc>
          <w:tcPr>
            <w:tcW w:w="1668" w:type="dxa"/>
          </w:tcPr>
          <w:p w14:paraId="1F278B4F" w14:textId="77777777" w:rsidR="006030DE" w:rsidRPr="002A1891" w:rsidRDefault="006030DE" w:rsidP="00C31783">
            <w:pPr>
              <w:rPr>
                <w:szCs w:val="22"/>
              </w:rPr>
            </w:pPr>
            <w:r w:rsidRPr="002A1891">
              <w:rPr>
                <w:rFonts w:eastAsia="Cambria" w:cs="Helvetica"/>
                <w:sz w:val="22"/>
                <w:lang w:val="en-US"/>
              </w:rPr>
              <w:lastRenderedPageBreak/>
              <w:t>10 mL vial of sterile water</w:t>
            </w:r>
          </w:p>
        </w:tc>
        <w:tc>
          <w:tcPr>
            <w:tcW w:w="1134" w:type="dxa"/>
          </w:tcPr>
          <w:p w14:paraId="4B1805F4" w14:textId="77777777" w:rsidR="006030DE" w:rsidRPr="00244DA2" w:rsidRDefault="006030DE" w:rsidP="00C31783">
            <w:pPr>
              <w:jc w:val="center"/>
              <w:rPr>
                <w:szCs w:val="22"/>
              </w:rPr>
            </w:pPr>
            <w:r w:rsidRPr="00244DA2">
              <w:rPr>
                <w:rFonts w:eastAsia="Cambria" w:cs="Helvetica"/>
                <w:sz w:val="22"/>
                <w:lang w:val="en-US"/>
              </w:rPr>
              <w:t>£1.40</w:t>
            </w:r>
          </w:p>
        </w:tc>
        <w:tc>
          <w:tcPr>
            <w:tcW w:w="1134" w:type="dxa"/>
          </w:tcPr>
          <w:p w14:paraId="73A93A94" w14:textId="77777777" w:rsidR="006030DE" w:rsidRPr="00244DA2" w:rsidRDefault="006030DE" w:rsidP="00C31783">
            <w:pPr>
              <w:jc w:val="center"/>
              <w:rPr>
                <w:szCs w:val="22"/>
              </w:rPr>
            </w:pPr>
            <w:r w:rsidRPr="00244DA2">
              <w:rPr>
                <w:sz w:val="22"/>
                <w:szCs w:val="22"/>
              </w:rPr>
              <w:t>1</w:t>
            </w:r>
          </w:p>
        </w:tc>
        <w:tc>
          <w:tcPr>
            <w:tcW w:w="1134" w:type="dxa"/>
          </w:tcPr>
          <w:p w14:paraId="3E3930E8" w14:textId="77777777" w:rsidR="006030DE" w:rsidRPr="00244DA2" w:rsidRDefault="006030DE" w:rsidP="00C31783">
            <w:pPr>
              <w:jc w:val="center"/>
              <w:rPr>
                <w:szCs w:val="22"/>
              </w:rPr>
            </w:pPr>
            <w:r w:rsidRPr="00244DA2">
              <w:rPr>
                <w:sz w:val="22"/>
                <w:szCs w:val="22"/>
              </w:rPr>
              <w:t>£1.40</w:t>
            </w:r>
          </w:p>
        </w:tc>
        <w:tc>
          <w:tcPr>
            <w:tcW w:w="1842" w:type="dxa"/>
          </w:tcPr>
          <w:p w14:paraId="331618E9" w14:textId="77777777" w:rsidR="006030DE" w:rsidRPr="00244DA2" w:rsidRDefault="006030DE" w:rsidP="00C31783">
            <w:pPr>
              <w:jc w:val="center"/>
              <w:rPr>
                <w:szCs w:val="22"/>
                <w:vertAlign w:val="superscript"/>
              </w:rPr>
            </w:pPr>
            <w:r w:rsidRPr="00244DA2">
              <w:rPr>
                <w:sz w:val="22"/>
                <w:szCs w:val="22"/>
              </w:rPr>
              <w:t>BNF</w:t>
            </w:r>
            <w:r>
              <w:rPr>
                <w:sz w:val="22"/>
                <w:szCs w:val="22"/>
                <w:vertAlign w:val="superscript"/>
              </w:rPr>
              <w:t>a</w:t>
            </w:r>
          </w:p>
          <w:p w14:paraId="71C67A4F" w14:textId="77777777" w:rsidR="006030DE" w:rsidRPr="00244DA2" w:rsidRDefault="006030DE" w:rsidP="00C31783">
            <w:pPr>
              <w:rPr>
                <w:szCs w:val="22"/>
              </w:rPr>
            </w:pPr>
          </w:p>
        </w:tc>
        <w:tc>
          <w:tcPr>
            <w:tcW w:w="1560" w:type="dxa"/>
            <w:vMerge w:val="restart"/>
          </w:tcPr>
          <w:p w14:paraId="664F1678" w14:textId="77777777" w:rsidR="006030DE" w:rsidRPr="006030DE" w:rsidRDefault="006030DE" w:rsidP="00C31783">
            <w:pPr>
              <w:jc w:val="center"/>
              <w:rPr>
                <w:szCs w:val="22"/>
              </w:rPr>
            </w:pPr>
          </w:p>
          <w:p w14:paraId="031DD77C" w14:textId="77777777" w:rsidR="006030DE" w:rsidRPr="006030DE" w:rsidRDefault="006030DE" w:rsidP="00C31783">
            <w:pPr>
              <w:jc w:val="center"/>
              <w:rPr>
                <w:szCs w:val="22"/>
              </w:rPr>
            </w:pPr>
          </w:p>
          <w:p w14:paraId="2AE05404" w14:textId="77777777" w:rsidR="006030DE" w:rsidRPr="006030DE" w:rsidRDefault="006030DE" w:rsidP="00C31783">
            <w:pPr>
              <w:jc w:val="center"/>
              <w:rPr>
                <w:szCs w:val="22"/>
              </w:rPr>
            </w:pPr>
          </w:p>
          <w:p w14:paraId="7B03D81F" w14:textId="77777777" w:rsidR="006030DE" w:rsidRPr="006030DE" w:rsidRDefault="006030DE" w:rsidP="00C31783">
            <w:pPr>
              <w:jc w:val="center"/>
              <w:rPr>
                <w:szCs w:val="22"/>
              </w:rPr>
            </w:pPr>
          </w:p>
          <w:p w14:paraId="5D8716B8" w14:textId="77777777" w:rsidR="006030DE" w:rsidRPr="006030DE" w:rsidRDefault="006030DE" w:rsidP="00C31783">
            <w:pPr>
              <w:jc w:val="center"/>
              <w:rPr>
                <w:b/>
                <w:szCs w:val="22"/>
              </w:rPr>
            </w:pPr>
          </w:p>
          <w:p w14:paraId="227F7B9E" w14:textId="77777777" w:rsidR="006030DE" w:rsidRPr="006030DE" w:rsidRDefault="006030DE" w:rsidP="00C31783">
            <w:pPr>
              <w:jc w:val="center"/>
              <w:rPr>
                <w:b/>
                <w:szCs w:val="22"/>
              </w:rPr>
            </w:pPr>
            <w:r w:rsidRPr="006030DE">
              <w:rPr>
                <w:b/>
                <w:sz w:val="22"/>
                <w:szCs w:val="22"/>
              </w:rPr>
              <w:t>£33.14</w:t>
            </w:r>
          </w:p>
        </w:tc>
        <w:tc>
          <w:tcPr>
            <w:tcW w:w="1134" w:type="dxa"/>
            <w:vMerge w:val="restart"/>
          </w:tcPr>
          <w:p w14:paraId="0FB63006" w14:textId="77777777" w:rsidR="006030DE" w:rsidRPr="006030DE" w:rsidRDefault="006030DE" w:rsidP="00C31783">
            <w:pPr>
              <w:jc w:val="center"/>
              <w:rPr>
                <w:szCs w:val="22"/>
              </w:rPr>
            </w:pPr>
          </w:p>
          <w:p w14:paraId="5B5CFE91" w14:textId="77777777" w:rsidR="006030DE" w:rsidRPr="006030DE" w:rsidRDefault="006030DE" w:rsidP="00C31783">
            <w:pPr>
              <w:jc w:val="center"/>
              <w:rPr>
                <w:szCs w:val="22"/>
              </w:rPr>
            </w:pPr>
          </w:p>
          <w:p w14:paraId="199ED6D9" w14:textId="77777777" w:rsidR="006030DE" w:rsidRPr="006030DE" w:rsidRDefault="006030DE" w:rsidP="00C31783">
            <w:pPr>
              <w:jc w:val="center"/>
              <w:rPr>
                <w:szCs w:val="22"/>
              </w:rPr>
            </w:pPr>
          </w:p>
          <w:p w14:paraId="7DA4F1F5" w14:textId="77777777" w:rsidR="006030DE" w:rsidRPr="006030DE" w:rsidRDefault="006030DE" w:rsidP="00C31783">
            <w:pPr>
              <w:jc w:val="center"/>
              <w:rPr>
                <w:szCs w:val="22"/>
              </w:rPr>
            </w:pPr>
          </w:p>
          <w:p w14:paraId="3BE34DDF" w14:textId="77777777" w:rsidR="006030DE" w:rsidRPr="006030DE" w:rsidRDefault="006030DE" w:rsidP="00C31783">
            <w:pPr>
              <w:jc w:val="center"/>
              <w:rPr>
                <w:b/>
                <w:szCs w:val="22"/>
              </w:rPr>
            </w:pPr>
          </w:p>
          <w:p w14:paraId="1A2F463F" w14:textId="77777777" w:rsidR="006030DE" w:rsidRPr="006030DE" w:rsidRDefault="006030DE" w:rsidP="00C31783">
            <w:pPr>
              <w:jc w:val="center"/>
              <w:rPr>
                <w:b/>
                <w:szCs w:val="22"/>
              </w:rPr>
            </w:pPr>
            <w:r w:rsidRPr="006030DE">
              <w:rPr>
                <w:b/>
                <w:sz w:val="22"/>
                <w:szCs w:val="22"/>
              </w:rPr>
              <w:t>£33.14</w:t>
            </w:r>
          </w:p>
          <w:p w14:paraId="22A69763" w14:textId="77777777" w:rsidR="006030DE" w:rsidRPr="006030DE" w:rsidRDefault="006030DE" w:rsidP="00C31783">
            <w:pPr>
              <w:jc w:val="center"/>
              <w:rPr>
                <w:szCs w:val="22"/>
              </w:rPr>
            </w:pPr>
          </w:p>
          <w:p w14:paraId="6C0A62CA" w14:textId="77777777" w:rsidR="006030DE" w:rsidRPr="006030DE" w:rsidRDefault="006030DE" w:rsidP="00C31783">
            <w:pPr>
              <w:jc w:val="center"/>
              <w:rPr>
                <w:b/>
                <w:szCs w:val="22"/>
              </w:rPr>
            </w:pPr>
          </w:p>
        </w:tc>
      </w:tr>
      <w:tr w:rsidR="006030DE" w:rsidRPr="002A1891" w14:paraId="4AAC9CD9" w14:textId="77777777" w:rsidTr="00C31783">
        <w:tc>
          <w:tcPr>
            <w:tcW w:w="1668" w:type="dxa"/>
          </w:tcPr>
          <w:p w14:paraId="0166BD02" w14:textId="77777777" w:rsidR="006030DE" w:rsidRPr="002A1891" w:rsidRDefault="006030DE" w:rsidP="00C31783">
            <w:pPr>
              <w:rPr>
                <w:szCs w:val="22"/>
              </w:rPr>
            </w:pPr>
            <w:r w:rsidRPr="002A1891">
              <w:rPr>
                <w:rFonts w:eastAsia="Cambria" w:cs="Helvetica"/>
                <w:sz w:val="22"/>
                <w:lang w:val="en-US"/>
              </w:rPr>
              <w:t>250 mL bag of 0.9% sodium chloride (2 x 100 mL+2x25mL)</w:t>
            </w:r>
          </w:p>
        </w:tc>
        <w:tc>
          <w:tcPr>
            <w:tcW w:w="1134" w:type="dxa"/>
          </w:tcPr>
          <w:p w14:paraId="5D6D9558" w14:textId="77777777" w:rsidR="006030DE" w:rsidRPr="00244DA2" w:rsidRDefault="006030DE" w:rsidP="00C31783">
            <w:pPr>
              <w:jc w:val="center"/>
              <w:rPr>
                <w:szCs w:val="22"/>
              </w:rPr>
            </w:pPr>
            <w:r w:rsidRPr="00244DA2">
              <w:rPr>
                <w:sz w:val="22"/>
                <w:szCs w:val="22"/>
              </w:rPr>
              <w:t>£2.07</w:t>
            </w:r>
          </w:p>
        </w:tc>
        <w:tc>
          <w:tcPr>
            <w:tcW w:w="1134" w:type="dxa"/>
          </w:tcPr>
          <w:p w14:paraId="500743D6" w14:textId="77777777" w:rsidR="006030DE" w:rsidRPr="00244DA2" w:rsidRDefault="006030DE" w:rsidP="00C31783">
            <w:pPr>
              <w:jc w:val="center"/>
              <w:rPr>
                <w:szCs w:val="22"/>
              </w:rPr>
            </w:pPr>
            <w:r w:rsidRPr="00244DA2">
              <w:rPr>
                <w:sz w:val="22"/>
                <w:szCs w:val="22"/>
              </w:rPr>
              <w:t>1</w:t>
            </w:r>
          </w:p>
        </w:tc>
        <w:tc>
          <w:tcPr>
            <w:tcW w:w="1134" w:type="dxa"/>
          </w:tcPr>
          <w:p w14:paraId="41C23924" w14:textId="77777777" w:rsidR="006030DE" w:rsidRPr="00244DA2" w:rsidRDefault="006030DE" w:rsidP="00C31783">
            <w:pPr>
              <w:jc w:val="center"/>
              <w:rPr>
                <w:szCs w:val="22"/>
              </w:rPr>
            </w:pPr>
            <w:r w:rsidRPr="00244DA2">
              <w:rPr>
                <w:sz w:val="22"/>
                <w:szCs w:val="22"/>
              </w:rPr>
              <w:t>£2.07</w:t>
            </w:r>
          </w:p>
        </w:tc>
        <w:tc>
          <w:tcPr>
            <w:tcW w:w="1842" w:type="dxa"/>
          </w:tcPr>
          <w:p w14:paraId="5316F018" w14:textId="77777777" w:rsidR="006030DE" w:rsidRPr="00A74DA3" w:rsidRDefault="006030DE" w:rsidP="00C31783">
            <w:pPr>
              <w:jc w:val="center"/>
              <w:rPr>
                <w:szCs w:val="22"/>
                <w:vertAlign w:val="superscript"/>
              </w:rPr>
            </w:pPr>
            <w:r w:rsidRPr="00244DA2">
              <w:rPr>
                <w:sz w:val="22"/>
                <w:szCs w:val="22"/>
              </w:rPr>
              <w:t>BNF</w:t>
            </w:r>
            <w:r>
              <w:rPr>
                <w:sz w:val="22"/>
                <w:szCs w:val="22"/>
                <w:vertAlign w:val="superscript"/>
              </w:rPr>
              <w:t>b</w:t>
            </w:r>
          </w:p>
        </w:tc>
        <w:tc>
          <w:tcPr>
            <w:tcW w:w="1560" w:type="dxa"/>
            <w:vMerge/>
          </w:tcPr>
          <w:p w14:paraId="3205B6A4" w14:textId="77777777" w:rsidR="006030DE" w:rsidRPr="002A1891" w:rsidRDefault="006030DE" w:rsidP="00C31783">
            <w:pPr>
              <w:jc w:val="center"/>
              <w:rPr>
                <w:szCs w:val="22"/>
              </w:rPr>
            </w:pPr>
          </w:p>
        </w:tc>
        <w:tc>
          <w:tcPr>
            <w:tcW w:w="1134" w:type="dxa"/>
            <w:vMerge/>
          </w:tcPr>
          <w:p w14:paraId="203C76F7" w14:textId="77777777" w:rsidR="006030DE" w:rsidRPr="002A1891" w:rsidRDefault="006030DE" w:rsidP="00C31783">
            <w:pPr>
              <w:jc w:val="center"/>
              <w:rPr>
                <w:szCs w:val="22"/>
              </w:rPr>
            </w:pPr>
          </w:p>
        </w:tc>
      </w:tr>
      <w:tr w:rsidR="006030DE" w:rsidRPr="002A1891" w14:paraId="01ECC216" w14:textId="77777777" w:rsidTr="00C31783">
        <w:tc>
          <w:tcPr>
            <w:tcW w:w="1668" w:type="dxa"/>
          </w:tcPr>
          <w:p w14:paraId="5B0A16BC" w14:textId="77777777" w:rsidR="006030DE" w:rsidRPr="002A1891" w:rsidRDefault="006030DE" w:rsidP="00C31783">
            <w:pPr>
              <w:rPr>
                <w:szCs w:val="22"/>
              </w:rPr>
            </w:pPr>
            <w:r w:rsidRPr="002A1891">
              <w:rPr>
                <w:sz w:val="22"/>
                <w:szCs w:val="22"/>
              </w:rPr>
              <w:t>Pharmacist time</w:t>
            </w:r>
          </w:p>
        </w:tc>
        <w:tc>
          <w:tcPr>
            <w:tcW w:w="1134" w:type="dxa"/>
          </w:tcPr>
          <w:p w14:paraId="2D170556" w14:textId="77777777" w:rsidR="006030DE" w:rsidRPr="00244DA2" w:rsidRDefault="006030DE" w:rsidP="00C31783">
            <w:pPr>
              <w:jc w:val="center"/>
              <w:rPr>
                <w:szCs w:val="22"/>
              </w:rPr>
            </w:pPr>
            <w:r w:rsidRPr="00244DA2">
              <w:rPr>
                <w:sz w:val="22"/>
                <w:szCs w:val="22"/>
              </w:rPr>
              <w:t>£60.00 per hour</w:t>
            </w:r>
          </w:p>
        </w:tc>
        <w:tc>
          <w:tcPr>
            <w:tcW w:w="1134" w:type="dxa"/>
          </w:tcPr>
          <w:p w14:paraId="67348251" w14:textId="2BB977C7" w:rsidR="006030DE" w:rsidRPr="00EC2CCB" w:rsidRDefault="006030DE" w:rsidP="00C31783">
            <w:pPr>
              <w:jc w:val="center"/>
              <w:rPr>
                <w:szCs w:val="22"/>
                <w:vertAlign w:val="superscript"/>
              </w:rPr>
            </w:pPr>
            <w:r w:rsidRPr="00EC2CCB">
              <w:rPr>
                <w:sz w:val="22"/>
                <w:szCs w:val="22"/>
              </w:rPr>
              <w:t>0.167</w:t>
            </w:r>
            <w:r w:rsidR="009F0E71">
              <w:rPr>
                <w:sz w:val="22"/>
                <w:szCs w:val="22"/>
                <w:vertAlign w:val="superscript"/>
              </w:rPr>
              <w:t>c</w:t>
            </w:r>
          </w:p>
        </w:tc>
        <w:tc>
          <w:tcPr>
            <w:tcW w:w="1134" w:type="dxa"/>
          </w:tcPr>
          <w:p w14:paraId="6478419A" w14:textId="77777777" w:rsidR="006030DE" w:rsidRPr="00EC2CCB" w:rsidRDefault="006030DE" w:rsidP="00C31783">
            <w:pPr>
              <w:jc w:val="center"/>
              <w:rPr>
                <w:szCs w:val="22"/>
              </w:rPr>
            </w:pPr>
            <w:r w:rsidRPr="00EC2CCB">
              <w:rPr>
                <w:sz w:val="22"/>
                <w:szCs w:val="22"/>
              </w:rPr>
              <w:t>£10.00</w:t>
            </w:r>
          </w:p>
        </w:tc>
        <w:tc>
          <w:tcPr>
            <w:tcW w:w="1842" w:type="dxa"/>
          </w:tcPr>
          <w:p w14:paraId="7479AB86" w14:textId="77777777" w:rsidR="006030DE" w:rsidRPr="00EC2CCB" w:rsidRDefault="006030DE" w:rsidP="00C31783">
            <w:pPr>
              <w:jc w:val="center"/>
              <w:rPr>
                <w:szCs w:val="22"/>
              </w:rPr>
            </w:pPr>
            <w:r w:rsidRPr="00EC2CCB">
              <w:rPr>
                <w:sz w:val="22"/>
                <w:szCs w:val="22"/>
              </w:rPr>
              <w:t>PSSRU 2014, p. 240; Pettigrew 2012</w:t>
            </w:r>
          </w:p>
        </w:tc>
        <w:tc>
          <w:tcPr>
            <w:tcW w:w="1560" w:type="dxa"/>
            <w:vMerge/>
          </w:tcPr>
          <w:p w14:paraId="7AB63A2C" w14:textId="77777777" w:rsidR="006030DE" w:rsidRPr="002A1891" w:rsidRDefault="006030DE" w:rsidP="00C31783">
            <w:pPr>
              <w:jc w:val="center"/>
              <w:rPr>
                <w:szCs w:val="22"/>
              </w:rPr>
            </w:pPr>
          </w:p>
        </w:tc>
        <w:tc>
          <w:tcPr>
            <w:tcW w:w="1134" w:type="dxa"/>
            <w:vMerge/>
          </w:tcPr>
          <w:p w14:paraId="3BE2ABFC" w14:textId="77777777" w:rsidR="006030DE" w:rsidRPr="002A1891" w:rsidRDefault="006030DE" w:rsidP="00C31783">
            <w:pPr>
              <w:jc w:val="center"/>
              <w:rPr>
                <w:szCs w:val="22"/>
              </w:rPr>
            </w:pPr>
          </w:p>
        </w:tc>
      </w:tr>
      <w:tr w:rsidR="006030DE" w:rsidRPr="002A1891" w14:paraId="5ACB856F" w14:textId="77777777" w:rsidTr="00C31783">
        <w:tc>
          <w:tcPr>
            <w:tcW w:w="1668" w:type="dxa"/>
          </w:tcPr>
          <w:p w14:paraId="72DE69CE" w14:textId="77777777" w:rsidR="006030DE" w:rsidRPr="002A1891" w:rsidRDefault="006030DE" w:rsidP="00C31783">
            <w:pPr>
              <w:rPr>
                <w:szCs w:val="22"/>
              </w:rPr>
            </w:pPr>
            <w:r>
              <w:rPr>
                <w:sz w:val="22"/>
                <w:szCs w:val="22"/>
              </w:rPr>
              <w:t>Pharmacy technician</w:t>
            </w:r>
          </w:p>
        </w:tc>
        <w:tc>
          <w:tcPr>
            <w:tcW w:w="1134" w:type="dxa"/>
          </w:tcPr>
          <w:p w14:paraId="598DFD4C" w14:textId="56E7B3CD" w:rsidR="006030DE" w:rsidRPr="00A74DA3" w:rsidRDefault="006030DE" w:rsidP="00C31783">
            <w:pPr>
              <w:jc w:val="center"/>
              <w:rPr>
                <w:szCs w:val="22"/>
                <w:vertAlign w:val="superscript"/>
              </w:rPr>
            </w:pPr>
            <w:r w:rsidRPr="00EC2CCB">
              <w:rPr>
                <w:sz w:val="22"/>
                <w:szCs w:val="22"/>
              </w:rPr>
              <w:t>£34.00 per hour</w:t>
            </w:r>
            <w:r w:rsidR="009F0E71">
              <w:rPr>
                <w:sz w:val="22"/>
                <w:szCs w:val="22"/>
                <w:vertAlign w:val="superscript"/>
              </w:rPr>
              <w:t>d</w:t>
            </w:r>
          </w:p>
        </w:tc>
        <w:tc>
          <w:tcPr>
            <w:tcW w:w="1134" w:type="dxa"/>
          </w:tcPr>
          <w:p w14:paraId="373B27F3" w14:textId="4CDBBF01" w:rsidR="006030DE" w:rsidRPr="00EC2CCB" w:rsidRDefault="006030DE" w:rsidP="00C31783">
            <w:pPr>
              <w:jc w:val="center"/>
              <w:rPr>
                <w:szCs w:val="22"/>
                <w:vertAlign w:val="superscript"/>
              </w:rPr>
            </w:pPr>
            <w:r w:rsidRPr="00EC2CCB">
              <w:rPr>
                <w:sz w:val="22"/>
                <w:szCs w:val="22"/>
              </w:rPr>
              <w:t>0.167</w:t>
            </w:r>
            <w:r w:rsidR="009F0E71">
              <w:rPr>
                <w:sz w:val="22"/>
                <w:szCs w:val="22"/>
                <w:vertAlign w:val="superscript"/>
              </w:rPr>
              <w:t>c</w:t>
            </w:r>
          </w:p>
        </w:tc>
        <w:tc>
          <w:tcPr>
            <w:tcW w:w="1134" w:type="dxa"/>
          </w:tcPr>
          <w:p w14:paraId="737858DC" w14:textId="77777777" w:rsidR="006030DE" w:rsidRPr="00EC2CCB" w:rsidRDefault="006030DE" w:rsidP="00C31783">
            <w:pPr>
              <w:jc w:val="center"/>
              <w:rPr>
                <w:szCs w:val="22"/>
              </w:rPr>
            </w:pPr>
            <w:r w:rsidRPr="00EC2CCB">
              <w:rPr>
                <w:sz w:val="22"/>
                <w:szCs w:val="22"/>
              </w:rPr>
              <w:t>£5.67</w:t>
            </w:r>
          </w:p>
        </w:tc>
        <w:tc>
          <w:tcPr>
            <w:tcW w:w="1842" w:type="dxa"/>
          </w:tcPr>
          <w:p w14:paraId="6AF5E9FA" w14:textId="77777777" w:rsidR="006030DE" w:rsidRPr="00244DA2" w:rsidRDefault="006030DE" w:rsidP="00C31783">
            <w:pPr>
              <w:jc w:val="center"/>
              <w:rPr>
                <w:color w:val="FF0000"/>
                <w:szCs w:val="22"/>
              </w:rPr>
            </w:pPr>
            <w:r w:rsidRPr="00EC2CCB">
              <w:rPr>
                <w:sz w:val="22"/>
                <w:szCs w:val="22"/>
              </w:rPr>
              <w:t>PSSRU 2014</w:t>
            </w:r>
            <w:r>
              <w:rPr>
                <w:sz w:val="22"/>
                <w:szCs w:val="22"/>
              </w:rPr>
              <w:t xml:space="preserve"> p.247</w:t>
            </w:r>
            <w:r w:rsidRPr="00EC2CCB">
              <w:rPr>
                <w:sz w:val="22"/>
                <w:szCs w:val="22"/>
              </w:rPr>
              <w:t>; Pettigrew 2012</w:t>
            </w:r>
          </w:p>
        </w:tc>
        <w:tc>
          <w:tcPr>
            <w:tcW w:w="1560" w:type="dxa"/>
            <w:vMerge/>
          </w:tcPr>
          <w:p w14:paraId="771E17F9" w14:textId="77777777" w:rsidR="006030DE" w:rsidRPr="002A1891" w:rsidRDefault="006030DE" w:rsidP="00C31783">
            <w:pPr>
              <w:jc w:val="center"/>
              <w:rPr>
                <w:szCs w:val="22"/>
              </w:rPr>
            </w:pPr>
          </w:p>
        </w:tc>
        <w:tc>
          <w:tcPr>
            <w:tcW w:w="1134" w:type="dxa"/>
            <w:vMerge/>
          </w:tcPr>
          <w:p w14:paraId="588AAAE9" w14:textId="77777777" w:rsidR="006030DE" w:rsidRPr="002A1891" w:rsidRDefault="006030DE" w:rsidP="00C31783">
            <w:pPr>
              <w:jc w:val="center"/>
              <w:rPr>
                <w:szCs w:val="22"/>
              </w:rPr>
            </w:pPr>
          </w:p>
        </w:tc>
      </w:tr>
      <w:tr w:rsidR="006030DE" w:rsidRPr="002A1891" w14:paraId="318A673E" w14:textId="77777777" w:rsidTr="00C31783">
        <w:tc>
          <w:tcPr>
            <w:tcW w:w="1668" w:type="dxa"/>
          </w:tcPr>
          <w:p w14:paraId="4CCAD687" w14:textId="77777777" w:rsidR="006030DE" w:rsidRPr="002A1891" w:rsidRDefault="006030DE" w:rsidP="00C31783">
            <w:pPr>
              <w:rPr>
                <w:szCs w:val="22"/>
              </w:rPr>
            </w:pPr>
            <w:r w:rsidRPr="002A1891">
              <w:rPr>
                <w:sz w:val="22"/>
                <w:szCs w:val="22"/>
              </w:rPr>
              <w:t xml:space="preserve">Nurse time </w:t>
            </w:r>
          </w:p>
        </w:tc>
        <w:tc>
          <w:tcPr>
            <w:tcW w:w="1134" w:type="dxa"/>
          </w:tcPr>
          <w:p w14:paraId="1C94E5C4" w14:textId="77777777" w:rsidR="006030DE" w:rsidRPr="00A74DA3" w:rsidRDefault="006030DE" w:rsidP="00C31783">
            <w:pPr>
              <w:jc w:val="center"/>
              <w:rPr>
                <w:szCs w:val="22"/>
              </w:rPr>
            </w:pPr>
            <w:r w:rsidRPr="00A74DA3">
              <w:rPr>
                <w:sz w:val="22"/>
                <w:szCs w:val="22"/>
              </w:rPr>
              <w:t>£84.00 per hour</w:t>
            </w:r>
          </w:p>
        </w:tc>
        <w:tc>
          <w:tcPr>
            <w:tcW w:w="1134" w:type="dxa"/>
          </w:tcPr>
          <w:p w14:paraId="173F5930" w14:textId="751CB3BF" w:rsidR="006030DE" w:rsidRPr="00A74DA3" w:rsidRDefault="006030DE" w:rsidP="00C31783">
            <w:pPr>
              <w:jc w:val="center"/>
              <w:rPr>
                <w:szCs w:val="22"/>
                <w:vertAlign w:val="superscript"/>
              </w:rPr>
            </w:pPr>
            <w:r w:rsidRPr="00A74DA3">
              <w:rPr>
                <w:sz w:val="22"/>
                <w:szCs w:val="22"/>
              </w:rPr>
              <w:t>0.167</w:t>
            </w:r>
            <w:r w:rsidR="009F0E71">
              <w:rPr>
                <w:sz w:val="22"/>
                <w:szCs w:val="22"/>
                <w:vertAlign w:val="superscript"/>
              </w:rPr>
              <w:t>c</w:t>
            </w:r>
          </w:p>
        </w:tc>
        <w:tc>
          <w:tcPr>
            <w:tcW w:w="1134" w:type="dxa"/>
          </w:tcPr>
          <w:p w14:paraId="744D36C3" w14:textId="77777777" w:rsidR="006030DE" w:rsidRPr="00A74DA3" w:rsidRDefault="006030DE" w:rsidP="00C31783">
            <w:pPr>
              <w:jc w:val="center"/>
              <w:rPr>
                <w:szCs w:val="22"/>
              </w:rPr>
            </w:pPr>
            <w:r w:rsidRPr="00A74DA3">
              <w:rPr>
                <w:sz w:val="22"/>
                <w:szCs w:val="22"/>
              </w:rPr>
              <w:t>£14.00</w:t>
            </w:r>
          </w:p>
        </w:tc>
        <w:tc>
          <w:tcPr>
            <w:tcW w:w="1842" w:type="dxa"/>
          </w:tcPr>
          <w:p w14:paraId="513ADD1C" w14:textId="77777777" w:rsidR="006030DE" w:rsidRPr="00244DA2" w:rsidRDefault="006030DE" w:rsidP="00C31783">
            <w:pPr>
              <w:jc w:val="center"/>
              <w:rPr>
                <w:color w:val="FF0000"/>
                <w:szCs w:val="22"/>
              </w:rPr>
            </w:pPr>
            <w:r>
              <w:rPr>
                <w:sz w:val="22"/>
                <w:szCs w:val="22"/>
              </w:rPr>
              <w:t>PSSRU 2014 p.247</w:t>
            </w:r>
            <w:r w:rsidRPr="00EC2CCB">
              <w:rPr>
                <w:sz w:val="22"/>
                <w:szCs w:val="22"/>
              </w:rPr>
              <w:t>; Pettigrew 2012</w:t>
            </w:r>
          </w:p>
        </w:tc>
        <w:tc>
          <w:tcPr>
            <w:tcW w:w="1560" w:type="dxa"/>
            <w:vMerge/>
          </w:tcPr>
          <w:p w14:paraId="5A416831" w14:textId="77777777" w:rsidR="006030DE" w:rsidRPr="002A1891" w:rsidRDefault="006030DE" w:rsidP="00C31783">
            <w:pPr>
              <w:jc w:val="center"/>
              <w:rPr>
                <w:szCs w:val="22"/>
              </w:rPr>
            </w:pPr>
          </w:p>
        </w:tc>
        <w:tc>
          <w:tcPr>
            <w:tcW w:w="1134" w:type="dxa"/>
            <w:vMerge/>
          </w:tcPr>
          <w:p w14:paraId="1A4704A8" w14:textId="77777777" w:rsidR="006030DE" w:rsidRPr="002A1891" w:rsidRDefault="006030DE" w:rsidP="00C31783">
            <w:pPr>
              <w:jc w:val="center"/>
              <w:rPr>
                <w:szCs w:val="22"/>
              </w:rPr>
            </w:pPr>
          </w:p>
        </w:tc>
      </w:tr>
      <w:tr w:rsidR="006030DE" w:rsidRPr="002A1891" w14:paraId="2396499D" w14:textId="77777777" w:rsidTr="00C31783">
        <w:tc>
          <w:tcPr>
            <w:tcW w:w="9606" w:type="dxa"/>
            <w:gridSpan w:val="7"/>
          </w:tcPr>
          <w:p w14:paraId="25A77092" w14:textId="77777777" w:rsidR="006030DE" w:rsidRPr="002A1891" w:rsidRDefault="006030DE" w:rsidP="00C31783">
            <w:pPr>
              <w:widowControl w:val="0"/>
              <w:autoSpaceDE w:val="0"/>
              <w:autoSpaceDN w:val="0"/>
              <w:adjustRightInd w:val="0"/>
              <w:rPr>
                <w:rFonts w:eastAsia="Cambria" w:cs="Helvetica"/>
                <w:b/>
                <w:i/>
                <w:lang w:val="en-US"/>
              </w:rPr>
            </w:pPr>
            <w:r w:rsidRPr="002A1891">
              <w:rPr>
                <w:rFonts w:eastAsia="Cambria" w:cs="Helvetica"/>
                <w:b/>
                <w:i/>
                <w:sz w:val="22"/>
                <w:lang w:val="en-US"/>
              </w:rPr>
              <w:t>Administration costs associated with linezolid</w:t>
            </w:r>
          </w:p>
        </w:tc>
      </w:tr>
      <w:tr w:rsidR="006030DE" w:rsidRPr="002A1891" w14:paraId="6C06B617" w14:textId="77777777" w:rsidTr="00C31783">
        <w:tc>
          <w:tcPr>
            <w:tcW w:w="1668" w:type="dxa"/>
          </w:tcPr>
          <w:p w14:paraId="5792C4D4" w14:textId="77777777" w:rsidR="006030DE" w:rsidRPr="002A1891" w:rsidRDefault="006030DE" w:rsidP="00C31783">
            <w:pPr>
              <w:rPr>
                <w:szCs w:val="22"/>
              </w:rPr>
            </w:pPr>
            <w:r w:rsidRPr="002A1891">
              <w:rPr>
                <w:sz w:val="22"/>
                <w:szCs w:val="22"/>
              </w:rPr>
              <w:t>Pharmacist time</w:t>
            </w:r>
          </w:p>
        </w:tc>
        <w:tc>
          <w:tcPr>
            <w:tcW w:w="1134" w:type="dxa"/>
          </w:tcPr>
          <w:p w14:paraId="3495ED15" w14:textId="77777777" w:rsidR="006030DE" w:rsidRPr="00E2782F" w:rsidRDefault="006030DE" w:rsidP="00C31783">
            <w:pPr>
              <w:jc w:val="center"/>
              <w:rPr>
                <w:szCs w:val="22"/>
              </w:rPr>
            </w:pPr>
            <w:r w:rsidRPr="00E2782F">
              <w:rPr>
                <w:sz w:val="22"/>
                <w:szCs w:val="22"/>
              </w:rPr>
              <w:t>£60.00 per hour</w:t>
            </w:r>
          </w:p>
        </w:tc>
        <w:tc>
          <w:tcPr>
            <w:tcW w:w="1134" w:type="dxa"/>
          </w:tcPr>
          <w:p w14:paraId="76B4FFF7" w14:textId="5507DD92" w:rsidR="006030DE" w:rsidRPr="00EC2CCB" w:rsidRDefault="006030DE" w:rsidP="00C31783">
            <w:pPr>
              <w:jc w:val="center"/>
              <w:rPr>
                <w:szCs w:val="22"/>
              </w:rPr>
            </w:pPr>
            <w:r w:rsidRPr="00EC2CCB">
              <w:rPr>
                <w:sz w:val="22"/>
                <w:szCs w:val="22"/>
              </w:rPr>
              <w:t>0.167</w:t>
            </w:r>
            <w:r w:rsidR="009F0E71">
              <w:rPr>
                <w:sz w:val="22"/>
                <w:szCs w:val="22"/>
                <w:vertAlign w:val="superscript"/>
              </w:rPr>
              <w:t>c</w:t>
            </w:r>
          </w:p>
        </w:tc>
        <w:tc>
          <w:tcPr>
            <w:tcW w:w="1134" w:type="dxa"/>
          </w:tcPr>
          <w:p w14:paraId="18CC8F8F" w14:textId="77777777" w:rsidR="006030DE" w:rsidRPr="00EC2CCB" w:rsidRDefault="006030DE" w:rsidP="00C31783">
            <w:pPr>
              <w:jc w:val="center"/>
              <w:rPr>
                <w:szCs w:val="22"/>
              </w:rPr>
            </w:pPr>
            <w:r w:rsidRPr="00EC2CCB">
              <w:rPr>
                <w:sz w:val="22"/>
                <w:szCs w:val="22"/>
              </w:rPr>
              <w:t>£10.00</w:t>
            </w:r>
          </w:p>
        </w:tc>
        <w:tc>
          <w:tcPr>
            <w:tcW w:w="1842" w:type="dxa"/>
          </w:tcPr>
          <w:p w14:paraId="7AAC18EB" w14:textId="77777777" w:rsidR="006030DE" w:rsidRPr="00EC2CCB" w:rsidRDefault="006030DE" w:rsidP="00C31783">
            <w:pPr>
              <w:jc w:val="center"/>
              <w:rPr>
                <w:szCs w:val="22"/>
              </w:rPr>
            </w:pPr>
            <w:r w:rsidRPr="00EC2CCB">
              <w:rPr>
                <w:sz w:val="22"/>
                <w:szCs w:val="22"/>
              </w:rPr>
              <w:t>PSSRU 2014 p.240; Pettigrew 2012</w:t>
            </w:r>
          </w:p>
        </w:tc>
        <w:tc>
          <w:tcPr>
            <w:tcW w:w="1560" w:type="dxa"/>
            <w:vMerge w:val="restart"/>
          </w:tcPr>
          <w:p w14:paraId="3744E383" w14:textId="77777777" w:rsidR="006030DE" w:rsidRPr="006030DE" w:rsidRDefault="006030DE" w:rsidP="00C31783">
            <w:pPr>
              <w:rPr>
                <w:b/>
                <w:szCs w:val="22"/>
              </w:rPr>
            </w:pPr>
          </w:p>
          <w:p w14:paraId="68D8E10B" w14:textId="77777777" w:rsidR="006030DE" w:rsidRPr="006030DE" w:rsidRDefault="006030DE" w:rsidP="00C31783">
            <w:pPr>
              <w:jc w:val="center"/>
              <w:rPr>
                <w:b/>
                <w:szCs w:val="22"/>
              </w:rPr>
            </w:pPr>
          </w:p>
          <w:p w14:paraId="633E55A2" w14:textId="77777777" w:rsidR="006030DE" w:rsidRPr="006030DE" w:rsidRDefault="006030DE" w:rsidP="00C31783">
            <w:pPr>
              <w:jc w:val="center"/>
              <w:rPr>
                <w:b/>
                <w:szCs w:val="22"/>
              </w:rPr>
            </w:pPr>
          </w:p>
          <w:p w14:paraId="6968249B" w14:textId="77777777" w:rsidR="006030DE" w:rsidRPr="006030DE" w:rsidRDefault="006030DE" w:rsidP="00C31783">
            <w:pPr>
              <w:jc w:val="center"/>
              <w:rPr>
                <w:b/>
                <w:szCs w:val="22"/>
              </w:rPr>
            </w:pPr>
            <w:r w:rsidRPr="006030DE">
              <w:rPr>
                <w:b/>
                <w:sz w:val="22"/>
                <w:szCs w:val="22"/>
              </w:rPr>
              <w:t>£25.70</w:t>
            </w:r>
          </w:p>
        </w:tc>
        <w:tc>
          <w:tcPr>
            <w:tcW w:w="1134" w:type="dxa"/>
            <w:vMerge w:val="restart"/>
          </w:tcPr>
          <w:p w14:paraId="5B5138B5" w14:textId="77777777" w:rsidR="006030DE" w:rsidRPr="006030DE" w:rsidRDefault="006030DE" w:rsidP="00C31783">
            <w:pPr>
              <w:rPr>
                <w:b/>
                <w:szCs w:val="22"/>
              </w:rPr>
            </w:pPr>
          </w:p>
          <w:p w14:paraId="55F94EE5" w14:textId="77777777" w:rsidR="006030DE" w:rsidRPr="006030DE" w:rsidRDefault="006030DE" w:rsidP="00C31783">
            <w:pPr>
              <w:jc w:val="center"/>
              <w:rPr>
                <w:b/>
                <w:szCs w:val="22"/>
              </w:rPr>
            </w:pPr>
          </w:p>
          <w:p w14:paraId="58548A8C" w14:textId="77777777" w:rsidR="006030DE" w:rsidRPr="006030DE" w:rsidRDefault="006030DE" w:rsidP="00C31783">
            <w:pPr>
              <w:jc w:val="center"/>
              <w:rPr>
                <w:b/>
                <w:szCs w:val="22"/>
              </w:rPr>
            </w:pPr>
          </w:p>
          <w:p w14:paraId="3E53F127" w14:textId="77777777" w:rsidR="006030DE" w:rsidRPr="006030DE" w:rsidRDefault="006030DE" w:rsidP="00C31783">
            <w:pPr>
              <w:rPr>
                <w:b/>
                <w:szCs w:val="22"/>
              </w:rPr>
            </w:pPr>
            <w:r w:rsidRPr="006030DE">
              <w:rPr>
                <w:b/>
                <w:sz w:val="22"/>
                <w:szCs w:val="22"/>
              </w:rPr>
              <w:t>£39.70</w:t>
            </w:r>
          </w:p>
          <w:p w14:paraId="35574C45" w14:textId="77777777" w:rsidR="006030DE" w:rsidRPr="006030DE" w:rsidRDefault="006030DE" w:rsidP="00C31783">
            <w:pPr>
              <w:jc w:val="center"/>
              <w:rPr>
                <w:b/>
                <w:szCs w:val="22"/>
              </w:rPr>
            </w:pPr>
          </w:p>
          <w:p w14:paraId="7115CA81" w14:textId="77777777" w:rsidR="006030DE" w:rsidRPr="006030DE" w:rsidRDefault="006030DE" w:rsidP="00C31783">
            <w:pPr>
              <w:rPr>
                <w:b/>
                <w:szCs w:val="22"/>
              </w:rPr>
            </w:pPr>
          </w:p>
        </w:tc>
      </w:tr>
      <w:tr w:rsidR="006030DE" w:rsidRPr="002A1891" w14:paraId="1E643B5B" w14:textId="77777777" w:rsidTr="00C31783">
        <w:trPr>
          <w:trHeight w:val="612"/>
        </w:trPr>
        <w:tc>
          <w:tcPr>
            <w:tcW w:w="1668" w:type="dxa"/>
          </w:tcPr>
          <w:p w14:paraId="58847AAD" w14:textId="77777777" w:rsidR="006030DE" w:rsidRPr="00EC2CCB" w:rsidRDefault="006030DE" w:rsidP="00C31783">
            <w:pPr>
              <w:rPr>
                <w:szCs w:val="22"/>
              </w:rPr>
            </w:pPr>
            <w:r w:rsidRPr="00EC2CCB">
              <w:rPr>
                <w:sz w:val="22"/>
                <w:szCs w:val="22"/>
              </w:rPr>
              <w:t>Pharmacy technician time</w:t>
            </w:r>
          </w:p>
        </w:tc>
        <w:tc>
          <w:tcPr>
            <w:tcW w:w="1134" w:type="dxa"/>
          </w:tcPr>
          <w:p w14:paraId="6D633575" w14:textId="1413B106" w:rsidR="006030DE" w:rsidRPr="00CF2D01" w:rsidRDefault="006030DE" w:rsidP="00C31783">
            <w:pPr>
              <w:jc w:val="center"/>
              <w:rPr>
                <w:sz w:val="20"/>
                <w:vertAlign w:val="superscript"/>
              </w:rPr>
            </w:pPr>
            <w:r w:rsidRPr="00EC2CCB">
              <w:rPr>
                <w:sz w:val="20"/>
              </w:rPr>
              <w:t>£34.00 per hour</w:t>
            </w:r>
            <w:r w:rsidR="009F0E71">
              <w:rPr>
                <w:sz w:val="20"/>
                <w:vertAlign w:val="superscript"/>
              </w:rPr>
              <w:t>d</w:t>
            </w:r>
          </w:p>
        </w:tc>
        <w:tc>
          <w:tcPr>
            <w:tcW w:w="1134" w:type="dxa"/>
          </w:tcPr>
          <w:p w14:paraId="1206B7F4" w14:textId="77777777" w:rsidR="006030DE" w:rsidRPr="00EC2CCB" w:rsidRDefault="006030DE" w:rsidP="00C31783">
            <w:pPr>
              <w:jc w:val="center"/>
              <w:rPr>
                <w:szCs w:val="22"/>
                <w:vertAlign w:val="superscript"/>
              </w:rPr>
            </w:pPr>
            <w:r w:rsidRPr="00EC2CCB">
              <w:rPr>
                <w:sz w:val="22"/>
                <w:szCs w:val="22"/>
              </w:rPr>
              <w:t>0.05</w:t>
            </w:r>
            <w:r>
              <w:rPr>
                <w:sz w:val="22"/>
                <w:szCs w:val="22"/>
                <w:vertAlign w:val="superscript"/>
              </w:rPr>
              <w:t>e</w:t>
            </w:r>
          </w:p>
        </w:tc>
        <w:tc>
          <w:tcPr>
            <w:tcW w:w="1134" w:type="dxa"/>
          </w:tcPr>
          <w:p w14:paraId="26CBB53A" w14:textId="77777777" w:rsidR="006030DE" w:rsidRPr="00EC2CCB" w:rsidRDefault="006030DE" w:rsidP="00C31783">
            <w:pPr>
              <w:jc w:val="center"/>
              <w:rPr>
                <w:szCs w:val="22"/>
              </w:rPr>
            </w:pPr>
            <w:r w:rsidRPr="00EC2CCB">
              <w:rPr>
                <w:sz w:val="22"/>
                <w:szCs w:val="22"/>
              </w:rPr>
              <w:t>£1.70</w:t>
            </w:r>
          </w:p>
        </w:tc>
        <w:tc>
          <w:tcPr>
            <w:tcW w:w="1842" w:type="dxa"/>
          </w:tcPr>
          <w:p w14:paraId="6FF444A4" w14:textId="77777777" w:rsidR="006030DE" w:rsidRPr="00EC2CCB" w:rsidRDefault="006030DE" w:rsidP="00C31783">
            <w:pPr>
              <w:jc w:val="center"/>
              <w:rPr>
                <w:color w:val="FF0000"/>
                <w:szCs w:val="22"/>
              </w:rPr>
            </w:pPr>
            <w:r>
              <w:rPr>
                <w:sz w:val="22"/>
                <w:szCs w:val="22"/>
              </w:rPr>
              <w:t>PSSRU 2014 p.247</w:t>
            </w:r>
            <w:r w:rsidRPr="00EC2CCB">
              <w:rPr>
                <w:sz w:val="22"/>
                <w:szCs w:val="22"/>
              </w:rPr>
              <w:t>; Pettigrew 2012</w:t>
            </w:r>
          </w:p>
        </w:tc>
        <w:tc>
          <w:tcPr>
            <w:tcW w:w="1560" w:type="dxa"/>
            <w:vMerge/>
          </w:tcPr>
          <w:p w14:paraId="08FA27DD" w14:textId="77777777" w:rsidR="006030DE" w:rsidRPr="002A1891" w:rsidRDefault="006030DE" w:rsidP="00C31783">
            <w:pPr>
              <w:jc w:val="center"/>
              <w:rPr>
                <w:szCs w:val="22"/>
              </w:rPr>
            </w:pPr>
          </w:p>
        </w:tc>
        <w:tc>
          <w:tcPr>
            <w:tcW w:w="1134" w:type="dxa"/>
            <w:vMerge/>
          </w:tcPr>
          <w:p w14:paraId="7FD80C7E" w14:textId="77777777" w:rsidR="006030DE" w:rsidRPr="002A1891" w:rsidRDefault="006030DE" w:rsidP="00C31783">
            <w:pPr>
              <w:jc w:val="center"/>
              <w:rPr>
                <w:szCs w:val="22"/>
              </w:rPr>
            </w:pPr>
          </w:p>
        </w:tc>
      </w:tr>
      <w:tr w:rsidR="006030DE" w:rsidRPr="002A1891" w14:paraId="1C9743BB" w14:textId="77777777" w:rsidTr="00C31783">
        <w:trPr>
          <w:trHeight w:val="612"/>
        </w:trPr>
        <w:tc>
          <w:tcPr>
            <w:tcW w:w="1668" w:type="dxa"/>
          </w:tcPr>
          <w:p w14:paraId="0645D606" w14:textId="77777777" w:rsidR="006030DE" w:rsidRPr="002A1891" w:rsidRDefault="006030DE" w:rsidP="00C31783">
            <w:pPr>
              <w:rPr>
                <w:szCs w:val="22"/>
              </w:rPr>
            </w:pPr>
            <w:r w:rsidRPr="002A1891">
              <w:rPr>
                <w:sz w:val="22"/>
                <w:szCs w:val="22"/>
              </w:rPr>
              <w:t xml:space="preserve">Nurse time </w:t>
            </w:r>
          </w:p>
        </w:tc>
        <w:tc>
          <w:tcPr>
            <w:tcW w:w="1134" w:type="dxa"/>
          </w:tcPr>
          <w:p w14:paraId="40304DFD" w14:textId="6ED71D4C" w:rsidR="006030DE" w:rsidRPr="009F0E71" w:rsidRDefault="006030DE" w:rsidP="00C31783">
            <w:pPr>
              <w:jc w:val="center"/>
              <w:rPr>
                <w:szCs w:val="22"/>
                <w:vertAlign w:val="superscript"/>
              </w:rPr>
            </w:pPr>
            <w:r w:rsidRPr="006030DE">
              <w:rPr>
                <w:sz w:val="22"/>
                <w:szCs w:val="22"/>
              </w:rPr>
              <w:t>£84.00 per hour</w:t>
            </w:r>
            <w:r w:rsidR="009F0E71">
              <w:rPr>
                <w:sz w:val="22"/>
                <w:szCs w:val="22"/>
                <w:vertAlign w:val="superscript"/>
              </w:rPr>
              <w:t>f</w:t>
            </w:r>
          </w:p>
        </w:tc>
        <w:tc>
          <w:tcPr>
            <w:tcW w:w="1134" w:type="dxa"/>
          </w:tcPr>
          <w:p w14:paraId="182CCA64" w14:textId="511D5F20" w:rsidR="006030DE" w:rsidRPr="006030DE" w:rsidRDefault="006030DE" w:rsidP="00C31783">
            <w:pPr>
              <w:jc w:val="center"/>
              <w:rPr>
                <w:szCs w:val="22"/>
                <w:vertAlign w:val="superscript"/>
              </w:rPr>
            </w:pPr>
            <w:r w:rsidRPr="006030DE">
              <w:rPr>
                <w:sz w:val="22"/>
                <w:szCs w:val="22"/>
              </w:rPr>
              <w:t>0.167</w:t>
            </w:r>
            <w:r w:rsidR="009F0E71">
              <w:rPr>
                <w:sz w:val="22"/>
                <w:szCs w:val="22"/>
                <w:vertAlign w:val="superscript"/>
              </w:rPr>
              <w:t>c</w:t>
            </w:r>
          </w:p>
        </w:tc>
        <w:tc>
          <w:tcPr>
            <w:tcW w:w="1134" w:type="dxa"/>
          </w:tcPr>
          <w:p w14:paraId="095D0BE3" w14:textId="77777777" w:rsidR="006030DE" w:rsidRPr="006030DE" w:rsidRDefault="006030DE" w:rsidP="00C31783">
            <w:pPr>
              <w:jc w:val="center"/>
              <w:rPr>
                <w:szCs w:val="22"/>
              </w:rPr>
            </w:pPr>
            <w:r w:rsidRPr="006030DE">
              <w:rPr>
                <w:sz w:val="22"/>
                <w:szCs w:val="22"/>
              </w:rPr>
              <w:t>£14.00 x 2</w:t>
            </w:r>
          </w:p>
        </w:tc>
        <w:tc>
          <w:tcPr>
            <w:tcW w:w="1842" w:type="dxa"/>
          </w:tcPr>
          <w:p w14:paraId="519DC7B9" w14:textId="77777777" w:rsidR="006030DE" w:rsidRPr="00244DA2" w:rsidRDefault="006030DE" w:rsidP="00C31783">
            <w:pPr>
              <w:jc w:val="center"/>
              <w:rPr>
                <w:color w:val="FF0000"/>
                <w:szCs w:val="22"/>
              </w:rPr>
            </w:pPr>
            <w:r>
              <w:rPr>
                <w:sz w:val="22"/>
                <w:szCs w:val="22"/>
              </w:rPr>
              <w:t>PSSRU 2014 p.247</w:t>
            </w:r>
            <w:r w:rsidRPr="00EC2CCB">
              <w:rPr>
                <w:sz w:val="22"/>
                <w:szCs w:val="22"/>
              </w:rPr>
              <w:t>; Pettigrew 2012</w:t>
            </w:r>
          </w:p>
        </w:tc>
        <w:tc>
          <w:tcPr>
            <w:tcW w:w="1560" w:type="dxa"/>
            <w:vMerge/>
          </w:tcPr>
          <w:p w14:paraId="2D03F041" w14:textId="77777777" w:rsidR="006030DE" w:rsidRPr="002A1891" w:rsidRDefault="006030DE" w:rsidP="00C31783">
            <w:pPr>
              <w:jc w:val="center"/>
              <w:rPr>
                <w:szCs w:val="22"/>
              </w:rPr>
            </w:pPr>
          </w:p>
        </w:tc>
        <w:tc>
          <w:tcPr>
            <w:tcW w:w="1134" w:type="dxa"/>
            <w:vMerge/>
          </w:tcPr>
          <w:p w14:paraId="0B24C49C" w14:textId="77777777" w:rsidR="006030DE" w:rsidRPr="002A1891" w:rsidRDefault="006030DE" w:rsidP="00C31783">
            <w:pPr>
              <w:jc w:val="center"/>
              <w:rPr>
                <w:szCs w:val="22"/>
              </w:rPr>
            </w:pPr>
          </w:p>
        </w:tc>
      </w:tr>
    </w:tbl>
    <w:p w14:paraId="720E131B" w14:textId="77777777" w:rsidR="006030DE" w:rsidRPr="008167D8" w:rsidRDefault="006030DE" w:rsidP="006030DE">
      <w:pPr>
        <w:rPr>
          <w:rFonts w:eastAsia="Cambria" w:cs="Helvetica"/>
          <w:sz w:val="18"/>
          <w:szCs w:val="18"/>
          <w:u w:val="single" w:color="0B36A2"/>
          <w:lang w:val="en-US" w:eastAsia="nl-NL"/>
        </w:rPr>
      </w:pPr>
      <w:r w:rsidRPr="008167D8">
        <w:rPr>
          <w:sz w:val="18"/>
          <w:szCs w:val="18"/>
          <w:vertAlign w:val="superscript"/>
        </w:rPr>
        <w:t xml:space="preserve">a </w:t>
      </w:r>
      <w:hyperlink r:id="rId36" w:history="1">
        <w:r w:rsidRPr="008167D8">
          <w:rPr>
            <w:rStyle w:val="Hyperlink"/>
            <w:rFonts w:eastAsia="Cambria" w:cs="Helvetica"/>
            <w:color w:val="auto"/>
            <w:sz w:val="18"/>
            <w:szCs w:val="18"/>
            <w:u w:color="0B36A2"/>
            <w:lang w:val="en-US" w:eastAsia="nl-NL"/>
          </w:rPr>
          <w:t>http://www.evidence.nhs.uk/formulary/bnf/current/9-nutrition-and-blood/92-fluids-and-electrolytes/922-parenteral-preparations-for-fluid-and-electrolyte-imbalance/9221-electrolytes-and-water/water/water-for-injections</w:t>
        </w:r>
      </w:hyperlink>
    </w:p>
    <w:p w14:paraId="20FFD92A" w14:textId="77777777" w:rsidR="006030DE" w:rsidRPr="008167D8" w:rsidRDefault="006030DE" w:rsidP="006030DE">
      <w:pPr>
        <w:widowControl w:val="0"/>
        <w:autoSpaceDE w:val="0"/>
        <w:autoSpaceDN w:val="0"/>
        <w:adjustRightInd w:val="0"/>
        <w:rPr>
          <w:rFonts w:eastAsia="Cambria" w:cs="Helvetica"/>
          <w:sz w:val="18"/>
          <w:szCs w:val="18"/>
          <w:lang w:val="en-US" w:eastAsia="nl-NL"/>
        </w:rPr>
      </w:pPr>
      <w:r w:rsidRPr="008167D8">
        <w:rPr>
          <w:sz w:val="18"/>
          <w:szCs w:val="18"/>
          <w:vertAlign w:val="superscript"/>
        </w:rPr>
        <w:t xml:space="preserve">b </w:t>
      </w:r>
      <w:hyperlink r:id="rId37" w:history="1">
        <w:r w:rsidRPr="008167D8">
          <w:rPr>
            <w:rFonts w:eastAsia="Cambria" w:cs="Helvetica"/>
            <w:sz w:val="18"/>
            <w:szCs w:val="18"/>
            <w:u w:val="single" w:color="0B36A2"/>
            <w:lang w:val="en-US" w:eastAsia="nl-NL"/>
          </w:rPr>
          <w:t>http://www.evidence.nhs.uk/formulary/bnf/current/13-skin/1311-skin-cleansers-antiseptics-and-desloughing-agents/13111-alcohols-and-saline/sodium-chloride</w:t>
        </w:r>
      </w:hyperlink>
    </w:p>
    <w:p w14:paraId="24576731" w14:textId="77777777" w:rsidR="009F0E71" w:rsidRPr="008167D8" w:rsidRDefault="006030DE" w:rsidP="006030DE">
      <w:pPr>
        <w:rPr>
          <w:rFonts w:eastAsia="Cambria" w:cs="Helvetica"/>
          <w:sz w:val="18"/>
          <w:szCs w:val="18"/>
          <w:lang w:val="en-US" w:eastAsia="nl-NL"/>
        </w:rPr>
      </w:pPr>
      <w:r w:rsidRPr="008167D8">
        <w:rPr>
          <w:sz w:val="18"/>
          <w:szCs w:val="18"/>
          <w:vertAlign w:val="superscript"/>
        </w:rPr>
        <w:t xml:space="preserve">c </w:t>
      </w:r>
      <w:r w:rsidR="009F0E71" w:rsidRPr="008167D8">
        <w:rPr>
          <w:sz w:val="18"/>
          <w:szCs w:val="18"/>
        </w:rPr>
        <w:t>Equal to 10 minutes per day</w:t>
      </w:r>
      <w:r w:rsidR="009F0E71" w:rsidRPr="008167D8">
        <w:rPr>
          <w:rFonts w:eastAsia="Cambria" w:cs="Helvetica"/>
          <w:sz w:val="18"/>
          <w:szCs w:val="18"/>
          <w:lang w:val="en-US" w:eastAsia="nl-NL"/>
        </w:rPr>
        <w:t xml:space="preserve"> </w:t>
      </w:r>
    </w:p>
    <w:p w14:paraId="76919CB0" w14:textId="25EF1DDA" w:rsidR="006030DE" w:rsidRPr="008167D8" w:rsidRDefault="009F0E71" w:rsidP="006030DE">
      <w:pPr>
        <w:rPr>
          <w:rFonts w:cs="Arial"/>
          <w:sz w:val="18"/>
          <w:szCs w:val="18"/>
        </w:rPr>
      </w:pPr>
      <w:r w:rsidRPr="008167D8">
        <w:rPr>
          <w:rFonts w:eastAsia="Cambria" w:cs="Helvetica"/>
          <w:sz w:val="18"/>
          <w:szCs w:val="18"/>
          <w:vertAlign w:val="superscript"/>
          <w:lang w:val="en-US" w:eastAsia="nl-NL"/>
        </w:rPr>
        <w:t>d</w:t>
      </w:r>
      <w:r w:rsidRPr="008167D8">
        <w:rPr>
          <w:rFonts w:eastAsia="Cambria" w:cs="Helvetica"/>
          <w:sz w:val="18"/>
          <w:szCs w:val="18"/>
          <w:lang w:val="en-US" w:eastAsia="nl-NL"/>
        </w:rPr>
        <w:t xml:space="preserve"> </w:t>
      </w:r>
      <w:r w:rsidR="006030DE" w:rsidRPr="008167D8">
        <w:rPr>
          <w:rFonts w:eastAsia="Cambria" w:cs="Helvetica"/>
          <w:sz w:val="18"/>
          <w:szCs w:val="18"/>
          <w:lang w:val="en-US" w:eastAsia="nl-NL"/>
        </w:rPr>
        <w:t>Assumed to be equivalent to</w:t>
      </w:r>
      <w:r w:rsidR="006030DE" w:rsidRPr="008167D8">
        <w:rPr>
          <w:rFonts w:eastAsia="Cambria"/>
          <w:sz w:val="18"/>
          <w:szCs w:val="18"/>
          <w:lang w:val="en-US" w:eastAsia="nl-NL"/>
        </w:rPr>
        <w:t xml:space="preserve"> nurse time for not patient-related contact activities, page 247, PSSRU, 2014.</w:t>
      </w:r>
    </w:p>
    <w:p w14:paraId="18CAA44B" w14:textId="44A6A246" w:rsidR="006030DE" w:rsidRPr="008167D8" w:rsidRDefault="006030DE" w:rsidP="006030DE">
      <w:pPr>
        <w:rPr>
          <w:sz w:val="18"/>
          <w:szCs w:val="18"/>
        </w:rPr>
      </w:pPr>
      <w:r w:rsidRPr="008167D8">
        <w:rPr>
          <w:sz w:val="18"/>
          <w:szCs w:val="18"/>
          <w:vertAlign w:val="superscript"/>
        </w:rPr>
        <w:t xml:space="preserve">e </w:t>
      </w:r>
      <w:r w:rsidRPr="008167D8">
        <w:rPr>
          <w:sz w:val="18"/>
          <w:szCs w:val="18"/>
        </w:rPr>
        <w:t>Equal to 3 minutes per day</w:t>
      </w:r>
    </w:p>
    <w:p w14:paraId="02525DDF" w14:textId="1AAB2F96" w:rsidR="008F7939" w:rsidRPr="008167D8" w:rsidRDefault="008F7939" w:rsidP="006030DE">
      <w:pPr>
        <w:rPr>
          <w:sz w:val="18"/>
          <w:szCs w:val="18"/>
        </w:rPr>
      </w:pPr>
      <w:r w:rsidRPr="008167D8">
        <w:rPr>
          <w:sz w:val="18"/>
          <w:szCs w:val="18"/>
          <w:vertAlign w:val="superscript"/>
        </w:rPr>
        <w:t xml:space="preserve">f </w:t>
      </w:r>
      <w:r w:rsidRPr="008167D8">
        <w:rPr>
          <w:sz w:val="18"/>
          <w:szCs w:val="18"/>
        </w:rPr>
        <w:t xml:space="preserve">Assumed to be </w:t>
      </w:r>
      <w:r w:rsidR="009F0E71" w:rsidRPr="008167D8">
        <w:rPr>
          <w:sz w:val="18"/>
          <w:szCs w:val="18"/>
        </w:rPr>
        <w:t xml:space="preserve">nurse-time comprising </w:t>
      </w:r>
      <w:r w:rsidRPr="008167D8">
        <w:rPr>
          <w:sz w:val="18"/>
          <w:szCs w:val="18"/>
        </w:rPr>
        <w:t>patient</w:t>
      </w:r>
      <w:r w:rsidR="009F0E71" w:rsidRPr="008167D8">
        <w:rPr>
          <w:sz w:val="18"/>
          <w:szCs w:val="18"/>
        </w:rPr>
        <w:t>-related</w:t>
      </w:r>
      <w:r w:rsidRPr="008167D8">
        <w:rPr>
          <w:sz w:val="18"/>
          <w:szCs w:val="18"/>
        </w:rPr>
        <w:t xml:space="preserve"> clinical contact time, page 247, PSSRU 2014</w:t>
      </w:r>
      <w:r w:rsidR="009F0E71" w:rsidRPr="008167D8">
        <w:rPr>
          <w:sz w:val="18"/>
          <w:szCs w:val="18"/>
        </w:rPr>
        <w:t>.</w:t>
      </w:r>
    </w:p>
    <w:p w14:paraId="155709E2" w14:textId="0E59C8E3" w:rsidR="00742B11" w:rsidRPr="00D26821" w:rsidRDefault="00E63099" w:rsidP="00D26821">
      <w:pPr>
        <w:pStyle w:val="Caption"/>
        <w:spacing w:after="0"/>
        <w:rPr>
          <w:rFonts w:ascii="Arial" w:hAnsi="Arial" w:cs="Arial"/>
          <w:i/>
          <w:sz w:val="22"/>
          <w:szCs w:val="22"/>
        </w:rPr>
      </w:pPr>
      <w:r>
        <w:rPr>
          <w:rFonts w:ascii="Arial" w:hAnsi="Arial" w:cs="Arial"/>
          <w:i/>
          <w:sz w:val="22"/>
          <w:szCs w:val="22"/>
        </w:rPr>
        <w:lastRenderedPageBreak/>
        <w:t>6.4.2.3</w:t>
      </w:r>
      <w:r w:rsidRPr="00662FEB">
        <w:rPr>
          <w:rFonts w:ascii="Arial" w:hAnsi="Arial" w:cs="Arial"/>
          <w:i/>
          <w:sz w:val="22"/>
          <w:szCs w:val="22"/>
        </w:rPr>
        <w:t xml:space="preserve"> Costs of monitoring</w:t>
      </w:r>
    </w:p>
    <w:p w14:paraId="03DB1BF7" w14:textId="77777777" w:rsidR="00CB1788" w:rsidRDefault="00CB1788" w:rsidP="009A0514">
      <w:pPr>
        <w:pStyle w:val="Answer"/>
        <w:spacing w:line="240" w:lineRule="auto"/>
      </w:pPr>
    </w:p>
    <w:p w14:paraId="66F50EF8" w14:textId="20AA328B" w:rsidR="009A0514" w:rsidRDefault="009A0514" w:rsidP="009A0514">
      <w:pPr>
        <w:pStyle w:val="Answer"/>
        <w:spacing w:line="240" w:lineRule="auto"/>
      </w:pPr>
      <w:r w:rsidRPr="00F83733">
        <w:t>In this analysis, medicine monitoring costs have been included for linezolid, but n</w:t>
      </w:r>
      <w:r>
        <w:t>ot for tedizolid phosphate. The</w:t>
      </w:r>
      <w:r w:rsidRPr="00F83733">
        <w:t xml:space="preserve"> justification for this is that monitoring is a specific requirement of the linezolid marketing authorisation, but is not listed as a requirement in the SmPC for tedizolid phosphate, and is not expected to be a requirement of the marketing authorisation, once granted. </w:t>
      </w:r>
    </w:p>
    <w:p w14:paraId="51A7A17C" w14:textId="23ED7CC1" w:rsidR="008F7939" w:rsidRDefault="000D21F1" w:rsidP="008F7939">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lang w:eastAsia="ja-JP"/>
        </w:rPr>
      </w:pPr>
      <w:r w:rsidRPr="00C224C8">
        <w:rPr>
          <w:rFonts w:ascii="Arial" w:hAnsi="Arial" w:cs="Arial"/>
          <w:sz w:val="22"/>
          <w:szCs w:val="22"/>
          <w:lang w:eastAsia="ja-JP"/>
        </w:rPr>
        <w:t xml:space="preserve">According to the SmPC and in line with Scottish </w:t>
      </w:r>
      <w:r w:rsidR="00E711F5">
        <w:rPr>
          <w:rFonts w:ascii="Arial" w:hAnsi="Arial" w:cs="Arial"/>
          <w:sz w:val="22"/>
          <w:szCs w:val="22"/>
          <w:lang w:eastAsia="ja-JP"/>
        </w:rPr>
        <w:t>regional guidelines (</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_Ref284439567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75</w:t>
      </w:r>
      <w:r w:rsidR="006F010F">
        <w:rPr>
          <w:rFonts w:ascii="Arial" w:hAnsi="Arial" w:cs="Arial"/>
          <w:sz w:val="22"/>
          <w:szCs w:val="22"/>
          <w:lang w:eastAsia="ja-JP"/>
        </w:rPr>
        <w:fldChar w:fldCharType="end"/>
      </w:r>
      <w:r w:rsidR="00E711F5">
        <w:rPr>
          <w:rFonts w:ascii="Arial" w:hAnsi="Arial" w:cs="Arial"/>
          <w:sz w:val="22"/>
          <w:szCs w:val="22"/>
          <w:lang w:eastAsia="ja-JP"/>
        </w:rPr>
        <w:t>)</w:t>
      </w:r>
      <w:r w:rsidRPr="00C224C8">
        <w:rPr>
          <w:rFonts w:ascii="Arial" w:hAnsi="Arial" w:cs="Arial"/>
          <w:sz w:val="22"/>
          <w:szCs w:val="22"/>
          <w:lang w:eastAsia="ja-JP"/>
        </w:rPr>
        <w:t xml:space="preserve">, linezolid should be administered to specified groups of patients at higher </w:t>
      </w:r>
      <w:r w:rsidR="00E711F5">
        <w:rPr>
          <w:rFonts w:ascii="Arial" w:hAnsi="Arial" w:cs="Arial"/>
          <w:sz w:val="22"/>
          <w:szCs w:val="22"/>
          <w:lang w:eastAsia="ja-JP"/>
        </w:rPr>
        <w:t xml:space="preserve">risk of the effects of </w:t>
      </w:r>
      <w:r w:rsidRPr="00C224C8">
        <w:rPr>
          <w:rFonts w:ascii="Arial" w:hAnsi="Arial" w:cs="Arial"/>
          <w:sz w:val="22"/>
          <w:szCs w:val="22"/>
          <w:lang w:eastAsia="ja-JP"/>
        </w:rPr>
        <w:t>myelosuppression only when close monitoring of haemoglobin levels, blood counts and platelet counts is possible (</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_Ref284439522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74</w:t>
      </w:r>
      <w:r w:rsidR="006F010F">
        <w:rPr>
          <w:rFonts w:ascii="Arial" w:hAnsi="Arial" w:cs="Arial"/>
          <w:sz w:val="22"/>
          <w:szCs w:val="22"/>
          <w:lang w:eastAsia="ja-JP"/>
        </w:rPr>
        <w:fldChar w:fldCharType="end"/>
      </w:r>
      <w:r w:rsidR="006F010F">
        <w:rPr>
          <w:rFonts w:ascii="Arial" w:hAnsi="Arial" w:cs="Arial"/>
          <w:sz w:val="22"/>
          <w:szCs w:val="22"/>
          <w:lang w:eastAsia="ja-JP"/>
        </w:rPr>
        <w:t>;</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_Ref284439567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75</w:t>
      </w:r>
      <w:r w:rsidR="006F010F">
        <w:rPr>
          <w:rFonts w:ascii="Arial" w:hAnsi="Arial" w:cs="Arial"/>
          <w:sz w:val="22"/>
          <w:szCs w:val="22"/>
          <w:lang w:eastAsia="ja-JP"/>
        </w:rPr>
        <w:fldChar w:fldCharType="end"/>
      </w:r>
      <w:r w:rsidRPr="00C224C8">
        <w:rPr>
          <w:rFonts w:ascii="Arial" w:hAnsi="Arial" w:cs="Arial"/>
          <w:sz w:val="22"/>
          <w:szCs w:val="22"/>
          <w:lang w:eastAsia="ja-JP"/>
        </w:rPr>
        <w:t xml:space="preserve">). </w:t>
      </w:r>
      <w:r w:rsidR="00552D1E">
        <w:rPr>
          <w:rFonts w:ascii="Arial" w:hAnsi="Arial" w:cs="Arial"/>
          <w:sz w:val="22"/>
          <w:szCs w:val="22"/>
          <w:lang w:eastAsia="ja-JP"/>
        </w:rPr>
        <w:t xml:space="preserve">In addition, the SmPC recommends that </w:t>
      </w:r>
      <w:r w:rsidR="009E1C9D">
        <w:rPr>
          <w:rFonts w:ascii="Arial" w:hAnsi="Arial" w:cs="Arial"/>
          <w:sz w:val="22"/>
          <w:szCs w:val="22"/>
          <w:lang w:eastAsia="ja-JP"/>
        </w:rPr>
        <w:t>complete</w:t>
      </w:r>
      <w:r w:rsidR="00552D1E">
        <w:rPr>
          <w:rFonts w:ascii="Arial" w:hAnsi="Arial" w:cs="Arial"/>
          <w:sz w:val="22"/>
          <w:szCs w:val="22"/>
          <w:lang w:eastAsia="ja-JP"/>
        </w:rPr>
        <w:t xml:space="preserve"> blood counts </w:t>
      </w:r>
      <w:r w:rsidR="009E1C9D">
        <w:rPr>
          <w:rFonts w:ascii="Arial" w:hAnsi="Arial" w:cs="Arial"/>
          <w:sz w:val="22"/>
          <w:szCs w:val="22"/>
          <w:lang w:eastAsia="ja-JP"/>
        </w:rPr>
        <w:t xml:space="preserve">should be monitored weekly </w:t>
      </w:r>
      <w:r w:rsidR="00552D1E">
        <w:rPr>
          <w:rFonts w:ascii="Arial" w:hAnsi="Arial" w:cs="Arial"/>
          <w:sz w:val="22"/>
          <w:szCs w:val="22"/>
          <w:lang w:eastAsia="ja-JP"/>
        </w:rPr>
        <w:t>regardless of baseline blood levels</w:t>
      </w:r>
      <w:r w:rsidR="009E1C9D">
        <w:rPr>
          <w:rFonts w:ascii="Arial" w:hAnsi="Arial" w:cs="Arial"/>
          <w:sz w:val="22"/>
          <w:szCs w:val="22"/>
          <w:lang w:eastAsia="ja-JP"/>
        </w:rPr>
        <w:t xml:space="preserve"> </w:t>
      </w:r>
      <w:r w:rsidR="00211BCD" w:rsidRPr="00C224C8">
        <w:rPr>
          <w:rFonts w:ascii="Arial" w:hAnsi="Arial" w:cs="Arial"/>
          <w:sz w:val="22"/>
          <w:szCs w:val="22"/>
          <w:lang w:eastAsia="ja-JP"/>
        </w:rPr>
        <w:t>(</w:t>
      </w:r>
      <w:r w:rsidR="006F010F">
        <w:rPr>
          <w:rFonts w:ascii="Arial" w:hAnsi="Arial" w:cs="Arial"/>
          <w:sz w:val="22"/>
          <w:szCs w:val="22"/>
          <w:lang w:eastAsia="ja-JP"/>
        </w:rPr>
        <w:fldChar w:fldCharType="begin"/>
      </w:r>
      <w:r w:rsidR="006F010F">
        <w:rPr>
          <w:rFonts w:ascii="Arial" w:hAnsi="Arial" w:cs="Arial"/>
          <w:sz w:val="22"/>
          <w:szCs w:val="22"/>
          <w:lang w:eastAsia="ja-JP"/>
        </w:rPr>
        <w:instrText xml:space="preserve"> REF _Ref284439522 \r \h </w:instrText>
      </w:r>
      <w:r w:rsidR="006F010F">
        <w:rPr>
          <w:rFonts w:ascii="Arial" w:hAnsi="Arial" w:cs="Arial"/>
          <w:sz w:val="22"/>
          <w:szCs w:val="22"/>
          <w:lang w:eastAsia="ja-JP"/>
        </w:rPr>
      </w:r>
      <w:r w:rsidR="006F010F">
        <w:rPr>
          <w:rFonts w:ascii="Arial" w:hAnsi="Arial" w:cs="Arial"/>
          <w:sz w:val="22"/>
          <w:szCs w:val="22"/>
          <w:lang w:eastAsia="ja-JP"/>
        </w:rPr>
        <w:fldChar w:fldCharType="separate"/>
      </w:r>
      <w:r w:rsidR="00151A1C">
        <w:rPr>
          <w:rFonts w:ascii="Arial" w:hAnsi="Arial" w:cs="Arial"/>
          <w:sz w:val="22"/>
          <w:szCs w:val="22"/>
          <w:lang w:eastAsia="ja-JP"/>
        </w:rPr>
        <w:t>74</w:t>
      </w:r>
      <w:r w:rsidR="006F010F">
        <w:rPr>
          <w:rFonts w:ascii="Arial" w:hAnsi="Arial" w:cs="Arial"/>
          <w:sz w:val="22"/>
          <w:szCs w:val="22"/>
          <w:lang w:eastAsia="ja-JP"/>
        </w:rPr>
        <w:fldChar w:fldCharType="end"/>
      </w:r>
      <w:r w:rsidR="00211BCD" w:rsidRPr="00C224C8">
        <w:rPr>
          <w:rFonts w:ascii="Arial" w:hAnsi="Arial" w:cs="Arial"/>
          <w:sz w:val="22"/>
          <w:szCs w:val="22"/>
          <w:lang w:eastAsia="ja-JP"/>
        </w:rPr>
        <w:t>).</w:t>
      </w:r>
      <w:r w:rsidR="00552D1E">
        <w:rPr>
          <w:rFonts w:ascii="Arial" w:hAnsi="Arial" w:cs="Arial"/>
          <w:sz w:val="22"/>
          <w:szCs w:val="22"/>
          <w:lang w:eastAsia="ja-JP"/>
        </w:rPr>
        <w:t xml:space="preserve"> </w:t>
      </w:r>
      <w:r w:rsidRPr="00C224C8">
        <w:rPr>
          <w:rFonts w:ascii="Arial" w:hAnsi="Arial" w:cs="Arial"/>
          <w:sz w:val="22"/>
          <w:szCs w:val="22"/>
          <w:lang w:eastAsia="ja-JP"/>
        </w:rPr>
        <w:t xml:space="preserve">There is no such requirement for tedizolid phosphate. Consequently, the cost of weekly monitoring for linezolid (on day 1 and day 8 of treatment) has been </w:t>
      </w:r>
      <w:r w:rsidR="00BB6C12">
        <w:rPr>
          <w:rFonts w:ascii="Arial" w:hAnsi="Arial" w:cs="Arial"/>
          <w:sz w:val="22"/>
          <w:szCs w:val="22"/>
          <w:lang w:eastAsia="ja-JP"/>
        </w:rPr>
        <w:t>incorporated into the base case</w:t>
      </w:r>
      <w:r w:rsidRPr="00C224C8">
        <w:rPr>
          <w:rFonts w:ascii="Arial" w:hAnsi="Arial" w:cs="Arial"/>
          <w:sz w:val="22"/>
          <w:szCs w:val="22"/>
          <w:lang w:eastAsia="ja-JP"/>
        </w:rPr>
        <w:t>.</w:t>
      </w:r>
    </w:p>
    <w:p w14:paraId="1D935333" w14:textId="77777777" w:rsidR="008F7939" w:rsidRDefault="008F7939" w:rsidP="008F7939">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lang w:eastAsia="ja-JP"/>
        </w:rPr>
      </w:pPr>
    </w:p>
    <w:p w14:paraId="68D28E51" w14:textId="3A522A0E" w:rsidR="00E9465B" w:rsidRPr="008F7939" w:rsidRDefault="00CD7B00" w:rsidP="008F7939">
      <w:pPr>
        <w:pStyle w:val="Summary-Bullet-H47"/>
        <w:numPr>
          <w:ilvl w:val="0"/>
          <w:numId w:val="0"/>
        </w:numPr>
        <w:pBdr>
          <w:top w:val="none" w:sz="0" w:space="0" w:color="auto"/>
          <w:left w:val="none" w:sz="0" w:space="0" w:color="auto"/>
          <w:bottom w:val="none" w:sz="0" w:space="0" w:color="auto"/>
          <w:right w:val="none" w:sz="0" w:space="0" w:color="auto"/>
        </w:pBdr>
        <w:shd w:val="clear" w:color="auto" w:fill="auto"/>
        <w:spacing w:after="0"/>
        <w:ind w:right="96"/>
        <w:rPr>
          <w:rFonts w:ascii="Arial" w:hAnsi="Arial" w:cs="Arial"/>
          <w:sz w:val="22"/>
          <w:szCs w:val="22"/>
        </w:rPr>
      </w:pPr>
      <w:r w:rsidRPr="008F7939">
        <w:rPr>
          <w:rFonts w:ascii="Arial" w:hAnsi="Arial" w:cs="Arial"/>
          <w:sz w:val="22"/>
          <w:szCs w:val="22"/>
        </w:rPr>
        <w:t xml:space="preserve">The monitoring costs for linezolid include the cost of the laboratory test itself as well as phlebotomist time. The </w:t>
      </w:r>
      <w:r w:rsidR="00F46510" w:rsidRPr="008F7939">
        <w:rPr>
          <w:rFonts w:ascii="Arial" w:hAnsi="Arial" w:cs="Arial"/>
          <w:sz w:val="22"/>
          <w:szCs w:val="22"/>
        </w:rPr>
        <w:t xml:space="preserve">type and </w:t>
      </w:r>
      <w:r w:rsidRPr="008F7939">
        <w:rPr>
          <w:rFonts w:ascii="Arial" w:hAnsi="Arial" w:cs="Arial"/>
          <w:sz w:val="22"/>
          <w:szCs w:val="22"/>
        </w:rPr>
        <w:t>cost of the laboratory test</w:t>
      </w:r>
      <w:r w:rsidR="00F46510" w:rsidRPr="008F7939">
        <w:rPr>
          <w:rFonts w:ascii="Arial" w:hAnsi="Arial" w:cs="Arial"/>
          <w:sz w:val="22"/>
          <w:szCs w:val="22"/>
        </w:rPr>
        <w:t>s themselves are deri</w:t>
      </w:r>
      <w:r w:rsidR="00211BCD">
        <w:rPr>
          <w:rFonts w:ascii="Arial" w:hAnsi="Arial" w:cs="Arial"/>
          <w:sz w:val="22"/>
          <w:szCs w:val="22"/>
        </w:rPr>
        <w:t xml:space="preserve">ved from </w:t>
      </w:r>
      <w:r w:rsidR="009E0560">
        <w:rPr>
          <w:rFonts w:ascii="Arial" w:hAnsi="Arial" w:cs="Arial"/>
          <w:sz w:val="22"/>
          <w:szCs w:val="22"/>
        </w:rPr>
        <w:t xml:space="preserve">the SmPC and from </w:t>
      </w:r>
      <w:r w:rsidR="00211BCD">
        <w:rPr>
          <w:rFonts w:ascii="Arial" w:hAnsi="Arial" w:cs="Arial"/>
          <w:sz w:val="22"/>
          <w:szCs w:val="22"/>
        </w:rPr>
        <w:t>Scottish data sources</w:t>
      </w:r>
      <w:r w:rsidR="009E0560">
        <w:rPr>
          <w:rFonts w:ascii="Arial" w:hAnsi="Arial" w:cs="Arial"/>
          <w:sz w:val="22"/>
          <w:szCs w:val="22"/>
        </w:rPr>
        <w:t xml:space="preserve">. </w:t>
      </w:r>
      <w:r w:rsidR="00F46510" w:rsidRPr="008F7939">
        <w:rPr>
          <w:rFonts w:ascii="Arial" w:hAnsi="Arial" w:cs="Arial"/>
          <w:sz w:val="22"/>
          <w:szCs w:val="22"/>
        </w:rPr>
        <w:t>The time component h</w:t>
      </w:r>
      <w:r w:rsidR="00E711F5">
        <w:rPr>
          <w:rFonts w:ascii="Arial" w:hAnsi="Arial" w:cs="Arial"/>
          <w:sz w:val="22"/>
          <w:szCs w:val="22"/>
        </w:rPr>
        <w:t xml:space="preserve">as been derived from Pettigrew. </w:t>
      </w:r>
      <w:r w:rsidR="00BF0201" w:rsidRPr="008F7939">
        <w:rPr>
          <w:rFonts w:ascii="Arial" w:hAnsi="Arial" w:cs="Arial"/>
          <w:sz w:val="22"/>
          <w:szCs w:val="22"/>
          <w:lang w:eastAsia="ja-JP"/>
        </w:rPr>
        <w:t xml:space="preserve">Any nurse time associated with </w:t>
      </w:r>
      <w:r w:rsidR="00D31883" w:rsidRPr="008F7939">
        <w:rPr>
          <w:rFonts w:ascii="Arial" w:hAnsi="Arial" w:cs="Arial"/>
          <w:sz w:val="22"/>
          <w:szCs w:val="22"/>
          <w:lang w:eastAsia="ja-JP"/>
        </w:rPr>
        <w:t xml:space="preserve">vital sign </w:t>
      </w:r>
      <w:r w:rsidR="00BF0201" w:rsidRPr="008F7939">
        <w:rPr>
          <w:rFonts w:ascii="Arial" w:hAnsi="Arial" w:cs="Arial"/>
          <w:sz w:val="22"/>
          <w:szCs w:val="22"/>
          <w:lang w:eastAsia="ja-JP"/>
        </w:rPr>
        <w:t xml:space="preserve">monitoring was excluded from the calculation, as the manufacturer assumed that </w:t>
      </w:r>
      <w:r w:rsidR="00F367DD" w:rsidRPr="008F7939">
        <w:rPr>
          <w:rFonts w:ascii="Arial" w:hAnsi="Arial" w:cs="Arial"/>
          <w:sz w:val="22"/>
          <w:szCs w:val="22"/>
          <w:lang w:eastAsia="ja-JP"/>
        </w:rPr>
        <w:t xml:space="preserve">vital sign </w:t>
      </w:r>
      <w:r w:rsidR="00BF0201" w:rsidRPr="008F7939">
        <w:rPr>
          <w:rFonts w:ascii="Arial" w:hAnsi="Arial" w:cs="Arial"/>
          <w:sz w:val="22"/>
          <w:szCs w:val="22"/>
          <w:lang w:eastAsia="ja-JP"/>
        </w:rPr>
        <w:t>monitoring would be included as part of the nurse's usual standard check on all patients</w:t>
      </w:r>
      <w:r w:rsidR="00BF0201" w:rsidRPr="00662FEB">
        <w:rPr>
          <w:rFonts w:ascii="Arial" w:hAnsi="Arial" w:cs="Arial"/>
          <w:b/>
          <w:sz w:val="22"/>
          <w:szCs w:val="22"/>
          <w:lang w:eastAsia="ja-JP"/>
        </w:rPr>
        <w:t xml:space="preserve">. </w:t>
      </w:r>
    </w:p>
    <w:p w14:paraId="51FFF00D" w14:textId="2BB87E40" w:rsidR="00BE69CC" w:rsidRPr="008F7939" w:rsidRDefault="00BE69CC" w:rsidP="008F7939">
      <w:pPr>
        <w:pStyle w:val="Caption"/>
        <w:spacing w:after="0"/>
        <w:jc w:val="left"/>
        <w:rPr>
          <w:rFonts w:ascii="Arial" w:hAnsi="Arial" w:cs="Arial"/>
          <w:b w:val="0"/>
          <w:sz w:val="22"/>
          <w:szCs w:val="22"/>
        </w:rPr>
      </w:pPr>
      <w:r w:rsidRPr="00662FEB">
        <w:rPr>
          <w:rFonts w:ascii="Arial" w:hAnsi="Arial" w:cs="Arial"/>
          <w:b w:val="0"/>
          <w:sz w:val="22"/>
          <w:szCs w:val="22"/>
        </w:rPr>
        <w:t xml:space="preserve">These </w:t>
      </w:r>
      <w:r w:rsidR="00F338B7" w:rsidRPr="00662FEB">
        <w:rPr>
          <w:rFonts w:ascii="Arial" w:hAnsi="Arial" w:cs="Arial"/>
          <w:b w:val="0"/>
          <w:sz w:val="22"/>
          <w:szCs w:val="22"/>
        </w:rPr>
        <w:t xml:space="preserve">monitoring </w:t>
      </w:r>
      <w:r w:rsidRPr="00662FEB">
        <w:rPr>
          <w:rFonts w:ascii="Arial" w:hAnsi="Arial" w:cs="Arial"/>
          <w:b w:val="0"/>
          <w:sz w:val="22"/>
          <w:szCs w:val="22"/>
        </w:rPr>
        <w:t xml:space="preserve">costs </w:t>
      </w:r>
      <w:r w:rsidR="00221D91">
        <w:rPr>
          <w:rFonts w:ascii="Arial" w:hAnsi="Arial" w:cs="Arial"/>
          <w:b w:val="0"/>
          <w:sz w:val="22"/>
          <w:szCs w:val="22"/>
        </w:rPr>
        <w:t>are presented</w:t>
      </w:r>
      <w:r w:rsidRPr="00662FEB">
        <w:rPr>
          <w:rFonts w:ascii="Arial" w:hAnsi="Arial" w:cs="Arial"/>
          <w:b w:val="0"/>
          <w:sz w:val="22"/>
          <w:szCs w:val="22"/>
        </w:rPr>
        <w:t xml:space="preserve"> </w:t>
      </w:r>
      <w:r w:rsidRPr="00E711F5">
        <w:rPr>
          <w:rFonts w:ascii="Arial" w:hAnsi="Arial" w:cs="Arial"/>
          <w:b w:val="0"/>
          <w:sz w:val="22"/>
          <w:szCs w:val="22"/>
        </w:rPr>
        <w:t>in</w:t>
      </w:r>
      <w:r w:rsidR="006030DE" w:rsidRPr="00E711F5">
        <w:rPr>
          <w:rFonts w:ascii="Arial" w:hAnsi="Arial" w:cs="Arial"/>
          <w:b w:val="0"/>
          <w:sz w:val="22"/>
          <w:szCs w:val="22"/>
        </w:rPr>
        <w:t xml:space="preserve"> </w:t>
      </w:r>
      <w:r w:rsidR="006030DE" w:rsidRPr="00E711F5">
        <w:rPr>
          <w:rFonts w:ascii="Arial" w:hAnsi="Arial" w:cs="Arial"/>
          <w:b w:val="0"/>
          <w:sz w:val="22"/>
          <w:szCs w:val="22"/>
        </w:rPr>
        <w:fldChar w:fldCharType="begin"/>
      </w:r>
      <w:r w:rsidR="006030DE" w:rsidRPr="00E711F5">
        <w:rPr>
          <w:rFonts w:ascii="Arial" w:hAnsi="Arial" w:cs="Arial"/>
          <w:b w:val="0"/>
          <w:sz w:val="22"/>
          <w:szCs w:val="22"/>
        </w:rPr>
        <w:instrText xml:space="preserve"> REF _Ref284020717 \h </w:instrText>
      </w:r>
      <w:r w:rsidR="006030DE" w:rsidRPr="00E711F5">
        <w:rPr>
          <w:rFonts w:ascii="Arial" w:hAnsi="Arial" w:cs="Arial"/>
          <w:b w:val="0"/>
          <w:sz w:val="22"/>
          <w:szCs w:val="22"/>
        </w:rPr>
      </w:r>
      <w:r w:rsidR="006030DE" w:rsidRPr="00E711F5">
        <w:rPr>
          <w:rFonts w:ascii="Arial" w:hAnsi="Arial" w:cs="Arial"/>
          <w:b w:val="0"/>
          <w:sz w:val="22"/>
          <w:szCs w:val="22"/>
        </w:rPr>
        <w:fldChar w:fldCharType="separate"/>
      </w:r>
      <w:r w:rsidR="00151A1C" w:rsidRPr="006030DE">
        <w:rPr>
          <w:rFonts w:ascii="Arial" w:hAnsi="Arial"/>
          <w:sz w:val="22"/>
          <w:szCs w:val="22"/>
        </w:rPr>
        <w:t xml:space="preserve">Table </w:t>
      </w:r>
      <w:r w:rsidR="00151A1C">
        <w:rPr>
          <w:rFonts w:ascii="Arial" w:hAnsi="Arial"/>
          <w:noProof/>
          <w:sz w:val="22"/>
          <w:szCs w:val="22"/>
        </w:rPr>
        <w:t>46</w:t>
      </w:r>
      <w:r w:rsidR="006030DE" w:rsidRPr="00E711F5">
        <w:rPr>
          <w:rFonts w:ascii="Arial" w:hAnsi="Arial" w:cs="Arial"/>
          <w:b w:val="0"/>
          <w:sz w:val="22"/>
          <w:szCs w:val="22"/>
        </w:rPr>
        <w:fldChar w:fldCharType="end"/>
      </w:r>
      <w:r w:rsidRPr="00E711F5">
        <w:rPr>
          <w:rFonts w:ascii="Arial" w:hAnsi="Arial" w:cs="Arial"/>
          <w:b w:val="0"/>
          <w:sz w:val="22"/>
          <w:szCs w:val="22"/>
        </w:rPr>
        <w:t>.</w:t>
      </w:r>
    </w:p>
    <w:p w14:paraId="2D5EB7E1" w14:textId="7A53D35D" w:rsidR="006030DE" w:rsidRPr="00AD2B33" w:rsidRDefault="006030DE" w:rsidP="00AD2B33">
      <w:pPr>
        <w:pStyle w:val="Caption"/>
        <w:rPr>
          <w:rFonts w:ascii="Arial" w:hAnsi="Arial" w:cs="Arial"/>
          <w:sz w:val="22"/>
          <w:szCs w:val="22"/>
        </w:rPr>
      </w:pPr>
      <w:bookmarkStart w:id="202" w:name="_Ref284020717"/>
      <w:r w:rsidRPr="006030DE">
        <w:rPr>
          <w:rFonts w:ascii="Arial" w:hAnsi="Arial"/>
          <w:sz w:val="22"/>
          <w:szCs w:val="22"/>
        </w:rPr>
        <w:t xml:space="preserve">Table </w:t>
      </w:r>
      <w:r w:rsidRPr="006030DE">
        <w:rPr>
          <w:rFonts w:ascii="Arial" w:hAnsi="Arial"/>
          <w:sz w:val="22"/>
          <w:szCs w:val="22"/>
        </w:rPr>
        <w:fldChar w:fldCharType="begin"/>
      </w:r>
      <w:r w:rsidRPr="006030DE">
        <w:rPr>
          <w:rFonts w:ascii="Arial" w:hAnsi="Arial"/>
          <w:sz w:val="22"/>
          <w:szCs w:val="22"/>
        </w:rPr>
        <w:instrText xml:space="preserve"> SEQ Table \* ARABIC </w:instrText>
      </w:r>
      <w:r w:rsidRPr="006030DE">
        <w:rPr>
          <w:rFonts w:ascii="Arial" w:hAnsi="Arial"/>
          <w:sz w:val="22"/>
          <w:szCs w:val="22"/>
        </w:rPr>
        <w:fldChar w:fldCharType="separate"/>
      </w:r>
      <w:r w:rsidR="00151A1C">
        <w:rPr>
          <w:rFonts w:ascii="Arial" w:hAnsi="Arial"/>
          <w:noProof/>
          <w:sz w:val="22"/>
          <w:szCs w:val="22"/>
        </w:rPr>
        <w:t>46</w:t>
      </w:r>
      <w:r w:rsidRPr="006030DE">
        <w:rPr>
          <w:rFonts w:ascii="Arial" w:hAnsi="Arial"/>
          <w:sz w:val="22"/>
          <w:szCs w:val="22"/>
        </w:rPr>
        <w:fldChar w:fldCharType="end"/>
      </w:r>
      <w:bookmarkEnd w:id="202"/>
      <w:r w:rsidRPr="006030DE">
        <w:rPr>
          <w:rFonts w:ascii="Arial" w:hAnsi="Arial"/>
          <w:sz w:val="22"/>
          <w:szCs w:val="22"/>
        </w:rPr>
        <w:t xml:space="preserve">: </w:t>
      </w:r>
      <w:r w:rsidRPr="006030DE">
        <w:rPr>
          <w:rFonts w:ascii="Arial" w:hAnsi="Arial" w:cs="Arial"/>
          <w:sz w:val="22"/>
          <w:szCs w:val="22"/>
        </w:rPr>
        <w:t>Monitoring costs for linezolid</w:t>
      </w:r>
      <w:r w:rsidR="0050270E">
        <w:rPr>
          <w:rFonts w:ascii="Arial" w:hAnsi="Arial" w:cs="Arial"/>
          <w:sz w:val="22"/>
          <w:szCs w:val="22"/>
        </w:rPr>
        <w:t xml:space="preserve"> – CMA base case </w:t>
      </w:r>
    </w:p>
    <w:tbl>
      <w:tblPr>
        <w:tblW w:w="9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0"/>
        <w:gridCol w:w="1179"/>
        <w:gridCol w:w="1130"/>
        <w:gridCol w:w="1018"/>
        <w:gridCol w:w="1289"/>
        <w:gridCol w:w="1185"/>
        <w:gridCol w:w="1669"/>
      </w:tblGrid>
      <w:tr w:rsidR="006030DE" w:rsidRPr="00FF04BC" w14:paraId="5CF5ACE0" w14:textId="77777777" w:rsidTr="00FE3AAB">
        <w:trPr>
          <w:trHeight w:val="260"/>
        </w:trPr>
        <w:tc>
          <w:tcPr>
            <w:tcW w:w="1570" w:type="dxa"/>
            <w:shd w:val="clear" w:color="auto" w:fill="auto"/>
            <w:noWrap/>
            <w:vAlign w:val="bottom"/>
          </w:tcPr>
          <w:p w14:paraId="25C0ECF6" w14:textId="77777777" w:rsidR="006030DE" w:rsidRPr="00FE3AAB" w:rsidRDefault="006030DE" w:rsidP="00FE3AAB">
            <w:pPr>
              <w:jc w:val="center"/>
              <w:rPr>
                <w:rFonts w:eastAsia="Cambria"/>
                <w:b/>
                <w:szCs w:val="22"/>
                <w:lang w:val="en-US" w:eastAsia="nl-NL"/>
              </w:rPr>
            </w:pPr>
            <w:r w:rsidRPr="00FE3AAB">
              <w:rPr>
                <w:rFonts w:eastAsia="Cambria"/>
                <w:b/>
                <w:sz w:val="22"/>
                <w:szCs w:val="22"/>
                <w:lang w:val="en-US" w:eastAsia="nl-NL"/>
              </w:rPr>
              <w:t>Item</w:t>
            </w:r>
          </w:p>
        </w:tc>
        <w:tc>
          <w:tcPr>
            <w:tcW w:w="1179" w:type="dxa"/>
            <w:shd w:val="clear" w:color="auto" w:fill="auto"/>
            <w:noWrap/>
            <w:vAlign w:val="bottom"/>
          </w:tcPr>
          <w:p w14:paraId="754F5203" w14:textId="03E94D48" w:rsidR="006030DE" w:rsidRPr="00FE3AAB" w:rsidRDefault="00987D72" w:rsidP="00FE3AAB">
            <w:pPr>
              <w:jc w:val="center"/>
              <w:rPr>
                <w:rFonts w:eastAsia="Cambria"/>
                <w:b/>
                <w:szCs w:val="22"/>
                <w:lang w:val="en-US" w:eastAsia="nl-NL"/>
              </w:rPr>
            </w:pPr>
            <w:r>
              <w:rPr>
                <w:rFonts w:eastAsia="Cambria"/>
                <w:b/>
                <w:sz w:val="22"/>
                <w:szCs w:val="22"/>
                <w:lang w:val="en-US" w:eastAsia="nl-NL"/>
              </w:rPr>
              <w:t>Unit cost</w:t>
            </w:r>
          </w:p>
        </w:tc>
        <w:tc>
          <w:tcPr>
            <w:tcW w:w="1130" w:type="dxa"/>
            <w:shd w:val="clear" w:color="auto" w:fill="auto"/>
            <w:noWrap/>
            <w:vAlign w:val="bottom"/>
          </w:tcPr>
          <w:p w14:paraId="7F0A2337" w14:textId="2CE38245" w:rsidR="006030DE" w:rsidRPr="00FE3AAB" w:rsidRDefault="00FE3AAB" w:rsidP="00FE3AAB">
            <w:pPr>
              <w:jc w:val="center"/>
              <w:rPr>
                <w:rFonts w:eastAsia="Cambria"/>
                <w:b/>
                <w:szCs w:val="22"/>
                <w:lang w:val="en-US" w:eastAsia="nl-NL"/>
              </w:rPr>
            </w:pPr>
            <w:r>
              <w:rPr>
                <w:rFonts w:eastAsia="Cambria"/>
                <w:b/>
                <w:sz w:val="22"/>
                <w:szCs w:val="22"/>
                <w:lang w:val="en-US" w:eastAsia="nl-NL"/>
              </w:rPr>
              <w:t>T</w:t>
            </w:r>
            <w:r w:rsidRPr="00FE3AAB">
              <w:rPr>
                <w:rFonts w:eastAsia="Cambria"/>
                <w:b/>
                <w:sz w:val="22"/>
                <w:szCs w:val="22"/>
                <w:lang w:val="en-US" w:eastAsia="nl-NL"/>
              </w:rPr>
              <w:t>ime</w:t>
            </w:r>
            <w:r>
              <w:rPr>
                <w:rFonts w:eastAsia="Cambria"/>
                <w:b/>
                <w:sz w:val="22"/>
                <w:szCs w:val="22"/>
                <w:lang w:val="en-US" w:eastAsia="nl-NL"/>
              </w:rPr>
              <w:t xml:space="preserve"> spent </w:t>
            </w:r>
            <w:r w:rsidRPr="00FE3AAB">
              <w:rPr>
                <w:rFonts w:eastAsia="Cambria"/>
                <w:b/>
                <w:sz w:val="22"/>
                <w:szCs w:val="22"/>
                <w:lang w:val="en-US" w:eastAsia="nl-NL"/>
              </w:rPr>
              <w:t xml:space="preserve"> (min</w:t>
            </w:r>
            <w:r>
              <w:rPr>
                <w:rFonts w:eastAsia="Cambria"/>
                <w:b/>
                <w:sz w:val="22"/>
                <w:szCs w:val="22"/>
                <w:lang w:val="en-US" w:eastAsia="nl-NL"/>
              </w:rPr>
              <w:t>utes</w:t>
            </w:r>
            <w:r w:rsidRPr="00FE3AAB">
              <w:rPr>
                <w:rFonts w:eastAsia="Cambria"/>
                <w:b/>
                <w:sz w:val="22"/>
                <w:szCs w:val="22"/>
                <w:lang w:val="en-US" w:eastAsia="nl-NL"/>
              </w:rPr>
              <w:t>)</w:t>
            </w:r>
          </w:p>
          <w:p w14:paraId="42F5E500" w14:textId="77777777" w:rsidR="006030DE" w:rsidRPr="00FE3AAB" w:rsidRDefault="006030DE" w:rsidP="00FE3AAB">
            <w:pPr>
              <w:jc w:val="center"/>
              <w:rPr>
                <w:rFonts w:eastAsia="Cambria"/>
                <w:b/>
                <w:szCs w:val="22"/>
                <w:lang w:val="en-US" w:eastAsia="nl-NL"/>
              </w:rPr>
            </w:pPr>
          </w:p>
        </w:tc>
        <w:tc>
          <w:tcPr>
            <w:tcW w:w="1018" w:type="dxa"/>
            <w:shd w:val="clear" w:color="auto" w:fill="auto"/>
            <w:noWrap/>
            <w:vAlign w:val="bottom"/>
          </w:tcPr>
          <w:p w14:paraId="6E5EF9C1" w14:textId="5BEB5F2A" w:rsidR="006030DE" w:rsidRPr="00FE3AAB" w:rsidRDefault="00FE3AAB" w:rsidP="00FE3AAB">
            <w:pPr>
              <w:jc w:val="center"/>
              <w:rPr>
                <w:rFonts w:eastAsia="Cambria"/>
                <w:b/>
                <w:szCs w:val="22"/>
                <w:lang w:val="en-US" w:eastAsia="nl-NL"/>
              </w:rPr>
            </w:pPr>
            <w:r>
              <w:rPr>
                <w:rFonts w:eastAsia="Cambria"/>
                <w:b/>
                <w:sz w:val="22"/>
                <w:szCs w:val="22"/>
                <w:lang w:val="en-US" w:eastAsia="nl-NL"/>
              </w:rPr>
              <w:t xml:space="preserve">Cost per monitor session </w:t>
            </w:r>
          </w:p>
        </w:tc>
        <w:tc>
          <w:tcPr>
            <w:tcW w:w="1289" w:type="dxa"/>
            <w:shd w:val="clear" w:color="auto" w:fill="auto"/>
            <w:noWrap/>
            <w:vAlign w:val="bottom"/>
          </w:tcPr>
          <w:p w14:paraId="4CA04943" w14:textId="0C74F12D" w:rsidR="006030DE" w:rsidRPr="00FE3AAB" w:rsidRDefault="00FE3AAB" w:rsidP="00FE3AAB">
            <w:pPr>
              <w:jc w:val="center"/>
              <w:rPr>
                <w:rFonts w:eastAsia="Cambria"/>
                <w:szCs w:val="22"/>
                <w:lang w:val="en-US" w:eastAsia="nl-NL"/>
              </w:rPr>
            </w:pPr>
            <w:r>
              <w:rPr>
                <w:rFonts w:eastAsia="Cambria"/>
                <w:b/>
                <w:sz w:val="22"/>
                <w:szCs w:val="22"/>
                <w:lang w:val="en-US" w:eastAsia="nl-NL"/>
              </w:rPr>
              <w:t>Number of m</w:t>
            </w:r>
            <w:r w:rsidRPr="00FE3AAB">
              <w:rPr>
                <w:rFonts w:eastAsia="Cambria"/>
                <w:b/>
                <w:sz w:val="22"/>
                <w:szCs w:val="22"/>
                <w:lang w:val="en-US" w:eastAsia="nl-NL"/>
              </w:rPr>
              <w:t>onitorin</w:t>
            </w:r>
            <w:r>
              <w:rPr>
                <w:rFonts w:eastAsia="Cambria"/>
                <w:b/>
                <w:sz w:val="22"/>
                <w:szCs w:val="22"/>
                <w:lang w:val="en-US" w:eastAsia="nl-NL"/>
              </w:rPr>
              <w:t>g sessions</w:t>
            </w:r>
            <w:r>
              <w:rPr>
                <w:rFonts w:eastAsia="Cambria"/>
                <w:b/>
                <w:sz w:val="22"/>
                <w:szCs w:val="22"/>
                <w:vertAlign w:val="superscript"/>
                <w:lang w:val="en-US" w:eastAsia="nl-NL"/>
              </w:rPr>
              <w:t>a</w:t>
            </w:r>
            <w:r>
              <w:rPr>
                <w:rFonts w:eastAsia="Cambria"/>
                <w:b/>
                <w:sz w:val="22"/>
                <w:szCs w:val="22"/>
                <w:lang w:val="en-US" w:eastAsia="nl-NL"/>
              </w:rPr>
              <w:t xml:space="preserve"> </w:t>
            </w:r>
          </w:p>
        </w:tc>
        <w:tc>
          <w:tcPr>
            <w:tcW w:w="1185" w:type="dxa"/>
            <w:shd w:val="clear" w:color="auto" w:fill="auto"/>
            <w:noWrap/>
            <w:vAlign w:val="bottom"/>
          </w:tcPr>
          <w:p w14:paraId="3C277BC3" w14:textId="6205141A" w:rsidR="006030DE" w:rsidRPr="00FE3AAB" w:rsidRDefault="00FE3AAB" w:rsidP="00FE3AAB">
            <w:pPr>
              <w:jc w:val="center"/>
              <w:rPr>
                <w:rFonts w:eastAsia="Cambria"/>
                <w:b/>
                <w:szCs w:val="22"/>
                <w:lang w:val="en-US" w:eastAsia="nl-NL"/>
              </w:rPr>
            </w:pPr>
            <w:r>
              <w:rPr>
                <w:rFonts w:eastAsia="Cambria"/>
                <w:b/>
                <w:sz w:val="22"/>
                <w:szCs w:val="22"/>
                <w:lang w:val="en-US" w:eastAsia="nl-NL"/>
              </w:rPr>
              <w:t>C</w:t>
            </w:r>
            <w:r w:rsidRPr="00FE3AAB">
              <w:rPr>
                <w:rFonts w:eastAsia="Cambria"/>
                <w:b/>
                <w:sz w:val="22"/>
                <w:szCs w:val="22"/>
                <w:lang w:val="en-US" w:eastAsia="nl-NL"/>
              </w:rPr>
              <w:t>ost per course</w:t>
            </w:r>
            <w:r>
              <w:rPr>
                <w:rFonts w:eastAsia="Cambria"/>
                <w:b/>
                <w:sz w:val="22"/>
                <w:szCs w:val="22"/>
                <w:lang w:val="en-US" w:eastAsia="nl-NL"/>
              </w:rPr>
              <w:t xml:space="preserve"> of treatment</w:t>
            </w:r>
          </w:p>
        </w:tc>
        <w:tc>
          <w:tcPr>
            <w:tcW w:w="1669" w:type="dxa"/>
            <w:shd w:val="clear" w:color="auto" w:fill="auto"/>
            <w:noWrap/>
            <w:vAlign w:val="bottom"/>
          </w:tcPr>
          <w:p w14:paraId="51C3BB4F" w14:textId="0E058F82" w:rsidR="006030DE" w:rsidRPr="00FE3AAB" w:rsidRDefault="00FE3AAB" w:rsidP="00FE3AAB">
            <w:pPr>
              <w:jc w:val="center"/>
              <w:rPr>
                <w:rFonts w:eastAsia="Cambria"/>
                <w:b/>
                <w:szCs w:val="22"/>
                <w:lang w:val="en-US" w:eastAsia="nl-NL"/>
              </w:rPr>
            </w:pPr>
            <w:r w:rsidRPr="00FE3AAB">
              <w:rPr>
                <w:rFonts w:eastAsia="Cambria"/>
                <w:b/>
                <w:sz w:val="22"/>
                <w:szCs w:val="22"/>
                <w:lang w:val="en-US" w:eastAsia="nl-NL"/>
              </w:rPr>
              <w:t>Total cost of monitoring per course of treatment</w:t>
            </w:r>
          </w:p>
        </w:tc>
      </w:tr>
      <w:tr w:rsidR="00FE3AAB" w:rsidRPr="00FF04BC" w14:paraId="40B2523A" w14:textId="77777777" w:rsidTr="006F010F">
        <w:trPr>
          <w:trHeight w:val="260"/>
        </w:trPr>
        <w:tc>
          <w:tcPr>
            <w:tcW w:w="1570" w:type="dxa"/>
            <w:shd w:val="clear" w:color="auto" w:fill="auto"/>
            <w:noWrap/>
            <w:vAlign w:val="bottom"/>
          </w:tcPr>
          <w:p w14:paraId="57F5EBC9" w14:textId="6075303D" w:rsidR="00FE3AAB" w:rsidRPr="00FE3AAB" w:rsidRDefault="00FE3AAB" w:rsidP="00C31783">
            <w:pPr>
              <w:rPr>
                <w:rFonts w:eastAsia="Cambria"/>
                <w:szCs w:val="22"/>
                <w:lang w:val="en-US" w:eastAsia="nl-NL"/>
              </w:rPr>
            </w:pPr>
            <w:r>
              <w:rPr>
                <w:rFonts w:eastAsia="Cambria"/>
                <w:sz w:val="22"/>
                <w:szCs w:val="22"/>
                <w:lang w:val="en-US" w:eastAsia="nl-NL"/>
              </w:rPr>
              <w:t>P</w:t>
            </w:r>
            <w:r w:rsidRPr="00FE3AAB">
              <w:rPr>
                <w:rFonts w:eastAsia="Cambria"/>
                <w:sz w:val="22"/>
                <w:szCs w:val="22"/>
                <w:lang w:val="en-US" w:eastAsia="nl-NL"/>
              </w:rPr>
              <w:t>hlebotomist</w:t>
            </w:r>
            <w:r>
              <w:rPr>
                <w:rFonts w:eastAsia="Cambria"/>
                <w:sz w:val="22"/>
                <w:szCs w:val="22"/>
                <w:lang w:val="en-US" w:eastAsia="nl-NL"/>
              </w:rPr>
              <w:t xml:space="preserve"> time </w:t>
            </w:r>
            <w:r w:rsidRPr="00FE3AAB">
              <w:rPr>
                <w:rFonts w:eastAsia="Cambria"/>
                <w:sz w:val="22"/>
                <w:szCs w:val="22"/>
                <w:lang w:val="en-US" w:eastAsia="nl-NL"/>
              </w:rPr>
              <w:t xml:space="preserve"> </w:t>
            </w:r>
          </w:p>
        </w:tc>
        <w:tc>
          <w:tcPr>
            <w:tcW w:w="1179" w:type="dxa"/>
            <w:shd w:val="clear" w:color="auto" w:fill="auto"/>
            <w:noWrap/>
            <w:vAlign w:val="bottom"/>
          </w:tcPr>
          <w:p w14:paraId="106352C4" w14:textId="2846756F" w:rsidR="00FE3AAB" w:rsidRPr="00FE3AAB" w:rsidRDefault="00FE3AAB" w:rsidP="00987D72">
            <w:pPr>
              <w:jc w:val="center"/>
              <w:rPr>
                <w:rFonts w:eastAsia="Cambria"/>
                <w:szCs w:val="22"/>
                <w:vertAlign w:val="superscript"/>
                <w:lang w:val="en-US" w:eastAsia="nl-NL"/>
              </w:rPr>
            </w:pPr>
            <w:r>
              <w:rPr>
                <w:rFonts w:eastAsia="Cambria"/>
                <w:sz w:val="22"/>
                <w:szCs w:val="22"/>
                <w:lang w:val="en-US" w:eastAsia="nl-NL"/>
              </w:rPr>
              <w:t>£34.00</w:t>
            </w:r>
            <w:r w:rsidR="00987D72">
              <w:rPr>
                <w:rFonts w:eastAsia="Cambria"/>
                <w:sz w:val="22"/>
                <w:szCs w:val="22"/>
                <w:lang w:val="en-US" w:eastAsia="nl-NL"/>
              </w:rPr>
              <w:t xml:space="preserve"> per hour</w:t>
            </w:r>
            <w:r>
              <w:rPr>
                <w:rFonts w:eastAsia="Cambria"/>
                <w:sz w:val="22"/>
                <w:szCs w:val="22"/>
                <w:vertAlign w:val="superscript"/>
                <w:lang w:val="en-US" w:eastAsia="nl-NL"/>
              </w:rPr>
              <w:t>b</w:t>
            </w:r>
          </w:p>
        </w:tc>
        <w:tc>
          <w:tcPr>
            <w:tcW w:w="1130" w:type="dxa"/>
            <w:shd w:val="clear" w:color="auto" w:fill="auto"/>
            <w:noWrap/>
            <w:vAlign w:val="bottom"/>
          </w:tcPr>
          <w:p w14:paraId="4D6AED63" w14:textId="380E6F2B" w:rsidR="00FE3AAB" w:rsidRPr="00FE3AAB" w:rsidRDefault="00FE3AAB" w:rsidP="00C31783">
            <w:pPr>
              <w:jc w:val="right"/>
              <w:rPr>
                <w:rFonts w:eastAsia="Cambria"/>
                <w:szCs w:val="22"/>
                <w:vertAlign w:val="superscript"/>
                <w:lang w:val="en-US" w:eastAsia="nl-NL"/>
              </w:rPr>
            </w:pPr>
            <w:r>
              <w:rPr>
                <w:rFonts w:eastAsia="Cambria"/>
                <w:sz w:val="22"/>
                <w:szCs w:val="22"/>
                <w:lang w:val="en-US" w:eastAsia="nl-NL"/>
              </w:rPr>
              <w:t>8.00</w:t>
            </w:r>
            <w:r>
              <w:rPr>
                <w:rFonts w:eastAsia="Cambria"/>
                <w:sz w:val="22"/>
                <w:szCs w:val="22"/>
                <w:vertAlign w:val="superscript"/>
                <w:lang w:val="en-US" w:eastAsia="nl-NL"/>
              </w:rPr>
              <w:t>c</w:t>
            </w:r>
          </w:p>
        </w:tc>
        <w:tc>
          <w:tcPr>
            <w:tcW w:w="1018" w:type="dxa"/>
            <w:shd w:val="clear" w:color="auto" w:fill="auto"/>
            <w:noWrap/>
            <w:vAlign w:val="bottom"/>
          </w:tcPr>
          <w:p w14:paraId="1A21D40C" w14:textId="363518E7" w:rsidR="00FE3AAB" w:rsidRPr="00FE3AAB" w:rsidRDefault="00FE3AAB" w:rsidP="00FE3AAB">
            <w:pPr>
              <w:jc w:val="right"/>
              <w:rPr>
                <w:rFonts w:eastAsia="Cambria"/>
                <w:szCs w:val="22"/>
                <w:lang w:val="en-US" w:eastAsia="nl-NL"/>
              </w:rPr>
            </w:pPr>
            <w:r w:rsidRPr="00FE3AAB">
              <w:rPr>
                <w:rFonts w:eastAsia="Cambria"/>
                <w:sz w:val="22"/>
                <w:szCs w:val="22"/>
                <w:lang w:val="en-US" w:eastAsia="nl-NL"/>
              </w:rPr>
              <w:t>£</w:t>
            </w:r>
            <w:r>
              <w:rPr>
                <w:rFonts w:eastAsia="Cambria"/>
                <w:sz w:val="22"/>
                <w:szCs w:val="22"/>
                <w:lang w:val="en-US" w:eastAsia="nl-NL"/>
              </w:rPr>
              <w:t>4.53</w:t>
            </w:r>
          </w:p>
        </w:tc>
        <w:tc>
          <w:tcPr>
            <w:tcW w:w="1289" w:type="dxa"/>
            <w:shd w:val="clear" w:color="auto" w:fill="auto"/>
            <w:noWrap/>
            <w:vAlign w:val="bottom"/>
          </w:tcPr>
          <w:p w14:paraId="1ED0851C" w14:textId="77E119E9" w:rsidR="00FE3AAB" w:rsidRPr="00FE3AAB" w:rsidRDefault="00FE3AAB" w:rsidP="00FE3AAB">
            <w:pPr>
              <w:jc w:val="center"/>
              <w:rPr>
                <w:rFonts w:eastAsia="Cambria"/>
                <w:szCs w:val="22"/>
                <w:lang w:val="en-US" w:eastAsia="nl-NL"/>
              </w:rPr>
            </w:pPr>
            <w:r>
              <w:rPr>
                <w:rFonts w:eastAsia="Cambria"/>
                <w:sz w:val="22"/>
                <w:szCs w:val="22"/>
                <w:lang w:val="en-US" w:eastAsia="nl-NL"/>
              </w:rPr>
              <w:t>2</w:t>
            </w:r>
          </w:p>
        </w:tc>
        <w:tc>
          <w:tcPr>
            <w:tcW w:w="1185" w:type="dxa"/>
            <w:shd w:val="clear" w:color="auto" w:fill="auto"/>
            <w:noWrap/>
            <w:vAlign w:val="bottom"/>
          </w:tcPr>
          <w:p w14:paraId="408F5837" w14:textId="69BCDEF0" w:rsidR="00FE3AAB" w:rsidRPr="00FE3AAB" w:rsidRDefault="00FE3AAB" w:rsidP="00C31783">
            <w:pPr>
              <w:jc w:val="right"/>
              <w:rPr>
                <w:rFonts w:eastAsia="Cambria"/>
                <w:szCs w:val="22"/>
                <w:lang w:val="en-US" w:eastAsia="nl-NL"/>
              </w:rPr>
            </w:pPr>
            <w:r w:rsidRPr="00FE3AAB">
              <w:rPr>
                <w:rFonts w:eastAsia="Cambria"/>
                <w:bCs/>
                <w:sz w:val="22"/>
                <w:szCs w:val="22"/>
                <w:lang w:val="en-US" w:eastAsia="nl-NL"/>
              </w:rPr>
              <w:t>£9.07</w:t>
            </w:r>
          </w:p>
        </w:tc>
        <w:tc>
          <w:tcPr>
            <w:tcW w:w="1669" w:type="dxa"/>
            <w:vMerge w:val="restart"/>
            <w:shd w:val="clear" w:color="auto" w:fill="auto"/>
            <w:noWrap/>
            <w:vAlign w:val="center"/>
          </w:tcPr>
          <w:p w14:paraId="5638160A" w14:textId="7D131A44" w:rsidR="00FE3AAB" w:rsidRPr="00FE3AAB" w:rsidRDefault="00FE3AAB" w:rsidP="00E2172F">
            <w:pPr>
              <w:jc w:val="center"/>
              <w:rPr>
                <w:rFonts w:eastAsia="Cambria"/>
                <w:b/>
                <w:bCs/>
                <w:szCs w:val="22"/>
                <w:lang w:val="en-US" w:eastAsia="nl-NL"/>
              </w:rPr>
            </w:pPr>
            <w:r>
              <w:rPr>
                <w:rFonts w:eastAsia="Cambria"/>
                <w:b/>
                <w:bCs/>
                <w:sz w:val="22"/>
                <w:szCs w:val="22"/>
                <w:lang w:val="en-US" w:eastAsia="nl-NL"/>
              </w:rPr>
              <w:t>£50.91</w:t>
            </w:r>
          </w:p>
        </w:tc>
      </w:tr>
      <w:tr w:rsidR="00FE3AAB" w:rsidRPr="00FF04BC" w14:paraId="7EAC09AC" w14:textId="77777777" w:rsidTr="00FE3AAB">
        <w:trPr>
          <w:trHeight w:val="260"/>
        </w:trPr>
        <w:tc>
          <w:tcPr>
            <w:tcW w:w="7371" w:type="dxa"/>
            <w:gridSpan w:val="6"/>
            <w:shd w:val="clear" w:color="auto" w:fill="auto"/>
            <w:noWrap/>
            <w:vAlign w:val="bottom"/>
          </w:tcPr>
          <w:p w14:paraId="3E8C08E0" w14:textId="380DC58C" w:rsidR="00FE3AAB" w:rsidRPr="00FE3AAB" w:rsidRDefault="00FE3AAB" w:rsidP="00C31783">
            <w:pPr>
              <w:rPr>
                <w:rFonts w:eastAsia="Cambria"/>
                <w:szCs w:val="22"/>
                <w:vertAlign w:val="superscript"/>
                <w:lang w:val="en-US" w:eastAsia="nl-NL"/>
              </w:rPr>
            </w:pPr>
            <w:r>
              <w:rPr>
                <w:rFonts w:eastAsia="Cambria"/>
                <w:b/>
                <w:i/>
                <w:sz w:val="22"/>
                <w:szCs w:val="22"/>
                <w:lang w:val="en-US" w:eastAsia="nl-NL"/>
              </w:rPr>
              <w:lastRenderedPageBreak/>
              <w:t>Laboratory tests</w:t>
            </w:r>
            <w:r>
              <w:rPr>
                <w:rFonts w:eastAsia="Cambria"/>
                <w:sz w:val="22"/>
                <w:szCs w:val="22"/>
                <w:vertAlign w:val="superscript"/>
                <w:lang w:val="en-US" w:eastAsia="nl-NL"/>
              </w:rPr>
              <w:t>d</w:t>
            </w:r>
          </w:p>
        </w:tc>
        <w:tc>
          <w:tcPr>
            <w:tcW w:w="1669" w:type="dxa"/>
            <w:vMerge/>
            <w:shd w:val="clear" w:color="auto" w:fill="auto"/>
            <w:vAlign w:val="bottom"/>
          </w:tcPr>
          <w:p w14:paraId="48C668B7" w14:textId="2229F440" w:rsidR="00FE3AAB" w:rsidRPr="00FE3AAB" w:rsidRDefault="00FE3AAB" w:rsidP="00C31783">
            <w:pPr>
              <w:rPr>
                <w:rFonts w:eastAsia="Cambria"/>
                <w:szCs w:val="22"/>
                <w:vertAlign w:val="superscript"/>
                <w:lang w:val="en-US" w:eastAsia="nl-NL"/>
              </w:rPr>
            </w:pPr>
          </w:p>
        </w:tc>
      </w:tr>
      <w:tr w:rsidR="00987D72" w:rsidRPr="00FF04BC" w14:paraId="76D4B10F" w14:textId="77777777" w:rsidTr="00FE3AAB">
        <w:trPr>
          <w:trHeight w:val="260"/>
        </w:trPr>
        <w:tc>
          <w:tcPr>
            <w:tcW w:w="1570" w:type="dxa"/>
            <w:shd w:val="clear" w:color="auto" w:fill="auto"/>
            <w:noWrap/>
            <w:vAlign w:val="bottom"/>
          </w:tcPr>
          <w:p w14:paraId="21DEF58A" w14:textId="77777777" w:rsidR="00987D72" w:rsidRPr="00FE3AAB" w:rsidRDefault="00987D72" w:rsidP="00C31783">
            <w:pPr>
              <w:rPr>
                <w:rFonts w:eastAsia="Cambria"/>
                <w:szCs w:val="22"/>
                <w:lang w:val="en-US" w:eastAsia="nl-NL"/>
              </w:rPr>
            </w:pPr>
            <w:r w:rsidRPr="00FE3AAB">
              <w:rPr>
                <w:rFonts w:eastAsia="Cambria"/>
                <w:sz w:val="22"/>
                <w:szCs w:val="22"/>
                <w:lang w:val="en-US" w:eastAsia="nl-NL"/>
              </w:rPr>
              <w:t>FBC</w:t>
            </w:r>
          </w:p>
        </w:tc>
        <w:tc>
          <w:tcPr>
            <w:tcW w:w="1179" w:type="dxa"/>
            <w:shd w:val="clear" w:color="auto" w:fill="auto"/>
            <w:noWrap/>
            <w:vAlign w:val="bottom"/>
          </w:tcPr>
          <w:p w14:paraId="017E6E87" w14:textId="42B1B3E2" w:rsidR="00987D72" w:rsidRPr="00FE3AAB" w:rsidRDefault="00987D72" w:rsidP="00987D72">
            <w:pPr>
              <w:jc w:val="center"/>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130" w:type="dxa"/>
            <w:shd w:val="clear" w:color="auto" w:fill="auto"/>
            <w:noWrap/>
            <w:vAlign w:val="bottom"/>
          </w:tcPr>
          <w:p w14:paraId="6A62D7C7" w14:textId="4948B393" w:rsidR="00987D72" w:rsidRPr="00FE3AAB" w:rsidRDefault="00987D72" w:rsidP="00987D72">
            <w:pPr>
              <w:jc w:val="center"/>
              <w:rPr>
                <w:rFonts w:eastAsia="Cambria"/>
                <w:szCs w:val="22"/>
                <w:lang w:val="en-US" w:eastAsia="nl-NL"/>
              </w:rPr>
            </w:pPr>
            <w:r>
              <w:rPr>
                <w:rFonts w:eastAsia="Cambria"/>
                <w:sz w:val="22"/>
                <w:szCs w:val="22"/>
                <w:lang w:val="en-US" w:eastAsia="nl-NL"/>
              </w:rPr>
              <w:t>-</w:t>
            </w:r>
          </w:p>
        </w:tc>
        <w:tc>
          <w:tcPr>
            <w:tcW w:w="1018" w:type="dxa"/>
            <w:shd w:val="clear" w:color="auto" w:fill="auto"/>
            <w:noWrap/>
            <w:vAlign w:val="bottom"/>
          </w:tcPr>
          <w:p w14:paraId="6CFCE9F9" w14:textId="12F0BB57" w:rsidR="00987D72" w:rsidRPr="00FE3AAB" w:rsidRDefault="00987D72" w:rsidP="00C31783">
            <w:pPr>
              <w:jc w:val="right"/>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289" w:type="dxa"/>
            <w:shd w:val="clear" w:color="auto" w:fill="auto"/>
            <w:noWrap/>
            <w:vAlign w:val="bottom"/>
          </w:tcPr>
          <w:p w14:paraId="3DA8E45A" w14:textId="2E091F80" w:rsidR="00987D72" w:rsidRPr="00FE3AAB" w:rsidRDefault="00987D72" w:rsidP="00FE3AAB">
            <w:pPr>
              <w:jc w:val="center"/>
              <w:rPr>
                <w:rFonts w:eastAsia="Cambria"/>
                <w:szCs w:val="22"/>
                <w:lang w:val="en-US" w:eastAsia="nl-NL"/>
              </w:rPr>
            </w:pPr>
            <w:r>
              <w:rPr>
                <w:rFonts w:eastAsia="Cambria"/>
                <w:sz w:val="22"/>
                <w:szCs w:val="22"/>
                <w:lang w:val="en-US" w:eastAsia="nl-NL"/>
              </w:rPr>
              <w:t>2</w:t>
            </w:r>
          </w:p>
        </w:tc>
        <w:tc>
          <w:tcPr>
            <w:tcW w:w="1185" w:type="dxa"/>
            <w:shd w:val="clear" w:color="auto" w:fill="auto"/>
            <w:noWrap/>
            <w:vAlign w:val="bottom"/>
          </w:tcPr>
          <w:p w14:paraId="134D23F2" w14:textId="0DC17AB4" w:rsidR="00987D72" w:rsidRPr="00FE3AAB" w:rsidRDefault="00987D72" w:rsidP="00C31783">
            <w:pPr>
              <w:jc w:val="right"/>
              <w:rPr>
                <w:rFonts w:eastAsia="Cambria"/>
                <w:szCs w:val="22"/>
                <w:lang w:val="en-US" w:eastAsia="nl-NL"/>
              </w:rPr>
            </w:pPr>
            <w:r w:rsidRPr="00FE3AAB">
              <w:rPr>
                <w:rFonts w:eastAsia="Cambria"/>
                <w:sz w:val="22"/>
                <w:szCs w:val="22"/>
                <w:lang w:val="en-US" w:eastAsia="nl-NL"/>
              </w:rPr>
              <w:t>£10.46</w:t>
            </w:r>
          </w:p>
        </w:tc>
        <w:tc>
          <w:tcPr>
            <w:tcW w:w="1669" w:type="dxa"/>
            <w:vMerge/>
            <w:shd w:val="clear" w:color="auto" w:fill="auto"/>
            <w:noWrap/>
            <w:vAlign w:val="bottom"/>
          </w:tcPr>
          <w:p w14:paraId="1168A6D3" w14:textId="44E59D55" w:rsidR="00987D72" w:rsidRPr="00FE3AAB" w:rsidRDefault="00987D72" w:rsidP="00C31783">
            <w:pPr>
              <w:jc w:val="right"/>
              <w:rPr>
                <w:rFonts w:eastAsia="Cambria"/>
                <w:szCs w:val="22"/>
                <w:lang w:val="en-US" w:eastAsia="nl-NL"/>
              </w:rPr>
            </w:pPr>
          </w:p>
        </w:tc>
      </w:tr>
      <w:tr w:rsidR="00987D72" w:rsidRPr="00FF04BC" w14:paraId="3D5B2F7D" w14:textId="77777777" w:rsidTr="00FE3AAB">
        <w:trPr>
          <w:trHeight w:val="260"/>
        </w:trPr>
        <w:tc>
          <w:tcPr>
            <w:tcW w:w="1570" w:type="dxa"/>
            <w:shd w:val="clear" w:color="auto" w:fill="auto"/>
            <w:noWrap/>
            <w:vAlign w:val="bottom"/>
          </w:tcPr>
          <w:p w14:paraId="5899866E" w14:textId="77777777" w:rsidR="00987D72" w:rsidRPr="00FE3AAB" w:rsidRDefault="00987D72" w:rsidP="00C31783">
            <w:pPr>
              <w:rPr>
                <w:rFonts w:eastAsia="Cambria"/>
                <w:szCs w:val="22"/>
                <w:lang w:val="en-US" w:eastAsia="nl-NL"/>
              </w:rPr>
            </w:pPr>
            <w:r w:rsidRPr="00FE3AAB">
              <w:rPr>
                <w:rFonts w:eastAsia="Cambria"/>
                <w:sz w:val="22"/>
                <w:szCs w:val="22"/>
                <w:lang w:val="en-US" w:eastAsia="nl-NL"/>
              </w:rPr>
              <w:t>LFT2</w:t>
            </w:r>
          </w:p>
        </w:tc>
        <w:tc>
          <w:tcPr>
            <w:tcW w:w="1179" w:type="dxa"/>
            <w:shd w:val="clear" w:color="auto" w:fill="auto"/>
            <w:noWrap/>
            <w:vAlign w:val="bottom"/>
          </w:tcPr>
          <w:p w14:paraId="14C71F14" w14:textId="3213F898" w:rsidR="00987D72" w:rsidRPr="00FE3AAB" w:rsidRDefault="00987D72" w:rsidP="00987D72">
            <w:pPr>
              <w:jc w:val="center"/>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130" w:type="dxa"/>
            <w:shd w:val="clear" w:color="auto" w:fill="auto"/>
            <w:noWrap/>
            <w:vAlign w:val="bottom"/>
          </w:tcPr>
          <w:p w14:paraId="35FFF212" w14:textId="051DF67B" w:rsidR="00987D72" w:rsidRPr="00FE3AAB" w:rsidRDefault="00987D72" w:rsidP="00987D72">
            <w:pPr>
              <w:jc w:val="center"/>
              <w:rPr>
                <w:rFonts w:eastAsia="Cambria"/>
                <w:szCs w:val="22"/>
                <w:lang w:val="en-US" w:eastAsia="nl-NL"/>
              </w:rPr>
            </w:pPr>
            <w:r>
              <w:rPr>
                <w:rFonts w:eastAsia="Cambria"/>
                <w:sz w:val="22"/>
                <w:szCs w:val="22"/>
                <w:lang w:val="en-US" w:eastAsia="nl-NL"/>
              </w:rPr>
              <w:t>-</w:t>
            </w:r>
          </w:p>
        </w:tc>
        <w:tc>
          <w:tcPr>
            <w:tcW w:w="1018" w:type="dxa"/>
            <w:shd w:val="clear" w:color="auto" w:fill="auto"/>
            <w:noWrap/>
            <w:vAlign w:val="bottom"/>
          </w:tcPr>
          <w:p w14:paraId="36F67208" w14:textId="384FB36D" w:rsidR="00987D72" w:rsidRPr="00FE3AAB" w:rsidRDefault="00987D72" w:rsidP="00C31783">
            <w:pPr>
              <w:jc w:val="right"/>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289" w:type="dxa"/>
            <w:shd w:val="clear" w:color="auto" w:fill="auto"/>
            <w:noWrap/>
            <w:vAlign w:val="bottom"/>
          </w:tcPr>
          <w:p w14:paraId="2781806A" w14:textId="46E238E4" w:rsidR="00987D72" w:rsidRPr="00FE3AAB" w:rsidRDefault="00987D72" w:rsidP="00FE3AAB">
            <w:pPr>
              <w:jc w:val="center"/>
              <w:rPr>
                <w:rFonts w:eastAsia="Cambria"/>
                <w:szCs w:val="22"/>
                <w:lang w:val="en-US" w:eastAsia="nl-NL"/>
              </w:rPr>
            </w:pPr>
            <w:r>
              <w:rPr>
                <w:rFonts w:eastAsia="Cambria"/>
                <w:sz w:val="22"/>
                <w:szCs w:val="22"/>
                <w:lang w:val="en-US" w:eastAsia="nl-NL"/>
              </w:rPr>
              <w:t>2</w:t>
            </w:r>
          </w:p>
        </w:tc>
        <w:tc>
          <w:tcPr>
            <w:tcW w:w="1185" w:type="dxa"/>
            <w:shd w:val="clear" w:color="auto" w:fill="auto"/>
            <w:noWrap/>
            <w:vAlign w:val="bottom"/>
          </w:tcPr>
          <w:p w14:paraId="2E281E60" w14:textId="528CF2E1" w:rsidR="00987D72" w:rsidRPr="00FE3AAB" w:rsidRDefault="00987D72" w:rsidP="00C31783">
            <w:pPr>
              <w:jc w:val="right"/>
              <w:rPr>
                <w:rFonts w:eastAsia="Cambria"/>
                <w:szCs w:val="22"/>
                <w:lang w:val="en-US" w:eastAsia="nl-NL"/>
              </w:rPr>
            </w:pPr>
            <w:r w:rsidRPr="00FE3AAB">
              <w:rPr>
                <w:rFonts w:eastAsia="Cambria"/>
                <w:sz w:val="22"/>
                <w:szCs w:val="22"/>
                <w:lang w:val="en-US" w:eastAsia="nl-NL"/>
              </w:rPr>
              <w:t>£10.46</w:t>
            </w:r>
          </w:p>
        </w:tc>
        <w:tc>
          <w:tcPr>
            <w:tcW w:w="1669" w:type="dxa"/>
            <w:vMerge/>
            <w:shd w:val="clear" w:color="auto" w:fill="auto"/>
            <w:noWrap/>
            <w:vAlign w:val="bottom"/>
          </w:tcPr>
          <w:p w14:paraId="542227BC" w14:textId="37D1941B" w:rsidR="00987D72" w:rsidRPr="00FE3AAB" w:rsidRDefault="00987D72" w:rsidP="00C31783">
            <w:pPr>
              <w:jc w:val="right"/>
              <w:rPr>
                <w:rFonts w:eastAsia="Cambria"/>
                <w:szCs w:val="22"/>
                <w:lang w:val="en-US" w:eastAsia="nl-NL"/>
              </w:rPr>
            </w:pPr>
          </w:p>
        </w:tc>
      </w:tr>
      <w:tr w:rsidR="00987D72" w:rsidRPr="00FF04BC" w14:paraId="786FB6C9" w14:textId="77777777" w:rsidTr="00FE3AAB">
        <w:trPr>
          <w:trHeight w:val="260"/>
        </w:trPr>
        <w:tc>
          <w:tcPr>
            <w:tcW w:w="1570" w:type="dxa"/>
            <w:shd w:val="clear" w:color="auto" w:fill="auto"/>
            <w:noWrap/>
            <w:vAlign w:val="bottom"/>
          </w:tcPr>
          <w:p w14:paraId="6E39A03B" w14:textId="77777777" w:rsidR="00987D72" w:rsidRPr="00FE3AAB" w:rsidRDefault="00987D72" w:rsidP="00C31783">
            <w:pPr>
              <w:rPr>
                <w:rFonts w:eastAsia="Cambria"/>
                <w:szCs w:val="22"/>
                <w:lang w:val="en-US" w:eastAsia="nl-NL"/>
              </w:rPr>
            </w:pPr>
            <w:r w:rsidRPr="00FE3AAB">
              <w:rPr>
                <w:rFonts w:eastAsia="Cambria"/>
                <w:sz w:val="22"/>
                <w:szCs w:val="22"/>
                <w:lang w:val="en-US" w:eastAsia="nl-NL"/>
              </w:rPr>
              <w:t>U&amp;Es</w:t>
            </w:r>
          </w:p>
        </w:tc>
        <w:tc>
          <w:tcPr>
            <w:tcW w:w="1179" w:type="dxa"/>
            <w:shd w:val="clear" w:color="auto" w:fill="auto"/>
            <w:noWrap/>
            <w:vAlign w:val="bottom"/>
          </w:tcPr>
          <w:p w14:paraId="33C4DEC3" w14:textId="4334ADD2" w:rsidR="00987D72" w:rsidRPr="00FE3AAB" w:rsidRDefault="00987D72" w:rsidP="00987D72">
            <w:pPr>
              <w:jc w:val="center"/>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130" w:type="dxa"/>
            <w:shd w:val="clear" w:color="auto" w:fill="auto"/>
            <w:noWrap/>
            <w:vAlign w:val="bottom"/>
          </w:tcPr>
          <w:p w14:paraId="22A2A4E6" w14:textId="69858B9F" w:rsidR="00987D72" w:rsidRPr="00FE3AAB" w:rsidRDefault="00987D72" w:rsidP="00987D72">
            <w:pPr>
              <w:jc w:val="center"/>
              <w:rPr>
                <w:rFonts w:eastAsia="Cambria"/>
                <w:szCs w:val="22"/>
                <w:lang w:val="en-US" w:eastAsia="nl-NL"/>
              </w:rPr>
            </w:pPr>
            <w:r>
              <w:rPr>
                <w:rFonts w:eastAsia="Cambria"/>
                <w:sz w:val="22"/>
                <w:szCs w:val="22"/>
                <w:lang w:val="en-US" w:eastAsia="nl-NL"/>
              </w:rPr>
              <w:t>-</w:t>
            </w:r>
          </w:p>
        </w:tc>
        <w:tc>
          <w:tcPr>
            <w:tcW w:w="1018" w:type="dxa"/>
            <w:shd w:val="clear" w:color="auto" w:fill="auto"/>
            <w:noWrap/>
            <w:vAlign w:val="bottom"/>
          </w:tcPr>
          <w:p w14:paraId="549CDF06" w14:textId="64A326A0" w:rsidR="00987D72" w:rsidRPr="00FE3AAB" w:rsidRDefault="00987D72" w:rsidP="00C31783">
            <w:pPr>
              <w:jc w:val="right"/>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289" w:type="dxa"/>
            <w:shd w:val="clear" w:color="auto" w:fill="auto"/>
            <w:noWrap/>
            <w:vAlign w:val="bottom"/>
          </w:tcPr>
          <w:p w14:paraId="2124D05C" w14:textId="6FAD620F" w:rsidR="00987D72" w:rsidRPr="00FE3AAB" w:rsidRDefault="00987D72" w:rsidP="00FE3AAB">
            <w:pPr>
              <w:jc w:val="center"/>
              <w:rPr>
                <w:rFonts w:eastAsia="Cambria"/>
                <w:szCs w:val="22"/>
                <w:lang w:val="en-US" w:eastAsia="nl-NL"/>
              </w:rPr>
            </w:pPr>
            <w:r>
              <w:rPr>
                <w:rFonts w:eastAsia="Cambria"/>
                <w:sz w:val="22"/>
                <w:szCs w:val="22"/>
                <w:lang w:val="en-US" w:eastAsia="nl-NL"/>
              </w:rPr>
              <w:t>2</w:t>
            </w:r>
          </w:p>
        </w:tc>
        <w:tc>
          <w:tcPr>
            <w:tcW w:w="1185" w:type="dxa"/>
            <w:shd w:val="clear" w:color="auto" w:fill="auto"/>
            <w:noWrap/>
            <w:vAlign w:val="bottom"/>
          </w:tcPr>
          <w:p w14:paraId="1C5A1179" w14:textId="044E7104" w:rsidR="00987D72" w:rsidRPr="00FE3AAB" w:rsidRDefault="00987D72" w:rsidP="00C31783">
            <w:pPr>
              <w:jc w:val="right"/>
              <w:rPr>
                <w:rFonts w:eastAsia="Cambria"/>
                <w:szCs w:val="22"/>
                <w:lang w:val="en-US" w:eastAsia="nl-NL"/>
              </w:rPr>
            </w:pPr>
            <w:r w:rsidRPr="00FE3AAB">
              <w:rPr>
                <w:rFonts w:eastAsia="Cambria"/>
                <w:sz w:val="22"/>
                <w:szCs w:val="22"/>
                <w:lang w:val="en-US" w:eastAsia="nl-NL"/>
              </w:rPr>
              <w:t>£10.46</w:t>
            </w:r>
          </w:p>
        </w:tc>
        <w:tc>
          <w:tcPr>
            <w:tcW w:w="1669" w:type="dxa"/>
            <w:vMerge/>
            <w:shd w:val="clear" w:color="auto" w:fill="auto"/>
            <w:noWrap/>
            <w:vAlign w:val="bottom"/>
          </w:tcPr>
          <w:p w14:paraId="465CFD56" w14:textId="7E2B9B8F" w:rsidR="00987D72" w:rsidRPr="00FE3AAB" w:rsidRDefault="00987D72" w:rsidP="00C31783">
            <w:pPr>
              <w:jc w:val="right"/>
              <w:rPr>
                <w:rFonts w:eastAsia="Cambria"/>
                <w:szCs w:val="22"/>
                <w:lang w:val="en-US" w:eastAsia="nl-NL"/>
              </w:rPr>
            </w:pPr>
          </w:p>
        </w:tc>
      </w:tr>
      <w:tr w:rsidR="00987D72" w:rsidRPr="00FF04BC" w14:paraId="25181FAF" w14:textId="77777777" w:rsidTr="00FE3AAB">
        <w:trPr>
          <w:trHeight w:val="260"/>
        </w:trPr>
        <w:tc>
          <w:tcPr>
            <w:tcW w:w="1570" w:type="dxa"/>
            <w:shd w:val="clear" w:color="auto" w:fill="auto"/>
            <w:noWrap/>
            <w:vAlign w:val="bottom"/>
          </w:tcPr>
          <w:p w14:paraId="70C44875" w14:textId="77777777" w:rsidR="00987D72" w:rsidRPr="00FE3AAB" w:rsidRDefault="00987D72" w:rsidP="00C31783">
            <w:pPr>
              <w:rPr>
                <w:rFonts w:eastAsia="Cambria"/>
                <w:szCs w:val="22"/>
                <w:lang w:val="en-US" w:eastAsia="nl-NL"/>
              </w:rPr>
            </w:pPr>
            <w:r w:rsidRPr="00FE3AAB">
              <w:rPr>
                <w:rFonts w:eastAsia="Cambria"/>
                <w:sz w:val="22"/>
                <w:szCs w:val="22"/>
                <w:lang w:val="en-US" w:eastAsia="nl-NL"/>
              </w:rPr>
              <w:t>Lactate</w:t>
            </w:r>
          </w:p>
        </w:tc>
        <w:tc>
          <w:tcPr>
            <w:tcW w:w="1179" w:type="dxa"/>
            <w:shd w:val="clear" w:color="auto" w:fill="auto"/>
            <w:noWrap/>
            <w:vAlign w:val="bottom"/>
          </w:tcPr>
          <w:p w14:paraId="351CB20E" w14:textId="56FD1985" w:rsidR="00987D72" w:rsidRPr="00FE3AAB" w:rsidRDefault="00987D72" w:rsidP="00987D72">
            <w:pPr>
              <w:jc w:val="center"/>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130" w:type="dxa"/>
            <w:shd w:val="clear" w:color="auto" w:fill="auto"/>
            <w:noWrap/>
            <w:vAlign w:val="bottom"/>
          </w:tcPr>
          <w:p w14:paraId="28E79F2D" w14:textId="434A42C8" w:rsidR="00987D72" w:rsidRPr="00FE3AAB" w:rsidRDefault="00987D72" w:rsidP="00987D72">
            <w:pPr>
              <w:jc w:val="center"/>
              <w:rPr>
                <w:rFonts w:eastAsia="Cambria"/>
                <w:szCs w:val="22"/>
                <w:lang w:val="en-US" w:eastAsia="nl-NL"/>
              </w:rPr>
            </w:pPr>
            <w:r>
              <w:rPr>
                <w:rFonts w:eastAsia="Cambria"/>
                <w:sz w:val="22"/>
                <w:szCs w:val="22"/>
                <w:lang w:val="en-US" w:eastAsia="nl-NL"/>
              </w:rPr>
              <w:t>-</w:t>
            </w:r>
          </w:p>
        </w:tc>
        <w:tc>
          <w:tcPr>
            <w:tcW w:w="1018" w:type="dxa"/>
            <w:shd w:val="clear" w:color="auto" w:fill="auto"/>
            <w:noWrap/>
            <w:vAlign w:val="bottom"/>
          </w:tcPr>
          <w:p w14:paraId="58D23DE3" w14:textId="620DB3A5" w:rsidR="00987D72" w:rsidRPr="00FE3AAB" w:rsidRDefault="00987D72" w:rsidP="00C31783">
            <w:pPr>
              <w:jc w:val="right"/>
              <w:rPr>
                <w:rFonts w:eastAsia="Cambria"/>
                <w:szCs w:val="22"/>
                <w:lang w:val="en-US" w:eastAsia="nl-NL"/>
              </w:rPr>
            </w:pPr>
            <w:r>
              <w:rPr>
                <w:rFonts w:eastAsia="Cambria"/>
                <w:sz w:val="22"/>
                <w:szCs w:val="22"/>
                <w:lang w:val="en-US" w:eastAsia="nl-NL"/>
              </w:rPr>
              <w:t>£</w:t>
            </w:r>
            <w:r w:rsidRPr="00FE3AAB">
              <w:rPr>
                <w:rFonts w:eastAsia="Cambria"/>
                <w:sz w:val="22"/>
                <w:szCs w:val="22"/>
                <w:lang w:val="en-US" w:eastAsia="nl-NL"/>
              </w:rPr>
              <w:t>5.23</w:t>
            </w:r>
          </w:p>
        </w:tc>
        <w:tc>
          <w:tcPr>
            <w:tcW w:w="1289" w:type="dxa"/>
            <w:shd w:val="clear" w:color="auto" w:fill="auto"/>
            <w:noWrap/>
            <w:vAlign w:val="bottom"/>
          </w:tcPr>
          <w:p w14:paraId="149D24AE" w14:textId="2F0A4A37" w:rsidR="00987D72" w:rsidRPr="00FE3AAB" w:rsidRDefault="00987D72" w:rsidP="00FE3AAB">
            <w:pPr>
              <w:jc w:val="center"/>
              <w:rPr>
                <w:rFonts w:eastAsia="Cambria"/>
                <w:szCs w:val="22"/>
                <w:lang w:val="en-US" w:eastAsia="nl-NL"/>
              </w:rPr>
            </w:pPr>
            <w:r>
              <w:rPr>
                <w:rFonts w:eastAsia="Cambria"/>
                <w:sz w:val="22"/>
                <w:szCs w:val="22"/>
                <w:lang w:val="en-US" w:eastAsia="nl-NL"/>
              </w:rPr>
              <w:t>2</w:t>
            </w:r>
          </w:p>
        </w:tc>
        <w:tc>
          <w:tcPr>
            <w:tcW w:w="1185" w:type="dxa"/>
            <w:shd w:val="clear" w:color="auto" w:fill="auto"/>
            <w:noWrap/>
            <w:vAlign w:val="bottom"/>
          </w:tcPr>
          <w:p w14:paraId="6B94DA4F" w14:textId="505260AC" w:rsidR="00987D72" w:rsidRPr="00FE3AAB" w:rsidRDefault="00987D72" w:rsidP="00C31783">
            <w:pPr>
              <w:jc w:val="right"/>
              <w:rPr>
                <w:rFonts w:eastAsia="Cambria"/>
                <w:szCs w:val="22"/>
                <w:lang w:val="en-US" w:eastAsia="nl-NL"/>
              </w:rPr>
            </w:pPr>
            <w:r w:rsidRPr="00FE3AAB">
              <w:rPr>
                <w:rFonts w:eastAsia="Cambria"/>
                <w:sz w:val="22"/>
                <w:szCs w:val="22"/>
                <w:lang w:val="en-US" w:eastAsia="nl-NL"/>
              </w:rPr>
              <w:t>£10.46</w:t>
            </w:r>
          </w:p>
        </w:tc>
        <w:tc>
          <w:tcPr>
            <w:tcW w:w="1669" w:type="dxa"/>
            <w:vMerge/>
            <w:shd w:val="clear" w:color="auto" w:fill="auto"/>
            <w:noWrap/>
            <w:vAlign w:val="bottom"/>
          </w:tcPr>
          <w:p w14:paraId="48880441" w14:textId="69FBAF4A" w:rsidR="00987D72" w:rsidRPr="00FE3AAB" w:rsidRDefault="00987D72" w:rsidP="00C31783">
            <w:pPr>
              <w:jc w:val="right"/>
              <w:rPr>
                <w:rFonts w:eastAsia="Cambria"/>
                <w:szCs w:val="22"/>
                <w:lang w:val="en-US" w:eastAsia="nl-NL"/>
              </w:rPr>
            </w:pPr>
          </w:p>
        </w:tc>
      </w:tr>
    </w:tbl>
    <w:p w14:paraId="3C8E713F" w14:textId="3EB86DBC" w:rsidR="006030DE" w:rsidRPr="00AD2B33" w:rsidRDefault="00FE3AAB" w:rsidP="006030DE">
      <w:pPr>
        <w:rPr>
          <w:rFonts w:eastAsia="Cambria"/>
          <w:sz w:val="18"/>
          <w:szCs w:val="18"/>
          <w:lang w:val="en-US" w:eastAsia="nl-NL"/>
        </w:rPr>
      </w:pPr>
      <w:r w:rsidRPr="00AD2B33">
        <w:rPr>
          <w:rFonts w:eastAsia="Cambria"/>
          <w:b/>
          <w:sz w:val="18"/>
          <w:szCs w:val="18"/>
          <w:vertAlign w:val="superscript"/>
          <w:lang w:val="en-US" w:eastAsia="nl-NL"/>
        </w:rPr>
        <w:t xml:space="preserve">a </w:t>
      </w:r>
      <w:r w:rsidRPr="00AD2B33">
        <w:rPr>
          <w:rFonts w:eastAsia="Cambria"/>
          <w:sz w:val="18"/>
          <w:szCs w:val="18"/>
          <w:lang w:val="en-US" w:eastAsia="nl-NL"/>
        </w:rPr>
        <w:t>Assumes weekly monitoring, so day 1 of treatment and day 8 of treatment.</w:t>
      </w:r>
    </w:p>
    <w:p w14:paraId="2A388B4F" w14:textId="71130AB4" w:rsidR="00FE3AAB" w:rsidRPr="00AD2B33" w:rsidRDefault="00FE3AAB" w:rsidP="006030DE">
      <w:pPr>
        <w:rPr>
          <w:rFonts w:eastAsia="Cambria"/>
          <w:sz w:val="18"/>
          <w:szCs w:val="18"/>
          <w:lang w:val="en-US" w:eastAsia="nl-NL"/>
        </w:rPr>
      </w:pPr>
      <w:r w:rsidRPr="00AD2B33">
        <w:rPr>
          <w:rFonts w:eastAsia="Cambria"/>
          <w:sz w:val="18"/>
          <w:szCs w:val="18"/>
          <w:vertAlign w:val="superscript"/>
          <w:lang w:val="en-US" w:eastAsia="nl-NL"/>
        </w:rPr>
        <w:t xml:space="preserve">b </w:t>
      </w:r>
      <w:r w:rsidRPr="00AD2B33">
        <w:rPr>
          <w:rFonts w:eastAsia="Cambria"/>
          <w:sz w:val="18"/>
          <w:szCs w:val="18"/>
          <w:lang w:val="en-US" w:eastAsia="nl-NL"/>
        </w:rPr>
        <w:t>PSSRU, 2014, page 247 assuming equivalence with nurse non patient-related contact time</w:t>
      </w:r>
    </w:p>
    <w:p w14:paraId="1CCBA8BA" w14:textId="2C6C6699" w:rsidR="00FE3AAB" w:rsidRPr="00AD2B33" w:rsidRDefault="00FE3AAB" w:rsidP="00FE3AAB">
      <w:pPr>
        <w:rPr>
          <w:rFonts w:cs="Arial"/>
          <w:sz w:val="18"/>
          <w:szCs w:val="18"/>
        </w:rPr>
      </w:pPr>
      <w:r w:rsidRPr="00AD2B33">
        <w:rPr>
          <w:rFonts w:cs="Arial"/>
          <w:sz w:val="18"/>
          <w:szCs w:val="18"/>
          <w:vertAlign w:val="superscript"/>
        </w:rPr>
        <w:t>c</w:t>
      </w:r>
      <w:r w:rsidR="008C39AF" w:rsidRPr="00AD2B33">
        <w:rPr>
          <w:rFonts w:cs="Arial"/>
          <w:sz w:val="18"/>
          <w:szCs w:val="18"/>
          <w:vertAlign w:val="superscript"/>
        </w:rPr>
        <w:t xml:space="preserve"> </w:t>
      </w:r>
      <w:r w:rsidRPr="00AD2B33">
        <w:rPr>
          <w:rFonts w:cs="Arial"/>
          <w:sz w:val="18"/>
          <w:szCs w:val="18"/>
        </w:rPr>
        <w:t>Pettigrew, 2012.</w:t>
      </w:r>
    </w:p>
    <w:p w14:paraId="34A61FF3" w14:textId="5169C08B" w:rsidR="00FE3AAB" w:rsidRPr="00AD2B33" w:rsidRDefault="00FE3AAB" w:rsidP="00FE3AAB">
      <w:pPr>
        <w:rPr>
          <w:sz w:val="18"/>
          <w:szCs w:val="18"/>
        </w:rPr>
      </w:pPr>
      <w:r w:rsidRPr="00AD2B33">
        <w:rPr>
          <w:rFonts w:cs="Arial"/>
          <w:sz w:val="18"/>
          <w:szCs w:val="18"/>
          <w:vertAlign w:val="superscript"/>
        </w:rPr>
        <w:t xml:space="preserve">d </w:t>
      </w:r>
      <w:r w:rsidRPr="00AD2B33">
        <w:rPr>
          <w:rFonts w:cs="Arial"/>
          <w:sz w:val="18"/>
          <w:szCs w:val="18"/>
        </w:rPr>
        <w:t>Laboratory tests:</w:t>
      </w:r>
      <w:r w:rsidRPr="00AD2B33">
        <w:rPr>
          <w:sz w:val="18"/>
          <w:szCs w:val="18"/>
        </w:rPr>
        <w:t xml:space="preserve"> </w:t>
      </w:r>
      <w:hyperlink r:id="rId38" w:anchor="1338" w:history="1">
        <w:r w:rsidRPr="00AD2B33">
          <w:rPr>
            <w:sz w:val="18"/>
            <w:szCs w:val="18"/>
          </w:rPr>
          <w:t>http://www.isdscotland.org/Health-Topics/Finance/Costs/File-Listings-2014.asp#1338</w:t>
        </w:r>
      </w:hyperlink>
      <w:r w:rsidRPr="00AD2B33">
        <w:rPr>
          <w:sz w:val="18"/>
          <w:szCs w:val="18"/>
        </w:rPr>
        <w:t xml:space="preserve"> </w:t>
      </w:r>
    </w:p>
    <w:p w14:paraId="09FDB704" w14:textId="77777777" w:rsidR="006030DE" w:rsidRPr="002A1891" w:rsidRDefault="006030DE" w:rsidP="00BE69CC">
      <w:pPr>
        <w:rPr>
          <w:strike/>
        </w:rPr>
      </w:pPr>
    </w:p>
    <w:p w14:paraId="62A8FB23" w14:textId="77777777" w:rsidR="00BE69CC" w:rsidRPr="002A1891" w:rsidRDefault="00BE69CC" w:rsidP="00BE69CC">
      <w:pPr>
        <w:rPr>
          <w:b/>
          <w:i/>
          <w:sz w:val="22"/>
          <w:szCs w:val="22"/>
        </w:rPr>
      </w:pPr>
      <w:r w:rsidRPr="002A1891">
        <w:rPr>
          <w:b/>
          <w:i/>
          <w:sz w:val="22"/>
          <w:szCs w:val="22"/>
        </w:rPr>
        <w:t>6.4.3 Utility values</w:t>
      </w:r>
    </w:p>
    <w:p w14:paraId="07B75472" w14:textId="77777777" w:rsidR="00BE69CC" w:rsidRPr="002A1891" w:rsidRDefault="00BE69CC" w:rsidP="00BE69CC"/>
    <w:p w14:paraId="74D0B68F" w14:textId="1FDC300F" w:rsidR="00BE69CC" w:rsidRDefault="00BE69CC" w:rsidP="00E45F00">
      <w:pPr>
        <w:widowControl w:val="0"/>
        <w:autoSpaceDE w:val="0"/>
        <w:autoSpaceDN w:val="0"/>
        <w:adjustRightInd w:val="0"/>
        <w:rPr>
          <w:sz w:val="22"/>
          <w:szCs w:val="22"/>
        </w:rPr>
      </w:pPr>
      <w:r w:rsidRPr="002A1891">
        <w:rPr>
          <w:sz w:val="22"/>
          <w:szCs w:val="22"/>
        </w:rPr>
        <w:t>The CMA does not include utility values as similar efficacy and safety (and mortality) outcomes would not lead to different QALYs.</w:t>
      </w:r>
    </w:p>
    <w:p w14:paraId="5D2C805F" w14:textId="77777777" w:rsidR="00E45F00" w:rsidRPr="00E45F00" w:rsidRDefault="00E45F00" w:rsidP="00E45F00">
      <w:pPr>
        <w:widowControl w:val="0"/>
        <w:autoSpaceDE w:val="0"/>
        <w:autoSpaceDN w:val="0"/>
        <w:adjustRightInd w:val="0"/>
        <w:rPr>
          <w:sz w:val="22"/>
          <w:szCs w:val="22"/>
        </w:rPr>
      </w:pPr>
    </w:p>
    <w:p w14:paraId="05F87441" w14:textId="76351145" w:rsidR="00BE69CC" w:rsidRPr="002A1891" w:rsidRDefault="00BE69CC" w:rsidP="00BE69CC">
      <w:pPr>
        <w:rPr>
          <w:rFonts w:cs="Arial"/>
          <w:sz w:val="22"/>
          <w:szCs w:val="22"/>
        </w:rPr>
      </w:pPr>
      <w:r w:rsidRPr="002A1891">
        <w:rPr>
          <w:rFonts w:cs="Arial"/>
          <w:sz w:val="22"/>
          <w:szCs w:val="22"/>
        </w:rPr>
        <w:t xml:space="preserve">A summary of the base case inputs and parameters is </w:t>
      </w:r>
      <w:r w:rsidRPr="00E711F5">
        <w:rPr>
          <w:rFonts w:cs="Arial"/>
          <w:sz w:val="22"/>
          <w:szCs w:val="22"/>
        </w:rPr>
        <w:t xml:space="preserve">presented in </w:t>
      </w:r>
      <w:r w:rsidRPr="00E711F5">
        <w:rPr>
          <w:rFonts w:cs="Arial"/>
          <w:sz w:val="22"/>
          <w:szCs w:val="22"/>
        </w:rPr>
        <w:fldChar w:fldCharType="begin"/>
      </w:r>
      <w:r w:rsidRPr="00E711F5">
        <w:rPr>
          <w:rFonts w:cs="Arial"/>
          <w:sz w:val="22"/>
          <w:szCs w:val="22"/>
        </w:rPr>
        <w:instrText xml:space="preserve"> REF _Ref283048005 \h </w:instrText>
      </w:r>
      <w:r w:rsidRPr="00E711F5">
        <w:rPr>
          <w:rFonts w:cs="Arial"/>
          <w:sz w:val="22"/>
          <w:szCs w:val="22"/>
        </w:rPr>
      </w:r>
      <w:r w:rsidRPr="00E711F5">
        <w:rPr>
          <w:rFonts w:cs="Arial"/>
          <w:sz w:val="22"/>
          <w:szCs w:val="22"/>
        </w:rPr>
        <w:fldChar w:fldCharType="separate"/>
      </w:r>
      <w:r w:rsidR="00151A1C" w:rsidRPr="002A1891">
        <w:rPr>
          <w:rFonts w:cs="Arial"/>
          <w:b/>
          <w:sz w:val="22"/>
          <w:szCs w:val="22"/>
        </w:rPr>
        <w:t xml:space="preserve">Table </w:t>
      </w:r>
      <w:r w:rsidR="00151A1C">
        <w:rPr>
          <w:rFonts w:cs="Arial"/>
          <w:b/>
          <w:noProof/>
          <w:sz w:val="22"/>
          <w:szCs w:val="22"/>
        </w:rPr>
        <w:t>47</w:t>
      </w:r>
      <w:r w:rsidRPr="00E711F5">
        <w:rPr>
          <w:rFonts w:cs="Arial"/>
          <w:sz w:val="22"/>
          <w:szCs w:val="22"/>
        </w:rPr>
        <w:fldChar w:fldCharType="end"/>
      </w:r>
      <w:r w:rsidRPr="00E711F5">
        <w:rPr>
          <w:rFonts w:cs="Arial"/>
          <w:sz w:val="22"/>
          <w:szCs w:val="22"/>
        </w:rPr>
        <w:t>.</w:t>
      </w:r>
    </w:p>
    <w:p w14:paraId="27908F19" w14:textId="77777777" w:rsidR="00BE69CC" w:rsidRPr="002A1891" w:rsidRDefault="00BE69CC" w:rsidP="00BE69CC">
      <w:pPr>
        <w:rPr>
          <w:rFonts w:cs="Arial"/>
          <w:sz w:val="22"/>
          <w:szCs w:val="22"/>
        </w:rPr>
      </w:pPr>
    </w:p>
    <w:p w14:paraId="6FCE6F5F" w14:textId="77777777" w:rsidR="00BE69CC" w:rsidRPr="002A1891" w:rsidRDefault="00BE69CC" w:rsidP="00BE69CC">
      <w:pPr>
        <w:rPr>
          <w:rFonts w:cs="Arial"/>
          <w:b/>
          <w:bCs/>
          <w:sz w:val="22"/>
          <w:szCs w:val="22"/>
          <w:lang w:val="nl-NL" w:eastAsia="ar-SA"/>
        </w:rPr>
      </w:pPr>
      <w:bookmarkStart w:id="203" w:name="_Ref283048005"/>
      <w:r w:rsidRPr="002A1891">
        <w:rPr>
          <w:rFonts w:cs="Arial"/>
          <w:b/>
          <w:sz w:val="22"/>
          <w:szCs w:val="22"/>
        </w:rPr>
        <w:t xml:space="preserve">Table </w:t>
      </w:r>
      <w:r w:rsidRPr="002A1891">
        <w:rPr>
          <w:rFonts w:cs="Arial"/>
          <w:b/>
          <w:sz w:val="22"/>
          <w:szCs w:val="22"/>
        </w:rPr>
        <w:fldChar w:fldCharType="begin"/>
      </w:r>
      <w:r w:rsidRPr="002A1891">
        <w:rPr>
          <w:rFonts w:cs="Arial"/>
          <w:b/>
          <w:sz w:val="22"/>
          <w:szCs w:val="22"/>
        </w:rPr>
        <w:instrText xml:space="preserve"> SEQ Table \* ARABIC </w:instrText>
      </w:r>
      <w:r w:rsidRPr="002A1891">
        <w:rPr>
          <w:rFonts w:cs="Arial"/>
          <w:b/>
          <w:sz w:val="22"/>
          <w:szCs w:val="22"/>
        </w:rPr>
        <w:fldChar w:fldCharType="separate"/>
      </w:r>
      <w:r w:rsidR="00151A1C">
        <w:rPr>
          <w:rFonts w:cs="Arial"/>
          <w:b/>
          <w:noProof/>
          <w:sz w:val="22"/>
          <w:szCs w:val="22"/>
        </w:rPr>
        <w:t>47</w:t>
      </w:r>
      <w:r w:rsidRPr="002A1891">
        <w:rPr>
          <w:rFonts w:cs="Arial"/>
          <w:b/>
          <w:sz w:val="22"/>
          <w:szCs w:val="22"/>
        </w:rPr>
        <w:fldChar w:fldCharType="end"/>
      </w:r>
      <w:bookmarkEnd w:id="203"/>
      <w:r w:rsidRPr="002A1891">
        <w:rPr>
          <w:rFonts w:cs="Arial"/>
          <w:b/>
          <w:sz w:val="22"/>
          <w:szCs w:val="22"/>
        </w:rPr>
        <w:t xml:space="preserve">: Cost minimisation analysis base case - summary of inputs and key variables </w:t>
      </w:r>
    </w:p>
    <w:p w14:paraId="5D937FAE" w14:textId="77777777" w:rsidR="00BE69CC" w:rsidRPr="002A1891" w:rsidRDefault="00BE69CC" w:rsidP="00BE69CC">
      <w:pPr>
        <w:rPr>
          <w:rFonts w:cs="Arial"/>
          <w:b/>
          <w:sz w:val="22"/>
          <w:szCs w:val="22"/>
        </w:rPr>
      </w:pPr>
    </w:p>
    <w:tbl>
      <w:tblPr>
        <w:tblStyle w:val="TableGrid"/>
        <w:tblW w:w="0" w:type="auto"/>
        <w:tblLook w:val="04A0" w:firstRow="1" w:lastRow="0" w:firstColumn="1" w:lastColumn="0" w:noHBand="0" w:noVBand="1"/>
      </w:tblPr>
      <w:tblGrid>
        <w:gridCol w:w="2943"/>
        <w:gridCol w:w="2734"/>
        <w:gridCol w:w="3220"/>
      </w:tblGrid>
      <w:tr w:rsidR="00BE69CC" w:rsidRPr="002A1891" w14:paraId="57D78B56" w14:textId="77777777" w:rsidTr="00AD2B33">
        <w:tc>
          <w:tcPr>
            <w:tcW w:w="2943" w:type="dxa"/>
          </w:tcPr>
          <w:p w14:paraId="7E960CE6" w14:textId="77777777" w:rsidR="00BE69CC" w:rsidRPr="002A1891" w:rsidRDefault="00BE69CC" w:rsidP="00BE69CC">
            <w:pPr>
              <w:rPr>
                <w:rFonts w:cs="Arial"/>
                <w:b/>
                <w:szCs w:val="22"/>
              </w:rPr>
            </w:pPr>
            <w:r w:rsidRPr="002A1891">
              <w:rPr>
                <w:rFonts w:cs="Arial"/>
                <w:b/>
                <w:sz w:val="22"/>
                <w:szCs w:val="22"/>
              </w:rPr>
              <w:t>Input/variable</w:t>
            </w:r>
          </w:p>
        </w:tc>
        <w:tc>
          <w:tcPr>
            <w:tcW w:w="2734" w:type="dxa"/>
          </w:tcPr>
          <w:p w14:paraId="5D79D9D3" w14:textId="77777777" w:rsidR="00BE69CC" w:rsidRPr="002A1891" w:rsidRDefault="00BE69CC" w:rsidP="00BE69CC">
            <w:pPr>
              <w:rPr>
                <w:rFonts w:cs="Arial"/>
                <w:b/>
                <w:szCs w:val="22"/>
              </w:rPr>
            </w:pPr>
            <w:r w:rsidRPr="002A1891">
              <w:rPr>
                <w:rFonts w:cs="Arial"/>
                <w:b/>
                <w:sz w:val="22"/>
                <w:szCs w:val="22"/>
              </w:rPr>
              <w:t>Value given</w:t>
            </w:r>
          </w:p>
        </w:tc>
        <w:tc>
          <w:tcPr>
            <w:tcW w:w="3220" w:type="dxa"/>
          </w:tcPr>
          <w:p w14:paraId="26A660AD" w14:textId="77777777" w:rsidR="00BE69CC" w:rsidRPr="002A1891" w:rsidRDefault="00BE69CC" w:rsidP="00BE69CC">
            <w:pPr>
              <w:rPr>
                <w:rFonts w:cs="Arial"/>
                <w:b/>
                <w:szCs w:val="22"/>
              </w:rPr>
            </w:pPr>
            <w:r w:rsidRPr="002A1891">
              <w:rPr>
                <w:rFonts w:cs="Arial"/>
                <w:b/>
                <w:sz w:val="22"/>
                <w:szCs w:val="22"/>
              </w:rPr>
              <w:t xml:space="preserve">Justification or source </w:t>
            </w:r>
          </w:p>
        </w:tc>
      </w:tr>
      <w:tr w:rsidR="00BE69CC" w:rsidRPr="002A1891" w14:paraId="172162F9" w14:textId="77777777" w:rsidTr="00AD2B33">
        <w:tc>
          <w:tcPr>
            <w:tcW w:w="8897" w:type="dxa"/>
            <w:gridSpan w:val="3"/>
          </w:tcPr>
          <w:p w14:paraId="03094ED1" w14:textId="319DC42A" w:rsidR="00BE69CC" w:rsidRPr="002A1891" w:rsidRDefault="00460B3B" w:rsidP="00BE69CC">
            <w:pPr>
              <w:rPr>
                <w:rFonts w:cs="Arial"/>
                <w:b/>
                <w:i/>
                <w:szCs w:val="22"/>
              </w:rPr>
            </w:pPr>
            <w:r>
              <w:rPr>
                <w:rFonts w:cs="Arial"/>
                <w:b/>
                <w:i/>
                <w:sz w:val="22"/>
                <w:szCs w:val="22"/>
              </w:rPr>
              <w:t>Medicine</w:t>
            </w:r>
            <w:r w:rsidR="00BE69CC" w:rsidRPr="002A1891">
              <w:rPr>
                <w:rFonts w:cs="Arial"/>
                <w:b/>
                <w:i/>
                <w:sz w:val="22"/>
                <w:szCs w:val="22"/>
              </w:rPr>
              <w:t xml:space="preserve"> costs</w:t>
            </w:r>
          </w:p>
        </w:tc>
      </w:tr>
      <w:tr w:rsidR="00BE69CC" w:rsidRPr="002A1891" w14:paraId="129F335D" w14:textId="77777777" w:rsidTr="00AD2B33">
        <w:tc>
          <w:tcPr>
            <w:tcW w:w="2943" w:type="dxa"/>
          </w:tcPr>
          <w:p w14:paraId="76DEA307" w14:textId="77777777" w:rsidR="00BE69CC" w:rsidRPr="002A1891" w:rsidRDefault="00BE69CC" w:rsidP="00BE69CC">
            <w:pPr>
              <w:rPr>
                <w:rFonts w:cs="Arial"/>
                <w:szCs w:val="22"/>
              </w:rPr>
            </w:pPr>
            <w:r w:rsidRPr="002A1891">
              <w:rPr>
                <w:rFonts w:cs="Arial"/>
                <w:sz w:val="22"/>
                <w:szCs w:val="22"/>
              </w:rPr>
              <w:t>Course of treatment – tedizolid phosphate</w:t>
            </w:r>
          </w:p>
        </w:tc>
        <w:tc>
          <w:tcPr>
            <w:tcW w:w="2734" w:type="dxa"/>
          </w:tcPr>
          <w:p w14:paraId="562139B4" w14:textId="77777777" w:rsidR="00BE69CC" w:rsidRPr="002A1891" w:rsidRDefault="00BE69CC" w:rsidP="00BE69CC">
            <w:pPr>
              <w:rPr>
                <w:rFonts w:cs="Arial"/>
                <w:szCs w:val="22"/>
              </w:rPr>
            </w:pPr>
            <w:r w:rsidRPr="002A1891">
              <w:rPr>
                <w:rFonts w:cs="Arial"/>
                <w:sz w:val="22"/>
                <w:szCs w:val="22"/>
              </w:rPr>
              <w:t xml:space="preserve">2 days of IV, followed by 4 days of oral </w:t>
            </w:r>
          </w:p>
        </w:tc>
        <w:tc>
          <w:tcPr>
            <w:tcW w:w="3220" w:type="dxa"/>
          </w:tcPr>
          <w:p w14:paraId="53AF9976" w14:textId="77777777" w:rsidR="00BE69CC" w:rsidRPr="002A1891" w:rsidRDefault="00BE69CC" w:rsidP="00BE69CC">
            <w:pPr>
              <w:rPr>
                <w:rFonts w:cs="Arial"/>
                <w:szCs w:val="22"/>
              </w:rPr>
            </w:pPr>
            <w:r w:rsidRPr="002A1891">
              <w:rPr>
                <w:rFonts w:cs="Arial"/>
                <w:sz w:val="22"/>
                <w:szCs w:val="22"/>
              </w:rPr>
              <w:t>Phase 3 clinical studies.</w:t>
            </w:r>
          </w:p>
        </w:tc>
      </w:tr>
      <w:tr w:rsidR="00BE69CC" w:rsidRPr="002A1891" w14:paraId="5DE28F9B" w14:textId="77777777" w:rsidTr="00AD2B33">
        <w:tc>
          <w:tcPr>
            <w:tcW w:w="2943" w:type="dxa"/>
          </w:tcPr>
          <w:p w14:paraId="0082350E" w14:textId="77777777" w:rsidR="00BE69CC" w:rsidRPr="002A1891" w:rsidRDefault="00BE69CC" w:rsidP="00BE69CC">
            <w:pPr>
              <w:rPr>
                <w:rFonts w:cs="Arial"/>
                <w:szCs w:val="22"/>
              </w:rPr>
            </w:pPr>
            <w:r w:rsidRPr="002A1891">
              <w:rPr>
                <w:rFonts w:cs="Arial"/>
                <w:sz w:val="22"/>
                <w:szCs w:val="22"/>
              </w:rPr>
              <w:t>Course of treatment – linezolid</w:t>
            </w:r>
          </w:p>
        </w:tc>
        <w:tc>
          <w:tcPr>
            <w:tcW w:w="2734" w:type="dxa"/>
          </w:tcPr>
          <w:p w14:paraId="1E3A0B64" w14:textId="77777777" w:rsidR="00BE69CC" w:rsidRPr="002A1891" w:rsidRDefault="00BE69CC" w:rsidP="00BE69CC">
            <w:pPr>
              <w:rPr>
                <w:rFonts w:cs="Arial"/>
                <w:szCs w:val="22"/>
              </w:rPr>
            </w:pPr>
            <w:r w:rsidRPr="002A1891">
              <w:rPr>
                <w:rFonts w:cs="Arial"/>
                <w:sz w:val="22"/>
                <w:szCs w:val="22"/>
              </w:rPr>
              <w:t xml:space="preserve">2 days of IV, followed by 8 days of oral </w:t>
            </w:r>
          </w:p>
        </w:tc>
        <w:tc>
          <w:tcPr>
            <w:tcW w:w="3220" w:type="dxa"/>
          </w:tcPr>
          <w:p w14:paraId="33D3C2BD" w14:textId="59C8B104" w:rsidR="00BE69CC" w:rsidRPr="002A1891" w:rsidRDefault="009152B5" w:rsidP="009152B5">
            <w:pPr>
              <w:rPr>
                <w:rFonts w:cs="Arial"/>
                <w:szCs w:val="22"/>
              </w:rPr>
            </w:pPr>
            <w:r>
              <w:rPr>
                <w:rFonts w:cs="Arial"/>
                <w:sz w:val="22"/>
                <w:szCs w:val="22"/>
              </w:rPr>
              <w:t>Phase 3 clinical studies</w:t>
            </w:r>
            <w:r w:rsidR="00BE69CC" w:rsidRPr="002A1891">
              <w:rPr>
                <w:rFonts w:cs="Arial"/>
                <w:sz w:val="22"/>
                <w:szCs w:val="22"/>
              </w:rPr>
              <w:t xml:space="preserve">. </w:t>
            </w:r>
          </w:p>
        </w:tc>
      </w:tr>
      <w:tr w:rsidR="00BE69CC" w:rsidRPr="002A1891" w14:paraId="022E69D1" w14:textId="77777777" w:rsidTr="00AD2B33">
        <w:tc>
          <w:tcPr>
            <w:tcW w:w="8897" w:type="dxa"/>
            <w:gridSpan w:val="3"/>
          </w:tcPr>
          <w:p w14:paraId="57AC25AE" w14:textId="25842704" w:rsidR="00BE69CC" w:rsidRPr="002A1891" w:rsidRDefault="00BE69CC" w:rsidP="00BE69CC">
            <w:pPr>
              <w:rPr>
                <w:rFonts w:cs="Arial"/>
                <w:b/>
                <w:i/>
                <w:szCs w:val="22"/>
              </w:rPr>
            </w:pPr>
            <w:r w:rsidRPr="002A1891">
              <w:rPr>
                <w:rFonts w:cs="Calibri"/>
                <w:b/>
                <w:i/>
                <w:sz w:val="22"/>
                <w:szCs w:val="22"/>
              </w:rPr>
              <w:t xml:space="preserve">Administration </w:t>
            </w:r>
            <w:r w:rsidR="00FA464C">
              <w:rPr>
                <w:rFonts w:cs="Calibri"/>
                <w:b/>
                <w:i/>
                <w:sz w:val="22"/>
                <w:szCs w:val="22"/>
              </w:rPr>
              <w:t xml:space="preserve">and monitoring </w:t>
            </w:r>
            <w:r w:rsidRPr="002A1891">
              <w:rPr>
                <w:rFonts w:cs="Calibri"/>
                <w:b/>
                <w:i/>
                <w:sz w:val="22"/>
                <w:szCs w:val="22"/>
              </w:rPr>
              <w:t>costs</w:t>
            </w:r>
          </w:p>
        </w:tc>
      </w:tr>
      <w:tr w:rsidR="00BE69CC" w:rsidRPr="002A1891" w14:paraId="243CDF8B" w14:textId="77777777" w:rsidTr="00AD2B33">
        <w:tc>
          <w:tcPr>
            <w:tcW w:w="2943" w:type="dxa"/>
          </w:tcPr>
          <w:p w14:paraId="499E3617" w14:textId="77777777" w:rsidR="00BE69CC" w:rsidRPr="002A1891" w:rsidRDefault="00BE69CC" w:rsidP="00BE69CC">
            <w:pPr>
              <w:rPr>
                <w:rFonts w:cs="Calibri"/>
                <w:szCs w:val="22"/>
              </w:rPr>
            </w:pPr>
            <w:r w:rsidRPr="002A1891">
              <w:rPr>
                <w:rFonts w:cs="Arial"/>
                <w:sz w:val="22"/>
                <w:szCs w:val="22"/>
              </w:rPr>
              <w:t xml:space="preserve">Cost of a </w:t>
            </w:r>
            <w:r w:rsidRPr="002A1891">
              <w:rPr>
                <w:rStyle w:val="Emphasis"/>
                <w:i w:val="0"/>
                <w:sz w:val="22"/>
                <w:szCs w:val="22"/>
              </w:rPr>
              <w:t>peripherally inserted central catheter (</w:t>
            </w:r>
            <w:r w:rsidRPr="002A1891">
              <w:rPr>
                <w:rFonts w:cs="Arial"/>
                <w:sz w:val="22"/>
                <w:szCs w:val="22"/>
              </w:rPr>
              <w:t>PICC)</w:t>
            </w:r>
            <w:r w:rsidRPr="002A1891">
              <w:rPr>
                <w:rFonts w:cs="Arial"/>
                <w:sz w:val="22"/>
              </w:rPr>
              <w:t xml:space="preserve"> for IV administration</w:t>
            </w:r>
          </w:p>
        </w:tc>
        <w:tc>
          <w:tcPr>
            <w:tcW w:w="2734" w:type="dxa"/>
          </w:tcPr>
          <w:p w14:paraId="558DEEEB" w14:textId="77777777" w:rsidR="00BE69CC" w:rsidRPr="002A1891" w:rsidRDefault="00BE69CC" w:rsidP="00BE69CC">
            <w:pPr>
              <w:rPr>
                <w:rFonts w:cs="Arial"/>
                <w:szCs w:val="22"/>
              </w:rPr>
            </w:pPr>
            <w:r w:rsidRPr="002A1891">
              <w:rPr>
                <w:rFonts w:cs="Arial"/>
                <w:sz w:val="22"/>
                <w:szCs w:val="22"/>
              </w:rPr>
              <w:t>Not included</w:t>
            </w:r>
          </w:p>
        </w:tc>
        <w:tc>
          <w:tcPr>
            <w:tcW w:w="3220" w:type="dxa"/>
          </w:tcPr>
          <w:p w14:paraId="411380B1" w14:textId="77777777" w:rsidR="00BE69CC" w:rsidRPr="002A1891" w:rsidRDefault="00BE69CC" w:rsidP="00BE69CC">
            <w:pPr>
              <w:rPr>
                <w:rFonts w:cs="Arial"/>
                <w:szCs w:val="22"/>
              </w:rPr>
            </w:pPr>
            <w:r w:rsidRPr="002A1891">
              <w:rPr>
                <w:rFonts w:cs="Arial"/>
                <w:sz w:val="22"/>
                <w:szCs w:val="22"/>
              </w:rPr>
              <w:t>Patients would already have IV access following first-line treatment.</w:t>
            </w:r>
          </w:p>
        </w:tc>
      </w:tr>
      <w:tr w:rsidR="00BE69CC" w:rsidRPr="002A1891" w14:paraId="75AF0D22" w14:textId="77777777" w:rsidTr="00AD2B33">
        <w:tc>
          <w:tcPr>
            <w:tcW w:w="2943" w:type="dxa"/>
          </w:tcPr>
          <w:p w14:paraId="4E5897C9" w14:textId="3C69CC76" w:rsidR="00BE69CC" w:rsidRPr="002A1891" w:rsidRDefault="00BE69CC" w:rsidP="00BE69CC">
            <w:pPr>
              <w:rPr>
                <w:rFonts w:cs="Arial"/>
                <w:szCs w:val="22"/>
              </w:rPr>
            </w:pPr>
            <w:r w:rsidRPr="002A1891">
              <w:rPr>
                <w:rFonts w:cs="Arial"/>
                <w:sz w:val="22"/>
                <w:szCs w:val="22"/>
              </w:rPr>
              <w:t>Cost of administration for tedizolid phosphate - cost of fluid</w:t>
            </w:r>
            <w:r w:rsidR="00AD2B33">
              <w:rPr>
                <w:rFonts w:cs="Arial"/>
                <w:sz w:val="22"/>
                <w:szCs w:val="22"/>
              </w:rPr>
              <w:t>s</w:t>
            </w:r>
            <w:r w:rsidRPr="002A1891">
              <w:rPr>
                <w:rFonts w:cs="Arial"/>
                <w:sz w:val="22"/>
                <w:szCs w:val="22"/>
              </w:rPr>
              <w:t>, pharmacist</w:t>
            </w:r>
            <w:r w:rsidR="00AD2B33">
              <w:rPr>
                <w:rFonts w:cs="Arial"/>
                <w:sz w:val="22"/>
                <w:szCs w:val="22"/>
              </w:rPr>
              <w:t>, technician</w:t>
            </w:r>
            <w:r w:rsidRPr="002A1891">
              <w:rPr>
                <w:rFonts w:cs="Arial"/>
                <w:sz w:val="22"/>
                <w:szCs w:val="22"/>
              </w:rPr>
              <w:t xml:space="preserve"> and nurse time</w:t>
            </w:r>
          </w:p>
        </w:tc>
        <w:tc>
          <w:tcPr>
            <w:tcW w:w="2734" w:type="dxa"/>
          </w:tcPr>
          <w:p w14:paraId="37C3CE04" w14:textId="3CFCBB57" w:rsidR="00BE69CC" w:rsidRPr="002A1891" w:rsidRDefault="00AD2B33" w:rsidP="00BE69CC">
            <w:pPr>
              <w:rPr>
                <w:rFonts w:cs="Arial"/>
                <w:szCs w:val="22"/>
              </w:rPr>
            </w:pPr>
            <w:r>
              <w:rPr>
                <w:rFonts w:cs="Arial"/>
                <w:sz w:val="22"/>
                <w:szCs w:val="22"/>
              </w:rPr>
              <w:t xml:space="preserve">£33.14 </w:t>
            </w:r>
            <w:r w:rsidR="00BE69CC" w:rsidRPr="002A1891">
              <w:rPr>
                <w:rFonts w:cs="Arial"/>
                <w:sz w:val="22"/>
                <w:szCs w:val="22"/>
              </w:rPr>
              <w:t xml:space="preserve">per administration </w:t>
            </w:r>
          </w:p>
        </w:tc>
        <w:tc>
          <w:tcPr>
            <w:tcW w:w="3220" w:type="dxa"/>
          </w:tcPr>
          <w:p w14:paraId="6DC33AAE" w14:textId="41D5AA8D" w:rsidR="00BE69CC" w:rsidRPr="002A1891" w:rsidRDefault="00AD2B33" w:rsidP="00AD2B33">
            <w:pPr>
              <w:rPr>
                <w:rFonts w:cs="Arial"/>
                <w:szCs w:val="22"/>
              </w:rPr>
            </w:pPr>
            <w:r>
              <w:rPr>
                <w:rFonts w:cs="Arial"/>
                <w:sz w:val="22"/>
                <w:szCs w:val="22"/>
              </w:rPr>
              <w:t xml:space="preserve">BNF; </w:t>
            </w:r>
            <w:r w:rsidR="00BE69CC" w:rsidRPr="002A1891">
              <w:rPr>
                <w:rFonts w:cs="Arial"/>
                <w:sz w:val="22"/>
                <w:szCs w:val="22"/>
              </w:rPr>
              <w:t>PS</w:t>
            </w:r>
            <w:r>
              <w:rPr>
                <w:rFonts w:cs="Arial"/>
                <w:sz w:val="22"/>
                <w:szCs w:val="22"/>
              </w:rPr>
              <w:t>SRU costs 2014</w:t>
            </w:r>
            <w:r w:rsidR="00BE69CC" w:rsidRPr="002A1891">
              <w:rPr>
                <w:rFonts w:cs="Arial"/>
                <w:sz w:val="22"/>
                <w:szCs w:val="22"/>
              </w:rPr>
              <w:t xml:space="preserve">; </w:t>
            </w:r>
            <w:r>
              <w:rPr>
                <w:rFonts w:cs="Arial"/>
                <w:sz w:val="22"/>
                <w:szCs w:val="22"/>
              </w:rPr>
              <w:t xml:space="preserve">Pettigrew, 2012; </w:t>
            </w:r>
            <w:r w:rsidR="00BE69CC" w:rsidRPr="002A1891">
              <w:rPr>
                <w:rFonts w:cs="Arial"/>
                <w:sz w:val="22"/>
                <w:szCs w:val="22"/>
              </w:rPr>
              <w:t xml:space="preserve">See Table </w:t>
            </w:r>
            <w:r>
              <w:rPr>
                <w:rFonts w:cs="Arial"/>
                <w:sz w:val="22"/>
                <w:szCs w:val="22"/>
              </w:rPr>
              <w:t>45</w:t>
            </w:r>
            <w:r w:rsidR="00BE69CC" w:rsidRPr="002A1891">
              <w:rPr>
                <w:rFonts w:cs="Arial"/>
                <w:sz w:val="22"/>
                <w:szCs w:val="22"/>
              </w:rPr>
              <w:t xml:space="preserve"> above.</w:t>
            </w:r>
          </w:p>
        </w:tc>
      </w:tr>
      <w:tr w:rsidR="00BE69CC" w:rsidRPr="002A1891" w14:paraId="0CA1A6EE" w14:textId="77777777" w:rsidTr="00AD2B33">
        <w:tc>
          <w:tcPr>
            <w:tcW w:w="2943" w:type="dxa"/>
          </w:tcPr>
          <w:p w14:paraId="5797CF28" w14:textId="0BE5079F" w:rsidR="00BE69CC" w:rsidRPr="002A1891" w:rsidRDefault="00BE69CC" w:rsidP="00BE69CC">
            <w:pPr>
              <w:rPr>
                <w:rFonts w:cs="Arial"/>
                <w:szCs w:val="22"/>
              </w:rPr>
            </w:pPr>
            <w:r w:rsidRPr="002A1891">
              <w:rPr>
                <w:rFonts w:cs="Arial"/>
                <w:sz w:val="22"/>
                <w:szCs w:val="22"/>
              </w:rPr>
              <w:lastRenderedPageBreak/>
              <w:t xml:space="preserve">Cost of administration of linezolid </w:t>
            </w:r>
            <w:r w:rsidR="00AD2B33">
              <w:rPr>
                <w:rFonts w:cs="Arial"/>
                <w:sz w:val="22"/>
                <w:szCs w:val="22"/>
              </w:rPr>
              <w:t>–</w:t>
            </w:r>
            <w:r w:rsidRPr="002A1891">
              <w:rPr>
                <w:rFonts w:cs="Arial"/>
                <w:sz w:val="22"/>
                <w:szCs w:val="22"/>
              </w:rPr>
              <w:t xml:space="preserve"> pharmacist</w:t>
            </w:r>
            <w:r w:rsidR="00AD2B33">
              <w:rPr>
                <w:rFonts w:cs="Arial"/>
                <w:sz w:val="22"/>
                <w:szCs w:val="22"/>
              </w:rPr>
              <w:t>, technician</w:t>
            </w:r>
            <w:r w:rsidRPr="002A1891">
              <w:rPr>
                <w:rFonts w:cs="Arial"/>
                <w:sz w:val="22"/>
                <w:szCs w:val="22"/>
              </w:rPr>
              <w:t xml:space="preserve"> and nurse time</w:t>
            </w:r>
          </w:p>
        </w:tc>
        <w:tc>
          <w:tcPr>
            <w:tcW w:w="2734" w:type="dxa"/>
          </w:tcPr>
          <w:p w14:paraId="75F30A78" w14:textId="46764AF3" w:rsidR="00BE69CC" w:rsidRPr="002A1891" w:rsidRDefault="00BE69CC" w:rsidP="00AD2B33">
            <w:pPr>
              <w:rPr>
                <w:rFonts w:cs="Arial"/>
                <w:szCs w:val="22"/>
              </w:rPr>
            </w:pPr>
            <w:r w:rsidRPr="002A1891">
              <w:rPr>
                <w:rFonts w:cs="Arial"/>
                <w:sz w:val="22"/>
                <w:szCs w:val="22"/>
              </w:rPr>
              <w:t>£</w:t>
            </w:r>
            <w:r w:rsidR="00AD2B33">
              <w:rPr>
                <w:rFonts w:cs="Arial"/>
                <w:sz w:val="22"/>
                <w:szCs w:val="22"/>
              </w:rPr>
              <w:t>25.70</w:t>
            </w:r>
            <w:r w:rsidRPr="002A1891">
              <w:rPr>
                <w:rFonts w:cs="Arial"/>
                <w:sz w:val="22"/>
                <w:szCs w:val="22"/>
              </w:rPr>
              <w:t xml:space="preserve"> per administration </w:t>
            </w:r>
          </w:p>
        </w:tc>
        <w:tc>
          <w:tcPr>
            <w:tcW w:w="3220" w:type="dxa"/>
          </w:tcPr>
          <w:p w14:paraId="07E58EBD" w14:textId="7C6E4E7E" w:rsidR="00BE69CC" w:rsidRPr="002A1891" w:rsidRDefault="00BE69CC" w:rsidP="00AD2B33">
            <w:pPr>
              <w:rPr>
                <w:rFonts w:cs="Arial"/>
                <w:szCs w:val="22"/>
              </w:rPr>
            </w:pPr>
            <w:r w:rsidRPr="002A1891">
              <w:rPr>
                <w:rFonts w:cs="Arial"/>
                <w:sz w:val="22"/>
                <w:szCs w:val="22"/>
              </w:rPr>
              <w:t xml:space="preserve">PSSRU costs 2013; See Table </w:t>
            </w:r>
            <w:r w:rsidR="00AD2B33">
              <w:rPr>
                <w:rFonts w:cs="Arial"/>
                <w:sz w:val="22"/>
                <w:szCs w:val="22"/>
              </w:rPr>
              <w:t>45</w:t>
            </w:r>
            <w:r w:rsidRPr="002A1891">
              <w:rPr>
                <w:rFonts w:cs="Arial"/>
                <w:sz w:val="22"/>
                <w:szCs w:val="22"/>
              </w:rPr>
              <w:t xml:space="preserve"> above.</w:t>
            </w:r>
          </w:p>
        </w:tc>
      </w:tr>
      <w:tr w:rsidR="00BE69CC" w:rsidRPr="002A1891" w14:paraId="79F2D7EE" w14:textId="77777777" w:rsidTr="00AD2B33">
        <w:tc>
          <w:tcPr>
            <w:tcW w:w="2943" w:type="dxa"/>
          </w:tcPr>
          <w:p w14:paraId="308DA9C4" w14:textId="77777777" w:rsidR="00BE69CC" w:rsidRPr="002A1891" w:rsidRDefault="00BE69CC" w:rsidP="00BE69CC">
            <w:pPr>
              <w:rPr>
                <w:rFonts w:cs="Arial"/>
                <w:szCs w:val="22"/>
              </w:rPr>
            </w:pPr>
            <w:r w:rsidRPr="002A1891">
              <w:rPr>
                <w:rFonts w:cs="Arial"/>
                <w:sz w:val="22"/>
                <w:szCs w:val="22"/>
              </w:rPr>
              <w:t xml:space="preserve">Number of dose administrations per day </w:t>
            </w:r>
          </w:p>
        </w:tc>
        <w:tc>
          <w:tcPr>
            <w:tcW w:w="2734" w:type="dxa"/>
          </w:tcPr>
          <w:p w14:paraId="45B68B9C" w14:textId="77777777" w:rsidR="00BE69CC" w:rsidRPr="002A1891" w:rsidRDefault="00BE69CC" w:rsidP="00BE69CC">
            <w:pPr>
              <w:rPr>
                <w:rFonts w:cs="Arial"/>
                <w:szCs w:val="22"/>
              </w:rPr>
            </w:pPr>
            <w:r w:rsidRPr="002A1891">
              <w:rPr>
                <w:rFonts w:cs="Arial"/>
                <w:sz w:val="22"/>
                <w:szCs w:val="22"/>
              </w:rPr>
              <w:t>Tedizolid phosphate – once daily</w:t>
            </w:r>
          </w:p>
          <w:p w14:paraId="0716BD7C" w14:textId="77777777" w:rsidR="00BE69CC" w:rsidRPr="002A1891" w:rsidRDefault="00BE69CC" w:rsidP="00BE69CC">
            <w:pPr>
              <w:rPr>
                <w:rFonts w:cs="Arial"/>
                <w:szCs w:val="22"/>
              </w:rPr>
            </w:pPr>
            <w:r w:rsidRPr="002A1891">
              <w:rPr>
                <w:rFonts w:cs="Arial"/>
                <w:sz w:val="22"/>
                <w:szCs w:val="22"/>
              </w:rPr>
              <w:t>Linezolid – twice daily</w:t>
            </w:r>
          </w:p>
        </w:tc>
        <w:tc>
          <w:tcPr>
            <w:tcW w:w="3220" w:type="dxa"/>
          </w:tcPr>
          <w:p w14:paraId="0E700169" w14:textId="77777777" w:rsidR="00BE69CC" w:rsidRPr="002A1891" w:rsidRDefault="00BE69CC" w:rsidP="00BE69CC">
            <w:pPr>
              <w:rPr>
                <w:rFonts w:cs="Arial"/>
                <w:szCs w:val="22"/>
              </w:rPr>
            </w:pPr>
          </w:p>
        </w:tc>
      </w:tr>
      <w:tr w:rsidR="00BE69CC" w:rsidRPr="002A1891" w14:paraId="0269A7FD" w14:textId="77777777" w:rsidTr="00AD2B33">
        <w:tc>
          <w:tcPr>
            <w:tcW w:w="2943" w:type="dxa"/>
          </w:tcPr>
          <w:p w14:paraId="3F2D3AA9" w14:textId="77777777" w:rsidR="00BE69CC" w:rsidRPr="00AD2B33" w:rsidRDefault="00BE69CC" w:rsidP="00BE69CC">
            <w:pPr>
              <w:rPr>
                <w:rFonts w:cs="Arial"/>
                <w:szCs w:val="22"/>
              </w:rPr>
            </w:pPr>
            <w:r w:rsidRPr="00AD2B33">
              <w:rPr>
                <w:rFonts w:cs="Arial"/>
                <w:sz w:val="22"/>
                <w:szCs w:val="22"/>
              </w:rPr>
              <w:t>Monitoring costs</w:t>
            </w:r>
          </w:p>
          <w:p w14:paraId="4BC3CE85" w14:textId="77777777" w:rsidR="00FA464C" w:rsidRPr="00AD2B33" w:rsidRDefault="00FA464C" w:rsidP="00BE69CC">
            <w:pPr>
              <w:rPr>
                <w:rFonts w:cs="Arial"/>
                <w:szCs w:val="22"/>
              </w:rPr>
            </w:pPr>
          </w:p>
          <w:p w14:paraId="0E6CD383" w14:textId="02C045E2" w:rsidR="00FA464C" w:rsidRPr="00AD2B33" w:rsidRDefault="00FA464C" w:rsidP="00C35C1F">
            <w:pPr>
              <w:pStyle w:val="ListParagraph"/>
              <w:numPr>
                <w:ilvl w:val="0"/>
                <w:numId w:val="67"/>
              </w:numPr>
              <w:rPr>
                <w:rFonts w:cs="Arial"/>
                <w:szCs w:val="22"/>
              </w:rPr>
            </w:pPr>
            <w:r w:rsidRPr="00AD2B33">
              <w:rPr>
                <w:rFonts w:cs="Arial"/>
                <w:sz w:val="22"/>
                <w:szCs w:val="22"/>
              </w:rPr>
              <w:t>Laboratory test</w:t>
            </w:r>
            <w:r w:rsidR="00AD2B33" w:rsidRPr="00AD2B33">
              <w:rPr>
                <w:rFonts w:cs="Arial"/>
                <w:sz w:val="22"/>
                <w:szCs w:val="22"/>
              </w:rPr>
              <w:t>s</w:t>
            </w:r>
          </w:p>
          <w:p w14:paraId="7452CDE7" w14:textId="52B1EA0D" w:rsidR="00FA464C" w:rsidRPr="00AD2B33" w:rsidRDefault="00FA464C" w:rsidP="00C35C1F">
            <w:pPr>
              <w:pStyle w:val="ListParagraph"/>
              <w:numPr>
                <w:ilvl w:val="0"/>
                <w:numId w:val="67"/>
              </w:numPr>
              <w:rPr>
                <w:rFonts w:cs="Arial"/>
                <w:szCs w:val="22"/>
              </w:rPr>
            </w:pPr>
            <w:r w:rsidRPr="00AD2B33">
              <w:rPr>
                <w:rFonts w:cs="Arial"/>
                <w:sz w:val="22"/>
                <w:szCs w:val="22"/>
              </w:rPr>
              <w:t>Phlebotomist time</w:t>
            </w:r>
          </w:p>
        </w:tc>
        <w:tc>
          <w:tcPr>
            <w:tcW w:w="2734" w:type="dxa"/>
          </w:tcPr>
          <w:p w14:paraId="715E3EDD" w14:textId="77777777" w:rsidR="00FA464C" w:rsidRPr="00AD2B33" w:rsidRDefault="00FA464C" w:rsidP="00FA464C">
            <w:pPr>
              <w:rPr>
                <w:rFonts w:cs="Arial"/>
                <w:szCs w:val="22"/>
              </w:rPr>
            </w:pPr>
            <w:r w:rsidRPr="00AD2B33">
              <w:rPr>
                <w:rFonts w:cs="Arial"/>
                <w:sz w:val="22"/>
                <w:szCs w:val="22"/>
              </w:rPr>
              <w:t>Included for linezolid only</w:t>
            </w:r>
          </w:p>
          <w:p w14:paraId="31D6AF2A" w14:textId="77777777" w:rsidR="00FA464C" w:rsidRPr="00AD2B33" w:rsidRDefault="00FA464C" w:rsidP="00FA464C">
            <w:pPr>
              <w:rPr>
                <w:rFonts w:cs="Arial"/>
                <w:szCs w:val="22"/>
              </w:rPr>
            </w:pPr>
          </w:p>
          <w:p w14:paraId="27B20E48" w14:textId="4BF06A58" w:rsidR="00FA464C" w:rsidRPr="00AD2B33" w:rsidRDefault="00AD2B33" w:rsidP="00AD2B33">
            <w:pPr>
              <w:rPr>
                <w:rFonts w:cs="Arial"/>
                <w:szCs w:val="22"/>
              </w:rPr>
            </w:pPr>
            <w:r w:rsidRPr="00AD2B33">
              <w:rPr>
                <w:rFonts w:cs="Arial"/>
                <w:sz w:val="22"/>
                <w:szCs w:val="22"/>
              </w:rPr>
              <w:t>£50.91 per course of treatment</w:t>
            </w:r>
          </w:p>
        </w:tc>
        <w:tc>
          <w:tcPr>
            <w:tcW w:w="3220" w:type="dxa"/>
          </w:tcPr>
          <w:p w14:paraId="2EC63C53" w14:textId="77777777" w:rsidR="00AD2B33" w:rsidRPr="00AD2B33" w:rsidRDefault="00AD2B33" w:rsidP="00BE69CC">
            <w:pPr>
              <w:rPr>
                <w:rFonts w:cs="Arial"/>
                <w:szCs w:val="22"/>
              </w:rPr>
            </w:pPr>
            <w:r w:rsidRPr="00AD2B33">
              <w:rPr>
                <w:rFonts w:cs="Arial"/>
                <w:sz w:val="22"/>
                <w:szCs w:val="22"/>
              </w:rPr>
              <w:t>See Table 46 above.</w:t>
            </w:r>
          </w:p>
          <w:p w14:paraId="0846EFB2" w14:textId="77777777" w:rsidR="00AD2B33" w:rsidRPr="00AD2B33" w:rsidRDefault="00AD2B33" w:rsidP="00BE69CC">
            <w:pPr>
              <w:rPr>
                <w:rFonts w:cs="Arial"/>
                <w:szCs w:val="22"/>
              </w:rPr>
            </w:pPr>
          </w:p>
          <w:p w14:paraId="74DAA144" w14:textId="5A9F9E03" w:rsidR="00CC7711" w:rsidRPr="00AD2B33" w:rsidRDefault="00FA464C" w:rsidP="00E217E2">
            <w:pPr>
              <w:rPr>
                <w:rFonts w:cs="Arial"/>
                <w:szCs w:val="22"/>
              </w:rPr>
            </w:pPr>
            <w:r w:rsidRPr="00AD2B33">
              <w:rPr>
                <w:rFonts w:cs="Arial"/>
                <w:sz w:val="22"/>
                <w:szCs w:val="22"/>
              </w:rPr>
              <w:t>P</w:t>
            </w:r>
            <w:r w:rsidR="00E217E2">
              <w:rPr>
                <w:rFonts w:cs="Arial"/>
                <w:sz w:val="22"/>
                <w:szCs w:val="22"/>
              </w:rPr>
              <w:t>harmacia</w:t>
            </w:r>
            <w:r w:rsidRPr="00AD2B33">
              <w:rPr>
                <w:rFonts w:cs="Arial"/>
                <w:sz w:val="22"/>
                <w:szCs w:val="22"/>
              </w:rPr>
              <w:t>, Zyvox SmPC</w:t>
            </w:r>
            <w:r w:rsidR="00AD2B33" w:rsidRPr="00AD2B33">
              <w:rPr>
                <w:rFonts w:cs="Arial"/>
                <w:sz w:val="22"/>
                <w:szCs w:val="22"/>
              </w:rPr>
              <w:t xml:space="preserve">; </w:t>
            </w:r>
            <w:r w:rsidRPr="00AD2B33">
              <w:rPr>
                <w:rFonts w:cs="Arial"/>
                <w:sz w:val="22"/>
                <w:szCs w:val="22"/>
              </w:rPr>
              <w:t>Pettigrew</w:t>
            </w:r>
            <w:r w:rsidR="00AD2B33" w:rsidRPr="00AD2B33">
              <w:rPr>
                <w:rFonts w:cs="Arial"/>
                <w:sz w:val="22"/>
                <w:szCs w:val="22"/>
              </w:rPr>
              <w:t xml:space="preserve"> 2012; </w:t>
            </w:r>
            <w:r w:rsidR="00CC7711" w:rsidRPr="00AD2B33">
              <w:rPr>
                <w:rFonts w:cs="Arial"/>
                <w:sz w:val="22"/>
                <w:szCs w:val="22"/>
              </w:rPr>
              <w:t>PSSRU, 201</w:t>
            </w:r>
            <w:r w:rsidR="00AD2B33" w:rsidRPr="00AD2B33">
              <w:rPr>
                <w:rFonts w:cs="Arial"/>
                <w:sz w:val="22"/>
                <w:szCs w:val="22"/>
              </w:rPr>
              <w:t>4</w:t>
            </w:r>
          </w:p>
        </w:tc>
      </w:tr>
      <w:tr w:rsidR="00BE69CC" w:rsidRPr="002A1891" w14:paraId="0663A341" w14:textId="77777777" w:rsidTr="00AD2B33">
        <w:tc>
          <w:tcPr>
            <w:tcW w:w="2943" w:type="dxa"/>
          </w:tcPr>
          <w:p w14:paraId="2A5E592C" w14:textId="0604FC12" w:rsidR="00BE69CC" w:rsidRPr="002A1891" w:rsidRDefault="00BE69CC" w:rsidP="00BE69CC">
            <w:pPr>
              <w:rPr>
                <w:rFonts w:cs="Arial"/>
                <w:szCs w:val="22"/>
              </w:rPr>
            </w:pPr>
            <w:r w:rsidRPr="002A1891">
              <w:rPr>
                <w:rFonts w:cs="Arial"/>
                <w:sz w:val="22"/>
                <w:szCs w:val="22"/>
              </w:rPr>
              <w:t>Compliance</w:t>
            </w:r>
          </w:p>
        </w:tc>
        <w:tc>
          <w:tcPr>
            <w:tcW w:w="2734" w:type="dxa"/>
          </w:tcPr>
          <w:p w14:paraId="008FB2AD" w14:textId="77777777" w:rsidR="00BE69CC" w:rsidRPr="002A1891" w:rsidRDefault="00BE69CC" w:rsidP="00BE69CC">
            <w:pPr>
              <w:rPr>
                <w:rFonts w:cs="Arial"/>
                <w:szCs w:val="22"/>
              </w:rPr>
            </w:pPr>
            <w:r w:rsidRPr="002A1891">
              <w:rPr>
                <w:rFonts w:cs="Arial"/>
                <w:sz w:val="22"/>
                <w:szCs w:val="22"/>
              </w:rPr>
              <w:t>It is assumed that all patients would complete the full course of treatment</w:t>
            </w:r>
          </w:p>
        </w:tc>
        <w:tc>
          <w:tcPr>
            <w:tcW w:w="3220" w:type="dxa"/>
          </w:tcPr>
          <w:p w14:paraId="23C6381E" w14:textId="77777777" w:rsidR="00BE69CC" w:rsidRPr="002A1891" w:rsidRDefault="00BE69CC" w:rsidP="00BE69CC">
            <w:pPr>
              <w:rPr>
                <w:rFonts w:cs="Arial"/>
                <w:szCs w:val="22"/>
              </w:rPr>
            </w:pPr>
          </w:p>
        </w:tc>
      </w:tr>
      <w:tr w:rsidR="00BE69CC" w:rsidRPr="002A1891" w14:paraId="331FBCCA" w14:textId="77777777" w:rsidTr="00AD2B33">
        <w:tc>
          <w:tcPr>
            <w:tcW w:w="2943" w:type="dxa"/>
          </w:tcPr>
          <w:p w14:paraId="377AB71D" w14:textId="77777777" w:rsidR="00BE69CC" w:rsidRPr="002A1891" w:rsidRDefault="00BE69CC" w:rsidP="00BE69CC">
            <w:pPr>
              <w:rPr>
                <w:rFonts w:cs="Arial"/>
                <w:szCs w:val="22"/>
              </w:rPr>
            </w:pPr>
            <w:r w:rsidRPr="002A1891">
              <w:rPr>
                <w:rFonts w:cs="Arial"/>
                <w:sz w:val="22"/>
                <w:szCs w:val="22"/>
              </w:rPr>
              <w:t xml:space="preserve">Cost of adverse events </w:t>
            </w:r>
          </w:p>
        </w:tc>
        <w:tc>
          <w:tcPr>
            <w:tcW w:w="2734" w:type="dxa"/>
          </w:tcPr>
          <w:p w14:paraId="79CFA218" w14:textId="77777777" w:rsidR="00BE69CC" w:rsidRPr="002A1891" w:rsidRDefault="00BE69CC" w:rsidP="00BE69CC">
            <w:pPr>
              <w:pStyle w:val="BodyText"/>
              <w:rPr>
                <w:rFonts w:cs="Arial"/>
                <w:sz w:val="22"/>
                <w:szCs w:val="22"/>
              </w:rPr>
            </w:pPr>
            <w:r w:rsidRPr="002A1891">
              <w:rPr>
                <w:rFonts w:cs="Arial"/>
                <w:sz w:val="22"/>
                <w:szCs w:val="22"/>
              </w:rPr>
              <w:t>Not included</w:t>
            </w:r>
          </w:p>
        </w:tc>
        <w:tc>
          <w:tcPr>
            <w:tcW w:w="3220" w:type="dxa"/>
          </w:tcPr>
          <w:p w14:paraId="2D8A710D" w14:textId="77777777" w:rsidR="00BE69CC" w:rsidRPr="002A1891" w:rsidRDefault="00BE69CC" w:rsidP="00BE69CC">
            <w:pPr>
              <w:pStyle w:val="BodyText"/>
              <w:rPr>
                <w:rFonts w:cs="Arial"/>
                <w:sz w:val="22"/>
                <w:szCs w:val="22"/>
              </w:rPr>
            </w:pPr>
            <w:r w:rsidRPr="002A1891">
              <w:rPr>
                <w:sz w:val="22"/>
                <w:szCs w:val="22"/>
              </w:rPr>
              <w:t>The types of adverse events are similar with most first-line medications. The potential costs of treatment associated with the adverse events are not expected to be substantial.</w:t>
            </w:r>
          </w:p>
        </w:tc>
      </w:tr>
      <w:tr w:rsidR="00BE69CC" w:rsidRPr="002A1891" w14:paraId="369ACF91" w14:textId="77777777" w:rsidTr="00AD2B33">
        <w:tc>
          <w:tcPr>
            <w:tcW w:w="2943" w:type="dxa"/>
          </w:tcPr>
          <w:p w14:paraId="639A6CA5" w14:textId="77777777" w:rsidR="00BE69CC" w:rsidRPr="002A1891" w:rsidRDefault="00BE69CC" w:rsidP="00BE69CC">
            <w:pPr>
              <w:rPr>
                <w:rFonts w:cs="Arial"/>
                <w:szCs w:val="22"/>
              </w:rPr>
            </w:pPr>
            <w:r w:rsidRPr="002A1891">
              <w:rPr>
                <w:rFonts w:cs="Arial"/>
                <w:sz w:val="22"/>
                <w:szCs w:val="22"/>
              </w:rPr>
              <w:t>Length of stay in hospital</w:t>
            </w:r>
          </w:p>
        </w:tc>
        <w:tc>
          <w:tcPr>
            <w:tcW w:w="2734" w:type="dxa"/>
          </w:tcPr>
          <w:p w14:paraId="3646D8EC" w14:textId="77777777" w:rsidR="00BE69CC" w:rsidRPr="002A1891" w:rsidRDefault="00BE69CC" w:rsidP="00BE69CC">
            <w:pPr>
              <w:rPr>
                <w:rFonts w:cs="Arial"/>
                <w:szCs w:val="22"/>
              </w:rPr>
            </w:pPr>
            <w:r w:rsidRPr="002A1891">
              <w:rPr>
                <w:rFonts w:cs="Arial"/>
                <w:sz w:val="22"/>
                <w:szCs w:val="22"/>
              </w:rPr>
              <w:t>Not included</w:t>
            </w:r>
          </w:p>
        </w:tc>
        <w:tc>
          <w:tcPr>
            <w:tcW w:w="3220" w:type="dxa"/>
          </w:tcPr>
          <w:p w14:paraId="56FCAD8D" w14:textId="77777777" w:rsidR="00BE69CC" w:rsidRPr="002A1891" w:rsidRDefault="00BE69CC" w:rsidP="00BE69CC">
            <w:pPr>
              <w:rPr>
                <w:rFonts w:cs="Arial"/>
                <w:szCs w:val="22"/>
              </w:rPr>
            </w:pPr>
            <w:r w:rsidRPr="002A1891">
              <w:rPr>
                <w:rFonts w:cs="Arial"/>
                <w:sz w:val="22"/>
                <w:szCs w:val="22"/>
              </w:rPr>
              <w:t xml:space="preserve"> - </w:t>
            </w:r>
          </w:p>
        </w:tc>
      </w:tr>
      <w:tr w:rsidR="00BE69CC" w:rsidRPr="002A1891" w14:paraId="7C5E457D" w14:textId="77777777" w:rsidTr="00AD2B33">
        <w:tc>
          <w:tcPr>
            <w:tcW w:w="2943" w:type="dxa"/>
          </w:tcPr>
          <w:p w14:paraId="6C19C33E" w14:textId="77777777" w:rsidR="00BE69CC" w:rsidRPr="002A1891" w:rsidRDefault="00BE69CC" w:rsidP="00BE69CC">
            <w:pPr>
              <w:rPr>
                <w:rFonts w:cs="Arial"/>
                <w:szCs w:val="22"/>
              </w:rPr>
            </w:pPr>
            <w:r w:rsidRPr="002A1891">
              <w:rPr>
                <w:rFonts w:cs="Arial"/>
                <w:sz w:val="22"/>
                <w:szCs w:val="22"/>
              </w:rPr>
              <w:t>Hospitalisation costs</w:t>
            </w:r>
          </w:p>
        </w:tc>
        <w:tc>
          <w:tcPr>
            <w:tcW w:w="2734" w:type="dxa"/>
          </w:tcPr>
          <w:p w14:paraId="33640BFF" w14:textId="77777777" w:rsidR="00BE69CC" w:rsidRPr="002A1891" w:rsidRDefault="00BE69CC" w:rsidP="00BE69CC">
            <w:pPr>
              <w:rPr>
                <w:rFonts w:cs="Arial"/>
                <w:szCs w:val="22"/>
              </w:rPr>
            </w:pPr>
            <w:r w:rsidRPr="002A1891">
              <w:rPr>
                <w:rFonts w:cs="Arial"/>
                <w:sz w:val="22"/>
                <w:szCs w:val="22"/>
              </w:rPr>
              <w:t>Not included</w:t>
            </w:r>
          </w:p>
        </w:tc>
        <w:tc>
          <w:tcPr>
            <w:tcW w:w="3220" w:type="dxa"/>
          </w:tcPr>
          <w:p w14:paraId="202D13D3" w14:textId="77777777" w:rsidR="00BE69CC" w:rsidRPr="002A1891" w:rsidRDefault="00BE69CC" w:rsidP="00BE69CC">
            <w:pPr>
              <w:rPr>
                <w:rFonts w:cs="Arial"/>
                <w:szCs w:val="22"/>
              </w:rPr>
            </w:pPr>
            <w:r w:rsidRPr="002A1891">
              <w:rPr>
                <w:rFonts w:cs="Arial"/>
                <w:sz w:val="22"/>
                <w:szCs w:val="22"/>
              </w:rPr>
              <w:t xml:space="preserve"> - </w:t>
            </w:r>
          </w:p>
        </w:tc>
      </w:tr>
      <w:tr w:rsidR="00CC7711" w:rsidRPr="002A1891" w14:paraId="4DB89E64" w14:textId="77777777" w:rsidTr="00AD2B33">
        <w:tc>
          <w:tcPr>
            <w:tcW w:w="2943" w:type="dxa"/>
          </w:tcPr>
          <w:p w14:paraId="7BD8489E" w14:textId="463FB3D0" w:rsidR="00CC7711" w:rsidRPr="00BD13DD" w:rsidRDefault="00CC7711" w:rsidP="00BE69CC">
            <w:pPr>
              <w:rPr>
                <w:rFonts w:cs="Arial"/>
                <w:szCs w:val="22"/>
              </w:rPr>
            </w:pPr>
            <w:r w:rsidRPr="00BD13DD">
              <w:rPr>
                <w:rFonts w:cs="Arial"/>
                <w:sz w:val="22"/>
                <w:szCs w:val="22"/>
              </w:rPr>
              <w:t>Utility values</w:t>
            </w:r>
          </w:p>
        </w:tc>
        <w:tc>
          <w:tcPr>
            <w:tcW w:w="2734" w:type="dxa"/>
          </w:tcPr>
          <w:p w14:paraId="3366DDEB" w14:textId="4DCFA9CA" w:rsidR="00CC7711" w:rsidRPr="00BD13DD" w:rsidRDefault="00CC7711" w:rsidP="00BE69CC">
            <w:pPr>
              <w:rPr>
                <w:rFonts w:cs="Arial"/>
                <w:szCs w:val="22"/>
              </w:rPr>
            </w:pPr>
            <w:r w:rsidRPr="00BD13DD">
              <w:rPr>
                <w:rFonts w:cs="Arial"/>
                <w:sz w:val="22"/>
                <w:szCs w:val="22"/>
              </w:rPr>
              <w:t>Not applicable</w:t>
            </w:r>
          </w:p>
        </w:tc>
        <w:tc>
          <w:tcPr>
            <w:tcW w:w="3220" w:type="dxa"/>
          </w:tcPr>
          <w:p w14:paraId="0C5C586A" w14:textId="77777777" w:rsidR="00CC7711" w:rsidRPr="00BD13DD" w:rsidRDefault="00CC7711" w:rsidP="00BE69CC">
            <w:pPr>
              <w:rPr>
                <w:rFonts w:cs="Arial"/>
                <w:szCs w:val="22"/>
              </w:rPr>
            </w:pPr>
          </w:p>
        </w:tc>
      </w:tr>
    </w:tbl>
    <w:p w14:paraId="63FE04D1" w14:textId="77777777" w:rsidR="00BE69CC" w:rsidRPr="002A1891" w:rsidRDefault="00BE69CC" w:rsidP="00BE69CC">
      <w:pPr>
        <w:pStyle w:val="Caption"/>
        <w:spacing w:after="0"/>
        <w:rPr>
          <w:szCs w:val="22"/>
        </w:rPr>
      </w:pPr>
      <w:r w:rsidRPr="002A1891">
        <w:rPr>
          <w:rFonts w:ascii="Arial" w:hAnsi="Arial" w:cs="Arial"/>
          <w:sz w:val="22"/>
          <w:szCs w:val="22"/>
        </w:rPr>
        <w:t>6.5</w:t>
      </w:r>
      <w:r w:rsidRPr="002A1891">
        <w:rPr>
          <w:rFonts w:ascii="Arial" w:hAnsi="Arial" w:cs="Arial"/>
          <w:sz w:val="22"/>
          <w:szCs w:val="22"/>
        </w:rPr>
        <w:tab/>
        <w:t xml:space="preserve">Sensitivity analyses  </w:t>
      </w:r>
    </w:p>
    <w:p w14:paraId="230BB293" w14:textId="77777777" w:rsidR="00BE69CC" w:rsidRPr="002A1891" w:rsidRDefault="00BE69CC" w:rsidP="00BE69CC">
      <w:pPr>
        <w:pStyle w:val="NormalWeb"/>
        <w:spacing w:before="0" w:after="0"/>
        <w:rPr>
          <w:rFonts w:ascii="Arial" w:hAnsi="Arial" w:cs="Arial"/>
          <w:b/>
          <w:sz w:val="22"/>
          <w:szCs w:val="22"/>
        </w:rPr>
      </w:pPr>
    </w:p>
    <w:p w14:paraId="12CE736B" w14:textId="5D270F6F" w:rsidR="00BE69CC" w:rsidRPr="00BD13DD" w:rsidRDefault="00BE69CC" w:rsidP="00BE69CC">
      <w:pPr>
        <w:rPr>
          <w:rFonts w:cs="Arial"/>
          <w:iCs/>
          <w:sz w:val="22"/>
          <w:szCs w:val="22"/>
        </w:rPr>
      </w:pPr>
      <w:r w:rsidRPr="00BD13DD">
        <w:rPr>
          <w:rFonts w:cs="Arial"/>
          <w:iCs/>
          <w:sz w:val="22"/>
          <w:szCs w:val="22"/>
        </w:rPr>
        <w:t xml:space="preserve">The CMA is based on </w:t>
      </w:r>
      <w:r w:rsidR="00460B3B" w:rsidRPr="00BD13DD">
        <w:rPr>
          <w:rFonts w:cs="Arial"/>
          <w:iCs/>
          <w:sz w:val="22"/>
          <w:szCs w:val="22"/>
        </w:rPr>
        <w:t>medicine</w:t>
      </w:r>
      <w:r w:rsidRPr="00BD13DD">
        <w:rPr>
          <w:rFonts w:cs="Arial"/>
          <w:iCs/>
          <w:sz w:val="22"/>
          <w:szCs w:val="22"/>
        </w:rPr>
        <w:t xml:space="preserve"> </w:t>
      </w:r>
      <w:r w:rsidR="00CC7711" w:rsidRPr="00BD13DD">
        <w:rPr>
          <w:rFonts w:cs="Arial"/>
          <w:iCs/>
          <w:sz w:val="22"/>
          <w:szCs w:val="22"/>
        </w:rPr>
        <w:t xml:space="preserve">acquisition and associated administration and monitoring </w:t>
      </w:r>
      <w:r w:rsidRPr="00BD13DD">
        <w:rPr>
          <w:rFonts w:cs="Arial"/>
          <w:iCs/>
          <w:sz w:val="22"/>
          <w:szCs w:val="22"/>
        </w:rPr>
        <w:t xml:space="preserve">costs for tedizolid </w:t>
      </w:r>
      <w:r w:rsidR="00AA6291" w:rsidRPr="00BD13DD">
        <w:rPr>
          <w:rFonts w:cs="Arial"/>
          <w:iCs/>
          <w:sz w:val="22"/>
          <w:szCs w:val="22"/>
        </w:rPr>
        <w:t xml:space="preserve">phosphate </w:t>
      </w:r>
      <w:r w:rsidRPr="00BD13DD">
        <w:rPr>
          <w:rFonts w:cs="Arial"/>
          <w:iCs/>
          <w:sz w:val="22"/>
          <w:szCs w:val="22"/>
        </w:rPr>
        <w:t xml:space="preserve">and linezolid according to dosage, daily </w:t>
      </w:r>
      <w:r w:rsidR="00460B3B" w:rsidRPr="00BD13DD">
        <w:rPr>
          <w:rFonts w:cs="Arial"/>
          <w:iCs/>
          <w:sz w:val="22"/>
          <w:szCs w:val="22"/>
        </w:rPr>
        <w:t>medicine</w:t>
      </w:r>
      <w:r w:rsidRPr="00BD13DD">
        <w:rPr>
          <w:rFonts w:cs="Arial"/>
          <w:iCs/>
          <w:sz w:val="22"/>
          <w:szCs w:val="22"/>
        </w:rPr>
        <w:t xml:space="preserve"> price and duration of treatment. Therefore, the options for conducting sensitivity analyses of key variables are somewhat limited.</w:t>
      </w:r>
    </w:p>
    <w:p w14:paraId="152E8453" w14:textId="77777777" w:rsidR="00BE69CC" w:rsidRPr="00BD13DD" w:rsidRDefault="00BE69CC" w:rsidP="00BE69CC">
      <w:pPr>
        <w:pStyle w:val="NormalWeb"/>
        <w:spacing w:before="0" w:after="0"/>
        <w:rPr>
          <w:rFonts w:ascii="Arial" w:hAnsi="Arial" w:cs="Arial"/>
          <w:sz w:val="22"/>
          <w:szCs w:val="22"/>
        </w:rPr>
      </w:pPr>
    </w:p>
    <w:p w14:paraId="34971D53" w14:textId="7716CC16" w:rsidR="00BE69CC" w:rsidRPr="00BD13DD" w:rsidRDefault="00BE69CC" w:rsidP="00BE69CC">
      <w:pPr>
        <w:pStyle w:val="Level3"/>
        <w:spacing w:line="240" w:lineRule="auto"/>
        <w:rPr>
          <w:rFonts w:ascii="Arial" w:hAnsi="Arial"/>
          <w:b/>
          <w:i w:val="0"/>
          <w:sz w:val="22"/>
          <w:szCs w:val="22"/>
        </w:rPr>
      </w:pPr>
      <w:r w:rsidRPr="00BD13DD">
        <w:rPr>
          <w:rFonts w:ascii="Arial" w:hAnsi="Arial"/>
          <w:i w:val="0"/>
          <w:sz w:val="22"/>
          <w:szCs w:val="22"/>
        </w:rPr>
        <w:t xml:space="preserve">The CMA design is based on </w:t>
      </w:r>
      <w:r w:rsidR="00BD454B" w:rsidRPr="00BD13DD">
        <w:rPr>
          <w:rFonts w:ascii="Arial" w:hAnsi="Arial"/>
          <w:i w:val="0"/>
          <w:sz w:val="22"/>
          <w:szCs w:val="22"/>
        </w:rPr>
        <w:t xml:space="preserve">the </w:t>
      </w:r>
      <w:r w:rsidRPr="00BD13DD">
        <w:rPr>
          <w:rFonts w:ascii="Arial" w:hAnsi="Arial"/>
          <w:i w:val="0"/>
          <w:sz w:val="22"/>
          <w:szCs w:val="22"/>
        </w:rPr>
        <w:t xml:space="preserve">fact that </w:t>
      </w:r>
      <w:r w:rsidR="00AA6291" w:rsidRPr="00BD13DD">
        <w:rPr>
          <w:rFonts w:ascii="Arial" w:hAnsi="Arial"/>
          <w:i w:val="0"/>
          <w:sz w:val="22"/>
          <w:szCs w:val="22"/>
        </w:rPr>
        <w:t xml:space="preserve">the </w:t>
      </w:r>
      <w:r w:rsidR="0075674B">
        <w:rPr>
          <w:rFonts w:ascii="Arial" w:hAnsi="Arial"/>
          <w:i w:val="0"/>
          <w:sz w:val="22"/>
          <w:szCs w:val="22"/>
        </w:rPr>
        <w:t>tedizolid phosphate c</w:t>
      </w:r>
      <w:r w:rsidRPr="00BD13DD">
        <w:rPr>
          <w:rFonts w:ascii="Arial" w:hAnsi="Arial"/>
          <w:i w:val="0"/>
          <w:sz w:val="22"/>
          <w:szCs w:val="22"/>
        </w:rPr>
        <w:t xml:space="preserve">linical studies are non-inferiority studies. Therefore no difference in distributions of the input variables of the model is expected, and consequently a </w:t>
      </w:r>
      <w:r w:rsidRPr="00BD13DD">
        <w:rPr>
          <w:rFonts w:ascii="Arial" w:hAnsi="Arial" w:cs="Arial"/>
          <w:i w:val="0"/>
          <w:sz w:val="22"/>
          <w:szCs w:val="22"/>
        </w:rPr>
        <w:t xml:space="preserve">probabilistic sensitivity analysis </w:t>
      </w:r>
      <w:r w:rsidRPr="00BD13DD">
        <w:rPr>
          <w:rFonts w:ascii="Arial" w:hAnsi="Arial"/>
          <w:i w:val="0"/>
          <w:sz w:val="22"/>
          <w:szCs w:val="22"/>
        </w:rPr>
        <w:t>is not relevant.</w:t>
      </w:r>
    </w:p>
    <w:p w14:paraId="244CC355" w14:textId="77777777" w:rsidR="00BE69CC" w:rsidRPr="00BD13DD" w:rsidRDefault="00BE69CC" w:rsidP="00BE69CC">
      <w:pPr>
        <w:pStyle w:val="NormalWeb"/>
        <w:spacing w:before="0" w:after="0"/>
        <w:rPr>
          <w:rFonts w:ascii="Arial" w:hAnsi="Arial" w:cs="Arial"/>
          <w:sz w:val="22"/>
          <w:szCs w:val="22"/>
        </w:rPr>
      </w:pPr>
    </w:p>
    <w:p w14:paraId="434F9F17" w14:textId="77777777" w:rsidR="009152B5" w:rsidRDefault="009152B5" w:rsidP="00BE69CC">
      <w:pPr>
        <w:pStyle w:val="NormalWeb"/>
        <w:spacing w:before="0" w:after="0"/>
        <w:rPr>
          <w:rFonts w:ascii="Arial" w:hAnsi="Arial" w:cs="Arial"/>
          <w:sz w:val="22"/>
          <w:szCs w:val="22"/>
        </w:rPr>
      </w:pPr>
      <w:r>
        <w:rPr>
          <w:rFonts w:ascii="Arial" w:hAnsi="Arial" w:cs="Arial"/>
          <w:sz w:val="22"/>
          <w:szCs w:val="22"/>
        </w:rPr>
        <w:t>Three</w:t>
      </w:r>
      <w:r w:rsidR="00BE69CC" w:rsidRPr="00BD13DD">
        <w:rPr>
          <w:rFonts w:ascii="Arial" w:hAnsi="Arial" w:cs="Arial"/>
          <w:sz w:val="22"/>
          <w:szCs w:val="22"/>
        </w:rPr>
        <w:t xml:space="preserve"> one-way sensitivity analyses have been undertaken: </w:t>
      </w:r>
    </w:p>
    <w:p w14:paraId="1FBE50DD" w14:textId="77777777" w:rsidR="009152B5" w:rsidRDefault="009152B5" w:rsidP="00BE69CC">
      <w:pPr>
        <w:pStyle w:val="NormalWeb"/>
        <w:spacing w:before="0" w:after="0"/>
        <w:rPr>
          <w:rFonts w:ascii="Arial" w:hAnsi="Arial" w:cs="Arial"/>
          <w:sz w:val="22"/>
          <w:szCs w:val="22"/>
        </w:rPr>
      </w:pPr>
    </w:p>
    <w:p w14:paraId="682A7999" w14:textId="32B048C5" w:rsidR="009152B5" w:rsidRPr="009152B5" w:rsidRDefault="009152B5" w:rsidP="009152B5">
      <w:pPr>
        <w:pStyle w:val="NormalWeb"/>
        <w:numPr>
          <w:ilvl w:val="2"/>
          <w:numId w:val="1"/>
        </w:numPr>
        <w:spacing w:before="0" w:after="0"/>
        <w:ind w:left="567" w:hanging="567"/>
        <w:rPr>
          <w:rFonts w:ascii="Arial" w:hAnsi="Arial" w:cs="Arial"/>
          <w:sz w:val="22"/>
          <w:szCs w:val="22"/>
        </w:rPr>
      </w:pPr>
      <w:r w:rsidRPr="009152B5">
        <w:rPr>
          <w:rFonts w:ascii="Arial" w:hAnsi="Arial" w:cs="Arial"/>
          <w:sz w:val="22"/>
          <w:szCs w:val="22"/>
        </w:rPr>
        <w:t xml:space="preserve">Sensitivity analysis 1 </w:t>
      </w:r>
      <w:r w:rsidR="00BE69CC" w:rsidRPr="009152B5">
        <w:rPr>
          <w:rFonts w:ascii="Arial" w:hAnsi="Arial" w:cs="Arial"/>
          <w:sz w:val="22"/>
          <w:szCs w:val="22"/>
        </w:rPr>
        <w:t>varies the number of days’ treatment of IV vs. oral therapy</w:t>
      </w:r>
    </w:p>
    <w:p w14:paraId="539511FF" w14:textId="35C147F3" w:rsidR="009152B5" w:rsidRPr="009152B5" w:rsidRDefault="009152B5" w:rsidP="009152B5">
      <w:pPr>
        <w:pStyle w:val="NormalWeb"/>
        <w:numPr>
          <w:ilvl w:val="2"/>
          <w:numId w:val="1"/>
        </w:numPr>
        <w:spacing w:before="0" w:after="0"/>
        <w:ind w:left="567" w:hanging="567"/>
        <w:rPr>
          <w:rFonts w:ascii="Arial" w:hAnsi="Arial" w:cs="Arial"/>
          <w:sz w:val="22"/>
          <w:szCs w:val="22"/>
        </w:rPr>
      </w:pPr>
      <w:r w:rsidRPr="009152B5">
        <w:rPr>
          <w:rFonts w:ascii="Arial" w:hAnsi="Arial" w:cs="Arial"/>
          <w:sz w:val="22"/>
          <w:szCs w:val="22"/>
        </w:rPr>
        <w:t>Sensitivity analysis 2</w:t>
      </w:r>
      <w:r w:rsidR="00BE69CC" w:rsidRPr="009152B5">
        <w:rPr>
          <w:rFonts w:ascii="Arial" w:hAnsi="Arial" w:cs="Arial"/>
          <w:sz w:val="22"/>
          <w:szCs w:val="22"/>
        </w:rPr>
        <w:t xml:space="preserve"> varies the overall length of a course of treatment. In ESTABLISH-1, 6 days of oral tedizolid phosphate was </w:t>
      </w:r>
      <w:r w:rsidR="00F367DD" w:rsidRPr="00721CB2">
        <w:rPr>
          <w:rFonts w:ascii="Arial" w:hAnsi="Arial" w:cs="Arial"/>
          <w:sz w:val="22"/>
          <w:szCs w:val="22"/>
        </w:rPr>
        <w:t xml:space="preserve">as effective as </w:t>
      </w:r>
      <w:r w:rsidR="00BE69CC" w:rsidRPr="009152B5">
        <w:rPr>
          <w:rFonts w:ascii="Arial" w:hAnsi="Arial" w:cs="Arial"/>
          <w:sz w:val="22"/>
          <w:szCs w:val="22"/>
        </w:rPr>
        <w:t>10 days of oral linezolid. However, linezolid is</w:t>
      </w:r>
      <w:r w:rsidR="0050270E">
        <w:rPr>
          <w:rFonts w:ascii="Arial" w:hAnsi="Arial" w:cs="Arial"/>
          <w:sz w:val="22"/>
          <w:szCs w:val="22"/>
        </w:rPr>
        <w:t xml:space="preserve"> licensed for a </w:t>
      </w:r>
      <w:r w:rsidR="00BE69CC" w:rsidRPr="009152B5">
        <w:rPr>
          <w:rFonts w:ascii="Arial" w:hAnsi="Arial" w:cs="Arial"/>
          <w:sz w:val="22"/>
          <w:szCs w:val="22"/>
        </w:rPr>
        <w:t>maximum treatment duration of 28 days, with a dose of 600mg twice daily for 10-14 consecutive days as the recommended dose for cSSTIs (</w:t>
      </w:r>
      <w:r w:rsidR="006F010F">
        <w:rPr>
          <w:rFonts w:ascii="Arial" w:hAnsi="Arial" w:cs="Arial"/>
          <w:sz w:val="22"/>
          <w:szCs w:val="22"/>
        </w:rPr>
        <w:fldChar w:fldCharType="begin"/>
      </w:r>
      <w:r w:rsidR="006F010F">
        <w:rPr>
          <w:rFonts w:ascii="Arial" w:hAnsi="Arial" w:cs="Arial"/>
          <w:sz w:val="22"/>
          <w:szCs w:val="22"/>
        </w:rPr>
        <w:instrText xml:space="preserve"> REF _Ref284439522 \r \h </w:instrText>
      </w:r>
      <w:r w:rsidR="006F010F">
        <w:rPr>
          <w:rFonts w:ascii="Arial" w:hAnsi="Arial" w:cs="Arial"/>
          <w:sz w:val="22"/>
          <w:szCs w:val="22"/>
        </w:rPr>
      </w:r>
      <w:r w:rsidR="006F010F">
        <w:rPr>
          <w:rFonts w:ascii="Arial" w:hAnsi="Arial" w:cs="Arial"/>
          <w:sz w:val="22"/>
          <w:szCs w:val="22"/>
        </w:rPr>
        <w:fldChar w:fldCharType="separate"/>
      </w:r>
      <w:r w:rsidR="00151A1C">
        <w:rPr>
          <w:rFonts w:ascii="Arial" w:hAnsi="Arial" w:cs="Arial"/>
          <w:sz w:val="22"/>
          <w:szCs w:val="22"/>
        </w:rPr>
        <w:t>74</w:t>
      </w:r>
      <w:r w:rsidR="006F010F">
        <w:rPr>
          <w:rFonts w:ascii="Arial" w:hAnsi="Arial" w:cs="Arial"/>
          <w:sz w:val="22"/>
          <w:szCs w:val="22"/>
        </w:rPr>
        <w:fldChar w:fldCharType="end"/>
      </w:r>
      <w:r w:rsidR="00BE69CC" w:rsidRPr="009152B5">
        <w:rPr>
          <w:rFonts w:ascii="Arial" w:hAnsi="Arial" w:cs="Arial"/>
          <w:sz w:val="22"/>
          <w:szCs w:val="22"/>
        </w:rPr>
        <w:t xml:space="preserve">). </w:t>
      </w:r>
      <w:r w:rsidRPr="009152B5">
        <w:rPr>
          <w:rFonts w:ascii="Arial" w:hAnsi="Arial" w:cs="Arial"/>
          <w:sz w:val="22"/>
          <w:szCs w:val="22"/>
        </w:rPr>
        <w:t xml:space="preserve">These sensitivity analyses are designed to evaluate the differences in drug acquisition and administration costs if the course of treatment was shorter or longer than that compared in the Phase 3 clinical studies; </w:t>
      </w:r>
    </w:p>
    <w:p w14:paraId="7C5A6B10" w14:textId="77777777" w:rsidR="009152B5" w:rsidRPr="009152B5" w:rsidRDefault="009152B5" w:rsidP="009152B5">
      <w:pPr>
        <w:pStyle w:val="NormalWeb"/>
        <w:numPr>
          <w:ilvl w:val="2"/>
          <w:numId w:val="1"/>
        </w:numPr>
        <w:spacing w:before="0" w:after="0"/>
        <w:ind w:left="567" w:hanging="567"/>
        <w:rPr>
          <w:rFonts w:ascii="Arial" w:hAnsi="Arial" w:cs="Arial"/>
          <w:sz w:val="22"/>
          <w:szCs w:val="22"/>
        </w:rPr>
      </w:pPr>
      <w:r w:rsidRPr="009152B5">
        <w:rPr>
          <w:rFonts w:ascii="Arial" w:hAnsi="Arial" w:cs="Arial"/>
          <w:sz w:val="22"/>
          <w:szCs w:val="22"/>
        </w:rPr>
        <w:t>Sensitivity analysis 3</w:t>
      </w:r>
      <w:r w:rsidR="00CC2BF2" w:rsidRPr="009152B5">
        <w:rPr>
          <w:rFonts w:ascii="Arial" w:hAnsi="Arial" w:cs="Arial"/>
          <w:sz w:val="22"/>
          <w:szCs w:val="22"/>
        </w:rPr>
        <w:t xml:space="preserve"> varies the proportion of linezolid patients who receive monitoring in accordance with the requirements of the SmPC. </w:t>
      </w:r>
    </w:p>
    <w:p w14:paraId="6F53D864" w14:textId="77777777" w:rsidR="009152B5" w:rsidRDefault="009152B5" w:rsidP="009152B5">
      <w:pPr>
        <w:pStyle w:val="NormalWeb"/>
        <w:spacing w:before="0" w:after="0"/>
        <w:rPr>
          <w:rFonts w:ascii="Arial" w:hAnsi="Arial" w:cs="Arial"/>
          <w:b/>
          <w:sz w:val="22"/>
          <w:szCs w:val="22"/>
        </w:rPr>
      </w:pPr>
    </w:p>
    <w:p w14:paraId="2E90502F" w14:textId="33CA34AE" w:rsidR="00BE69CC" w:rsidRPr="00BD13DD" w:rsidRDefault="00BE69CC" w:rsidP="009152B5">
      <w:pPr>
        <w:pStyle w:val="NormalWeb"/>
        <w:spacing w:before="0" w:after="0"/>
        <w:rPr>
          <w:rFonts w:ascii="Arial" w:hAnsi="Arial" w:cs="Arial"/>
          <w:b/>
          <w:sz w:val="22"/>
          <w:szCs w:val="22"/>
        </w:rPr>
      </w:pPr>
      <w:r w:rsidRPr="00BD13DD">
        <w:rPr>
          <w:rFonts w:ascii="Arial" w:hAnsi="Arial" w:cs="Arial"/>
          <w:b/>
          <w:sz w:val="22"/>
          <w:szCs w:val="22"/>
        </w:rPr>
        <w:t>6.5.1. Clinical data inputs</w:t>
      </w:r>
    </w:p>
    <w:p w14:paraId="7160EDF1" w14:textId="77777777" w:rsidR="00BE69CC" w:rsidRPr="00BD13DD" w:rsidRDefault="00BE69CC" w:rsidP="00BE69CC">
      <w:pPr>
        <w:pStyle w:val="NormalWeb"/>
        <w:spacing w:before="0" w:after="0"/>
        <w:rPr>
          <w:rFonts w:ascii="Arial" w:hAnsi="Arial" w:cs="Arial"/>
          <w:sz w:val="22"/>
          <w:szCs w:val="22"/>
        </w:rPr>
      </w:pPr>
    </w:p>
    <w:p w14:paraId="2E9532B5" w14:textId="77777777" w:rsidR="00BE69CC" w:rsidRPr="00BD13DD" w:rsidRDefault="00BE69CC" w:rsidP="00BE69CC">
      <w:pPr>
        <w:pStyle w:val="NormalWeb"/>
        <w:spacing w:before="0" w:after="0"/>
        <w:rPr>
          <w:rFonts w:ascii="Arial" w:hAnsi="Arial" w:cs="Arial"/>
          <w:sz w:val="22"/>
          <w:szCs w:val="22"/>
        </w:rPr>
      </w:pPr>
      <w:r w:rsidRPr="00BD13DD">
        <w:rPr>
          <w:rFonts w:ascii="Arial" w:hAnsi="Arial" w:cs="Arial"/>
          <w:sz w:val="22"/>
          <w:szCs w:val="22"/>
        </w:rPr>
        <w:t>As described for the base case in section 6.4.1.</w:t>
      </w:r>
    </w:p>
    <w:p w14:paraId="0F459CF3" w14:textId="77777777" w:rsidR="00E45F00" w:rsidRPr="00BD13DD" w:rsidRDefault="00E45F00" w:rsidP="00BE69CC">
      <w:pPr>
        <w:pStyle w:val="Heading2"/>
        <w:rPr>
          <w:sz w:val="22"/>
          <w:szCs w:val="22"/>
        </w:rPr>
      </w:pPr>
    </w:p>
    <w:p w14:paraId="2CC722D8" w14:textId="56A62917" w:rsidR="00BE69CC" w:rsidRPr="00BD13DD" w:rsidRDefault="00BE69CC" w:rsidP="00BE69CC">
      <w:pPr>
        <w:pStyle w:val="Heading2"/>
        <w:rPr>
          <w:sz w:val="22"/>
          <w:szCs w:val="22"/>
        </w:rPr>
      </w:pPr>
      <w:r w:rsidRPr="00BD13DD">
        <w:rPr>
          <w:sz w:val="22"/>
          <w:szCs w:val="22"/>
        </w:rPr>
        <w:t xml:space="preserve">6.5.2 </w:t>
      </w:r>
      <w:r w:rsidR="00460B3B" w:rsidRPr="00BD13DD">
        <w:rPr>
          <w:sz w:val="22"/>
          <w:szCs w:val="22"/>
        </w:rPr>
        <w:t>Medicine</w:t>
      </w:r>
      <w:r w:rsidRPr="00BD13DD">
        <w:rPr>
          <w:sz w:val="22"/>
          <w:szCs w:val="22"/>
        </w:rPr>
        <w:t xml:space="preserve"> acquisition costs</w:t>
      </w:r>
    </w:p>
    <w:p w14:paraId="6E90912E" w14:textId="77777777" w:rsidR="00BE69CC" w:rsidRPr="00BD13DD" w:rsidRDefault="00BE69CC" w:rsidP="00BE69CC">
      <w:pPr>
        <w:rPr>
          <w:sz w:val="22"/>
          <w:szCs w:val="22"/>
        </w:rPr>
      </w:pPr>
    </w:p>
    <w:p w14:paraId="3B1E9450" w14:textId="3B17FB4F" w:rsidR="00BE69CC" w:rsidRPr="00BD13DD" w:rsidRDefault="00BE69CC" w:rsidP="00BE69CC">
      <w:pPr>
        <w:rPr>
          <w:sz w:val="22"/>
          <w:szCs w:val="22"/>
        </w:rPr>
      </w:pPr>
      <w:r w:rsidRPr="00BD13DD">
        <w:rPr>
          <w:sz w:val="22"/>
          <w:szCs w:val="22"/>
        </w:rPr>
        <w:t xml:space="preserve">The respective costs per dose of tedizolid phosphate and linezolid are as described for the base case in </w:t>
      </w:r>
      <w:r w:rsidRPr="00BD13DD">
        <w:rPr>
          <w:sz w:val="22"/>
          <w:szCs w:val="22"/>
        </w:rPr>
        <w:fldChar w:fldCharType="begin"/>
      </w:r>
      <w:r w:rsidRPr="00BD13DD">
        <w:rPr>
          <w:sz w:val="22"/>
          <w:szCs w:val="22"/>
        </w:rPr>
        <w:instrText xml:space="preserve"> REF _Ref282966836 \h </w:instrText>
      </w:r>
      <w:r w:rsidRPr="00BD13DD">
        <w:rPr>
          <w:sz w:val="22"/>
          <w:szCs w:val="22"/>
        </w:rPr>
      </w:r>
      <w:r w:rsidRPr="00BD13DD">
        <w:rPr>
          <w:sz w:val="22"/>
          <w:szCs w:val="22"/>
        </w:rPr>
        <w:fldChar w:fldCharType="separate"/>
      </w:r>
      <w:r w:rsidR="00151A1C" w:rsidRPr="002A1891">
        <w:rPr>
          <w:rFonts w:cs="Arial"/>
          <w:sz w:val="22"/>
          <w:szCs w:val="22"/>
        </w:rPr>
        <w:t xml:space="preserve">Table </w:t>
      </w:r>
      <w:r w:rsidR="00151A1C">
        <w:rPr>
          <w:rFonts w:cs="Arial"/>
          <w:noProof/>
          <w:sz w:val="22"/>
          <w:szCs w:val="22"/>
        </w:rPr>
        <w:t>44</w:t>
      </w:r>
      <w:r w:rsidRPr="00BD13DD">
        <w:rPr>
          <w:sz w:val="22"/>
          <w:szCs w:val="22"/>
        </w:rPr>
        <w:fldChar w:fldCharType="end"/>
      </w:r>
      <w:r w:rsidRPr="00BD13DD">
        <w:rPr>
          <w:sz w:val="22"/>
          <w:szCs w:val="22"/>
        </w:rPr>
        <w:t>. However, the overall or total cost of a course of treatment changes according to the variable being changed in each of sensitivity analyses.</w:t>
      </w:r>
    </w:p>
    <w:p w14:paraId="33A13B77" w14:textId="77777777" w:rsidR="00945CB7" w:rsidRPr="00BD13DD" w:rsidRDefault="00945CB7" w:rsidP="00BE69CC">
      <w:pPr>
        <w:pStyle w:val="Heading2"/>
        <w:rPr>
          <w:sz w:val="22"/>
          <w:szCs w:val="22"/>
        </w:rPr>
      </w:pPr>
    </w:p>
    <w:p w14:paraId="1F2C8B9E" w14:textId="77777777" w:rsidR="00BE69CC" w:rsidRPr="00BD13DD" w:rsidRDefault="00BE69CC" w:rsidP="00BE69CC">
      <w:pPr>
        <w:pStyle w:val="Heading2"/>
        <w:rPr>
          <w:sz w:val="22"/>
          <w:szCs w:val="22"/>
        </w:rPr>
      </w:pPr>
      <w:r w:rsidRPr="00BD13DD">
        <w:rPr>
          <w:sz w:val="22"/>
          <w:szCs w:val="22"/>
        </w:rPr>
        <w:t>6.5.3 Other costs and resource use</w:t>
      </w:r>
    </w:p>
    <w:p w14:paraId="0AF4FBFA" w14:textId="77777777" w:rsidR="00BE69CC" w:rsidRPr="00BD13DD" w:rsidRDefault="00BE69CC" w:rsidP="00BE69CC">
      <w:pPr>
        <w:pStyle w:val="NormalWeb"/>
        <w:spacing w:before="0" w:after="0"/>
        <w:rPr>
          <w:rFonts w:ascii="Arial" w:hAnsi="Arial"/>
          <w:sz w:val="22"/>
          <w:szCs w:val="22"/>
        </w:rPr>
      </w:pPr>
    </w:p>
    <w:p w14:paraId="7373558C" w14:textId="77949D40" w:rsidR="00BE69CC" w:rsidRPr="00BD13DD" w:rsidRDefault="00BE69CC" w:rsidP="00BE69CC">
      <w:pPr>
        <w:pStyle w:val="NormalWeb"/>
        <w:spacing w:before="0" w:after="0"/>
        <w:rPr>
          <w:rFonts w:ascii="Arial" w:hAnsi="Arial" w:cs="Arial"/>
          <w:sz w:val="22"/>
          <w:szCs w:val="22"/>
        </w:rPr>
      </w:pPr>
      <w:r w:rsidRPr="00BD13DD">
        <w:rPr>
          <w:rFonts w:ascii="Arial" w:hAnsi="Arial" w:cs="Arial"/>
          <w:sz w:val="22"/>
          <w:szCs w:val="22"/>
        </w:rPr>
        <w:t xml:space="preserve">As </w:t>
      </w:r>
      <w:r w:rsidR="00CC7711" w:rsidRPr="00BD13DD">
        <w:rPr>
          <w:rFonts w:ascii="Arial" w:hAnsi="Arial" w:cs="Arial"/>
          <w:sz w:val="22"/>
          <w:szCs w:val="22"/>
        </w:rPr>
        <w:t xml:space="preserve">described </w:t>
      </w:r>
      <w:r w:rsidRPr="00BD13DD">
        <w:rPr>
          <w:rFonts w:ascii="Arial" w:hAnsi="Arial" w:cs="Arial"/>
          <w:sz w:val="22"/>
          <w:szCs w:val="22"/>
        </w:rPr>
        <w:t>for the base case</w:t>
      </w:r>
      <w:r w:rsidR="00CC7711" w:rsidRPr="00BD13DD">
        <w:rPr>
          <w:rFonts w:ascii="Arial" w:hAnsi="Arial" w:cs="Arial"/>
          <w:sz w:val="22"/>
          <w:szCs w:val="22"/>
        </w:rPr>
        <w:t xml:space="preserve"> in section</w:t>
      </w:r>
      <w:r w:rsidR="00FC1565" w:rsidRPr="00BD13DD">
        <w:rPr>
          <w:rFonts w:ascii="Arial" w:hAnsi="Arial" w:cs="Arial"/>
          <w:sz w:val="22"/>
          <w:szCs w:val="22"/>
        </w:rPr>
        <w:t xml:space="preserve"> 6.4.2</w:t>
      </w:r>
      <w:r w:rsidRPr="00BD13DD">
        <w:rPr>
          <w:rFonts w:ascii="Arial" w:hAnsi="Arial" w:cs="Arial"/>
          <w:sz w:val="22"/>
          <w:szCs w:val="22"/>
        </w:rPr>
        <w:t xml:space="preserve">. </w:t>
      </w:r>
    </w:p>
    <w:p w14:paraId="2AA5D0C0" w14:textId="77777777" w:rsidR="00BE69CC" w:rsidRPr="00BD13DD" w:rsidRDefault="00BE69CC" w:rsidP="00BE69CC">
      <w:pPr>
        <w:pStyle w:val="NormalWeb"/>
        <w:spacing w:before="0" w:after="0"/>
        <w:rPr>
          <w:rFonts w:ascii="Arial" w:hAnsi="Arial" w:cs="Arial"/>
          <w:b/>
          <w:sz w:val="22"/>
          <w:szCs w:val="22"/>
        </w:rPr>
      </w:pPr>
    </w:p>
    <w:p w14:paraId="36461703" w14:textId="77777777" w:rsidR="00BE69CC" w:rsidRPr="00BD13DD" w:rsidRDefault="00BE69CC" w:rsidP="00BE69CC">
      <w:pPr>
        <w:rPr>
          <w:rFonts w:cs="Arial"/>
          <w:b/>
          <w:sz w:val="22"/>
          <w:szCs w:val="22"/>
        </w:rPr>
      </w:pPr>
      <w:r w:rsidRPr="00BD13DD">
        <w:rPr>
          <w:rFonts w:cs="Arial"/>
          <w:b/>
          <w:sz w:val="22"/>
          <w:szCs w:val="22"/>
        </w:rPr>
        <w:t>6.6</w:t>
      </w:r>
      <w:r w:rsidRPr="00BD13DD">
        <w:rPr>
          <w:rFonts w:cs="Arial"/>
          <w:b/>
          <w:sz w:val="22"/>
          <w:szCs w:val="22"/>
        </w:rPr>
        <w:tab/>
        <w:t xml:space="preserve">Scenario analyses  </w:t>
      </w:r>
    </w:p>
    <w:p w14:paraId="39EDAFF2" w14:textId="77777777" w:rsidR="00BE69CC" w:rsidRPr="00BD13DD" w:rsidRDefault="00BE69CC" w:rsidP="00BE69CC">
      <w:pPr>
        <w:pStyle w:val="NormalWeb"/>
        <w:spacing w:before="0" w:after="0"/>
        <w:rPr>
          <w:rFonts w:ascii="Arial" w:hAnsi="Arial" w:cs="Arial"/>
          <w:b/>
          <w:sz w:val="22"/>
          <w:szCs w:val="22"/>
        </w:rPr>
      </w:pPr>
    </w:p>
    <w:p w14:paraId="1512F8F3" w14:textId="65FE0CCC" w:rsidR="00BE69CC" w:rsidRPr="00BD13DD" w:rsidRDefault="00BE69CC" w:rsidP="00BE69CC">
      <w:pPr>
        <w:rPr>
          <w:rFonts w:cs="Arial"/>
          <w:sz w:val="22"/>
          <w:szCs w:val="22"/>
        </w:rPr>
      </w:pPr>
      <w:r w:rsidRPr="00BD13DD">
        <w:rPr>
          <w:rFonts w:cs="Arial"/>
          <w:sz w:val="22"/>
          <w:szCs w:val="22"/>
        </w:rPr>
        <w:t>Finally, a number of scenario</w:t>
      </w:r>
      <w:r w:rsidR="00FC1565" w:rsidRPr="00BD13DD">
        <w:rPr>
          <w:rFonts w:cs="Arial"/>
          <w:sz w:val="22"/>
          <w:szCs w:val="22"/>
        </w:rPr>
        <w:t xml:space="preserve"> analyses have been carried out. </w:t>
      </w:r>
      <w:r w:rsidRPr="00BD13DD">
        <w:rPr>
          <w:rFonts w:cs="Arial"/>
          <w:sz w:val="22"/>
          <w:szCs w:val="22"/>
        </w:rPr>
        <w:t>The scenarios are as follows:</w:t>
      </w:r>
    </w:p>
    <w:p w14:paraId="13E52E7D" w14:textId="77777777" w:rsidR="00BE69CC" w:rsidRPr="00BD13DD" w:rsidRDefault="00BE69CC" w:rsidP="00BE69CC">
      <w:pPr>
        <w:rPr>
          <w:rFonts w:cs="Arial"/>
          <w:sz w:val="22"/>
          <w:szCs w:val="22"/>
        </w:rPr>
      </w:pPr>
    </w:p>
    <w:p w14:paraId="5A352B54" w14:textId="77777777" w:rsidR="00BE69CC" w:rsidRPr="00BD13DD" w:rsidRDefault="00BE69CC" w:rsidP="00BE69CC">
      <w:pPr>
        <w:widowControl w:val="0"/>
        <w:autoSpaceDE w:val="0"/>
        <w:autoSpaceDN w:val="0"/>
        <w:adjustRightInd w:val="0"/>
        <w:jc w:val="both"/>
        <w:rPr>
          <w:rFonts w:cs="Arial"/>
          <w:b/>
          <w:sz w:val="22"/>
          <w:szCs w:val="22"/>
        </w:rPr>
      </w:pPr>
      <w:r w:rsidRPr="00BD13DD">
        <w:rPr>
          <w:rFonts w:cs="Arial"/>
          <w:b/>
          <w:sz w:val="22"/>
          <w:szCs w:val="22"/>
        </w:rPr>
        <w:t>Scenario 1</w:t>
      </w:r>
    </w:p>
    <w:p w14:paraId="44CC1F04"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lastRenderedPageBreak/>
        <w:t>6 days of IV for both treatments and 10 days overall treatment of linezolid</w:t>
      </w:r>
    </w:p>
    <w:p w14:paraId="65CEACB3" w14:textId="2E81B1AF"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Tedizolid </w:t>
      </w:r>
      <w:r w:rsidR="0075674B">
        <w:rPr>
          <w:rFonts w:cs="Arial"/>
          <w:sz w:val="22"/>
          <w:szCs w:val="22"/>
        </w:rPr>
        <w:t xml:space="preserve">phosphate </w:t>
      </w:r>
      <w:r w:rsidRPr="00BD13DD">
        <w:rPr>
          <w:rFonts w:cs="Arial"/>
          <w:sz w:val="22"/>
          <w:szCs w:val="22"/>
        </w:rPr>
        <w:t>- 6 days IV</w:t>
      </w:r>
    </w:p>
    <w:p w14:paraId="44C43D79"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Linezolid - 6 days IV; 4 days oral</w:t>
      </w:r>
    </w:p>
    <w:p w14:paraId="37771AC2"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r>
    </w:p>
    <w:p w14:paraId="6F4A491C" w14:textId="77777777" w:rsidR="00BE69CC" w:rsidRPr="00BD13DD" w:rsidRDefault="00BE69CC" w:rsidP="00BE69CC">
      <w:pPr>
        <w:widowControl w:val="0"/>
        <w:autoSpaceDE w:val="0"/>
        <w:autoSpaceDN w:val="0"/>
        <w:adjustRightInd w:val="0"/>
        <w:jc w:val="both"/>
        <w:rPr>
          <w:rFonts w:cs="Arial"/>
          <w:b/>
          <w:sz w:val="22"/>
          <w:szCs w:val="22"/>
        </w:rPr>
      </w:pPr>
      <w:r w:rsidRPr="00BD13DD">
        <w:rPr>
          <w:rFonts w:cs="Arial"/>
          <w:b/>
          <w:sz w:val="22"/>
          <w:szCs w:val="22"/>
        </w:rPr>
        <w:t>Scenario 2</w:t>
      </w:r>
    </w:p>
    <w:p w14:paraId="0FE39FB3"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t>6 days of IV for both treatments and 10 days overall treatment of linezolid</w:t>
      </w:r>
    </w:p>
    <w:p w14:paraId="2A72587E" w14:textId="2116EF81"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Tedizolid </w:t>
      </w:r>
      <w:r w:rsidR="0075674B">
        <w:rPr>
          <w:rFonts w:cs="Arial"/>
          <w:sz w:val="22"/>
          <w:szCs w:val="22"/>
        </w:rPr>
        <w:t>phosphate</w:t>
      </w:r>
      <w:r w:rsidR="0075674B" w:rsidRPr="00BD13DD">
        <w:rPr>
          <w:rFonts w:cs="Arial"/>
          <w:sz w:val="22"/>
          <w:szCs w:val="22"/>
        </w:rPr>
        <w:t xml:space="preserve"> </w:t>
      </w:r>
      <w:r w:rsidRPr="00BD13DD">
        <w:rPr>
          <w:rFonts w:cs="Arial"/>
          <w:sz w:val="22"/>
          <w:szCs w:val="22"/>
        </w:rPr>
        <w:t>- 6 days IV</w:t>
      </w:r>
    </w:p>
    <w:p w14:paraId="7FB991AB"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Linezolid - 6 days IV 4 days OPAT</w:t>
      </w:r>
    </w:p>
    <w:p w14:paraId="0D163A4C" w14:textId="77777777" w:rsidR="00BE69CC" w:rsidRPr="00BD13DD" w:rsidRDefault="00BE69CC" w:rsidP="00BE69CC">
      <w:pPr>
        <w:widowControl w:val="0"/>
        <w:autoSpaceDE w:val="0"/>
        <w:autoSpaceDN w:val="0"/>
        <w:adjustRightInd w:val="0"/>
        <w:jc w:val="both"/>
        <w:rPr>
          <w:rFonts w:cs="Arial"/>
          <w:sz w:val="22"/>
          <w:szCs w:val="22"/>
        </w:rPr>
      </w:pPr>
    </w:p>
    <w:p w14:paraId="28C71BC0" w14:textId="77777777" w:rsidR="00BE69CC" w:rsidRPr="00BD13DD" w:rsidRDefault="00BE69CC" w:rsidP="00BE69CC">
      <w:pPr>
        <w:widowControl w:val="0"/>
        <w:autoSpaceDE w:val="0"/>
        <w:autoSpaceDN w:val="0"/>
        <w:adjustRightInd w:val="0"/>
        <w:jc w:val="both"/>
        <w:rPr>
          <w:rFonts w:cs="Arial"/>
          <w:b/>
          <w:sz w:val="22"/>
          <w:szCs w:val="22"/>
        </w:rPr>
      </w:pPr>
      <w:r w:rsidRPr="00BD13DD">
        <w:rPr>
          <w:rFonts w:cs="Arial"/>
          <w:b/>
          <w:sz w:val="22"/>
          <w:szCs w:val="22"/>
        </w:rPr>
        <w:t xml:space="preserve">Scenario 3 </w:t>
      </w:r>
    </w:p>
    <w:p w14:paraId="798059AE"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t>6 days of IV for both treatments and 12 days overall treatment of linezolid</w:t>
      </w:r>
    </w:p>
    <w:p w14:paraId="4BFD6C9C" w14:textId="764F5180"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Tedizolid </w:t>
      </w:r>
      <w:r w:rsidR="0075674B">
        <w:rPr>
          <w:rFonts w:cs="Arial"/>
          <w:sz w:val="22"/>
          <w:szCs w:val="22"/>
        </w:rPr>
        <w:t>phosphate</w:t>
      </w:r>
      <w:r w:rsidR="0075674B" w:rsidRPr="00BD13DD">
        <w:rPr>
          <w:rFonts w:cs="Arial"/>
          <w:sz w:val="22"/>
          <w:szCs w:val="22"/>
        </w:rPr>
        <w:t xml:space="preserve"> </w:t>
      </w:r>
      <w:r w:rsidRPr="00BD13DD">
        <w:rPr>
          <w:rFonts w:cs="Arial"/>
          <w:sz w:val="22"/>
          <w:szCs w:val="22"/>
        </w:rPr>
        <w:t>- 6 days IV</w:t>
      </w:r>
      <w:r w:rsidRPr="00BD13DD">
        <w:rPr>
          <w:rFonts w:cs="Arial"/>
          <w:sz w:val="22"/>
          <w:szCs w:val="22"/>
        </w:rPr>
        <w:tab/>
      </w:r>
    </w:p>
    <w:p w14:paraId="543C7503"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Linezolid - 6 days IV; 6 days oral</w:t>
      </w:r>
    </w:p>
    <w:p w14:paraId="2E61D3D9"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r>
    </w:p>
    <w:p w14:paraId="7A090AEA" w14:textId="77777777" w:rsidR="00BE69CC" w:rsidRPr="00BD13DD" w:rsidRDefault="00BE69CC" w:rsidP="00BE69CC">
      <w:pPr>
        <w:widowControl w:val="0"/>
        <w:autoSpaceDE w:val="0"/>
        <w:autoSpaceDN w:val="0"/>
        <w:adjustRightInd w:val="0"/>
        <w:jc w:val="both"/>
        <w:rPr>
          <w:rFonts w:cs="Arial"/>
          <w:b/>
          <w:sz w:val="22"/>
          <w:szCs w:val="22"/>
        </w:rPr>
      </w:pPr>
      <w:r w:rsidRPr="00BD13DD">
        <w:rPr>
          <w:rFonts w:cs="Arial"/>
          <w:b/>
          <w:sz w:val="22"/>
          <w:szCs w:val="22"/>
        </w:rPr>
        <w:t>Scenario 4</w:t>
      </w:r>
    </w:p>
    <w:p w14:paraId="47F4A01A"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t>6 days of IV for both treatments and 12 days overall treatment of linezolid</w:t>
      </w:r>
    </w:p>
    <w:p w14:paraId="0EAEF145" w14:textId="1DC60551"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Tedizolid </w:t>
      </w:r>
      <w:r w:rsidR="0075674B">
        <w:rPr>
          <w:rFonts w:cs="Arial"/>
          <w:sz w:val="22"/>
          <w:szCs w:val="22"/>
        </w:rPr>
        <w:t>phosphate</w:t>
      </w:r>
      <w:r w:rsidR="0075674B" w:rsidRPr="00BD13DD">
        <w:rPr>
          <w:rFonts w:cs="Arial"/>
          <w:sz w:val="22"/>
          <w:szCs w:val="22"/>
        </w:rPr>
        <w:t xml:space="preserve"> </w:t>
      </w:r>
      <w:r w:rsidRPr="00BD13DD">
        <w:rPr>
          <w:rFonts w:cs="Arial"/>
          <w:sz w:val="22"/>
          <w:szCs w:val="22"/>
        </w:rPr>
        <w:t>- 6 days IV</w:t>
      </w:r>
      <w:r w:rsidRPr="00BD13DD">
        <w:rPr>
          <w:rFonts w:cs="Arial"/>
          <w:sz w:val="22"/>
          <w:szCs w:val="22"/>
        </w:rPr>
        <w:tab/>
      </w:r>
    </w:p>
    <w:p w14:paraId="686AA627" w14:textId="77777777" w:rsidR="00BE69CC" w:rsidRPr="00BD13DD" w:rsidRDefault="00BE69CC" w:rsidP="00BE69CC">
      <w:pPr>
        <w:widowControl w:val="0"/>
        <w:autoSpaceDE w:val="0"/>
        <w:autoSpaceDN w:val="0"/>
        <w:adjustRightInd w:val="0"/>
        <w:ind w:left="720"/>
        <w:jc w:val="both"/>
        <w:rPr>
          <w:rFonts w:cs="Arial"/>
          <w:sz w:val="22"/>
          <w:szCs w:val="22"/>
        </w:rPr>
      </w:pPr>
      <w:r w:rsidRPr="00BD13DD">
        <w:rPr>
          <w:rFonts w:cs="Arial"/>
          <w:sz w:val="22"/>
          <w:szCs w:val="22"/>
        </w:rPr>
        <w:t>Linezolid - 6 days IV 6 days OPAT</w:t>
      </w:r>
    </w:p>
    <w:p w14:paraId="5E7507F3" w14:textId="77777777" w:rsidR="00BE69CC" w:rsidRPr="00BD13DD" w:rsidRDefault="00BE69CC" w:rsidP="00BE69CC">
      <w:pPr>
        <w:widowControl w:val="0"/>
        <w:autoSpaceDE w:val="0"/>
        <w:autoSpaceDN w:val="0"/>
        <w:adjustRightInd w:val="0"/>
        <w:ind w:left="720"/>
        <w:rPr>
          <w:rFonts w:cs="Arial"/>
          <w:sz w:val="22"/>
          <w:szCs w:val="22"/>
        </w:rPr>
      </w:pPr>
    </w:p>
    <w:p w14:paraId="4ABED0B1" w14:textId="77777777" w:rsidR="00BE69CC" w:rsidRPr="00BD13DD" w:rsidRDefault="00BE69CC" w:rsidP="00BE69CC">
      <w:pPr>
        <w:widowControl w:val="0"/>
        <w:autoSpaceDE w:val="0"/>
        <w:autoSpaceDN w:val="0"/>
        <w:adjustRightInd w:val="0"/>
        <w:rPr>
          <w:rFonts w:cs="Arial"/>
          <w:b/>
          <w:sz w:val="22"/>
          <w:szCs w:val="22"/>
        </w:rPr>
      </w:pPr>
      <w:r w:rsidRPr="00BD13DD">
        <w:rPr>
          <w:rFonts w:cs="Arial"/>
          <w:b/>
          <w:sz w:val="22"/>
          <w:szCs w:val="22"/>
        </w:rPr>
        <w:t>Scenario 5</w:t>
      </w:r>
    </w:p>
    <w:p w14:paraId="1558E0DB"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t>6 days of IV for both treatments and 14 days overall treatment of linezolid</w:t>
      </w:r>
    </w:p>
    <w:p w14:paraId="0DB70123" w14:textId="2AE3BADD" w:rsidR="00BE69CC" w:rsidRPr="00BD13DD" w:rsidRDefault="0075674B" w:rsidP="00BE69CC">
      <w:pPr>
        <w:widowControl w:val="0"/>
        <w:autoSpaceDE w:val="0"/>
        <w:autoSpaceDN w:val="0"/>
        <w:adjustRightInd w:val="0"/>
        <w:jc w:val="both"/>
        <w:rPr>
          <w:rFonts w:cs="Arial"/>
          <w:sz w:val="22"/>
          <w:szCs w:val="22"/>
        </w:rPr>
      </w:pPr>
      <w:r>
        <w:rPr>
          <w:rFonts w:cs="Arial"/>
          <w:sz w:val="22"/>
          <w:szCs w:val="22"/>
        </w:rPr>
        <w:tab/>
        <w:t>Tedizolid phosphate</w:t>
      </w:r>
      <w:r w:rsidR="00BE69CC" w:rsidRPr="00BD13DD">
        <w:rPr>
          <w:rFonts w:cs="Arial"/>
          <w:sz w:val="22"/>
          <w:szCs w:val="22"/>
        </w:rPr>
        <w:t xml:space="preserve"> </w:t>
      </w:r>
      <w:r>
        <w:rPr>
          <w:rFonts w:cs="Arial"/>
          <w:sz w:val="22"/>
          <w:szCs w:val="22"/>
        </w:rPr>
        <w:t xml:space="preserve">- </w:t>
      </w:r>
      <w:r w:rsidR="00BE69CC" w:rsidRPr="00BD13DD">
        <w:rPr>
          <w:rFonts w:cs="Arial"/>
          <w:sz w:val="22"/>
          <w:szCs w:val="22"/>
        </w:rPr>
        <w:t>6 days IV</w:t>
      </w:r>
    </w:p>
    <w:p w14:paraId="40B34B72"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Linezolid - 6 days IV; 8 days oral</w:t>
      </w:r>
    </w:p>
    <w:p w14:paraId="396222F1" w14:textId="77777777" w:rsidR="00BE69CC" w:rsidRPr="00BD13DD" w:rsidRDefault="00BE69CC" w:rsidP="00BE69CC">
      <w:pPr>
        <w:widowControl w:val="0"/>
        <w:autoSpaceDE w:val="0"/>
        <w:autoSpaceDN w:val="0"/>
        <w:adjustRightInd w:val="0"/>
        <w:jc w:val="both"/>
        <w:rPr>
          <w:rFonts w:cs="Arial"/>
          <w:sz w:val="22"/>
          <w:szCs w:val="22"/>
        </w:rPr>
      </w:pPr>
    </w:p>
    <w:p w14:paraId="04E338D1" w14:textId="77777777" w:rsidR="00BE69CC" w:rsidRPr="00BD13DD" w:rsidRDefault="00BE69CC" w:rsidP="00BE69CC">
      <w:pPr>
        <w:widowControl w:val="0"/>
        <w:autoSpaceDE w:val="0"/>
        <w:autoSpaceDN w:val="0"/>
        <w:adjustRightInd w:val="0"/>
        <w:jc w:val="both"/>
        <w:rPr>
          <w:rFonts w:cs="Arial"/>
          <w:b/>
          <w:sz w:val="22"/>
          <w:szCs w:val="22"/>
        </w:rPr>
      </w:pPr>
      <w:r w:rsidRPr="00BD13DD">
        <w:rPr>
          <w:rFonts w:cs="Arial"/>
          <w:b/>
          <w:sz w:val="22"/>
          <w:szCs w:val="22"/>
        </w:rPr>
        <w:t>Scenario 6</w:t>
      </w:r>
    </w:p>
    <w:p w14:paraId="1C07656C" w14:textId="77777777" w:rsidR="00BE69CC" w:rsidRPr="00BD13DD" w:rsidRDefault="00BE69CC" w:rsidP="00C35C1F">
      <w:pPr>
        <w:widowControl w:val="0"/>
        <w:numPr>
          <w:ilvl w:val="0"/>
          <w:numId w:val="55"/>
        </w:numPr>
        <w:autoSpaceDE w:val="0"/>
        <w:autoSpaceDN w:val="0"/>
        <w:adjustRightInd w:val="0"/>
        <w:jc w:val="both"/>
        <w:rPr>
          <w:rFonts w:cs="Arial"/>
          <w:sz w:val="22"/>
          <w:szCs w:val="22"/>
        </w:rPr>
      </w:pPr>
      <w:r w:rsidRPr="00BD13DD">
        <w:rPr>
          <w:rFonts w:cs="Arial"/>
          <w:sz w:val="22"/>
          <w:szCs w:val="22"/>
        </w:rPr>
        <w:t>6 days of IV for both treatments and 14 days overall treatment of linezolid</w:t>
      </w:r>
    </w:p>
    <w:p w14:paraId="62CA9C40" w14:textId="5E04BE34"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Tedizolid </w:t>
      </w:r>
      <w:r w:rsidR="0075674B">
        <w:rPr>
          <w:rFonts w:cs="Arial"/>
          <w:sz w:val="22"/>
          <w:szCs w:val="22"/>
        </w:rPr>
        <w:t>phosphate</w:t>
      </w:r>
      <w:r w:rsidR="0075674B" w:rsidRPr="00BD13DD">
        <w:rPr>
          <w:rFonts w:cs="Arial"/>
          <w:sz w:val="22"/>
          <w:szCs w:val="22"/>
        </w:rPr>
        <w:t xml:space="preserve"> </w:t>
      </w:r>
      <w:r w:rsidRPr="00BD13DD">
        <w:rPr>
          <w:rFonts w:cs="Arial"/>
          <w:sz w:val="22"/>
          <w:szCs w:val="22"/>
        </w:rPr>
        <w:t>- 6 days IV</w:t>
      </w:r>
    </w:p>
    <w:p w14:paraId="11D9300D" w14:textId="77777777" w:rsidR="00BE69CC" w:rsidRPr="00BD13DD" w:rsidRDefault="00BE69CC" w:rsidP="00BE69CC">
      <w:pPr>
        <w:widowControl w:val="0"/>
        <w:autoSpaceDE w:val="0"/>
        <w:autoSpaceDN w:val="0"/>
        <w:adjustRightInd w:val="0"/>
        <w:jc w:val="both"/>
        <w:rPr>
          <w:rFonts w:cs="Arial"/>
          <w:sz w:val="22"/>
          <w:szCs w:val="22"/>
        </w:rPr>
      </w:pPr>
      <w:r w:rsidRPr="00BD13DD">
        <w:rPr>
          <w:rFonts w:cs="Arial"/>
          <w:sz w:val="22"/>
          <w:szCs w:val="22"/>
        </w:rPr>
        <w:tab/>
        <w:t>Linezolid - 6 days IV 8 days OPAT</w:t>
      </w:r>
    </w:p>
    <w:p w14:paraId="54150C4F" w14:textId="77777777" w:rsidR="00BE69CC" w:rsidRPr="00BD13DD" w:rsidRDefault="00BE69CC" w:rsidP="00BE69CC">
      <w:pPr>
        <w:widowControl w:val="0"/>
        <w:autoSpaceDE w:val="0"/>
        <w:autoSpaceDN w:val="0"/>
        <w:adjustRightInd w:val="0"/>
        <w:jc w:val="both"/>
        <w:rPr>
          <w:rFonts w:cs="Arial"/>
          <w:b/>
          <w:bCs/>
          <w:sz w:val="22"/>
          <w:szCs w:val="22"/>
        </w:rPr>
      </w:pPr>
    </w:p>
    <w:p w14:paraId="46860545" w14:textId="77777777" w:rsidR="00BE69CC" w:rsidRPr="00BD13DD" w:rsidRDefault="00BE69CC" w:rsidP="00BE69CC">
      <w:pPr>
        <w:widowControl w:val="0"/>
        <w:autoSpaceDE w:val="0"/>
        <w:autoSpaceDN w:val="0"/>
        <w:adjustRightInd w:val="0"/>
        <w:rPr>
          <w:rFonts w:cs="Arial"/>
          <w:bCs/>
          <w:i/>
          <w:sz w:val="22"/>
          <w:szCs w:val="22"/>
        </w:rPr>
      </w:pPr>
      <w:r w:rsidRPr="00BD13DD">
        <w:rPr>
          <w:rFonts w:cs="Arial"/>
          <w:bCs/>
          <w:i/>
          <w:sz w:val="22"/>
          <w:szCs w:val="22"/>
        </w:rPr>
        <w:t xml:space="preserve">Note: The OPAT costs are based on daily cost regardless of number of administrations per day (i.e. once daily for tedizolid phosphate and twice daily for linezolid).  </w:t>
      </w:r>
    </w:p>
    <w:p w14:paraId="1E85085A" w14:textId="77777777" w:rsidR="00BE69CC" w:rsidRPr="00BD13DD" w:rsidRDefault="00BE69CC" w:rsidP="00BE69CC">
      <w:pPr>
        <w:widowControl w:val="0"/>
        <w:autoSpaceDE w:val="0"/>
        <w:autoSpaceDN w:val="0"/>
        <w:adjustRightInd w:val="0"/>
        <w:jc w:val="both"/>
        <w:rPr>
          <w:rFonts w:cs="Arial"/>
          <w:b/>
          <w:bCs/>
          <w:sz w:val="22"/>
          <w:szCs w:val="22"/>
        </w:rPr>
      </w:pPr>
    </w:p>
    <w:p w14:paraId="2C3B462E" w14:textId="77777777" w:rsidR="003E1DFD" w:rsidRPr="00BD13DD" w:rsidRDefault="00BE69CC" w:rsidP="00FC1565">
      <w:pPr>
        <w:pStyle w:val="Normal1"/>
        <w:numPr>
          <w:ilvl w:val="0"/>
          <w:numId w:val="0"/>
        </w:numPr>
        <w:spacing w:line="240" w:lineRule="auto"/>
        <w:rPr>
          <w:rFonts w:ascii="Arial" w:eastAsia="Tahoma" w:hAnsi="Arial" w:cs="Arial"/>
          <w:b/>
          <w:lang w:val="en-GB"/>
        </w:rPr>
      </w:pPr>
      <w:r w:rsidRPr="00BD13DD">
        <w:rPr>
          <w:rFonts w:ascii="Arial" w:eastAsia="Tahoma" w:hAnsi="Arial" w:cs="Arial"/>
          <w:b/>
          <w:lang w:val="en-GB"/>
        </w:rPr>
        <w:t>Scenario</w:t>
      </w:r>
      <w:r w:rsidR="003E1DFD" w:rsidRPr="00BD13DD">
        <w:rPr>
          <w:rFonts w:ascii="Arial" w:eastAsia="Tahoma" w:hAnsi="Arial" w:cs="Arial"/>
          <w:b/>
          <w:lang w:val="en-GB"/>
        </w:rPr>
        <w:t>s 7 and 8</w:t>
      </w:r>
    </w:p>
    <w:p w14:paraId="19310439" w14:textId="790026ED" w:rsidR="00BE69CC" w:rsidRPr="00BD13DD" w:rsidRDefault="00BE69CC" w:rsidP="00C35C1F">
      <w:pPr>
        <w:pStyle w:val="Normal1"/>
        <w:numPr>
          <w:ilvl w:val="0"/>
          <w:numId w:val="68"/>
        </w:numPr>
        <w:spacing w:line="240" w:lineRule="auto"/>
        <w:rPr>
          <w:rFonts w:ascii="Arial" w:hAnsi="Arial" w:cs="Arial"/>
          <w:lang w:val="en-GB"/>
        </w:rPr>
      </w:pPr>
      <w:r w:rsidRPr="00BD13DD">
        <w:rPr>
          <w:rFonts w:ascii="Arial" w:hAnsi="Arial" w:cs="Arial"/>
          <w:lang w:val="en-GB"/>
        </w:rPr>
        <w:t>Inclusion of length of stay in hospital and its associated costs</w:t>
      </w:r>
    </w:p>
    <w:p w14:paraId="656975C2" w14:textId="77777777" w:rsidR="003E1DFD" w:rsidRPr="00BD13DD" w:rsidRDefault="003E1DFD" w:rsidP="00BE69CC">
      <w:pPr>
        <w:pStyle w:val="Heading2"/>
        <w:rPr>
          <w:sz w:val="22"/>
          <w:szCs w:val="22"/>
        </w:rPr>
      </w:pPr>
    </w:p>
    <w:p w14:paraId="5133E891" w14:textId="77777777" w:rsidR="00BE69CC" w:rsidRPr="00BD13DD" w:rsidRDefault="00BE69CC" w:rsidP="00BE69CC">
      <w:pPr>
        <w:pStyle w:val="Heading2"/>
        <w:rPr>
          <w:sz w:val="22"/>
          <w:szCs w:val="22"/>
        </w:rPr>
      </w:pPr>
      <w:r w:rsidRPr="00BD13DD">
        <w:rPr>
          <w:sz w:val="22"/>
          <w:szCs w:val="22"/>
        </w:rPr>
        <w:t>6.6.1</w:t>
      </w:r>
      <w:r w:rsidRPr="00BD13DD">
        <w:rPr>
          <w:sz w:val="22"/>
          <w:szCs w:val="22"/>
        </w:rPr>
        <w:tab/>
        <w:t>Clinical data inputs</w:t>
      </w:r>
    </w:p>
    <w:p w14:paraId="4F6DDA6B" w14:textId="77777777" w:rsidR="00BE69CC" w:rsidRPr="00BD13DD" w:rsidRDefault="00BE69CC" w:rsidP="00BE69CC">
      <w:pPr>
        <w:rPr>
          <w:rFonts w:cs="Arial"/>
          <w:sz w:val="22"/>
          <w:szCs w:val="22"/>
        </w:rPr>
      </w:pPr>
    </w:p>
    <w:p w14:paraId="59AC8F93" w14:textId="65AEF1E8" w:rsidR="00BE69CC" w:rsidRPr="00BD13DD" w:rsidRDefault="003E1DFD" w:rsidP="003E1DFD">
      <w:pPr>
        <w:pStyle w:val="Normal1"/>
        <w:numPr>
          <w:ilvl w:val="0"/>
          <w:numId w:val="0"/>
        </w:numPr>
        <w:spacing w:line="240" w:lineRule="auto"/>
        <w:ind w:left="360" w:hanging="360"/>
        <w:jc w:val="left"/>
        <w:rPr>
          <w:rFonts w:ascii="Arial" w:eastAsia="Tahoma" w:hAnsi="Arial" w:cs="Arial"/>
          <w:lang w:val="en-GB"/>
        </w:rPr>
      </w:pPr>
      <w:r w:rsidRPr="00BD13DD">
        <w:rPr>
          <w:rFonts w:ascii="Arial" w:eastAsia="Tahoma" w:hAnsi="Arial" w:cs="Arial"/>
          <w:lang w:val="en-GB"/>
        </w:rPr>
        <w:t>These scenario analyses are based on the same clinical data inputs as for the base case.</w:t>
      </w:r>
    </w:p>
    <w:p w14:paraId="7918A343" w14:textId="77777777" w:rsidR="00BE69CC" w:rsidRPr="00BD13DD" w:rsidRDefault="00BE69CC" w:rsidP="00BE69CC">
      <w:pPr>
        <w:pStyle w:val="Caption"/>
        <w:spacing w:after="0"/>
        <w:rPr>
          <w:rFonts w:ascii="Arial" w:hAnsi="Arial" w:cs="Arial"/>
        </w:rPr>
      </w:pPr>
      <w:r w:rsidRPr="00BD13DD">
        <w:rPr>
          <w:rFonts w:ascii="Arial" w:hAnsi="Arial" w:cs="Arial"/>
          <w:sz w:val="22"/>
          <w:szCs w:val="22"/>
        </w:rPr>
        <w:t>6.6.2</w:t>
      </w:r>
      <w:r w:rsidRPr="00BD13DD">
        <w:rPr>
          <w:rFonts w:ascii="Arial" w:hAnsi="Arial" w:cs="Arial"/>
          <w:sz w:val="22"/>
          <w:szCs w:val="22"/>
        </w:rPr>
        <w:tab/>
        <w:t>Costs</w:t>
      </w:r>
    </w:p>
    <w:p w14:paraId="413C3B2C" w14:textId="77777777" w:rsidR="00BE69CC" w:rsidRPr="00BD13DD" w:rsidRDefault="00BE69CC" w:rsidP="00BE69CC">
      <w:pPr>
        <w:pStyle w:val="BodyText"/>
        <w:rPr>
          <w:b/>
          <w:sz w:val="22"/>
          <w:szCs w:val="22"/>
        </w:rPr>
      </w:pPr>
    </w:p>
    <w:p w14:paraId="3EB6EE50" w14:textId="5B31E190" w:rsidR="00BE69CC" w:rsidRPr="00BD13DD" w:rsidRDefault="00BE69CC" w:rsidP="00BE69CC">
      <w:pPr>
        <w:pStyle w:val="BodyText"/>
        <w:rPr>
          <w:rFonts w:cs="Arial"/>
          <w:b/>
          <w:sz w:val="22"/>
          <w:szCs w:val="22"/>
        </w:rPr>
      </w:pPr>
      <w:r w:rsidRPr="00BD13DD">
        <w:rPr>
          <w:rFonts w:cs="Arial"/>
          <w:b/>
          <w:sz w:val="22"/>
          <w:szCs w:val="22"/>
        </w:rPr>
        <w:t>6.6.2.1</w:t>
      </w:r>
      <w:r w:rsidRPr="00BD13DD">
        <w:rPr>
          <w:rFonts w:cs="Arial"/>
          <w:b/>
          <w:sz w:val="22"/>
          <w:szCs w:val="22"/>
        </w:rPr>
        <w:tab/>
      </w:r>
      <w:r w:rsidR="00460B3B" w:rsidRPr="00BD13DD">
        <w:rPr>
          <w:rFonts w:cs="Arial"/>
          <w:b/>
          <w:sz w:val="22"/>
          <w:szCs w:val="22"/>
        </w:rPr>
        <w:t xml:space="preserve">Medicine </w:t>
      </w:r>
      <w:r w:rsidRPr="00BD13DD">
        <w:rPr>
          <w:rFonts w:cs="Arial"/>
          <w:b/>
          <w:sz w:val="22"/>
          <w:szCs w:val="22"/>
        </w:rPr>
        <w:t xml:space="preserve">acquisition </w:t>
      </w:r>
      <w:r w:rsidR="003E1DFD" w:rsidRPr="00BD13DD">
        <w:rPr>
          <w:rFonts w:cs="Arial"/>
          <w:b/>
          <w:sz w:val="22"/>
          <w:szCs w:val="22"/>
        </w:rPr>
        <w:t xml:space="preserve">costs and other </w:t>
      </w:r>
      <w:r w:rsidRPr="00BD13DD">
        <w:rPr>
          <w:rFonts w:cs="Arial"/>
          <w:b/>
          <w:sz w:val="22"/>
          <w:szCs w:val="22"/>
        </w:rPr>
        <w:t xml:space="preserve">costs </w:t>
      </w:r>
    </w:p>
    <w:p w14:paraId="0AE1390D" w14:textId="77777777" w:rsidR="00BE69CC" w:rsidRPr="00BD13DD" w:rsidRDefault="00BE69CC" w:rsidP="00BE69CC">
      <w:pPr>
        <w:rPr>
          <w:rFonts w:cs="Arial"/>
          <w:sz w:val="22"/>
          <w:szCs w:val="22"/>
        </w:rPr>
      </w:pPr>
    </w:p>
    <w:p w14:paraId="7D564DDC" w14:textId="6B1B362C" w:rsidR="00BE69CC" w:rsidRPr="00BD13DD" w:rsidRDefault="003E1DFD" w:rsidP="00BE69CC">
      <w:pPr>
        <w:rPr>
          <w:rFonts w:cs="Arial"/>
          <w:sz w:val="22"/>
          <w:szCs w:val="22"/>
        </w:rPr>
      </w:pPr>
      <w:r w:rsidRPr="00BD13DD">
        <w:rPr>
          <w:rFonts w:cs="Arial"/>
          <w:sz w:val="22"/>
          <w:szCs w:val="22"/>
        </w:rPr>
        <w:t>As for the bases case, scenarios 1-6 are based primarily</w:t>
      </w:r>
      <w:r w:rsidR="00BE69CC" w:rsidRPr="00BD13DD">
        <w:rPr>
          <w:rFonts w:cs="Arial"/>
          <w:sz w:val="22"/>
          <w:szCs w:val="22"/>
        </w:rPr>
        <w:t xml:space="preserve"> on </w:t>
      </w:r>
      <w:r w:rsidRPr="00BD13DD">
        <w:rPr>
          <w:rFonts w:cs="Arial"/>
          <w:sz w:val="22"/>
          <w:szCs w:val="22"/>
        </w:rPr>
        <w:t xml:space="preserve">the </w:t>
      </w:r>
      <w:r w:rsidR="00460B3B" w:rsidRPr="00BD13DD">
        <w:rPr>
          <w:rFonts w:cs="Arial"/>
          <w:sz w:val="22"/>
          <w:szCs w:val="22"/>
        </w:rPr>
        <w:t>medicine</w:t>
      </w:r>
      <w:r w:rsidR="00BE69CC" w:rsidRPr="00BD13DD">
        <w:rPr>
          <w:rFonts w:cs="Arial"/>
          <w:sz w:val="22"/>
          <w:szCs w:val="22"/>
        </w:rPr>
        <w:t xml:space="preserve"> </w:t>
      </w:r>
      <w:r w:rsidRPr="00BD13DD">
        <w:rPr>
          <w:rFonts w:cs="Arial"/>
          <w:sz w:val="22"/>
          <w:szCs w:val="22"/>
        </w:rPr>
        <w:t xml:space="preserve">acquisition </w:t>
      </w:r>
      <w:r w:rsidR="00BE69CC" w:rsidRPr="00BD13DD">
        <w:rPr>
          <w:rFonts w:cs="Arial"/>
          <w:sz w:val="22"/>
          <w:szCs w:val="22"/>
        </w:rPr>
        <w:t>costs</w:t>
      </w:r>
      <w:r w:rsidRPr="00BD13DD">
        <w:rPr>
          <w:rFonts w:cs="Arial"/>
          <w:sz w:val="22"/>
          <w:szCs w:val="22"/>
        </w:rPr>
        <w:t xml:space="preserve"> for tedizolid phosphate and linezolid, and on the associated administration and monitoring costs</w:t>
      </w:r>
      <w:r w:rsidR="00BE69CC" w:rsidRPr="00BD13DD">
        <w:rPr>
          <w:rFonts w:cs="Arial"/>
          <w:sz w:val="22"/>
          <w:szCs w:val="22"/>
        </w:rPr>
        <w:t>. These costs have already been summarised in</w:t>
      </w:r>
      <w:r w:rsidR="0050270E">
        <w:rPr>
          <w:rFonts w:cs="Arial"/>
          <w:sz w:val="22"/>
          <w:szCs w:val="22"/>
        </w:rPr>
        <w:t xml:space="preserve"> </w:t>
      </w:r>
      <w:r w:rsidR="0050270E">
        <w:rPr>
          <w:rFonts w:cs="Arial"/>
          <w:sz w:val="22"/>
          <w:szCs w:val="22"/>
        </w:rPr>
        <w:fldChar w:fldCharType="begin"/>
      </w:r>
      <w:r w:rsidR="0050270E">
        <w:rPr>
          <w:rFonts w:cs="Arial"/>
          <w:sz w:val="22"/>
          <w:szCs w:val="22"/>
        </w:rPr>
        <w:instrText xml:space="preserve"> REF _Ref282966836 \h </w:instrText>
      </w:r>
      <w:r w:rsidR="0050270E">
        <w:rPr>
          <w:rFonts w:cs="Arial"/>
          <w:sz w:val="22"/>
          <w:szCs w:val="22"/>
        </w:rPr>
      </w:r>
      <w:r w:rsidR="0050270E">
        <w:rPr>
          <w:rFonts w:cs="Arial"/>
          <w:sz w:val="22"/>
          <w:szCs w:val="22"/>
        </w:rPr>
        <w:fldChar w:fldCharType="separate"/>
      </w:r>
      <w:r w:rsidR="00151A1C" w:rsidRPr="002A1891">
        <w:rPr>
          <w:rFonts w:cs="Arial"/>
          <w:sz w:val="22"/>
          <w:szCs w:val="22"/>
        </w:rPr>
        <w:t xml:space="preserve">Table </w:t>
      </w:r>
      <w:r w:rsidR="00151A1C">
        <w:rPr>
          <w:rFonts w:cs="Arial"/>
          <w:noProof/>
          <w:sz w:val="22"/>
          <w:szCs w:val="22"/>
        </w:rPr>
        <w:t>44</w:t>
      </w:r>
      <w:r w:rsidR="0050270E">
        <w:rPr>
          <w:rFonts w:cs="Arial"/>
          <w:sz w:val="22"/>
          <w:szCs w:val="22"/>
        </w:rPr>
        <w:fldChar w:fldCharType="end"/>
      </w:r>
      <w:r w:rsidR="0050270E">
        <w:rPr>
          <w:rFonts w:cs="Arial"/>
          <w:sz w:val="22"/>
          <w:szCs w:val="22"/>
        </w:rPr>
        <w:t>,</w:t>
      </w:r>
      <w:r w:rsidR="00BE69CC" w:rsidRPr="00BD13DD">
        <w:rPr>
          <w:rFonts w:cs="Arial"/>
          <w:sz w:val="22"/>
          <w:szCs w:val="22"/>
        </w:rPr>
        <w:t xml:space="preserve"> </w:t>
      </w:r>
      <w:r w:rsidR="00BE69CC" w:rsidRPr="00BD13DD">
        <w:rPr>
          <w:rFonts w:cs="Arial"/>
          <w:sz w:val="22"/>
          <w:szCs w:val="22"/>
        </w:rPr>
        <w:fldChar w:fldCharType="begin"/>
      </w:r>
      <w:r w:rsidR="00BE69CC" w:rsidRPr="00BD13DD">
        <w:rPr>
          <w:rFonts w:cs="Arial"/>
          <w:sz w:val="22"/>
          <w:szCs w:val="22"/>
        </w:rPr>
        <w:instrText xml:space="preserve"> REF _Ref282966836 \h </w:instrText>
      </w:r>
      <w:r w:rsidR="00BE69CC" w:rsidRPr="00BD13DD">
        <w:rPr>
          <w:rFonts w:cs="Arial"/>
          <w:sz w:val="22"/>
          <w:szCs w:val="22"/>
        </w:rPr>
      </w:r>
      <w:r w:rsidR="00BE69CC" w:rsidRPr="00BD13DD">
        <w:rPr>
          <w:rFonts w:cs="Arial"/>
          <w:sz w:val="22"/>
          <w:szCs w:val="22"/>
        </w:rPr>
        <w:fldChar w:fldCharType="separate"/>
      </w:r>
      <w:r w:rsidR="00151A1C" w:rsidRPr="002A1891">
        <w:rPr>
          <w:rFonts w:cs="Arial"/>
          <w:sz w:val="22"/>
          <w:szCs w:val="22"/>
        </w:rPr>
        <w:t xml:space="preserve">Table </w:t>
      </w:r>
      <w:r w:rsidR="00151A1C">
        <w:rPr>
          <w:rFonts w:cs="Arial"/>
          <w:noProof/>
          <w:sz w:val="22"/>
          <w:szCs w:val="22"/>
        </w:rPr>
        <w:t>44</w:t>
      </w:r>
      <w:r w:rsidR="00BE69CC" w:rsidRPr="00BD13DD">
        <w:rPr>
          <w:rFonts w:cs="Arial"/>
          <w:sz w:val="22"/>
          <w:szCs w:val="22"/>
        </w:rPr>
        <w:fldChar w:fldCharType="end"/>
      </w:r>
      <w:r w:rsidRPr="00BD13DD">
        <w:rPr>
          <w:rFonts w:cs="Arial"/>
          <w:sz w:val="22"/>
          <w:szCs w:val="22"/>
        </w:rPr>
        <w:t xml:space="preserve"> and </w:t>
      </w:r>
      <w:r w:rsidRPr="00BD13DD">
        <w:rPr>
          <w:rFonts w:cs="Arial"/>
          <w:sz w:val="22"/>
          <w:szCs w:val="22"/>
        </w:rPr>
        <w:fldChar w:fldCharType="begin"/>
      </w:r>
      <w:r w:rsidRPr="00BD13DD">
        <w:rPr>
          <w:rFonts w:cs="Arial"/>
          <w:sz w:val="22"/>
          <w:szCs w:val="22"/>
        </w:rPr>
        <w:instrText xml:space="preserve"> REF _Ref283224683 \h </w:instrText>
      </w:r>
      <w:r w:rsidRPr="00BD13DD">
        <w:rPr>
          <w:rFonts w:cs="Arial"/>
          <w:sz w:val="22"/>
          <w:szCs w:val="22"/>
        </w:rPr>
      </w:r>
      <w:r w:rsidRPr="00BD13DD">
        <w:rPr>
          <w:rFonts w:cs="Arial"/>
          <w:sz w:val="22"/>
          <w:szCs w:val="22"/>
        </w:rPr>
        <w:fldChar w:fldCharType="separate"/>
      </w:r>
      <w:r w:rsidR="00151A1C" w:rsidRPr="00662FEB">
        <w:rPr>
          <w:sz w:val="22"/>
          <w:szCs w:val="22"/>
        </w:rPr>
        <w:t xml:space="preserve">Table </w:t>
      </w:r>
      <w:r w:rsidR="00151A1C">
        <w:rPr>
          <w:noProof/>
          <w:sz w:val="22"/>
          <w:szCs w:val="22"/>
        </w:rPr>
        <w:t>45</w:t>
      </w:r>
      <w:r w:rsidRPr="00BD13DD">
        <w:rPr>
          <w:rFonts w:cs="Arial"/>
          <w:sz w:val="22"/>
          <w:szCs w:val="22"/>
        </w:rPr>
        <w:fldChar w:fldCharType="end"/>
      </w:r>
      <w:r w:rsidRPr="00BD13DD">
        <w:rPr>
          <w:rFonts w:cs="Arial"/>
          <w:sz w:val="22"/>
          <w:szCs w:val="22"/>
        </w:rPr>
        <w:t>.</w:t>
      </w:r>
    </w:p>
    <w:p w14:paraId="72F5DC37" w14:textId="77777777" w:rsidR="00BE69CC" w:rsidRPr="00BD13DD" w:rsidRDefault="00BE69CC" w:rsidP="00BE69CC">
      <w:pPr>
        <w:rPr>
          <w:rFonts w:cs="Arial"/>
          <w:sz w:val="22"/>
          <w:szCs w:val="22"/>
        </w:rPr>
      </w:pPr>
    </w:p>
    <w:p w14:paraId="130FF5F6" w14:textId="62FAE5CA" w:rsidR="00BE69CC" w:rsidRPr="00BD13DD" w:rsidRDefault="00F367DD" w:rsidP="00BE69CC">
      <w:pPr>
        <w:rPr>
          <w:rFonts w:cs="Arial"/>
          <w:sz w:val="22"/>
          <w:szCs w:val="22"/>
        </w:rPr>
      </w:pPr>
      <w:r w:rsidRPr="00721CB2">
        <w:rPr>
          <w:rFonts w:cs="Arial"/>
          <w:sz w:val="22"/>
          <w:szCs w:val="22"/>
        </w:rPr>
        <w:t>Ou</w:t>
      </w:r>
      <w:r>
        <w:rPr>
          <w:rFonts w:cs="Arial"/>
          <w:sz w:val="22"/>
          <w:szCs w:val="22"/>
        </w:rPr>
        <w:t>tpatient</w:t>
      </w:r>
      <w:r w:rsidR="00BE69CC" w:rsidRPr="00BD13DD">
        <w:rPr>
          <w:rFonts w:cs="Arial"/>
          <w:sz w:val="22"/>
          <w:szCs w:val="22"/>
        </w:rPr>
        <w:t xml:space="preserve"> costs </w:t>
      </w:r>
      <w:r w:rsidR="00F47B95" w:rsidRPr="00BD13DD">
        <w:rPr>
          <w:rFonts w:cs="Arial"/>
          <w:sz w:val="22"/>
          <w:szCs w:val="22"/>
        </w:rPr>
        <w:t>have also been</w:t>
      </w:r>
      <w:r w:rsidR="00BE69CC" w:rsidRPr="00BD13DD">
        <w:rPr>
          <w:rFonts w:cs="Arial"/>
          <w:sz w:val="22"/>
          <w:szCs w:val="22"/>
        </w:rPr>
        <w:t xml:space="preserve"> included </w:t>
      </w:r>
      <w:r w:rsidR="00F47B95" w:rsidRPr="00BD13DD">
        <w:rPr>
          <w:rFonts w:cs="Arial"/>
          <w:sz w:val="22"/>
          <w:szCs w:val="22"/>
        </w:rPr>
        <w:t>in some scenarios exploring the cost of IV to oral switch and early discharge from hospital. These</w:t>
      </w:r>
      <w:r w:rsidR="00BE69CC" w:rsidRPr="00BD13DD">
        <w:rPr>
          <w:rFonts w:cs="Arial"/>
          <w:sz w:val="22"/>
          <w:szCs w:val="22"/>
        </w:rPr>
        <w:t xml:space="preserve"> include</w:t>
      </w:r>
      <w:r w:rsidR="00F47B95" w:rsidRPr="00BD13DD">
        <w:rPr>
          <w:rFonts w:cs="Arial"/>
          <w:sz w:val="22"/>
          <w:szCs w:val="22"/>
        </w:rPr>
        <w:t>,</w:t>
      </w:r>
      <w:r w:rsidR="00BE69CC" w:rsidRPr="00BD13DD">
        <w:rPr>
          <w:rFonts w:cs="Arial"/>
          <w:sz w:val="22"/>
          <w:szCs w:val="22"/>
        </w:rPr>
        <w:t xml:space="preserve"> for example</w:t>
      </w:r>
      <w:r w:rsidR="00F47B95" w:rsidRPr="00BD13DD">
        <w:rPr>
          <w:rFonts w:cs="Arial"/>
          <w:sz w:val="22"/>
          <w:szCs w:val="22"/>
        </w:rPr>
        <w:t>,</w:t>
      </w:r>
      <w:r w:rsidR="00BE69CC" w:rsidRPr="00BD13DD">
        <w:rPr>
          <w:rFonts w:cs="Arial"/>
          <w:sz w:val="22"/>
          <w:szCs w:val="22"/>
        </w:rPr>
        <w:t xml:space="preserve"> daily </w:t>
      </w:r>
      <w:r w:rsidR="00460B3B" w:rsidRPr="00BD13DD">
        <w:rPr>
          <w:rFonts w:cs="Arial"/>
          <w:sz w:val="22"/>
          <w:szCs w:val="22"/>
        </w:rPr>
        <w:t xml:space="preserve">medicine </w:t>
      </w:r>
      <w:r w:rsidR="00BE69CC" w:rsidRPr="00BD13DD">
        <w:rPr>
          <w:rFonts w:cs="Arial"/>
          <w:sz w:val="22"/>
          <w:szCs w:val="22"/>
        </w:rPr>
        <w:t>acquisition costs, a physician outpatient visit and daily outpatient parenteral antibiotic therapy (OPAT) costs.</w:t>
      </w:r>
    </w:p>
    <w:p w14:paraId="665B8854" w14:textId="77777777" w:rsidR="00BE69CC" w:rsidRPr="00BD13DD" w:rsidRDefault="00BE69CC" w:rsidP="00BE69CC">
      <w:pPr>
        <w:pStyle w:val="NormalWeb"/>
        <w:spacing w:before="0" w:after="0"/>
        <w:rPr>
          <w:rFonts w:ascii="Arial" w:hAnsi="Arial" w:cs="Arial"/>
          <w:sz w:val="22"/>
          <w:szCs w:val="22"/>
        </w:rPr>
      </w:pPr>
    </w:p>
    <w:p w14:paraId="6089E491" w14:textId="34796E8B" w:rsidR="00BE69CC" w:rsidRPr="002A1891" w:rsidRDefault="00BE69CC" w:rsidP="00BE69CC">
      <w:pPr>
        <w:rPr>
          <w:rFonts w:cs="Arial"/>
          <w:b/>
          <w:sz w:val="22"/>
          <w:szCs w:val="22"/>
        </w:rPr>
      </w:pPr>
      <w:r w:rsidRPr="002A1891">
        <w:rPr>
          <w:rFonts w:cs="Arial"/>
          <w:b/>
          <w:sz w:val="22"/>
          <w:szCs w:val="22"/>
        </w:rPr>
        <w:t xml:space="preserve">Outpatient </w:t>
      </w:r>
      <w:r w:rsidR="00F47B95">
        <w:rPr>
          <w:rFonts w:cs="Arial"/>
          <w:b/>
          <w:sz w:val="22"/>
          <w:szCs w:val="22"/>
        </w:rPr>
        <w:t xml:space="preserve">Parenteral </w:t>
      </w:r>
      <w:r w:rsidRPr="002A1891">
        <w:rPr>
          <w:rFonts w:cs="Arial"/>
          <w:b/>
          <w:sz w:val="22"/>
          <w:szCs w:val="22"/>
        </w:rPr>
        <w:t>Antimicrobial Therapy (OPAT)</w:t>
      </w:r>
    </w:p>
    <w:p w14:paraId="251277A7" w14:textId="77777777" w:rsidR="00BE69CC" w:rsidRPr="002A1891" w:rsidRDefault="00BE69CC" w:rsidP="00BE69CC">
      <w:pPr>
        <w:widowControl w:val="0"/>
        <w:autoSpaceDE w:val="0"/>
        <w:autoSpaceDN w:val="0"/>
        <w:adjustRightInd w:val="0"/>
        <w:rPr>
          <w:rFonts w:cs="Arial"/>
          <w:sz w:val="22"/>
          <w:szCs w:val="22"/>
        </w:rPr>
      </w:pPr>
      <w:r w:rsidRPr="002A1891">
        <w:rPr>
          <w:rFonts w:cs="Arial"/>
          <w:sz w:val="22"/>
          <w:szCs w:val="22"/>
        </w:rPr>
        <w:t xml:space="preserve">Recently published Department of Health (England) antimicrobial stewardship guidance recommends a 48-h review after the commencement of inpatient antibiotic therapy, with consideration of switching from IV to oral or assessment of suitability for outpatient parenteral antibiotic therapy (OPAT). OPAT costs assumed an established service and used an OPAT MRSA cohort data treated with teicoplanin 1,000 mg for 3 days followed by three times per week (estimated number of clinic visits/day: 0.5, number of clinic visits: 7.0 and length of clinic visit: 60 min with one consultant outpatient review)(Seaton, 2013). Although this OPAT service included a patient cohort that was treated with teicoplanin (which is not an appropriate comparator for tedizolid phosphate in the treatment of MRSA-caused ABSSSIs), the Seaton paper does provide a direct source of OPAT costs in NHS Scotland and has been selected as the appropriate reference source for that reason.   </w:t>
      </w:r>
    </w:p>
    <w:p w14:paraId="50850780" w14:textId="77777777" w:rsidR="00BE69CC" w:rsidRPr="002A1891" w:rsidRDefault="00BE69CC" w:rsidP="00BE69CC">
      <w:pPr>
        <w:widowControl w:val="0"/>
        <w:autoSpaceDE w:val="0"/>
        <w:autoSpaceDN w:val="0"/>
        <w:adjustRightInd w:val="0"/>
        <w:rPr>
          <w:rFonts w:cs="Arial"/>
          <w:sz w:val="22"/>
          <w:szCs w:val="22"/>
        </w:rPr>
      </w:pPr>
    </w:p>
    <w:p w14:paraId="1A7D9E6E" w14:textId="77777777" w:rsidR="00BE69CC" w:rsidRPr="002A1891" w:rsidRDefault="00BE69CC" w:rsidP="00BE69CC">
      <w:pPr>
        <w:widowControl w:val="0"/>
        <w:autoSpaceDE w:val="0"/>
        <w:autoSpaceDN w:val="0"/>
        <w:adjustRightInd w:val="0"/>
        <w:rPr>
          <w:rFonts w:cs="Arial"/>
          <w:bCs/>
          <w:i/>
          <w:sz w:val="22"/>
          <w:szCs w:val="22"/>
        </w:rPr>
      </w:pPr>
      <w:r w:rsidRPr="002A1891">
        <w:rPr>
          <w:rFonts w:cs="Arial"/>
          <w:bCs/>
          <w:i/>
          <w:sz w:val="22"/>
          <w:szCs w:val="22"/>
        </w:rPr>
        <w:lastRenderedPageBreak/>
        <w:t>Cost per day</w:t>
      </w:r>
    </w:p>
    <w:p w14:paraId="6033AF23" w14:textId="77777777" w:rsidR="00BE69CC" w:rsidRPr="002A1891" w:rsidRDefault="00BE69CC" w:rsidP="00C35C1F">
      <w:pPr>
        <w:widowControl w:val="0"/>
        <w:numPr>
          <w:ilvl w:val="0"/>
          <w:numId w:val="57"/>
        </w:numPr>
        <w:autoSpaceDE w:val="0"/>
        <w:autoSpaceDN w:val="0"/>
        <w:adjustRightInd w:val="0"/>
        <w:rPr>
          <w:rFonts w:cs="Arial"/>
          <w:sz w:val="22"/>
          <w:szCs w:val="22"/>
        </w:rPr>
      </w:pPr>
      <w:r w:rsidRPr="002A1891">
        <w:rPr>
          <w:rFonts w:cs="Arial"/>
          <w:bCs/>
          <w:sz w:val="22"/>
          <w:szCs w:val="22"/>
        </w:rPr>
        <w:t xml:space="preserve">Outpatient Antimicrobial Therapy (OPAT). Economic Case Study (2011-2012). Lindsay Semple, NHS Greater Glasgow and Clyde reported </w:t>
      </w:r>
      <w:r w:rsidRPr="002A1891">
        <w:rPr>
          <w:rFonts w:cs="Arial"/>
          <w:sz w:val="22"/>
          <w:szCs w:val="22"/>
        </w:rPr>
        <w:t>£26 per day.</w:t>
      </w:r>
    </w:p>
    <w:p w14:paraId="39D2AF00" w14:textId="24584ABD" w:rsidR="00BE69CC" w:rsidRPr="002A1891" w:rsidRDefault="00BE69CC" w:rsidP="00C35C1F">
      <w:pPr>
        <w:widowControl w:val="0"/>
        <w:numPr>
          <w:ilvl w:val="0"/>
          <w:numId w:val="57"/>
        </w:numPr>
        <w:autoSpaceDE w:val="0"/>
        <w:autoSpaceDN w:val="0"/>
        <w:adjustRightInd w:val="0"/>
        <w:rPr>
          <w:rFonts w:cs="Arial"/>
          <w:sz w:val="22"/>
          <w:szCs w:val="22"/>
        </w:rPr>
      </w:pPr>
      <w:r w:rsidRPr="002A1891">
        <w:rPr>
          <w:rFonts w:cs="Arial"/>
          <w:sz w:val="22"/>
          <w:szCs w:val="22"/>
        </w:rPr>
        <w:t>Seaton</w:t>
      </w:r>
      <w:r w:rsidR="00312EC5">
        <w:rPr>
          <w:rFonts w:cs="Arial"/>
          <w:sz w:val="22"/>
          <w:szCs w:val="22"/>
        </w:rPr>
        <w:t xml:space="preserve"> 2013</w:t>
      </w:r>
      <w:r w:rsidR="00211BCD">
        <w:rPr>
          <w:rFonts w:cs="Arial"/>
          <w:sz w:val="22"/>
          <w:szCs w:val="22"/>
        </w:rPr>
        <w:t xml:space="preserve"> (</w:t>
      </w:r>
      <w:r w:rsidR="00211BCD">
        <w:rPr>
          <w:rFonts w:cs="Arial"/>
          <w:sz w:val="22"/>
          <w:szCs w:val="22"/>
        </w:rPr>
        <w:fldChar w:fldCharType="begin"/>
      </w:r>
      <w:r w:rsidR="00211BCD">
        <w:rPr>
          <w:rFonts w:cs="Arial"/>
          <w:sz w:val="22"/>
          <w:szCs w:val="22"/>
        </w:rPr>
        <w:instrText xml:space="preserve"> REF _Ref284169362 \r \h </w:instrText>
      </w:r>
      <w:r w:rsidR="00211BCD">
        <w:rPr>
          <w:rFonts w:cs="Arial"/>
          <w:sz w:val="22"/>
          <w:szCs w:val="22"/>
        </w:rPr>
      </w:r>
      <w:r w:rsidR="00211BCD">
        <w:rPr>
          <w:rFonts w:cs="Arial"/>
          <w:sz w:val="22"/>
          <w:szCs w:val="22"/>
        </w:rPr>
        <w:fldChar w:fldCharType="separate"/>
      </w:r>
      <w:r w:rsidR="00151A1C">
        <w:rPr>
          <w:rFonts w:cs="Arial"/>
          <w:sz w:val="22"/>
          <w:szCs w:val="22"/>
        </w:rPr>
        <w:t>20</w:t>
      </w:r>
      <w:r w:rsidR="00211BCD">
        <w:rPr>
          <w:rFonts w:cs="Arial"/>
          <w:sz w:val="22"/>
          <w:szCs w:val="22"/>
        </w:rPr>
        <w:fldChar w:fldCharType="end"/>
      </w:r>
      <w:r w:rsidR="00211BCD">
        <w:rPr>
          <w:rFonts w:cs="Arial"/>
          <w:sz w:val="22"/>
          <w:szCs w:val="22"/>
        </w:rPr>
        <w:t>):</w:t>
      </w:r>
      <w:r w:rsidRPr="002A1891">
        <w:rPr>
          <w:rFonts w:cs="Arial"/>
          <w:sz w:val="22"/>
          <w:szCs w:val="22"/>
        </w:rPr>
        <w:t xml:space="preserve"> OPAT costs assumed an established service and used an OPAT MRSA cohort data treated with teicoplanin 1,000 mg for 3 days followed by three times per week (estimated number of clinic visits/day: 0.5, number of clinic visits: 7.0 and length of clinic visit: 60 min with one consultant outpatient review). </w:t>
      </w:r>
    </w:p>
    <w:p w14:paraId="6290724F" w14:textId="77777777" w:rsidR="00BE69CC" w:rsidRPr="002A1891" w:rsidRDefault="00BE69CC" w:rsidP="00BE69CC">
      <w:pPr>
        <w:widowControl w:val="0"/>
        <w:autoSpaceDE w:val="0"/>
        <w:autoSpaceDN w:val="0"/>
        <w:adjustRightInd w:val="0"/>
        <w:ind w:left="360"/>
        <w:rPr>
          <w:rFonts w:cs="Arial"/>
          <w:sz w:val="22"/>
          <w:szCs w:val="22"/>
        </w:rPr>
      </w:pPr>
    </w:p>
    <w:p w14:paraId="5A7E1C56" w14:textId="77777777" w:rsidR="00BE69CC" w:rsidRPr="002A1891" w:rsidRDefault="00BE69CC" w:rsidP="00BE69CC">
      <w:pPr>
        <w:widowControl w:val="0"/>
        <w:autoSpaceDE w:val="0"/>
        <w:autoSpaceDN w:val="0"/>
        <w:adjustRightInd w:val="0"/>
        <w:rPr>
          <w:rFonts w:cs="Arial"/>
          <w:sz w:val="22"/>
          <w:szCs w:val="22"/>
        </w:rPr>
      </w:pPr>
      <w:r w:rsidRPr="002A1891">
        <w:rPr>
          <w:rFonts w:cs="Arial"/>
          <w:sz w:val="22"/>
          <w:szCs w:val="22"/>
        </w:rPr>
        <w:t>Assuming 0.5 visits per day and 60 minutes fee of £47.03 for a general physician, the cost of OPAT per day becomes 0.5 x 47.03 = £23.52, which is close to the £26 reported above. The scenario analysis is therefore based on £26 per day in 2012, which becomes £26.65 after adjustment for inflation. (</w:t>
      </w:r>
      <w:hyperlink r:id="rId39" w:history="1">
        <w:r w:rsidRPr="002A1891">
          <w:rPr>
            <w:rStyle w:val="Hyperlink"/>
            <w:rFonts w:cs="Arial"/>
            <w:sz w:val="22"/>
            <w:szCs w:val="22"/>
          </w:rPr>
          <w:t>http://www.rateinflation.com/inflation-rate/uk-historical-inflation-rate</w:t>
        </w:r>
      </w:hyperlink>
      <w:r w:rsidRPr="002A1891">
        <w:rPr>
          <w:rFonts w:cs="Arial"/>
          <w:sz w:val="22"/>
          <w:szCs w:val="22"/>
        </w:rPr>
        <w:t xml:space="preserve">).  </w:t>
      </w:r>
    </w:p>
    <w:p w14:paraId="7F3E67F5" w14:textId="77777777" w:rsidR="00211BCD" w:rsidRDefault="00211BCD" w:rsidP="00BE69CC">
      <w:pPr>
        <w:widowControl w:val="0"/>
        <w:autoSpaceDE w:val="0"/>
        <w:autoSpaceDN w:val="0"/>
        <w:adjustRightInd w:val="0"/>
        <w:jc w:val="both"/>
      </w:pPr>
    </w:p>
    <w:p w14:paraId="18272F79" w14:textId="77777777" w:rsidR="00211BCD" w:rsidRPr="002A1891" w:rsidRDefault="00211BCD" w:rsidP="00BE69CC">
      <w:pPr>
        <w:widowControl w:val="0"/>
        <w:autoSpaceDE w:val="0"/>
        <w:autoSpaceDN w:val="0"/>
        <w:adjustRightInd w:val="0"/>
        <w:jc w:val="both"/>
      </w:pPr>
    </w:p>
    <w:p w14:paraId="64CB3D11" w14:textId="4CC4D044" w:rsidR="00BE69CC" w:rsidRPr="002A1891" w:rsidRDefault="00BE69CC" w:rsidP="00C35C1F">
      <w:pPr>
        <w:pStyle w:val="NormalWeb"/>
        <w:numPr>
          <w:ilvl w:val="1"/>
          <w:numId w:val="65"/>
        </w:numPr>
        <w:spacing w:before="0" w:after="0"/>
        <w:rPr>
          <w:rFonts w:ascii="Arial" w:hAnsi="Arial" w:cs="Arial"/>
          <w:b/>
          <w:sz w:val="22"/>
          <w:szCs w:val="22"/>
        </w:rPr>
      </w:pPr>
      <w:r w:rsidRPr="002A1891">
        <w:rPr>
          <w:rFonts w:ascii="Arial" w:hAnsi="Arial" w:cs="Arial"/>
          <w:b/>
          <w:sz w:val="22"/>
          <w:szCs w:val="22"/>
        </w:rPr>
        <w:t>Results</w:t>
      </w:r>
    </w:p>
    <w:p w14:paraId="63F2A1BF" w14:textId="77777777" w:rsidR="00BE69CC" w:rsidRPr="002A1891" w:rsidRDefault="00BE69CC" w:rsidP="00BE69CC">
      <w:pPr>
        <w:pStyle w:val="NormalWeb"/>
        <w:spacing w:before="0" w:after="0"/>
        <w:ind w:left="360"/>
        <w:rPr>
          <w:rFonts w:ascii="Arial" w:hAnsi="Arial" w:cs="Arial"/>
          <w:b/>
          <w:sz w:val="22"/>
          <w:szCs w:val="22"/>
        </w:rPr>
      </w:pPr>
    </w:p>
    <w:p w14:paraId="6E33FDCA" w14:textId="5D6566AC" w:rsidR="00BE69CC" w:rsidRPr="002A1891" w:rsidRDefault="00BE69CC" w:rsidP="00C35C1F">
      <w:pPr>
        <w:pStyle w:val="NormalWeb"/>
        <w:numPr>
          <w:ilvl w:val="2"/>
          <w:numId w:val="65"/>
        </w:numPr>
        <w:spacing w:before="0" w:after="0"/>
        <w:rPr>
          <w:rFonts w:ascii="Arial" w:hAnsi="Arial" w:cs="Arial"/>
          <w:b/>
          <w:sz w:val="22"/>
          <w:szCs w:val="22"/>
        </w:rPr>
      </w:pPr>
      <w:r w:rsidRPr="002A1891">
        <w:rPr>
          <w:rFonts w:ascii="Arial" w:hAnsi="Arial" w:cs="Arial"/>
          <w:b/>
          <w:sz w:val="22"/>
          <w:szCs w:val="22"/>
        </w:rPr>
        <w:t>Base case</w:t>
      </w:r>
    </w:p>
    <w:p w14:paraId="5B9C33AE" w14:textId="77777777" w:rsidR="00BE69CC" w:rsidRPr="002A1891" w:rsidRDefault="00BE69CC" w:rsidP="00BE69CC">
      <w:pPr>
        <w:rPr>
          <w:rFonts w:ascii="Times New Roman" w:hAnsi="Times New Roman"/>
        </w:rPr>
      </w:pPr>
    </w:p>
    <w:p w14:paraId="12777973" w14:textId="3A741048" w:rsidR="00BE69CC" w:rsidRPr="002A1891" w:rsidRDefault="00BE69CC" w:rsidP="00BE69CC">
      <w:pPr>
        <w:rPr>
          <w:sz w:val="22"/>
          <w:szCs w:val="22"/>
        </w:rPr>
      </w:pPr>
      <w:r w:rsidRPr="002A1891">
        <w:rPr>
          <w:sz w:val="22"/>
          <w:szCs w:val="22"/>
        </w:rPr>
        <w:t xml:space="preserve">The base case analysis is based on the following days of treatment with tedizolid </w:t>
      </w:r>
      <w:r w:rsidR="002735A7">
        <w:rPr>
          <w:sz w:val="22"/>
          <w:szCs w:val="22"/>
        </w:rPr>
        <w:t xml:space="preserve">phosphate </w:t>
      </w:r>
      <w:r w:rsidRPr="002A1891">
        <w:rPr>
          <w:sz w:val="22"/>
          <w:szCs w:val="22"/>
        </w:rPr>
        <w:t xml:space="preserve">and linezolid, as per </w:t>
      </w:r>
      <w:r w:rsidR="002735A7">
        <w:rPr>
          <w:sz w:val="22"/>
          <w:szCs w:val="22"/>
        </w:rPr>
        <w:t xml:space="preserve">the Phase 3 </w:t>
      </w:r>
      <w:r w:rsidRPr="002A1891">
        <w:rPr>
          <w:sz w:val="22"/>
          <w:szCs w:val="22"/>
        </w:rPr>
        <w:t xml:space="preserve">clinical </w:t>
      </w:r>
      <w:r w:rsidR="002735A7">
        <w:rPr>
          <w:sz w:val="22"/>
          <w:szCs w:val="22"/>
        </w:rPr>
        <w:t>studies</w:t>
      </w:r>
      <w:r w:rsidRPr="002A1891">
        <w:rPr>
          <w:sz w:val="22"/>
          <w:szCs w:val="22"/>
        </w:rPr>
        <w:t xml:space="preserve"> and as per recommended in the advisory board:</w:t>
      </w:r>
    </w:p>
    <w:p w14:paraId="0C7ADF16" w14:textId="19D0EDA3" w:rsidR="00BE69CC" w:rsidRPr="002A1891" w:rsidRDefault="00BE69CC" w:rsidP="00C35C1F">
      <w:pPr>
        <w:numPr>
          <w:ilvl w:val="0"/>
          <w:numId w:val="60"/>
        </w:numPr>
        <w:rPr>
          <w:sz w:val="22"/>
          <w:szCs w:val="22"/>
        </w:rPr>
      </w:pPr>
      <w:r w:rsidRPr="002A1891">
        <w:rPr>
          <w:sz w:val="22"/>
          <w:szCs w:val="22"/>
        </w:rPr>
        <w:t xml:space="preserve">Tedizolid </w:t>
      </w:r>
      <w:r w:rsidR="0075674B">
        <w:rPr>
          <w:rFonts w:cs="Arial"/>
          <w:sz w:val="22"/>
          <w:szCs w:val="22"/>
        </w:rPr>
        <w:t>phosphate</w:t>
      </w:r>
      <w:r w:rsidR="0075674B" w:rsidRPr="002A1891">
        <w:rPr>
          <w:sz w:val="22"/>
          <w:szCs w:val="22"/>
        </w:rPr>
        <w:t xml:space="preserve"> </w:t>
      </w:r>
      <w:r w:rsidRPr="002A1891">
        <w:rPr>
          <w:sz w:val="22"/>
          <w:szCs w:val="22"/>
        </w:rPr>
        <w:t>- 2 days IV; 4 days oral</w:t>
      </w:r>
    </w:p>
    <w:p w14:paraId="60CD0C35" w14:textId="77777777" w:rsidR="00BE69CC" w:rsidRPr="002A1891" w:rsidRDefault="00BE69CC" w:rsidP="00C35C1F">
      <w:pPr>
        <w:numPr>
          <w:ilvl w:val="0"/>
          <w:numId w:val="60"/>
        </w:numPr>
        <w:rPr>
          <w:sz w:val="22"/>
          <w:szCs w:val="22"/>
        </w:rPr>
      </w:pPr>
      <w:r w:rsidRPr="002A1891">
        <w:rPr>
          <w:sz w:val="22"/>
          <w:szCs w:val="22"/>
        </w:rPr>
        <w:t>Linezolid - 2 days IV; 8 days oral</w:t>
      </w:r>
    </w:p>
    <w:p w14:paraId="355A3674" w14:textId="77777777" w:rsidR="00BE69CC" w:rsidRPr="002A1891" w:rsidRDefault="00BE69CC" w:rsidP="00BE69CC">
      <w:pPr>
        <w:rPr>
          <w:sz w:val="22"/>
          <w:szCs w:val="22"/>
        </w:rPr>
      </w:pPr>
    </w:p>
    <w:p w14:paraId="2B2971A4" w14:textId="0213971C" w:rsidR="00A17AEA" w:rsidRPr="00CB1788" w:rsidRDefault="00A17AEA" w:rsidP="00A17AEA">
      <w:pPr>
        <w:rPr>
          <w:sz w:val="22"/>
          <w:szCs w:val="22"/>
        </w:rPr>
      </w:pPr>
      <w:r w:rsidRPr="00CB1788">
        <w:rPr>
          <w:sz w:val="22"/>
          <w:szCs w:val="22"/>
        </w:rPr>
        <w:t xml:space="preserve">The use of tedizolid </w:t>
      </w:r>
      <w:r w:rsidR="0075674B" w:rsidRPr="00CB1788">
        <w:rPr>
          <w:rFonts w:cs="Arial"/>
          <w:sz w:val="22"/>
          <w:szCs w:val="22"/>
        </w:rPr>
        <w:t>phosphate</w:t>
      </w:r>
      <w:r w:rsidR="0075674B" w:rsidRPr="00CB1788">
        <w:rPr>
          <w:sz w:val="22"/>
          <w:szCs w:val="22"/>
        </w:rPr>
        <w:t xml:space="preserve"> </w:t>
      </w:r>
      <w:r w:rsidRPr="00CB1788">
        <w:rPr>
          <w:sz w:val="22"/>
          <w:szCs w:val="22"/>
        </w:rPr>
        <w:t xml:space="preserve">results in costs of </w:t>
      </w:r>
      <w:r w:rsidR="00B403B6" w:rsidRPr="00CB1788">
        <w:rPr>
          <w:sz w:val="22"/>
          <w:szCs w:val="22"/>
        </w:rPr>
        <w:t>£966</w:t>
      </w:r>
      <w:r w:rsidRPr="00CB1788">
        <w:rPr>
          <w:sz w:val="22"/>
          <w:szCs w:val="22"/>
        </w:rPr>
        <w:t>.</w:t>
      </w:r>
      <w:r w:rsidR="00B403B6" w:rsidRPr="00CB1788">
        <w:rPr>
          <w:sz w:val="22"/>
          <w:szCs w:val="22"/>
        </w:rPr>
        <w:t>27</w:t>
      </w:r>
      <w:r w:rsidRPr="00CB1788">
        <w:rPr>
          <w:sz w:val="22"/>
          <w:szCs w:val="22"/>
        </w:rPr>
        <w:t xml:space="preserve"> and linezolid in costs of </w:t>
      </w:r>
      <w:r w:rsidR="00E9465B" w:rsidRPr="00CB1788">
        <w:rPr>
          <w:sz w:val="22"/>
          <w:szCs w:val="22"/>
        </w:rPr>
        <w:t>£</w:t>
      </w:r>
      <w:r w:rsidR="006569F2">
        <w:rPr>
          <w:sz w:val="22"/>
          <w:szCs w:val="22"/>
        </w:rPr>
        <w:t>1,</w:t>
      </w:r>
      <w:r w:rsidR="00B403B6" w:rsidRPr="00CB1788">
        <w:rPr>
          <w:sz w:val="22"/>
          <w:szCs w:val="22"/>
        </w:rPr>
        <w:t>020.31</w:t>
      </w:r>
      <w:r w:rsidRPr="00CB1788">
        <w:rPr>
          <w:sz w:val="22"/>
          <w:szCs w:val="22"/>
        </w:rPr>
        <w:t xml:space="preserve">, leading to a </w:t>
      </w:r>
      <w:r w:rsidR="00E9465B" w:rsidRPr="00CB1788">
        <w:rPr>
          <w:sz w:val="22"/>
          <w:szCs w:val="22"/>
        </w:rPr>
        <w:t>cost saving of £</w:t>
      </w:r>
      <w:r w:rsidR="00B403B6" w:rsidRPr="00CB1788">
        <w:rPr>
          <w:sz w:val="22"/>
          <w:szCs w:val="22"/>
        </w:rPr>
        <w:t>54.03</w:t>
      </w:r>
      <w:r w:rsidRPr="00CB1788">
        <w:rPr>
          <w:sz w:val="22"/>
          <w:szCs w:val="22"/>
        </w:rPr>
        <w:t xml:space="preserve"> for the tedizolid </w:t>
      </w:r>
      <w:r w:rsidR="0075674B" w:rsidRPr="00CB1788">
        <w:rPr>
          <w:rFonts w:cs="Arial"/>
          <w:sz w:val="22"/>
          <w:szCs w:val="22"/>
        </w:rPr>
        <w:t>phosphate</w:t>
      </w:r>
      <w:r w:rsidR="0075674B" w:rsidRPr="00CB1788">
        <w:rPr>
          <w:sz w:val="22"/>
          <w:szCs w:val="22"/>
        </w:rPr>
        <w:t xml:space="preserve"> </w:t>
      </w:r>
      <w:r w:rsidRPr="00CB1788">
        <w:rPr>
          <w:sz w:val="22"/>
          <w:szCs w:val="22"/>
        </w:rPr>
        <w:t xml:space="preserve">treatment strategy (see </w:t>
      </w:r>
      <w:r w:rsidR="00542F56">
        <w:rPr>
          <w:sz w:val="22"/>
          <w:szCs w:val="22"/>
        </w:rPr>
        <w:fldChar w:fldCharType="begin"/>
      </w:r>
      <w:r w:rsidR="00542F56">
        <w:rPr>
          <w:sz w:val="22"/>
          <w:szCs w:val="22"/>
        </w:rPr>
        <w:instrText xml:space="preserve"> REF _Ref284251907 \h </w:instrText>
      </w:r>
      <w:r w:rsidR="00542F56">
        <w:rPr>
          <w:sz w:val="22"/>
          <w:szCs w:val="22"/>
        </w:rPr>
      </w:r>
      <w:r w:rsidR="00542F56">
        <w:rPr>
          <w:sz w:val="22"/>
          <w:szCs w:val="22"/>
        </w:rPr>
        <w:fldChar w:fldCharType="separate"/>
      </w:r>
      <w:r w:rsidR="00151A1C" w:rsidRPr="002A1891">
        <w:rPr>
          <w:rFonts w:cs="Arial"/>
          <w:sz w:val="22"/>
          <w:szCs w:val="22"/>
        </w:rPr>
        <w:t xml:space="preserve">Table </w:t>
      </w:r>
      <w:r w:rsidR="00151A1C">
        <w:rPr>
          <w:rFonts w:cs="Arial"/>
          <w:noProof/>
          <w:sz w:val="22"/>
          <w:szCs w:val="22"/>
        </w:rPr>
        <w:t>48</w:t>
      </w:r>
      <w:r w:rsidR="00542F56">
        <w:rPr>
          <w:sz w:val="22"/>
          <w:szCs w:val="22"/>
        </w:rPr>
        <w:fldChar w:fldCharType="end"/>
      </w:r>
      <w:r w:rsidR="00542F56">
        <w:rPr>
          <w:sz w:val="22"/>
          <w:szCs w:val="22"/>
        </w:rPr>
        <w:t xml:space="preserve">). </w:t>
      </w:r>
      <w:r w:rsidR="00B403B6" w:rsidRPr="00CB1788">
        <w:rPr>
          <w:sz w:val="22"/>
          <w:szCs w:val="22"/>
        </w:rPr>
        <w:t>The cost saving results largely from the difference in administration costs (£13.13) and monitoring costs (£50.91).</w:t>
      </w:r>
    </w:p>
    <w:p w14:paraId="6FF95F11" w14:textId="77777777" w:rsidR="00A17AEA" w:rsidRDefault="00A17AEA" w:rsidP="00A17AEA">
      <w:pPr>
        <w:pStyle w:val="Caption"/>
        <w:rPr>
          <w:rFonts w:ascii="Arial" w:hAnsi="Arial" w:cs="Arial"/>
          <w:sz w:val="22"/>
          <w:szCs w:val="22"/>
        </w:rPr>
      </w:pPr>
      <w:bookmarkStart w:id="204" w:name="_Ref284251907"/>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48</w:t>
      </w:r>
      <w:r w:rsidRPr="002A1891">
        <w:rPr>
          <w:rFonts w:ascii="Arial" w:hAnsi="Arial" w:cs="Arial"/>
          <w:sz w:val="22"/>
          <w:szCs w:val="22"/>
        </w:rPr>
        <w:fldChar w:fldCharType="end"/>
      </w:r>
      <w:bookmarkEnd w:id="204"/>
      <w:r w:rsidRPr="002A1891">
        <w:rPr>
          <w:rFonts w:ascii="Arial" w:hAnsi="Arial" w:cs="Arial"/>
          <w:sz w:val="22"/>
          <w:szCs w:val="22"/>
        </w:rPr>
        <w:t>: Results – base case analysis</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275"/>
        <w:gridCol w:w="1701"/>
        <w:gridCol w:w="1701"/>
        <w:gridCol w:w="1701"/>
      </w:tblGrid>
      <w:tr w:rsidR="00B403B6" w:rsidRPr="009B33BE" w14:paraId="4C7A3AFB" w14:textId="77777777" w:rsidTr="00A62402">
        <w:trPr>
          <w:trHeight w:val="300"/>
        </w:trPr>
        <w:tc>
          <w:tcPr>
            <w:tcW w:w="2127" w:type="dxa"/>
            <w:shd w:val="clear" w:color="auto" w:fill="auto"/>
            <w:noWrap/>
            <w:vAlign w:val="bottom"/>
          </w:tcPr>
          <w:p w14:paraId="5595E77B" w14:textId="77777777" w:rsidR="00B403B6" w:rsidRPr="004D0DE0" w:rsidRDefault="00B403B6" w:rsidP="005E6DBC">
            <w:pPr>
              <w:rPr>
                <w:b/>
                <w:sz w:val="20"/>
                <w:szCs w:val="22"/>
              </w:rPr>
            </w:pPr>
          </w:p>
        </w:tc>
        <w:tc>
          <w:tcPr>
            <w:tcW w:w="1275" w:type="dxa"/>
            <w:shd w:val="clear" w:color="auto" w:fill="auto"/>
            <w:noWrap/>
            <w:vAlign w:val="bottom"/>
          </w:tcPr>
          <w:p w14:paraId="72DE3B9D" w14:textId="77777777" w:rsidR="00B403B6" w:rsidRPr="004D0DE0" w:rsidRDefault="00B403B6" w:rsidP="005E6DBC">
            <w:pPr>
              <w:jc w:val="right"/>
              <w:rPr>
                <w:b/>
                <w:sz w:val="20"/>
                <w:szCs w:val="22"/>
                <w:vertAlign w:val="superscript"/>
              </w:rPr>
            </w:pPr>
            <w:r w:rsidRPr="004D0DE0">
              <w:rPr>
                <w:b/>
                <w:sz w:val="20"/>
                <w:szCs w:val="22"/>
              </w:rPr>
              <w:t>Drug cost</w:t>
            </w:r>
            <w:r w:rsidRPr="004D0DE0">
              <w:rPr>
                <w:b/>
                <w:sz w:val="20"/>
                <w:szCs w:val="22"/>
                <w:vertAlign w:val="superscript"/>
              </w:rPr>
              <w:t>a</w:t>
            </w:r>
          </w:p>
          <w:p w14:paraId="52A1DF62" w14:textId="77777777" w:rsidR="00B403B6" w:rsidRPr="004D0DE0" w:rsidRDefault="00B403B6" w:rsidP="005E6DBC">
            <w:pPr>
              <w:jc w:val="right"/>
              <w:rPr>
                <w:b/>
                <w:sz w:val="20"/>
                <w:szCs w:val="22"/>
                <w:vertAlign w:val="superscript"/>
              </w:rPr>
            </w:pPr>
          </w:p>
        </w:tc>
        <w:tc>
          <w:tcPr>
            <w:tcW w:w="1701" w:type="dxa"/>
            <w:shd w:val="clear" w:color="auto" w:fill="auto"/>
            <w:noWrap/>
            <w:vAlign w:val="bottom"/>
          </w:tcPr>
          <w:p w14:paraId="27039B6E" w14:textId="77777777" w:rsidR="00B403B6" w:rsidRPr="004D0DE0" w:rsidRDefault="00B403B6" w:rsidP="005E6DBC">
            <w:pPr>
              <w:jc w:val="right"/>
              <w:rPr>
                <w:b/>
                <w:sz w:val="20"/>
                <w:szCs w:val="22"/>
                <w:vertAlign w:val="superscript"/>
              </w:rPr>
            </w:pPr>
            <w:r w:rsidRPr="004D0DE0">
              <w:rPr>
                <w:b/>
                <w:sz w:val="20"/>
                <w:szCs w:val="22"/>
              </w:rPr>
              <w:t>Administration costs</w:t>
            </w:r>
            <w:r w:rsidRPr="004D0DE0">
              <w:rPr>
                <w:b/>
                <w:sz w:val="20"/>
                <w:szCs w:val="22"/>
                <w:vertAlign w:val="superscript"/>
              </w:rPr>
              <w:t>a</w:t>
            </w:r>
          </w:p>
        </w:tc>
        <w:tc>
          <w:tcPr>
            <w:tcW w:w="1701" w:type="dxa"/>
          </w:tcPr>
          <w:p w14:paraId="506E82DB" w14:textId="77777777" w:rsidR="00B403B6" w:rsidRPr="004D0DE0" w:rsidRDefault="00B403B6" w:rsidP="005E6DBC">
            <w:pPr>
              <w:spacing w:before="2" w:after="2"/>
              <w:jc w:val="right"/>
              <w:rPr>
                <w:b/>
                <w:sz w:val="20"/>
                <w:szCs w:val="22"/>
              </w:rPr>
            </w:pPr>
            <w:r w:rsidRPr="004D0DE0">
              <w:rPr>
                <w:b/>
                <w:sz w:val="20"/>
                <w:szCs w:val="22"/>
              </w:rPr>
              <w:t xml:space="preserve">Monitoring </w:t>
            </w:r>
          </w:p>
          <w:p w14:paraId="3A9EF8BB" w14:textId="77777777" w:rsidR="00B403B6" w:rsidRPr="004D0DE0" w:rsidRDefault="00B403B6" w:rsidP="005E6DBC">
            <w:pPr>
              <w:spacing w:before="2" w:after="2"/>
              <w:jc w:val="right"/>
              <w:rPr>
                <w:b/>
                <w:sz w:val="20"/>
                <w:szCs w:val="22"/>
              </w:rPr>
            </w:pPr>
            <w:r w:rsidRPr="004D0DE0">
              <w:rPr>
                <w:b/>
                <w:sz w:val="20"/>
                <w:szCs w:val="22"/>
              </w:rPr>
              <w:t>costs</w:t>
            </w:r>
            <w:r w:rsidRPr="004D0DE0">
              <w:rPr>
                <w:b/>
                <w:sz w:val="20"/>
                <w:szCs w:val="22"/>
                <w:vertAlign w:val="superscript"/>
              </w:rPr>
              <w:t>a</w:t>
            </w:r>
          </w:p>
        </w:tc>
        <w:tc>
          <w:tcPr>
            <w:tcW w:w="1701" w:type="dxa"/>
            <w:shd w:val="clear" w:color="auto" w:fill="auto"/>
            <w:noWrap/>
            <w:vAlign w:val="bottom"/>
          </w:tcPr>
          <w:p w14:paraId="7FB8EA5B" w14:textId="77777777" w:rsidR="00B403B6" w:rsidRPr="004D0DE0" w:rsidRDefault="00B403B6" w:rsidP="005E6DBC">
            <w:pPr>
              <w:jc w:val="right"/>
              <w:rPr>
                <w:b/>
                <w:sz w:val="20"/>
                <w:szCs w:val="22"/>
              </w:rPr>
            </w:pPr>
            <w:r w:rsidRPr="004D0DE0">
              <w:rPr>
                <w:b/>
                <w:sz w:val="20"/>
                <w:szCs w:val="22"/>
              </w:rPr>
              <w:t>Total costs</w:t>
            </w:r>
          </w:p>
          <w:p w14:paraId="7403AFBF" w14:textId="77777777" w:rsidR="00B403B6" w:rsidRPr="004D0DE0" w:rsidRDefault="00B403B6" w:rsidP="005E6DBC">
            <w:pPr>
              <w:jc w:val="right"/>
              <w:rPr>
                <w:b/>
                <w:sz w:val="20"/>
                <w:szCs w:val="22"/>
              </w:rPr>
            </w:pPr>
          </w:p>
        </w:tc>
      </w:tr>
      <w:tr w:rsidR="00B403B6" w:rsidRPr="009B33BE" w14:paraId="2AC9FD33" w14:textId="77777777" w:rsidTr="00A62402">
        <w:trPr>
          <w:trHeight w:val="300"/>
        </w:trPr>
        <w:tc>
          <w:tcPr>
            <w:tcW w:w="2127" w:type="dxa"/>
            <w:shd w:val="clear" w:color="auto" w:fill="auto"/>
            <w:noWrap/>
            <w:vAlign w:val="bottom"/>
          </w:tcPr>
          <w:p w14:paraId="08358E1F" w14:textId="5AE1C64E" w:rsidR="00B403B6" w:rsidRPr="004D0DE0" w:rsidRDefault="00B403B6" w:rsidP="005E6DBC">
            <w:pPr>
              <w:rPr>
                <w:b/>
                <w:sz w:val="20"/>
                <w:szCs w:val="22"/>
              </w:rPr>
            </w:pPr>
            <w:r w:rsidRPr="004D0DE0">
              <w:rPr>
                <w:b/>
                <w:sz w:val="20"/>
                <w:szCs w:val="22"/>
              </w:rPr>
              <w:lastRenderedPageBreak/>
              <w:t>Tedizolid</w:t>
            </w:r>
            <w:r w:rsidR="00A62402">
              <w:rPr>
                <w:b/>
                <w:sz w:val="20"/>
                <w:szCs w:val="22"/>
              </w:rPr>
              <w:t xml:space="preserve"> phosphate </w:t>
            </w:r>
          </w:p>
        </w:tc>
        <w:tc>
          <w:tcPr>
            <w:tcW w:w="1275" w:type="dxa"/>
            <w:shd w:val="clear" w:color="auto" w:fill="auto"/>
            <w:noWrap/>
            <w:vAlign w:val="bottom"/>
          </w:tcPr>
          <w:p w14:paraId="0999F410" w14:textId="77777777" w:rsidR="00B403B6" w:rsidRPr="00393AAA" w:rsidRDefault="00B403B6" w:rsidP="005E6DBC">
            <w:pPr>
              <w:jc w:val="right"/>
              <w:rPr>
                <w:sz w:val="20"/>
                <w:szCs w:val="22"/>
              </w:rPr>
            </w:pPr>
            <w:r w:rsidRPr="00393AAA">
              <w:rPr>
                <w:sz w:val="20"/>
                <w:szCs w:val="22"/>
              </w:rPr>
              <w:t>£900.00</w:t>
            </w:r>
          </w:p>
        </w:tc>
        <w:tc>
          <w:tcPr>
            <w:tcW w:w="1701" w:type="dxa"/>
            <w:shd w:val="clear" w:color="auto" w:fill="auto"/>
            <w:noWrap/>
            <w:vAlign w:val="bottom"/>
          </w:tcPr>
          <w:p w14:paraId="7234B126" w14:textId="77777777" w:rsidR="00B403B6" w:rsidRPr="00393AAA" w:rsidRDefault="00B403B6" w:rsidP="005E6DBC">
            <w:pPr>
              <w:jc w:val="right"/>
              <w:rPr>
                <w:sz w:val="20"/>
              </w:rPr>
            </w:pPr>
            <w:r w:rsidRPr="00393AAA">
              <w:rPr>
                <w:sz w:val="20"/>
              </w:rPr>
              <w:t>£66.27</w:t>
            </w:r>
          </w:p>
        </w:tc>
        <w:tc>
          <w:tcPr>
            <w:tcW w:w="1701" w:type="dxa"/>
            <w:vAlign w:val="bottom"/>
          </w:tcPr>
          <w:p w14:paraId="6A7CE681" w14:textId="77777777" w:rsidR="00B403B6" w:rsidRPr="00393AAA" w:rsidRDefault="00B403B6" w:rsidP="005E6DBC">
            <w:pPr>
              <w:jc w:val="right"/>
              <w:rPr>
                <w:sz w:val="20"/>
              </w:rPr>
            </w:pPr>
            <w:r w:rsidRPr="00393AAA">
              <w:rPr>
                <w:sz w:val="20"/>
              </w:rPr>
              <w:t>£0.00</w:t>
            </w:r>
          </w:p>
        </w:tc>
        <w:tc>
          <w:tcPr>
            <w:tcW w:w="1701" w:type="dxa"/>
            <w:shd w:val="clear" w:color="auto" w:fill="auto"/>
            <w:noWrap/>
            <w:vAlign w:val="bottom"/>
          </w:tcPr>
          <w:p w14:paraId="54A3CBB0" w14:textId="77777777" w:rsidR="00B403B6" w:rsidRPr="00393AAA" w:rsidRDefault="00B403B6" w:rsidP="005E6DBC">
            <w:pPr>
              <w:jc w:val="right"/>
              <w:rPr>
                <w:sz w:val="20"/>
              </w:rPr>
            </w:pPr>
            <w:r w:rsidRPr="00393AAA">
              <w:rPr>
                <w:sz w:val="20"/>
              </w:rPr>
              <w:t>£966.27</w:t>
            </w:r>
          </w:p>
        </w:tc>
      </w:tr>
      <w:tr w:rsidR="00B403B6" w:rsidRPr="009B33BE" w14:paraId="131FB6D6" w14:textId="77777777" w:rsidTr="00A62402">
        <w:trPr>
          <w:trHeight w:val="300"/>
        </w:trPr>
        <w:tc>
          <w:tcPr>
            <w:tcW w:w="2127" w:type="dxa"/>
            <w:shd w:val="clear" w:color="auto" w:fill="auto"/>
            <w:noWrap/>
            <w:vAlign w:val="bottom"/>
          </w:tcPr>
          <w:p w14:paraId="22035456" w14:textId="77777777" w:rsidR="00B403B6" w:rsidRPr="004D0DE0" w:rsidRDefault="00B403B6" w:rsidP="005E6DBC">
            <w:pPr>
              <w:rPr>
                <w:b/>
                <w:sz w:val="20"/>
                <w:szCs w:val="22"/>
              </w:rPr>
            </w:pPr>
            <w:r w:rsidRPr="004D0DE0">
              <w:rPr>
                <w:b/>
                <w:sz w:val="20"/>
                <w:szCs w:val="22"/>
              </w:rPr>
              <w:t>Linezolid</w:t>
            </w:r>
          </w:p>
        </w:tc>
        <w:tc>
          <w:tcPr>
            <w:tcW w:w="1275" w:type="dxa"/>
            <w:shd w:val="clear" w:color="auto" w:fill="auto"/>
            <w:noWrap/>
            <w:vAlign w:val="bottom"/>
          </w:tcPr>
          <w:p w14:paraId="74C733AB" w14:textId="77777777" w:rsidR="00B403B6" w:rsidRPr="00393AAA" w:rsidRDefault="00B403B6" w:rsidP="005E6DBC">
            <w:pPr>
              <w:jc w:val="right"/>
              <w:rPr>
                <w:sz w:val="20"/>
                <w:szCs w:val="22"/>
              </w:rPr>
            </w:pPr>
            <w:r w:rsidRPr="00393AAA">
              <w:rPr>
                <w:sz w:val="20"/>
                <w:szCs w:val="22"/>
              </w:rPr>
              <w:t>£890.00</w:t>
            </w:r>
          </w:p>
        </w:tc>
        <w:tc>
          <w:tcPr>
            <w:tcW w:w="1701" w:type="dxa"/>
            <w:shd w:val="clear" w:color="auto" w:fill="auto"/>
            <w:noWrap/>
            <w:vAlign w:val="bottom"/>
          </w:tcPr>
          <w:p w14:paraId="19160B74" w14:textId="77777777" w:rsidR="00B403B6" w:rsidRPr="00393AAA" w:rsidRDefault="00B403B6" w:rsidP="005E6DBC">
            <w:pPr>
              <w:jc w:val="right"/>
              <w:rPr>
                <w:sz w:val="20"/>
              </w:rPr>
            </w:pPr>
            <w:r w:rsidRPr="00393AAA">
              <w:rPr>
                <w:sz w:val="20"/>
              </w:rPr>
              <w:t>£79.40</w:t>
            </w:r>
          </w:p>
        </w:tc>
        <w:tc>
          <w:tcPr>
            <w:tcW w:w="1701" w:type="dxa"/>
            <w:vAlign w:val="bottom"/>
          </w:tcPr>
          <w:p w14:paraId="7DC21D01" w14:textId="1DF0CB03" w:rsidR="00B403B6" w:rsidRPr="00393AAA" w:rsidRDefault="00B403B6" w:rsidP="005E6DBC">
            <w:pPr>
              <w:jc w:val="right"/>
              <w:rPr>
                <w:sz w:val="20"/>
              </w:rPr>
            </w:pPr>
            <w:r>
              <w:rPr>
                <w:sz w:val="20"/>
              </w:rPr>
              <w:t>£</w:t>
            </w:r>
            <w:r w:rsidRPr="00393AAA">
              <w:rPr>
                <w:sz w:val="20"/>
              </w:rPr>
              <w:t>50.91</w:t>
            </w:r>
          </w:p>
        </w:tc>
        <w:tc>
          <w:tcPr>
            <w:tcW w:w="1701" w:type="dxa"/>
            <w:shd w:val="clear" w:color="auto" w:fill="auto"/>
            <w:noWrap/>
            <w:vAlign w:val="bottom"/>
          </w:tcPr>
          <w:p w14:paraId="1ADFB497" w14:textId="77777777" w:rsidR="00B403B6" w:rsidRPr="00393AAA" w:rsidRDefault="00B403B6" w:rsidP="005E6DBC">
            <w:pPr>
              <w:jc w:val="right"/>
              <w:rPr>
                <w:sz w:val="20"/>
              </w:rPr>
            </w:pPr>
            <w:r w:rsidRPr="00393AAA">
              <w:rPr>
                <w:sz w:val="20"/>
              </w:rPr>
              <w:t>£1,020.31</w:t>
            </w:r>
          </w:p>
        </w:tc>
      </w:tr>
      <w:tr w:rsidR="00B403B6" w:rsidRPr="009B33BE" w14:paraId="323B1575" w14:textId="77777777" w:rsidTr="00A62402">
        <w:trPr>
          <w:trHeight w:val="300"/>
        </w:trPr>
        <w:tc>
          <w:tcPr>
            <w:tcW w:w="2127" w:type="dxa"/>
            <w:shd w:val="clear" w:color="auto" w:fill="auto"/>
            <w:noWrap/>
            <w:vAlign w:val="bottom"/>
          </w:tcPr>
          <w:p w14:paraId="42B5E923" w14:textId="77777777" w:rsidR="00B403B6" w:rsidRPr="004D0DE0" w:rsidRDefault="00B403B6" w:rsidP="005E6DBC">
            <w:pPr>
              <w:rPr>
                <w:b/>
                <w:sz w:val="20"/>
                <w:szCs w:val="22"/>
              </w:rPr>
            </w:pPr>
          </w:p>
        </w:tc>
        <w:tc>
          <w:tcPr>
            <w:tcW w:w="1275" w:type="dxa"/>
            <w:shd w:val="clear" w:color="auto" w:fill="auto"/>
            <w:noWrap/>
            <w:vAlign w:val="bottom"/>
          </w:tcPr>
          <w:p w14:paraId="57BDC2CC" w14:textId="77777777" w:rsidR="00B403B6" w:rsidRPr="00393AAA" w:rsidRDefault="00B403B6" w:rsidP="005E6DBC">
            <w:pPr>
              <w:rPr>
                <w:sz w:val="20"/>
                <w:szCs w:val="22"/>
              </w:rPr>
            </w:pPr>
          </w:p>
        </w:tc>
        <w:tc>
          <w:tcPr>
            <w:tcW w:w="1701" w:type="dxa"/>
            <w:shd w:val="clear" w:color="auto" w:fill="auto"/>
            <w:noWrap/>
            <w:vAlign w:val="bottom"/>
          </w:tcPr>
          <w:p w14:paraId="25E6F935" w14:textId="77777777" w:rsidR="00B403B6" w:rsidRPr="00393AAA" w:rsidRDefault="00B403B6" w:rsidP="005E6DBC">
            <w:pPr>
              <w:rPr>
                <w:sz w:val="20"/>
              </w:rPr>
            </w:pPr>
          </w:p>
        </w:tc>
        <w:tc>
          <w:tcPr>
            <w:tcW w:w="1701" w:type="dxa"/>
            <w:vAlign w:val="bottom"/>
          </w:tcPr>
          <w:p w14:paraId="28F32BB7" w14:textId="77777777" w:rsidR="00B403B6" w:rsidRPr="00393AAA" w:rsidRDefault="00B403B6" w:rsidP="005E6DBC">
            <w:pPr>
              <w:rPr>
                <w:sz w:val="20"/>
              </w:rPr>
            </w:pPr>
          </w:p>
        </w:tc>
        <w:tc>
          <w:tcPr>
            <w:tcW w:w="1701" w:type="dxa"/>
            <w:shd w:val="clear" w:color="auto" w:fill="auto"/>
            <w:noWrap/>
            <w:vAlign w:val="bottom"/>
          </w:tcPr>
          <w:p w14:paraId="13E0CD92" w14:textId="77777777" w:rsidR="00B403B6" w:rsidRPr="00393AAA" w:rsidRDefault="00B403B6" w:rsidP="005E6DBC">
            <w:pPr>
              <w:rPr>
                <w:sz w:val="20"/>
              </w:rPr>
            </w:pPr>
          </w:p>
        </w:tc>
      </w:tr>
      <w:tr w:rsidR="00B403B6" w:rsidRPr="009B33BE" w14:paraId="3ABE2A82" w14:textId="77777777" w:rsidTr="00A62402">
        <w:trPr>
          <w:trHeight w:val="300"/>
        </w:trPr>
        <w:tc>
          <w:tcPr>
            <w:tcW w:w="2127" w:type="dxa"/>
            <w:shd w:val="clear" w:color="auto" w:fill="auto"/>
            <w:noWrap/>
            <w:vAlign w:val="bottom"/>
          </w:tcPr>
          <w:p w14:paraId="1FB304EB" w14:textId="77777777" w:rsidR="00B403B6" w:rsidRPr="004D0DE0" w:rsidRDefault="00B403B6" w:rsidP="005E6DBC">
            <w:pPr>
              <w:rPr>
                <w:b/>
                <w:sz w:val="20"/>
                <w:szCs w:val="22"/>
              </w:rPr>
            </w:pPr>
            <w:r w:rsidRPr="004D0DE0">
              <w:rPr>
                <w:b/>
                <w:sz w:val="20"/>
                <w:szCs w:val="22"/>
              </w:rPr>
              <w:t>Difference</w:t>
            </w:r>
          </w:p>
        </w:tc>
        <w:tc>
          <w:tcPr>
            <w:tcW w:w="1275" w:type="dxa"/>
            <w:shd w:val="clear" w:color="auto" w:fill="auto"/>
            <w:noWrap/>
            <w:vAlign w:val="bottom"/>
          </w:tcPr>
          <w:p w14:paraId="31D075ED" w14:textId="77777777" w:rsidR="00B403B6" w:rsidRPr="00393AAA" w:rsidRDefault="00B403B6" w:rsidP="005E6DBC">
            <w:pPr>
              <w:jc w:val="right"/>
              <w:rPr>
                <w:sz w:val="20"/>
                <w:szCs w:val="22"/>
              </w:rPr>
            </w:pPr>
            <w:r w:rsidRPr="00393AAA">
              <w:rPr>
                <w:sz w:val="20"/>
                <w:szCs w:val="22"/>
              </w:rPr>
              <w:t>£10.00</w:t>
            </w:r>
          </w:p>
        </w:tc>
        <w:tc>
          <w:tcPr>
            <w:tcW w:w="1701" w:type="dxa"/>
            <w:shd w:val="clear" w:color="auto" w:fill="auto"/>
            <w:noWrap/>
            <w:vAlign w:val="bottom"/>
          </w:tcPr>
          <w:p w14:paraId="2548D4AC" w14:textId="77777777" w:rsidR="00B403B6" w:rsidRPr="00393AAA" w:rsidRDefault="00B403B6" w:rsidP="005E6DBC">
            <w:pPr>
              <w:jc w:val="right"/>
              <w:rPr>
                <w:sz w:val="20"/>
              </w:rPr>
            </w:pPr>
            <w:r w:rsidRPr="00393AAA">
              <w:rPr>
                <w:sz w:val="20"/>
              </w:rPr>
              <w:t>-£13.13</w:t>
            </w:r>
          </w:p>
        </w:tc>
        <w:tc>
          <w:tcPr>
            <w:tcW w:w="1701" w:type="dxa"/>
            <w:vAlign w:val="bottom"/>
          </w:tcPr>
          <w:p w14:paraId="7613A093" w14:textId="77777777" w:rsidR="00B403B6" w:rsidRPr="00393AAA" w:rsidRDefault="00B403B6" w:rsidP="005E6DBC">
            <w:pPr>
              <w:jc w:val="right"/>
              <w:rPr>
                <w:sz w:val="20"/>
              </w:rPr>
            </w:pPr>
            <w:r w:rsidRPr="00393AAA">
              <w:rPr>
                <w:sz w:val="20"/>
              </w:rPr>
              <w:t>-£50.91</w:t>
            </w:r>
          </w:p>
        </w:tc>
        <w:tc>
          <w:tcPr>
            <w:tcW w:w="1701" w:type="dxa"/>
            <w:shd w:val="clear" w:color="auto" w:fill="auto"/>
            <w:noWrap/>
            <w:vAlign w:val="bottom"/>
          </w:tcPr>
          <w:p w14:paraId="6A041C4A" w14:textId="77777777" w:rsidR="00B403B6" w:rsidRPr="00393AAA" w:rsidRDefault="00B403B6" w:rsidP="005E6DBC">
            <w:pPr>
              <w:jc w:val="right"/>
              <w:rPr>
                <w:sz w:val="20"/>
              </w:rPr>
            </w:pPr>
            <w:r w:rsidRPr="00393AAA">
              <w:rPr>
                <w:sz w:val="20"/>
              </w:rPr>
              <w:t>-£54.03</w:t>
            </w:r>
          </w:p>
        </w:tc>
      </w:tr>
    </w:tbl>
    <w:p w14:paraId="1FC6FC1D" w14:textId="77777777" w:rsidR="00CB1788" w:rsidRPr="00CB1788" w:rsidRDefault="00CB1788" w:rsidP="00BE69CC">
      <w:pPr>
        <w:rPr>
          <w:sz w:val="18"/>
          <w:szCs w:val="18"/>
        </w:rPr>
      </w:pPr>
      <w:r w:rsidRPr="00CB1788">
        <w:rPr>
          <w:sz w:val="18"/>
          <w:szCs w:val="18"/>
          <w:vertAlign w:val="superscript"/>
        </w:rPr>
        <w:t>a</w:t>
      </w:r>
      <w:r w:rsidRPr="00CB1788">
        <w:rPr>
          <w:sz w:val="18"/>
          <w:szCs w:val="18"/>
        </w:rPr>
        <w:t xml:space="preserve"> Assumes a 6 day treatment course for tedizolid phosphate and a 10 day treatment course for linezolid</w:t>
      </w:r>
    </w:p>
    <w:p w14:paraId="542419CD" w14:textId="2FC2B250" w:rsidR="00BE69CC" w:rsidRPr="00CB1788" w:rsidRDefault="00CB1788" w:rsidP="00BE69CC">
      <w:pPr>
        <w:rPr>
          <w:sz w:val="22"/>
          <w:szCs w:val="22"/>
        </w:rPr>
      </w:pPr>
      <w:r>
        <w:rPr>
          <w:sz w:val="22"/>
          <w:szCs w:val="22"/>
        </w:rPr>
        <w:t xml:space="preserve"> </w:t>
      </w:r>
    </w:p>
    <w:p w14:paraId="07FEA1D8" w14:textId="7BAE2A7B" w:rsidR="00BE69CC" w:rsidRPr="00BD13DD" w:rsidRDefault="00BE69CC" w:rsidP="00BE69CC">
      <w:pPr>
        <w:rPr>
          <w:sz w:val="22"/>
          <w:szCs w:val="22"/>
        </w:rPr>
      </w:pPr>
      <w:r w:rsidRPr="00BD13DD">
        <w:rPr>
          <w:sz w:val="22"/>
          <w:szCs w:val="22"/>
        </w:rPr>
        <w:t xml:space="preserve">Treatment with tedizolid </w:t>
      </w:r>
      <w:r w:rsidR="003920DE" w:rsidRPr="00BD13DD">
        <w:rPr>
          <w:sz w:val="22"/>
          <w:szCs w:val="22"/>
        </w:rPr>
        <w:t xml:space="preserve">phosphate </w:t>
      </w:r>
      <w:r w:rsidRPr="00BD13DD">
        <w:rPr>
          <w:sz w:val="22"/>
          <w:szCs w:val="22"/>
        </w:rPr>
        <w:t xml:space="preserve">results in a </w:t>
      </w:r>
      <w:r w:rsidR="003920DE" w:rsidRPr="00BD13DD">
        <w:rPr>
          <w:sz w:val="22"/>
          <w:szCs w:val="22"/>
        </w:rPr>
        <w:t>decrease</w:t>
      </w:r>
      <w:r w:rsidRPr="00BD13DD">
        <w:rPr>
          <w:sz w:val="22"/>
          <w:szCs w:val="22"/>
        </w:rPr>
        <w:t xml:space="preserve"> in costs over linezolid in the base case. However, this is based on the conservative assumption that (i) there would be only 2 days of IV treatment, and (ii) the duration of linezolid treatment would be only 10 days in total (as per the Phase 3 clinical studies), whereas the recommended treatment duration according to the linezolid SmPC is 10-14 days (i.e. the base case assumes the shortest duration of linezolid treatment permitted under its marketing authorisation). This assumption is explored further in the sensitivity analyses (see section 6.</w:t>
      </w:r>
      <w:r w:rsidR="00B12EC0">
        <w:rPr>
          <w:sz w:val="22"/>
          <w:szCs w:val="22"/>
        </w:rPr>
        <w:t>7</w:t>
      </w:r>
      <w:r w:rsidRPr="00BD13DD">
        <w:rPr>
          <w:sz w:val="22"/>
          <w:szCs w:val="22"/>
        </w:rPr>
        <w:t xml:space="preserve">.2 below). </w:t>
      </w:r>
    </w:p>
    <w:p w14:paraId="4E93A32D" w14:textId="77777777" w:rsidR="00BE69CC" w:rsidRPr="00BD13DD" w:rsidRDefault="00BE69CC" w:rsidP="00BE69CC">
      <w:pPr>
        <w:pStyle w:val="NormalWeb"/>
        <w:spacing w:before="0" w:after="0"/>
        <w:rPr>
          <w:rFonts w:ascii="Arial" w:hAnsi="Arial" w:cs="Arial"/>
          <w:b/>
          <w:sz w:val="22"/>
          <w:szCs w:val="22"/>
        </w:rPr>
      </w:pPr>
    </w:p>
    <w:p w14:paraId="10E7C8AC" w14:textId="77777777" w:rsidR="00BE69CC" w:rsidRPr="00BD13DD" w:rsidRDefault="00BE69CC" w:rsidP="00C35C1F">
      <w:pPr>
        <w:pStyle w:val="NormalWeb"/>
        <w:numPr>
          <w:ilvl w:val="2"/>
          <w:numId w:val="65"/>
        </w:numPr>
        <w:spacing w:before="0" w:after="0"/>
        <w:rPr>
          <w:rFonts w:ascii="Arial" w:hAnsi="Arial" w:cs="Arial"/>
          <w:b/>
          <w:sz w:val="22"/>
          <w:szCs w:val="22"/>
        </w:rPr>
      </w:pPr>
      <w:r w:rsidRPr="00BD13DD">
        <w:rPr>
          <w:rFonts w:ascii="Arial" w:hAnsi="Arial" w:cs="Arial"/>
          <w:b/>
          <w:sz w:val="22"/>
          <w:szCs w:val="22"/>
        </w:rPr>
        <w:t xml:space="preserve">One way sensitivity analyses </w:t>
      </w:r>
    </w:p>
    <w:p w14:paraId="270A215D" w14:textId="77777777" w:rsidR="00BE69CC" w:rsidRPr="00BD13DD" w:rsidRDefault="00BE69CC" w:rsidP="00BE69CC">
      <w:pPr>
        <w:pStyle w:val="NormalWeb"/>
        <w:spacing w:before="0" w:after="0"/>
        <w:rPr>
          <w:rFonts w:ascii="Arial" w:hAnsi="Arial" w:cs="Arial"/>
          <w:b/>
          <w:sz w:val="22"/>
          <w:szCs w:val="22"/>
        </w:rPr>
      </w:pPr>
    </w:p>
    <w:p w14:paraId="4AAEAD13" w14:textId="189F101C" w:rsidR="00BE69CC" w:rsidRPr="00BD13DD" w:rsidRDefault="00945CB7" w:rsidP="00BE69CC">
      <w:pPr>
        <w:pStyle w:val="NormalWeb"/>
        <w:spacing w:before="0" w:after="0"/>
        <w:rPr>
          <w:rFonts w:ascii="Arial" w:hAnsi="Arial" w:cs="Arial"/>
          <w:b/>
          <w:i/>
          <w:sz w:val="22"/>
          <w:szCs w:val="22"/>
        </w:rPr>
      </w:pPr>
      <w:r w:rsidRPr="00BD13DD">
        <w:rPr>
          <w:rFonts w:ascii="Arial" w:hAnsi="Arial" w:cs="Arial"/>
          <w:b/>
          <w:i/>
          <w:sz w:val="22"/>
          <w:szCs w:val="22"/>
        </w:rPr>
        <w:t>6.7</w:t>
      </w:r>
      <w:r w:rsidR="00BE69CC" w:rsidRPr="00BD13DD">
        <w:rPr>
          <w:rFonts w:ascii="Arial" w:hAnsi="Arial" w:cs="Arial"/>
          <w:b/>
          <w:i/>
          <w:sz w:val="22"/>
          <w:szCs w:val="22"/>
        </w:rPr>
        <w:t>.2.1</w:t>
      </w:r>
      <w:r w:rsidR="00BE69CC" w:rsidRPr="00BD13DD">
        <w:rPr>
          <w:rFonts w:ascii="Arial" w:hAnsi="Arial" w:cs="Arial"/>
          <w:b/>
          <w:i/>
          <w:sz w:val="22"/>
          <w:szCs w:val="22"/>
        </w:rPr>
        <w:tab/>
        <w:t xml:space="preserve">Varying parameter of proportion of days on IV vs oral treatment </w:t>
      </w:r>
    </w:p>
    <w:p w14:paraId="2A3285E6" w14:textId="77777777" w:rsidR="00BE69CC" w:rsidRPr="00BD13DD" w:rsidRDefault="00BE69CC" w:rsidP="00BE69CC">
      <w:pPr>
        <w:pStyle w:val="NormalWeb"/>
        <w:spacing w:before="0" w:after="0"/>
        <w:rPr>
          <w:rFonts w:ascii="Arial" w:hAnsi="Arial" w:cs="Arial"/>
          <w:i/>
          <w:sz w:val="22"/>
          <w:szCs w:val="22"/>
        </w:rPr>
      </w:pPr>
    </w:p>
    <w:p w14:paraId="151E646A" w14:textId="77777777" w:rsidR="006569F2" w:rsidRDefault="00BE69CC" w:rsidP="00BE69CC">
      <w:pPr>
        <w:rPr>
          <w:sz w:val="22"/>
          <w:szCs w:val="22"/>
        </w:rPr>
      </w:pPr>
      <w:r w:rsidRPr="00BD13DD">
        <w:rPr>
          <w:sz w:val="22"/>
          <w:szCs w:val="22"/>
        </w:rPr>
        <w:t xml:space="preserve">A sensitivity analysis was performed on the number of days with IV </w:t>
      </w:r>
      <w:r w:rsidR="006569F2">
        <w:rPr>
          <w:sz w:val="22"/>
          <w:szCs w:val="22"/>
        </w:rPr>
        <w:t xml:space="preserve">vs. oral </w:t>
      </w:r>
      <w:r w:rsidRPr="00BD13DD">
        <w:rPr>
          <w:sz w:val="22"/>
          <w:szCs w:val="22"/>
        </w:rPr>
        <w:t xml:space="preserve">treatment for </w:t>
      </w:r>
      <w:r w:rsidR="006569F2">
        <w:rPr>
          <w:sz w:val="22"/>
          <w:szCs w:val="22"/>
        </w:rPr>
        <w:t>both products</w:t>
      </w:r>
      <w:r w:rsidRPr="00BD13DD">
        <w:rPr>
          <w:sz w:val="22"/>
          <w:szCs w:val="22"/>
        </w:rPr>
        <w:t xml:space="preserve">. The base case analysis assumes 2 days of IV treatment followed by 8 days of oral treatment. This assumption was varied to determine what the impact would be on the cost of a course of treatment overall if the number of days on IV treatment was extended to 3, 4, 5, or 6 days. </w:t>
      </w:r>
    </w:p>
    <w:p w14:paraId="56099BB2" w14:textId="77777777" w:rsidR="006569F2" w:rsidRDefault="006569F2" w:rsidP="00BE69CC">
      <w:pPr>
        <w:rPr>
          <w:sz w:val="22"/>
          <w:szCs w:val="22"/>
        </w:rPr>
      </w:pPr>
    </w:p>
    <w:p w14:paraId="1194E3C4" w14:textId="0CCD5DBB" w:rsidR="00627F52" w:rsidRPr="00BD13DD" w:rsidRDefault="00BE69CC" w:rsidP="00BE69CC">
      <w:pPr>
        <w:rPr>
          <w:sz w:val="22"/>
          <w:szCs w:val="22"/>
        </w:rPr>
      </w:pPr>
      <w:r w:rsidRPr="00BD13DD">
        <w:rPr>
          <w:sz w:val="22"/>
          <w:szCs w:val="22"/>
        </w:rPr>
        <w:t xml:space="preserve">The results show that </w:t>
      </w:r>
      <w:r w:rsidR="00C02422" w:rsidRPr="00BD13DD">
        <w:rPr>
          <w:sz w:val="22"/>
          <w:szCs w:val="22"/>
        </w:rPr>
        <w:t>the</w:t>
      </w:r>
      <w:r w:rsidRPr="00BD13DD">
        <w:rPr>
          <w:sz w:val="22"/>
          <w:szCs w:val="22"/>
        </w:rPr>
        <w:t xml:space="preserve"> cost saving</w:t>
      </w:r>
      <w:r w:rsidR="00C02422" w:rsidRPr="00BD13DD">
        <w:rPr>
          <w:sz w:val="22"/>
          <w:szCs w:val="22"/>
        </w:rPr>
        <w:t xml:space="preserve">s associated with tedizolid phosphate increase the greater the proportion of IV days to oral days in the linezolid </w:t>
      </w:r>
      <w:r w:rsidR="00B12EC0">
        <w:rPr>
          <w:sz w:val="22"/>
          <w:szCs w:val="22"/>
        </w:rPr>
        <w:t xml:space="preserve">10-day </w:t>
      </w:r>
      <w:r w:rsidR="00C02422" w:rsidRPr="00BD13DD">
        <w:rPr>
          <w:sz w:val="22"/>
          <w:szCs w:val="22"/>
        </w:rPr>
        <w:t xml:space="preserve">course of treatment </w:t>
      </w:r>
      <w:r w:rsidRPr="00BD13DD">
        <w:rPr>
          <w:sz w:val="22"/>
          <w:szCs w:val="22"/>
        </w:rPr>
        <w:t xml:space="preserve">(see </w:t>
      </w:r>
      <w:r w:rsidR="006347FB">
        <w:rPr>
          <w:sz w:val="22"/>
          <w:szCs w:val="22"/>
        </w:rPr>
        <w:fldChar w:fldCharType="begin"/>
      </w:r>
      <w:r w:rsidR="006347FB">
        <w:rPr>
          <w:sz w:val="22"/>
          <w:szCs w:val="22"/>
        </w:rPr>
        <w:instrText xml:space="preserve"> REF _Ref284426389 \h </w:instrText>
      </w:r>
      <w:r w:rsidR="006347FB">
        <w:rPr>
          <w:sz w:val="22"/>
          <w:szCs w:val="22"/>
        </w:rPr>
      </w:r>
      <w:r w:rsidR="006347FB">
        <w:rPr>
          <w:sz w:val="22"/>
          <w:szCs w:val="22"/>
        </w:rPr>
        <w:fldChar w:fldCharType="separate"/>
      </w:r>
      <w:r w:rsidR="00151A1C" w:rsidRPr="0075674B">
        <w:rPr>
          <w:rFonts w:cs="Arial"/>
          <w:b/>
          <w:sz w:val="22"/>
          <w:szCs w:val="22"/>
        </w:rPr>
        <w:t xml:space="preserve">Table </w:t>
      </w:r>
      <w:r w:rsidR="00151A1C">
        <w:rPr>
          <w:rFonts w:cs="Arial"/>
          <w:b/>
          <w:noProof/>
          <w:sz w:val="22"/>
          <w:szCs w:val="22"/>
        </w:rPr>
        <w:t>49</w:t>
      </w:r>
      <w:r w:rsidR="006347FB">
        <w:rPr>
          <w:sz w:val="22"/>
          <w:szCs w:val="22"/>
        </w:rPr>
        <w:fldChar w:fldCharType="end"/>
      </w:r>
      <w:r w:rsidR="006347FB">
        <w:rPr>
          <w:sz w:val="22"/>
          <w:szCs w:val="22"/>
        </w:rPr>
        <w:t>).</w:t>
      </w:r>
    </w:p>
    <w:p w14:paraId="0CF72E36" w14:textId="77777777" w:rsidR="0075674B" w:rsidRDefault="0075674B" w:rsidP="0075674B">
      <w:pPr>
        <w:ind w:left="357" w:hanging="357"/>
        <w:jc w:val="both"/>
        <w:rPr>
          <w:rFonts w:cs="Arial"/>
          <w:sz w:val="22"/>
          <w:szCs w:val="22"/>
        </w:rPr>
      </w:pPr>
    </w:p>
    <w:p w14:paraId="3AF3FC75" w14:textId="1F903B58" w:rsidR="003A4DF6" w:rsidRPr="0075674B" w:rsidRDefault="00627F52" w:rsidP="0075674B">
      <w:pPr>
        <w:ind w:left="357" w:hanging="357"/>
        <w:jc w:val="both"/>
        <w:rPr>
          <w:rFonts w:eastAsia="Times New Roman" w:cs="Arial"/>
          <w:b/>
          <w:bCs/>
          <w:sz w:val="22"/>
          <w:szCs w:val="22"/>
        </w:rPr>
      </w:pPr>
      <w:bookmarkStart w:id="205" w:name="_Ref284426389"/>
      <w:r w:rsidRPr="0075674B">
        <w:rPr>
          <w:rFonts w:cs="Arial"/>
          <w:b/>
          <w:sz w:val="22"/>
          <w:szCs w:val="22"/>
        </w:rPr>
        <w:t xml:space="preserve">Table </w:t>
      </w:r>
      <w:r w:rsidRPr="0075674B">
        <w:rPr>
          <w:rFonts w:cs="Arial"/>
          <w:b/>
          <w:sz w:val="22"/>
          <w:szCs w:val="22"/>
        </w:rPr>
        <w:fldChar w:fldCharType="begin"/>
      </w:r>
      <w:r w:rsidRPr="0075674B">
        <w:rPr>
          <w:rFonts w:cs="Arial"/>
          <w:b/>
          <w:sz w:val="22"/>
          <w:szCs w:val="22"/>
        </w:rPr>
        <w:instrText xml:space="preserve"> SEQ Table \* ARABIC </w:instrText>
      </w:r>
      <w:r w:rsidRPr="0075674B">
        <w:rPr>
          <w:rFonts w:cs="Arial"/>
          <w:b/>
          <w:sz w:val="22"/>
          <w:szCs w:val="22"/>
        </w:rPr>
        <w:fldChar w:fldCharType="separate"/>
      </w:r>
      <w:r w:rsidR="00151A1C">
        <w:rPr>
          <w:rFonts w:cs="Arial"/>
          <w:b/>
          <w:noProof/>
          <w:sz w:val="22"/>
          <w:szCs w:val="22"/>
        </w:rPr>
        <w:t>49</w:t>
      </w:r>
      <w:r w:rsidRPr="0075674B">
        <w:rPr>
          <w:rFonts w:cs="Arial"/>
          <w:b/>
          <w:sz w:val="22"/>
          <w:szCs w:val="22"/>
        </w:rPr>
        <w:fldChar w:fldCharType="end"/>
      </w:r>
      <w:bookmarkEnd w:id="205"/>
      <w:r w:rsidRPr="0075674B">
        <w:rPr>
          <w:rFonts w:cs="Arial"/>
          <w:b/>
          <w:sz w:val="22"/>
          <w:szCs w:val="22"/>
        </w:rPr>
        <w:t>: Results – sensitivity a</w:t>
      </w:r>
      <w:r w:rsidR="003A4DF6" w:rsidRPr="0075674B">
        <w:rPr>
          <w:rFonts w:cs="Arial"/>
          <w:b/>
          <w:sz w:val="22"/>
          <w:szCs w:val="22"/>
        </w:rPr>
        <w:t xml:space="preserve">nalysis on </w:t>
      </w:r>
      <w:r w:rsidR="006569F2">
        <w:rPr>
          <w:rFonts w:cs="Arial"/>
          <w:b/>
          <w:sz w:val="22"/>
          <w:szCs w:val="22"/>
        </w:rPr>
        <w:t xml:space="preserve">number of </w:t>
      </w:r>
      <w:r w:rsidR="003A4DF6" w:rsidRPr="0075674B">
        <w:rPr>
          <w:rFonts w:cs="Arial"/>
          <w:b/>
          <w:sz w:val="22"/>
          <w:szCs w:val="22"/>
        </w:rPr>
        <w:t xml:space="preserve">IV days </w:t>
      </w:r>
    </w:p>
    <w:p w14:paraId="3D28EC8C" w14:textId="77777777" w:rsidR="003A4DF6" w:rsidRPr="003A4DF6" w:rsidRDefault="003A4DF6" w:rsidP="003A4DF6">
      <w:pPr>
        <w:pStyle w:val="BodyText"/>
      </w:pP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701"/>
        <w:gridCol w:w="1559"/>
        <w:gridCol w:w="1418"/>
      </w:tblGrid>
      <w:tr w:rsidR="00B12EC0" w:rsidRPr="00382F72" w14:paraId="1998A04F" w14:textId="77777777" w:rsidTr="0075674B">
        <w:trPr>
          <w:trHeight w:val="300"/>
        </w:trPr>
        <w:tc>
          <w:tcPr>
            <w:tcW w:w="2268" w:type="dxa"/>
            <w:shd w:val="clear" w:color="auto" w:fill="auto"/>
            <w:noWrap/>
            <w:vAlign w:val="bottom"/>
          </w:tcPr>
          <w:p w14:paraId="11C65913" w14:textId="77777777" w:rsidR="00B12EC0" w:rsidRPr="00382F72" w:rsidRDefault="00B12EC0" w:rsidP="005E6DBC">
            <w:pPr>
              <w:rPr>
                <w:b/>
                <w:sz w:val="20"/>
                <w:szCs w:val="22"/>
              </w:rPr>
            </w:pPr>
          </w:p>
        </w:tc>
        <w:tc>
          <w:tcPr>
            <w:tcW w:w="1276" w:type="dxa"/>
            <w:shd w:val="clear" w:color="auto" w:fill="auto"/>
            <w:noWrap/>
            <w:vAlign w:val="bottom"/>
          </w:tcPr>
          <w:p w14:paraId="0153D7F1" w14:textId="77777777" w:rsidR="00B12EC0" w:rsidRPr="00382F72" w:rsidRDefault="00B12EC0" w:rsidP="005E6DBC">
            <w:pPr>
              <w:jc w:val="center"/>
              <w:rPr>
                <w:b/>
                <w:sz w:val="20"/>
                <w:szCs w:val="22"/>
              </w:rPr>
            </w:pPr>
            <w:r w:rsidRPr="00382F72">
              <w:rPr>
                <w:b/>
                <w:sz w:val="20"/>
                <w:szCs w:val="22"/>
              </w:rPr>
              <w:t>Drug costs</w:t>
            </w:r>
          </w:p>
        </w:tc>
        <w:tc>
          <w:tcPr>
            <w:tcW w:w="1701" w:type="dxa"/>
            <w:shd w:val="clear" w:color="auto" w:fill="auto"/>
            <w:noWrap/>
            <w:vAlign w:val="bottom"/>
          </w:tcPr>
          <w:p w14:paraId="088FE835" w14:textId="77777777" w:rsidR="00B12EC0" w:rsidRPr="00382F72" w:rsidRDefault="00B12EC0" w:rsidP="005E6DBC">
            <w:pPr>
              <w:jc w:val="right"/>
              <w:rPr>
                <w:b/>
                <w:sz w:val="20"/>
                <w:szCs w:val="22"/>
                <w:vertAlign w:val="superscript"/>
              </w:rPr>
            </w:pPr>
            <w:r w:rsidRPr="00382F72">
              <w:rPr>
                <w:b/>
                <w:sz w:val="20"/>
                <w:szCs w:val="22"/>
              </w:rPr>
              <w:t>Administration costs</w:t>
            </w:r>
          </w:p>
          <w:p w14:paraId="13CC00D1" w14:textId="77777777" w:rsidR="00B12EC0" w:rsidRPr="00382F72" w:rsidRDefault="00B12EC0" w:rsidP="005E6DBC">
            <w:pPr>
              <w:jc w:val="right"/>
              <w:rPr>
                <w:b/>
                <w:sz w:val="20"/>
                <w:szCs w:val="22"/>
                <w:vertAlign w:val="superscript"/>
              </w:rPr>
            </w:pPr>
          </w:p>
        </w:tc>
        <w:tc>
          <w:tcPr>
            <w:tcW w:w="1559" w:type="dxa"/>
            <w:shd w:val="clear" w:color="auto" w:fill="auto"/>
            <w:noWrap/>
          </w:tcPr>
          <w:p w14:paraId="1447FC73" w14:textId="77777777" w:rsidR="00B12EC0" w:rsidRPr="00382F72" w:rsidRDefault="00B12EC0" w:rsidP="005E6DBC">
            <w:pPr>
              <w:spacing w:before="2" w:after="2"/>
              <w:jc w:val="right"/>
              <w:rPr>
                <w:b/>
                <w:sz w:val="20"/>
                <w:szCs w:val="22"/>
              </w:rPr>
            </w:pPr>
            <w:r w:rsidRPr="00382F72">
              <w:rPr>
                <w:b/>
                <w:sz w:val="20"/>
                <w:szCs w:val="22"/>
              </w:rPr>
              <w:t xml:space="preserve">Monitoring </w:t>
            </w:r>
          </w:p>
          <w:p w14:paraId="28AC918C" w14:textId="77777777" w:rsidR="00B12EC0" w:rsidRPr="00382F72" w:rsidRDefault="00B12EC0" w:rsidP="005E6DBC">
            <w:pPr>
              <w:spacing w:before="2" w:after="2"/>
              <w:jc w:val="right"/>
              <w:rPr>
                <w:b/>
                <w:sz w:val="20"/>
                <w:szCs w:val="22"/>
              </w:rPr>
            </w:pPr>
            <w:r w:rsidRPr="00382F72">
              <w:rPr>
                <w:b/>
                <w:sz w:val="20"/>
                <w:szCs w:val="22"/>
              </w:rPr>
              <w:t>costs</w:t>
            </w:r>
          </w:p>
        </w:tc>
        <w:tc>
          <w:tcPr>
            <w:tcW w:w="1418" w:type="dxa"/>
            <w:vAlign w:val="bottom"/>
          </w:tcPr>
          <w:p w14:paraId="7F5867CF" w14:textId="77777777" w:rsidR="00B12EC0" w:rsidRPr="00382F72" w:rsidRDefault="00B12EC0" w:rsidP="005E6DBC">
            <w:pPr>
              <w:jc w:val="right"/>
              <w:rPr>
                <w:b/>
                <w:sz w:val="20"/>
                <w:szCs w:val="22"/>
              </w:rPr>
            </w:pPr>
            <w:r w:rsidRPr="00382F72">
              <w:rPr>
                <w:b/>
                <w:sz w:val="20"/>
                <w:szCs w:val="22"/>
              </w:rPr>
              <w:t>Total costs</w:t>
            </w:r>
          </w:p>
          <w:p w14:paraId="7D935E61" w14:textId="77777777" w:rsidR="00B12EC0" w:rsidRPr="00382F72" w:rsidRDefault="00B12EC0" w:rsidP="005E6DBC">
            <w:pPr>
              <w:jc w:val="right"/>
              <w:rPr>
                <w:b/>
                <w:sz w:val="20"/>
                <w:szCs w:val="22"/>
              </w:rPr>
            </w:pPr>
          </w:p>
        </w:tc>
      </w:tr>
      <w:tr w:rsidR="00B12EC0" w:rsidRPr="00382F72" w14:paraId="596B11BD" w14:textId="77777777" w:rsidTr="005E6DBC">
        <w:trPr>
          <w:trHeight w:val="300"/>
        </w:trPr>
        <w:tc>
          <w:tcPr>
            <w:tcW w:w="6804" w:type="dxa"/>
            <w:gridSpan w:val="4"/>
            <w:shd w:val="clear" w:color="auto" w:fill="auto"/>
            <w:noWrap/>
            <w:vAlign w:val="bottom"/>
          </w:tcPr>
          <w:p w14:paraId="0F4AADED" w14:textId="77777777" w:rsidR="00B12EC0" w:rsidRPr="00A62402" w:rsidRDefault="00B12EC0" w:rsidP="005E6DBC">
            <w:pPr>
              <w:rPr>
                <w:sz w:val="20"/>
              </w:rPr>
            </w:pPr>
            <w:r w:rsidRPr="00A62402">
              <w:rPr>
                <w:b/>
                <w:sz w:val="20"/>
              </w:rPr>
              <w:lastRenderedPageBreak/>
              <w:t>IV – 3 days</w:t>
            </w:r>
          </w:p>
        </w:tc>
        <w:tc>
          <w:tcPr>
            <w:tcW w:w="1418" w:type="dxa"/>
          </w:tcPr>
          <w:p w14:paraId="3EFF0B8E" w14:textId="77777777" w:rsidR="00B12EC0" w:rsidRPr="00382F72" w:rsidRDefault="00B12EC0" w:rsidP="005E6DBC">
            <w:pPr>
              <w:rPr>
                <w:b/>
                <w:sz w:val="20"/>
                <w:szCs w:val="22"/>
              </w:rPr>
            </w:pPr>
          </w:p>
        </w:tc>
      </w:tr>
      <w:tr w:rsidR="009A6D06" w:rsidRPr="00E11B7F" w14:paraId="6DABF4D1" w14:textId="77777777" w:rsidTr="0075674B">
        <w:trPr>
          <w:trHeight w:val="300"/>
        </w:trPr>
        <w:tc>
          <w:tcPr>
            <w:tcW w:w="2268" w:type="dxa"/>
            <w:shd w:val="clear" w:color="auto" w:fill="auto"/>
            <w:noWrap/>
            <w:vAlign w:val="bottom"/>
          </w:tcPr>
          <w:p w14:paraId="7B94609D" w14:textId="07CBA4BC" w:rsidR="009A6D06" w:rsidRPr="00A62402" w:rsidRDefault="009A6D06" w:rsidP="005E6DBC">
            <w:pPr>
              <w:rPr>
                <w:b/>
                <w:sz w:val="20"/>
              </w:rPr>
            </w:pPr>
            <w:r w:rsidRPr="00A62402">
              <w:rPr>
                <w:b/>
                <w:sz w:val="20"/>
              </w:rPr>
              <w:t xml:space="preserve">Tedizolid </w:t>
            </w:r>
            <w:r w:rsidRPr="00A62402">
              <w:rPr>
                <w:rFonts w:cs="Arial"/>
                <w:b/>
                <w:sz w:val="20"/>
              </w:rPr>
              <w:t>phosphate</w:t>
            </w:r>
          </w:p>
        </w:tc>
        <w:tc>
          <w:tcPr>
            <w:tcW w:w="1276" w:type="dxa"/>
            <w:shd w:val="clear" w:color="auto" w:fill="auto"/>
            <w:noWrap/>
            <w:vAlign w:val="bottom"/>
          </w:tcPr>
          <w:p w14:paraId="064B68E4" w14:textId="5FA46614" w:rsidR="009A6D06" w:rsidRPr="00A62402" w:rsidRDefault="009A6D06" w:rsidP="005E6DBC">
            <w:pPr>
              <w:jc w:val="right"/>
              <w:rPr>
                <w:sz w:val="20"/>
              </w:rPr>
            </w:pPr>
            <w:r w:rsidRPr="00A62402">
              <w:rPr>
                <w:sz w:val="20"/>
              </w:rPr>
              <w:t>£900.00</w:t>
            </w:r>
          </w:p>
        </w:tc>
        <w:tc>
          <w:tcPr>
            <w:tcW w:w="1701" w:type="dxa"/>
            <w:shd w:val="clear" w:color="auto" w:fill="auto"/>
            <w:noWrap/>
            <w:vAlign w:val="bottom"/>
          </w:tcPr>
          <w:p w14:paraId="16039E11" w14:textId="5F86D925" w:rsidR="009A6D06" w:rsidRPr="00A62402" w:rsidRDefault="009A6D06" w:rsidP="005E6DBC">
            <w:pPr>
              <w:jc w:val="right"/>
              <w:rPr>
                <w:sz w:val="20"/>
              </w:rPr>
            </w:pPr>
            <w:r w:rsidRPr="00A62402">
              <w:rPr>
                <w:sz w:val="20"/>
              </w:rPr>
              <w:t>£99.41</w:t>
            </w:r>
          </w:p>
        </w:tc>
        <w:tc>
          <w:tcPr>
            <w:tcW w:w="1559" w:type="dxa"/>
            <w:shd w:val="clear" w:color="auto" w:fill="auto"/>
            <w:noWrap/>
            <w:vAlign w:val="bottom"/>
          </w:tcPr>
          <w:p w14:paraId="23D39E3C" w14:textId="25B68158" w:rsidR="009A6D06" w:rsidRPr="00A62402" w:rsidRDefault="009A6D06" w:rsidP="005E6DBC">
            <w:pPr>
              <w:jc w:val="right"/>
              <w:rPr>
                <w:sz w:val="20"/>
              </w:rPr>
            </w:pPr>
            <w:r w:rsidRPr="00A62402">
              <w:rPr>
                <w:sz w:val="20"/>
              </w:rPr>
              <w:t>£0.00</w:t>
            </w:r>
          </w:p>
        </w:tc>
        <w:tc>
          <w:tcPr>
            <w:tcW w:w="1418" w:type="dxa"/>
            <w:vAlign w:val="bottom"/>
          </w:tcPr>
          <w:p w14:paraId="086A3626" w14:textId="63F364C2" w:rsidR="009A6D06" w:rsidRPr="00E11B7F" w:rsidRDefault="009A6D06" w:rsidP="005E6DBC">
            <w:pPr>
              <w:jc w:val="right"/>
              <w:rPr>
                <w:sz w:val="20"/>
              </w:rPr>
            </w:pPr>
            <w:r w:rsidRPr="001B05C3">
              <w:rPr>
                <w:sz w:val="20"/>
              </w:rPr>
              <w:t>£999.41</w:t>
            </w:r>
          </w:p>
        </w:tc>
      </w:tr>
      <w:tr w:rsidR="009A6D06" w:rsidRPr="00E11B7F" w14:paraId="77FA2409" w14:textId="77777777" w:rsidTr="0075674B">
        <w:trPr>
          <w:trHeight w:val="300"/>
        </w:trPr>
        <w:tc>
          <w:tcPr>
            <w:tcW w:w="2268" w:type="dxa"/>
            <w:shd w:val="clear" w:color="auto" w:fill="auto"/>
            <w:noWrap/>
            <w:vAlign w:val="bottom"/>
          </w:tcPr>
          <w:p w14:paraId="78DBEBC9" w14:textId="77777777" w:rsidR="009A6D06" w:rsidRPr="00A62402" w:rsidRDefault="009A6D06" w:rsidP="005E6DBC">
            <w:pPr>
              <w:rPr>
                <w:b/>
                <w:sz w:val="20"/>
              </w:rPr>
            </w:pPr>
            <w:r w:rsidRPr="00A62402">
              <w:rPr>
                <w:b/>
                <w:sz w:val="20"/>
              </w:rPr>
              <w:t>Linezolid</w:t>
            </w:r>
          </w:p>
        </w:tc>
        <w:tc>
          <w:tcPr>
            <w:tcW w:w="1276" w:type="dxa"/>
            <w:shd w:val="clear" w:color="auto" w:fill="auto"/>
            <w:noWrap/>
            <w:vAlign w:val="bottom"/>
          </w:tcPr>
          <w:p w14:paraId="27F17395" w14:textId="7999B179" w:rsidR="009A6D06" w:rsidRPr="00A62402" w:rsidRDefault="009A6D06" w:rsidP="005E6DBC">
            <w:pPr>
              <w:jc w:val="right"/>
              <w:rPr>
                <w:sz w:val="20"/>
              </w:rPr>
            </w:pPr>
            <w:r w:rsidRPr="00A62402">
              <w:rPr>
                <w:sz w:val="20"/>
              </w:rPr>
              <w:t>£890.00</w:t>
            </w:r>
          </w:p>
        </w:tc>
        <w:tc>
          <w:tcPr>
            <w:tcW w:w="1701" w:type="dxa"/>
            <w:shd w:val="clear" w:color="auto" w:fill="auto"/>
            <w:noWrap/>
            <w:vAlign w:val="bottom"/>
          </w:tcPr>
          <w:p w14:paraId="74EBF4D1" w14:textId="14AA8AF0" w:rsidR="009A6D06" w:rsidRPr="00A62402" w:rsidRDefault="009A6D06" w:rsidP="005E6DBC">
            <w:pPr>
              <w:jc w:val="right"/>
              <w:rPr>
                <w:sz w:val="20"/>
              </w:rPr>
            </w:pPr>
            <w:r w:rsidRPr="00A62402">
              <w:rPr>
                <w:sz w:val="20"/>
              </w:rPr>
              <w:t>£119.10</w:t>
            </w:r>
          </w:p>
        </w:tc>
        <w:tc>
          <w:tcPr>
            <w:tcW w:w="1559" w:type="dxa"/>
            <w:shd w:val="clear" w:color="auto" w:fill="auto"/>
            <w:noWrap/>
            <w:vAlign w:val="bottom"/>
          </w:tcPr>
          <w:p w14:paraId="1B1BE007" w14:textId="1BFC0AB2" w:rsidR="009A6D06" w:rsidRPr="00A62402" w:rsidRDefault="009A6D06" w:rsidP="005E6DBC">
            <w:pPr>
              <w:jc w:val="right"/>
              <w:rPr>
                <w:sz w:val="20"/>
              </w:rPr>
            </w:pPr>
            <w:r w:rsidRPr="00A62402">
              <w:rPr>
                <w:sz w:val="20"/>
              </w:rPr>
              <w:t>£50.91</w:t>
            </w:r>
          </w:p>
        </w:tc>
        <w:tc>
          <w:tcPr>
            <w:tcW w:w="1418" w:type="dxa"/>
            <w:vAlign w:val="bottom"/>
          </w:tcPr>
          <w:p w14:paraId="176E27D0" w14:textId="5E9A1423" w:rsidR="009A6D06" w:rsidRPr="00E11B7F" w:rsidRDefault="009A6D06" w:rsidP="005E6DBC">
            <w:pPr>
              <w:jc w:val="right"/>
              <w:rPr>
                <w:sz w:val="20"/>
              </w:rPr>
            </w:pPr>
            <w:r w:rsidRPr="001B05C3">
              <w:rPr>
                <w:sz w:val="20"/>
              </w:rPr>
              <w:t>£1,060.01</w:t>
            </w:r>
          </w:p>
        </w:tc>
      </w:tr>
      <w:tr w:rsidR="009A6D06" w:rsidRPr="00E11B7F" w14:paraId="16597031" w14:textId="77777777" w:rsidTr="0075674B">
        <w:trPr>
          <w:trHeight w:val="300"/>
        </w:trPr>
        <w:tc>
          <w:tcPr>
            <w:tcW w:w="2268" w:type="dxa"/>
            <w:shd w:val="clear" w:color="auto" w:fill="auto"/>
            <w:noWrap/>
            <w:vAlign w:val="bottom"/>
          </w:tcPr>
          <w:p w14:paraId="5245666E" w14:textId="77777777" w:rsidR="009A6D06" w:rsidRPr="00A62402" w:rsidRDefault="009A6D06" w:rsidP="005E6DBC">
            <w:pPr>
              <w:rPr>
                <w:b/>
                <w:sz w:val="20"/>
              </w:rPr>
            </w:pPr>
            <w:r w:rsidRPr="00A62402">
              <w:rPr>
                <w:b/>
                <w:sz w:val="20"/>
              </w:rPr>
              <w:t>Difference</w:t>
            </w:r>
          </w:p>
        </w:tc>
        <w:tc>
          <w:tcPr>
            <w:tcW w:w="1276" w:type="dxa"/>
            <w:shd w:val="clear" w:color="auto" w:fill="auto"/>
            <w:noWrap/>
            <w:vAlign w:val="bottom"/>
          </w:tcPr>
          <w:p w14:paraId="4B7758DC" w14:textId="145301A4" w:rsidR="009A6D06" w:rsidRPr="00A62402" w:rsidRDefault="009A6D06" w:rsidP="005E6DBC">
            <w:pPr>
              <w:jc w:val="right"/>
              <w:rPr>
                <w:sz w:val="20"/>
              </w:rPr>
            </w:pPr>
            <w:r w:rsidRPr="00A62402">
              <w:rPr>
                <w:sz w:val="20"/>
              </w:rPr>
              <w:t>£10.00</w:t>
            </w:r>
          </w:p>
        </w:tc>
        <w:tc>
          <w:tcPr>
            <w:tcW w:w="1701" w:type="dxa"/>
            <w:shd w:val="clear" w:color="auto" w:fill="auto"/>
            <w:noWrap/>
            <w:vAlign w:val="bottom"/>
          </w:tcPr>
          <w:p w14:paraId="3C98D407" w14:textId="7BEFC00C" w:rsidR="009A6D06" w:rsidRPr="00A62402" w:rsidRDefault="009A6D06" w:rsidP="005E6DBC">
            <w:pPr>
              <w:jc w:val="right"/>
              <w:rPr>
                <w:sz w:val="20"/>
              </w:rPr>
            </w:pPr>
            <w:r w:rsidRPr="00A62402">
              <w:rPr>
                <w:sz w:val="20"/>
              </w:rPr>
              <w:t>-£19.69</w:t>
            </w:r>
          </w:p>
        </w:tc>
        <w:tc>
          <w:tcPr>
            <w:tcW w:w="1559" w:type="dxa"/>
            <w:shd w:val="clear" w:color="auto" w:fill="auto"/>
            <w:noWrap/>
            <w:vAlign w:val="bottom"/>
          </w:tcPr>
          <w:p w14:paraId="4E0ADDCB" w14:textId="32243DEC" w:rsidR="009A6D06" w:rsidRPr="00A62402" w:rsidRDefault="009A6D06" w:rsidP="005E6DBC">
            <w:pPr>
              <w:jc w:val="right"/>
              <w:rPr>
                <w:sz w:val="20"/>
              </w:rPr>
            </w:pPr>
            <w:r w:rsidRPr="00A62402">
              <w:rPr>
                <w:sz w:val="20"/>
              </w:rPr>
              <w:t>-£50.91</w:t>
            </w:r>
          </w:p>
        </w:tc>
        <w:tc>
          <w:tcPr>
            <w:tcW w:w="1418" w:type="dxa"/>
            <w:vAlign w:val="bottom"/>
          </w:tcPr>
          <w:p w14:paraId="11EB9901" w14:textId="44C3EACB" w:rsidR="009A6D06" w:rsidRPr="00E11B7F" w:rsidRDefault="009A6D06" w:rsidP="005E6DBC">
            <w:pPr>
              <w:jc w:val="right"/>
              <w:rPr>
                <w:sz w:val="20"/>
              </w:rPr>
            </w:pPr>
            <w:r w:rsidRPr="001B05C3">
              <w:rPr>
                <w:sz w:val="20"/>
              </w:rPr>
              <w:t>-£60.60</w:t>
            </w:r>
          </w:p>
        </w:tc>
      </w:tr>
      <w:tr w:rsidR="00B12EC0" w:rsidRPr="00E11B7F" w14:paraId="2F049687" w14:textId="77777777" w:rsidTr="0075674B">
        <w:trPr>
          <w:trHeight w:val="300"/>
        </w:trPr>
        <w:tc>
          <w:tcPr>
            <w:tcW w:w="2268" w:type="dxa"/>
            <w:shd w:val="clear" w:color="auto" w:fill="auto"/>
            <w:noWrap/>
            <w:vAlign w:val="bottom"/>
          </w:tcPr>
          <w:p w14:paraId="0031BD74" w14:textId="77777777" w:rsidR="00B12EC0" w:rsidRPr="00A62402" w:rsidRDefault="00B12EC0" w:rsidP="005E6DBC">
            <w:pPr>
              <w:rPr>
                <w:b/>
                <w:sz w:val="20"/>
              </w:rPr>
            </w:pPr>
          </w:p>
        </w:tc>
        <w:tc>
          <w:tcPr>
            <w:tcW w:w="1276" w:type="dxa"/>
            <w:shd w:val="clear" w:color="auto" w:fill="auto"/>
            <w:noWrap/>
            <w:vAlign w:val="bottom"/>
          </w:tcPr>
          <w:p w14:paraId="0F3DC0B8" w14:textId="77777777" w:rsidR="00B12EC0" w:rsidRPr="00A62402" w:rsidRDefault="00B12EC0" w:rsidP="005E6DBC">
            <w:pPr>
              <w:jc w:val="right"/>
              <w:rPr>
                <w:sz w:val="20"/>
              </w:rPr>
            </w:pPr>
          </w:p>
        </w:tc>
        <w:tc>
          <w:tcPr>
            <w:tcW w:w="1701" w:type="dxa"/>
            <w:shd w:val="clear" w:color="auto" w:fill="auto"/>
            <w:noWrap/>
            <w:vAlign w:val="bottom"/>
          </w:tcPr>
          <w:p w14:paraId="4F170173" w14:textId="77777777" w:rsidR="00B12EC0" w:rsidRPr="00A62402" w:rsidRDefault="00B12EC0" w:rsidP="005E6DBC">
            <w:pPr>
              <w:jc w:val="right"/>
              <w:rPr>
                <w:sz w:val="20"/>
              </w:rPr>
            </w:pPr>
          </w:p>
        </w:tc>
        <w:tc>
          <w:tcPr>
            <w:tcW w:w="1559" w:type="dxa"/>
            <w:shd w:val="clear" w:color="auto" w:fill="auto"/>
            <w:noWrap/>
            <w:vAlign w:val="bottom"/>
          </w:tcPr>
          <w:p w14:paraId="409F803C" w14:textId="77777777" w:rsidR="00B12EC0" w:rsidRPr="00A62402" w:rsidRDefault="00B12EC0" w:rsidP="005E6DBC">
            <w:pPr>
              <w:jc w:val="right"/>
              <w:rPr>
                <w:sz w:val="20"/>
              </w:rPr>
            </w:pPr>
          </w:p>
        </w:tc>
        <w:tc>
          <w:tcPr>
            <w:tcW w:w="1418" w:type="dxa"/>
          </w:tcPr>
          <w:p w14:paraId="42075996" w14:textId="77777777" w:rsidR="00B12EC0" w:rsidRPr="00E11B7F" w:rsidRDefault="00B12EC0" w:rsidP="005E6DBC">
            <w:pPr>
              <w:jc w:val="right"/>
              <w:rPr>
                <w:sz w:val="20"/>
                <w:szCs w:val="22"/>
              </w:rPr>
            </w:pPr>
          </w:p>
        </w:tc>
      </w:tr>
      <w:tr w:rsidR="00B12EC0" w:rsidRPr="00E11B7F" w14:paraId="36CB4F5E" w14:textId="77777777" w:rsidTr="005E6DBC">
        <w:trPr>
          <w:trHeight w:val="300"/>
        </w:trPr>
        <w:tc>
          <w:tcPr>
            <w:tcW w:w="6804" w:type="dxa"/>
            <w:gridSpan w:val="4"/>
            <w:shd w:val="clear" w:color="auto" w:fill="auto"/>
            <w:noWrap/>
            <w:vAlign w:val="bottom"/>
          </w:tcPr>
          <w:p w14:paraId="5E0F7403" w14:textId="77777777" w:rsidR="00B12EC0" w:rsidRPr="00A62402" w:rsidRDefault="00B12EC0" w:rsidP="005E6DBC">
            <w:pPr>
              <w:rPr>
                <w:b/>
                <w:sz w:val="20"/>
              </w:rPr>
            </w:pPr>
            <w:r w:rsidRPr="00A62402">
              <w:rPr>
                <w:b/>
                <w:sz w:val="20"/>
              </w:rPr>
              <w:t>IV – 4 days</w:t>
            </w:r>
          </w:p>
        </w:tc>
        <w:tc>
          <w:tcPr>
            <w:tcW w:w="1418" w:type="dxa"/>
          </w:tcPr>
          <w:p w14:paraId="11E26F0F" w14:textId="77777777" w:rsidR="00B12EC0" w:rsidRPr="00E11B7F" w:rsidRDefault="00B12EC0" w:rsidP="005E6DBC">
            <w:pPr>
              <w:rPr>
                <w:b/>
                <w:sz w:val="20"/>
                <w:szCs w:val="22"/>
              </w:rPr>
            </w:pPr>
          </w:p>
        </w:tc>
      </w:tr>
      <w:tr w:rsidR="009A6D06" w:rsidRPr="00E11B7F" w14:paraId="748E3BF6" w14:textId="77777777" w:rsidTr="0075674B">
        <w:trPr>
          <w:trHeight w:val="300"/>
        </w:trPr>
        <w:tc>
          <w:tcPr>
            <w:tcW w:w="2268" w:type="dxa"/>
            <w:shd w:val="clear" w:color="auto" w:fill="auto"/>
            <w:noWrap/>
            <w:vAlign w:val="bottom"/>
          </w:tcPr>
          <w:p w14:paraId="30B0967A" w14:textId="5E3A8E67" w:rsidR="009A6D06" w:rsidRPr="00A62402" w:rsidRDefault="009A6D06" w:rsidP="005E6DBC">
            <w:pPr>
              <w:rPr>
                <w:b/>
                <w:sz w:val="20"/>
              </w:rPr>
            </w:pPr>
            <w:r w:rsidRPr="00A62402">
              <w:rPr>
                <w:b/>
                <w:sz w:val="20"/>
              </w:rPr>
              <w:t xml:space="preserve">Tedizolid </w:t>
            </w:r>
            <w:r w:rsidRPr="00A62402">
              <w:rPr>
                <w:rFonts w:cs="Arial"/>
                <w:b/>
                <w:sz w:val="20"/>
              </w:rPr>
              <w:t>phosphate</w:t>
            </w:r>
          </w:p>
        </w:tc>
        <w:tc>
          <w:tcPr>
            <w:tcW w:w="1276" w:type="dxa"/>
            <w:shd w:val="clear" w:color="auto" w:fill="auto"/>
            <w:noWrap/>
            <w:vAlign w:val="bottom"/>
          </w:tcPr>
          <w:p w14:paraId="01898B2F" w14:textId="5C33ADBC" w:rsidR="009A6D06" w:rsidRPr="00A62402" w:rsidRDefault="009A6D06" w:rsidP="005E6DBC">
            <w:pPr>
              <w:jc w:val="right"/>
              <w:rPr>
                <w:sz w:val="20"/>
              </w:rPr>
            </w:pPr>
            <w:r w:rsidRPr="00A62402">
              <w:rPr>
                <w:sz w:val="20"/>
              </w:rPr>
              <w:t>£900.00</w:t>
            </w:r>
          </w:p>
        </w:tc>
        <w:tc>
          <w:tcPr>
            <w:tcW w:w="1701" w:type="dxa"/>
            <w:shd w:val="clear" w:color="auto" w:fill="auto"/>
            <w:noWrap/>
            <w:vAlign w:val="bottom"/>
          </w:tcPr>
          <w:p w14:paraId="14AD3AC8" w14:textId="2E7C6FA3" w:rsidR="009A6D06" w:rsidRPr="00A62402" w:rsidRDefault="009A6D06" w:rsidP="005E6DBC">
            <w:pPr>
              <w:jc w:val="right"/>
              <w:rPr>
                <w:sz w:val="20"/>
              </w:rPr>
            </w:pPr>
            <w:r w:rsidRPr="00A62402">
              <w:rPr>
                <w:sz w:val="20"/>
              </w:rPr>
              <w:t>£132.55</w:t>
            </w:r>
          </w:p>
        </w:tc>
        <w:tc>
          <w:tcPr>
            <w:tcW w:w="1559" w:type="dxa"/>
            <w:shd w:val="clear" w:color="auto" w:fill="auto"/>
            <w:noWrap/>
            <w:vAlign w:val="bottom"/>
          </w:tcPr>
          <w:p w14:paraId="54B4C0AE" w14:textId="2E0F052A" w:rsidR="009A6D06" w:rsidRPr="00A62402" w:rsidRDefault="009A6D06" w:rsidP="005E6DBC">
            <w:pPr>
              <w:jc w:val="right"/>
              <w:rPr>
                <w:sz w:val="20"/>
              </w:rPr>
            </w:pPr>
            <w:r w:rsidRPr="00A62402">
              <w:rPr>
                <w:sz w:val="20"/>
              </w:rPr>
              <w:t>£0.00</w:t>
            </w:r>
          </w:p>
        </w:tc>
        <w:tc>
          <w:tcPr>
            <w:tcW w:w="1418" w:type="dxa"/>
            <w:vAlign w:val="bottom"/>
          </w:tcPr>
          <w:p w14:paraId="3550B721" w14:textId="43D6B091" w:rsidR="009A6D06" w:rsidRPr="00E11B7F" w:rsidRDefault="009A6D06" w:rsidP="005E6DBC">
            <w:pPr>
              <w:jc w:val="right"/>
              <w:rPr>
                <w:sz w:val="20"/>
              </w:rPr>
            </w:pPr>
            <w:r w:rsidRPr="001B05C3">
              <w:rPr>
                <w:sz w:val="20"/>
              </w:rPr>
              <w:t>£1,032.55</w:t>
            </w:r>
          </w:p>
        </w:tc>
      </w:tr>
      <w:tr w:rsidR="009A6D06" w:rsidRPr="00E11B7F" w14:paraId="334833EC" w14:textId="77777777" w:rsidTr="0075674B">
        <w:trPr>
          <w:trHeight w:val="300"/>
        </w:trPr>
        <w:tc>
          <w:tcPr>
            <w:tcW w:w="2268" w:type="dxa"/>
            <w:shd w:val="clear" w:color="auto" w:fill="auto"/>
            <w:noWrap/>
            <w:vAlign w:val="bottom"/>
          </w:tcPr>
          <w:p w14:paraId="0F9F3771" w14:textId="77777777" w:rsidR="009A6D06" w:rsidRPr="00A62402" w:rsidRDefault="009A6D06" w:rsidP="005E6DBC">
            <w:pPr>
              <w:rPr>
                <w:b/>
                <w:sz w:val="20"/>
              </w:rPr>
            </w:pPr>
            <w:r w:rsidRPr="00A62402">
              <w:rPr>
                <w:b/>
                <w:sz w:val="20"/>
              </w:rPr>
              <w:t>Linezolid</w:t>
            </w:r>
          </w:p>
        </w:tc>
        <w:tc>
          <w:tcPr>
            <w:tcW w:w="1276" w:type="dxa"/>
            <w:shd w:val="clear" w:color="auto" w:fill="auto"/>
            <w:noWrap/>
            <w:vAlign w:val="bottom"/>
          </w:tcPr>
          <w:p w14:paraId="6A1EB341" w14:textId="293D2F40" w:rsidR="009A6D06" w:rsidRPr="00A62402" w:rsidRDefault="009A6D06" w:rsidP="005E6DBC">
            <w:pPr>
              <w:jc w:val="right"/>
              <w:rPr>
                <w:sz w:val="20"/>
              </w:rPr>
            </w:pPr>
            <w:r w:rsidRPr="00A62402">
              <w:rPr>
                <w:sz w:val="20"/>
              </w:rPr>
              <w:t>£890.00</w:t>
            </w:r>
          </w:p>
        </w:tc>
        <w:tc>
          <w:tcPr>
            <w:tcW w:w="1701" w:type="dxa"/>
            <w:shd w:val="clear" w:color="auto" w:fill="auto"/>
            <w:noWrap/>
            <w:vAlign w:val="bottom"/>
          </w:tcPr>
          <w:p w14:paraId="36CFB036" w14:textId="64417D75" w:rsidR="009A6D06" w:rsidRPr="00A62402" w:rsidRDefault="009A6D06" w:rsidP="005E6DBC">
            <w:pPr>
              <w:jc w:val="right"/>
              <w:rPr>
                <w:sz w:val="20"/>
              </w:rPr>
            </w:pPr>
            <w:r w:rsidRPr="00A62402">
              <w:rPr>
                <w:sz w:val="20"/>
              </w:rPr>
              <w:t>£158.80</w:t>
            </w:r>
          </w:p>
        </w:tc>
        <w:tc>
          <w:tcPr>
            <w:tcW w:w="1559" w:type="dxa"/>
            <w:shd w:val="clear" w:color="auto" w:fill="auto"/>
            <w:noWrap/>
            <w:vAlign w:val="bottom"/>
          </w:tcPr>
          <w:p w14:paraId="58A7DB29" w14:textId="3F9F38C6" w:rsidR="009A6D06" w:rsidRPr="00A62402" w:rsidRDefault="009A6D06" w:rsidP="005E6DBC">
            <w:pPr>
              <w:jc w:val="right"/>
              <w:rPr>
                <w:sz w:val="20"/>
              </w:rPr>
            </w:pPr>
            <w:r w:rsidRPr="00A62402">
              <w:rPr>
                <w:sz w:val="20"/>
              </w:rPr>
              <w:t>£50.91</w:t>
            </w:r>
          </w:p>
        </w:tc>
        <w:tc>
          <w:tcPr>
            <w:tcW w:w="1418" w:type="dxa"/>
            <w:vAlign w:val="bottom"/>
          </w:tcPr>
          <w:p w14:paraId="3A8FA20A" w14:textId="6834283A" w:rsidR="009A6D06" w:rsidRPr="00E11B7F" w:rsidRDefault="009A6D06" w:rsidP="005E6DBC">
            <w:pPr>
              <w:jc w:val="right"/>
              <w:rPr>
                <w:sz w:val="20"/>
              </w:rPr>
            </w:pPr>
            <w:r w:rsidRPr="001B05C3">
              <w:rPr>
                <w:sz w:val="20"/>
              </w:rPr>
              <w:t>£1,099.71</w:t>
            </w:r>
          </w:p>
        </w:tc>
      </w:tr>
      <w:tr w:rsidR="009A6D06" w:rsidRPr="00E11B7F" w14:paraId="675DEFEE" w14:textId="77777777" w:rsidTr="0075674B">
        <w:trPr>
          <w:trHeight w:val="300"/>
        </w:trPr>
        <w:tc>
          <w:tcPr>
            <w:tcW w:w="2268" w:type="dxa"/>
            <w:shd w:val="clear" w:color="auto" w:fill="auto"/>
            <w:noWrap/>
            <w:vAlign w:val="bottom"/>
          </w:tcPr>
          <w:p w14:paraId="73FCB9DA" w14:textId="77777777" w:rsidR="009A6D06" w:rsidRPr="00A62402" w:rsidRDefault="009A6D06" w:rsidP="005E6DBC">
            <w:pPr>
              <w:rPr>
                <w:b/>
                <w:sz w:val="20"/>
              </w:rPr>
            </w:pPr>
            <w:r w:rsidRPr="00A62402">
              <w:rPr>
                <w:b/>
                <w:sz w:val="20"/>
              </w:rPr>
              <w:t>Difference</w:t>
            </w:r>
          </w:p>
        </w:tc>
        <w:tc>
          <w:tcPr>
            <w:tcW w:w="1276" w:type="dxa"/>
            <w:shd w:val="clear" w:color="auto" w:fill="auto"/>
            <w:noWrap/>
            <w:vAlign w:val="bottom"/>
          </w:tcPr>
          <w:p w14:paraId="4172C739" w14:textId="4FBDBD86" w:rsidR="009A6D06" w:rsidRPr="00A62402" w:rsidRDefault="009A6D06" w:rsidP="005E6DBC">
            <w:pPr>
              <w:jc w:val="right"/>
              <w:rPr>
                <w:sz w:val="20"/>
              </w:rPr>
            </w:pPr>
            <w:r w:rsidRPr="00A62402">
              <w:rPr>
                <w:sz w:val="20"/>
              </w:rPr>
              <w:t>£10.00</w:t>
            </w:r>
          </w:p>
        </w:tc>
        <w:tc>
          <w:tcPr>
            <w:tcW w:w="1701" w:type="dxa"/>
            <w:shd w:val="clear" w:color="auto" w:fill="auto"/>
            <w:noWrap/>
            <w:vAlign w:val="bottom"/>
          </w:tcPr>
          <w:p w14:paraId="6B51A641" w14:textId="0B1BEFF1" w:rsidR="009A6D06" w:rsidRPr="00A62402" w:rsidRDefault="009A6D06" w:rsidP="005E6DBC">
            <w:pPr>
              <w:jc w:val="right"/>
              <w:rPr>
                <w:sz w:val="20"/>
              </w:rPr>
            </w:pPr>
            <w:r w:rsidRPr="00A62402">
              <w:rPr>
                <w:sz w:val="20"/>
              </w:rPr>
              <w:t>-£26.25</w:t>
            </w:r>
          </w:p>
        </w:tc>
        <w:tc>
          <w:tcPr>
            <w:tcW w:w="1559" w:type="dxa"/>
            <w:shd w:val="clear" w:color="auto" w:fill="auto"/>
            <w:noWrap/>
            <w:vAlign w:val="bottom"/>
          </w:tcPr>
          <w:p w14:paraId="3663EF92" w14:textId="66705859" w:rsidR="009A6D06" w:rsidRPr="00A62402" w:rsidRDefault="009A6D06" w:rsidP="005E6DBC">
            <w:pPr>
              <w:jc w:val="right"/>
              <w:rPr>
                <w:sz w:val="20"/>
              </w:rPr>
            </w:pPr>
            <w:r w:rsidRPr="00A62402">
              <w:rPr>
                <w:sz w:val="20"/>
              </w:rPr>
              <w:t>-£50.91</w:t>
            </w:r>
          </w:p>
        </w:tc>
        <w:tc>
          <w:tcPr>
            <w:tcW w:w="1418" w:type="dxa"/>
            <w:vAlign w:val="bottom"/>
          </w:tcPr>
          <w:p w14:paraId="32EA7381" w14:textId="60C9904A" w:rsidR="009A6D06" w:rsidRPr="00E11B7F" w:rsidRDefault="009A6D06" w:rsidP="005E6DBC">
            <w:pPr>
              <w:jc w:val="right"/>
              <w:rPr>
                <w:sz w:val="20"/>
              </w:rPr>
            </w:pPr>
            <w:r w:rsidRPr="001B05C3">
              <w:rPr>
                <w:sz w:val="20"/>
              </w:rPr>
              <w:t>-£67.16</w:t>
            </w:r>
          </w:p>
        </w:tc>
      </w:tr>
      <w:tr w:rsidR="00B12EC0" w:rsidRPr="00E11B7F" w14:paraId="2CE87AEF" w14:textId="77777777" w:rsidTr="0075674B">
        <w:trPr>
          <w:trHeight w:val="300"/>
        </w:trPr>
        <w:tc>
          <w:tcPr>
            <w:tcW w:w="2268" w:type="dxa"/>
            <w:shd w:val="clear" w:color="auto" w:fill="auto"/>
            <w:noWrap/>
            <w:vAlign w:val="bottom"/>
          </w:tcPr>
          <w:p w14:paraId="19CA7606" w14:textId="77777777" w:rsidR="00B12EC0" w:rsidRPr="00A62402" w:rsidRDefault="00B12EC0" w:rsidP="005E6DBC">
            <w:pPr>
              <w:rPr>
                <w:b/>
                <w:sz w:val="20"/>
              </w:rPr>
            </w:pPr>
          </w:p>
        </w:tc>
        <w:tc>
          <w:tcPr>
            <w:tcW w:w="1276" w:type="dxa"/>
            <w:shd w:val="clear" w:color="auto" w:fill="auto"/>
            <w:noWrap/>
            <w:vAlign w:val="bottom"/>
          </w:tcPr>
          <w:p w14:paraId="071E81A0" w14:textId="77777777" w:rsidR="00B12EC0" w:rsidRPr="00A62402" w:rsidRDefault="00B12EC0" w:rsidP="005E6DBC">
            <w:pPr>
              <w:jc w:val="right"/>
              <w:rPr>
                <w:sz w:val="20"/>
              </w:rPr>
            </w:pPr>
          </w:p>
        </w:tc>
        <w:tc>
          <w:tcPr>
            <w:tcW w:w="1701" w:type="dxa"/>
            <w:shd w:val="clear" w:color="auto" w:fill="auto"/>
            <w:noWrap/>
            <w:vAlign w:val="bottom"/>
          </w:tcPr>
          <w:p w14:paraId="385F8881" w14:textId="77777777" w:rsidR="00B12EC0" w:rsidRPr="00A62402" w:rsidRDefault="00B12EC0" w:rsidP="005E6DBC">
            <w:pPr>
              <w:jc w:val="right"/>
              <w:rPr>
                <w:sz w:val="20"/>
              </w:rPr>
            </w:pPr>
          </w:p>
        </w:tc>
        <w:tc>
          <w:tcPr>
            <w:tcW w:w="1559" w:type="dxa"/>
            <w:shd w:val="clear" w:color="auto" w:fill="auto"/>
            <w:noWrap/>
            <w:vAlign w:val="bottom"/>
          </w:tcPr>
          <w:p w14:paraId="44048B3D" w14:textId="77777777" w:rsidR="00B12EC0" w:rsidRPr="00A62402" w:rsidRDefault="00B12EC0" w:rsidP="005E6DBC">
            <w:pPr>
              <w:jc w:val="right"/>
              <w:rPr>
                <w:sz w:val="20"/>
              </w:rPr>
            </w:pPr>
          </w:p>
        </w:tc>
        <w:tc>
          <w:tcPr>
            <w:tcW w:w="1418" w:type="dxa"/>
          </w:tcPr>
          <w:p w14:paraId="7D5E7CD9" w14:textId="77777777" w:rsidR="00B12EC0" w:rsidRPr="00E11B7F" w:rsidRDefault="00B12EC0" w:rsidP="005E6DBC">
            <w:pPr>
              <w:jc w:val="right"/>
              <w:rPr>
                <w:sz w:val="20"/>
                <w:szCs w:val="22"/>
              </w:rPr>
            </w:pPr>
          </w:p>
        </w:tc>
      </w:tr>
      <w:tr w:rsidR="00B12EC0" w:rsidRPr="00E11B7F" w14:paraId="1181AD1D" w14:textId="77777777" w:rsidTr="005E6DBC">
        <w:trPr>
          <w:trHeight w:val="300"/>
        </w:trPr>
        <w:tc>
          <w:tcPr>
            <w:tcW w:w="6804" w:type="dxa"/>
            <w:gridSpan w:val="4"/>
            <w:shd w:val="clear" w:color="auto" w:fill="auto"/>
            <w:noWrap/>
            <w:vAlign w:val="bottom"/>
          </w:tcPr>
          <w:p w14:paraId="6DC0DE17" w14:textId="77777777" w:rsidR="00B12EC0" w:rsidRPr="00A62402" w:rsidRDefault="00B12EC0" w:rsidP="005E6DBC">
            <w:pPr>
              <w:rPr>
                <w:b/>
                <w:sz w:val="20"/>
              </w:rPr>
            </w:pPr>
            <w:r w:rsidRPr="00A62402">
              <w:rPr>
                <w:b/>
                <w:sz w:val="20"/>
              </w:rPr>
              <w:t>IV – 5 days</w:t>
            </w:r>
          </w:p>
        </w:tc>
        <w:tc>
          <w:tcPr>
            <w:tcW w:w="1418" w:type="dxa"/>
          </w:tcPr>
          <w:p w14:paraId="1B150C32" w14:textId="77777777" w:rsidR="00B12EC0" w:rsidRPr="00E11B7F" w:rsidRDefault="00B12EC0" w:rsidP="005E6DBC">
            <w:pPr>
              <w:rPr>
                <w:b/>
                <w:sz w:val="20"/>
                <w:szCs w:val="22"/>
              </w:rPr>
            </w:pPr>
          </w:p>
        </w:tc>
      </w:tr>
      <w:tr w:rsidR="009A6D06" w:rsidRPr="00E11B7F" w14:paraId="58CE5E22" w14:textId="77777777" w:rsidTr="0075674B">
        <w:trPr>
          <w:trHeight w:val="300"/>
        </w:trPr>
        <w:tc>
          <w:tcPr>
            <w:tcW w:w="2268" w:type="dxa"/>
            <w:shd w:val="clear" w:color="auto" w:fill="auto"/>
            <w:noWrap/>
            <w:vAlign w:val="bottom"/>
          </w:tcPr>
          <w:p w14:paraId="36DAE7EF" w14:textId="524BAE5E" w:rsidR="009A6D06" w:rsidRPr="00A62402" w:rsidRDefault="009A6D06" w:rsidP="005E6DBC">
            <w:pPr>
              <w:rPr>
                <w:b/>
                <w:sz w:val="20"/>
              </w:rPr>
            </w:pPr>
            <w:r w:rsidRPr="00A62402">
              <w:rPr>
                <w:b/>
                <w:sz w:val="20"/>
              </w:rPr>
              <w:t xml:space="preserve">Tedizolid </w:t>
            </w:r>
            <w:r w:rsidRPr="00A62402">
              <w:rPr>
                <w:rFonts w:cs="Arial"/>
                <w:b/>
                <w:sz w:val="20"/>
              </w:rPr>
              <w:t>phosphate</w:t>
            </w:r>
          </w:p>
        </w:tc>
        <w:tc>
          <w:tcPr>
            <w:tcW w:w="1276" w:type="dxa"/>
            <w:shd w:val="clear" w:color="auto" w:fill="auto"/>
            <w:noWrap/>
            <w:vAlign w:val="bottom"/>
          </w:tcPr>
          <w:p w14:paraId="070090B9" w14:textId="6D8DF3D2" w:rsidR="009A6D06" w:rsidRPr="00A62402" w:rsidRDefault="009A6D06" w:rsidP="005E6DBC">
            <w:pPr>
              <w:jc w:val="right"/>
              <w:rPr>
                <w:sz w:val="20"/>
              </w:rPr>
            </w:pPr>
            <w:r w:rsidRPr="00A62402">
              <w:rPr>
                <w:sz w:val="20"/>
              </w:rPr>
              <w:t>£900.00</w:t>
            </w:r>
          </w:p>
        </w:tc>
        <w:tc>
          <w:tcPr>
            <w:tcW w:w="1701" w:type="dxa"/>
            <w:shd w:val="clear" w:color="auto" w:fill="auto"/>
            <w:noWrap/>
            <w:vAlign w:val="bottom"/>
          </w:tcPr>
          <w:p w14:paraId="3BBCB4F7" w14:textId="313A1ECC" w:rsidR="009A6D06" w:rsidRPr="00A62402" w:rsidRDefault="009A6D06" w:rsidP="009A6D06">
            <w:pPr>
              <w:jc w:val="right"/>
              <w:rPr>
                <w:sz w:val="20"/>
              </w:rPr>
            </w:pPr>
            <w:r w:rsidRPr="00A62402">
              <w:rPr>
                <w:sz w:val="20"/>
              </w:rPr>
              <w:t>£165.68</w:t>
            </w:r>
          </w:p>
        </w:tc>
        <w:tc>
          <w:tcPr>
            <w:tcW w:w="1559" w:type="dxa"/>
            <w:shd w:val="clear" w:color="auto" w:fill="auto"/>
            <w:noWrap/>
            <w:vAlign w:val="bottom"/>
          </w:tcPr>
          <w:p w14:paraId="51774491" w14:textId="5CE5A5D8" w:rsidR="009A6D06" w:rsidRPr="00A62402" w:rsidRDefault="009A6D06" w:rsidP="005E6DBC">
            <w:pPr>
              <w:jc w:val="right"/>
              <w:rPr>
                <w:sz w:val="20"/>
              </w:rPr>
            </w:pPr>
            <w:r w:rsidRPr="00A62402">
              <w:rPr>
                <w:sz w:val="20"/>
              </w:rPr>
              <w:t>£0.00</w:t>
            </w:r>
          </w:p>
        </w:tc>
        <w:tc>
          <w:tcPr>
            <w:tcW w:w="1418" w:type="dxa"/>
            <w:vAlign w:val="bottom"/>
          </w:tcPr>
          <w:p w14:paraId="678E4A89" w14:textId="49513236" w:rsidR="009A6D06" w:rsidRPr="00E11B7F" w:rsidRDefault="009A6D06" w:rsidP="005E6DBC">
            <w:pPr>
              <w:jc w:val="right"/>
              <w:rPr>
                <w:sz w:val="20"/>
              </w:rPr>
            </w:pPr>
            <w:r w:rsidRPr="001B05C3">
              <w:rPr>
                <w:sz w:val="20"/>
              </w:rPr>
              <w:t>£1,065.68</w:t>
            </w:r>
          </w:p>
        </w:tc>
      </w:tr>
      <w:tr w:rsidR="009A6D06" w:rsidRPr="00E11B7F" w14:paraId="14F0695D" w14:textId="77777777" w:rsidTr="0075674B">
        <w:trPr>
          <w:trHeight w:val="300"/>
        </w:trPr>
        <w:tc>
          <w:tcPr>
            <w:tcW w:w="2268" w:type="dxa"/>
            <w:shd w:val="clear" w:color="auto" w:fill="auto"/>
            <w:noWrap/>
            <w:vAlign w:val="bottom"/>
          </w:tcPr>
          <w:p w14:paraId="7FFE1B8F" w14:textId="77777777" w:rsidR="009A6D06" w:rsidRPr="00A62402" w:rsidRDefault="009A6D06" w:rsidP="005E6DBC">
            <w:pPr>
              <w:rPr>
                <w:b/>
                <w:sz w:val="20"/>
              </w:rPr>
            </w:pPr>
            <w:r w:rsidRPr="00A62402">
              <w:rPr>
                <w:b/>
                <w:sz w:val="20"/>
              </w:rPr>
              <w:t>Linezolid</w:t>
            </w:r>
          </w:p>
        </w:tc>
        <w:tc>
          <w:tcPr>
            <w:tcW w:w="1276" w:type="dxa"/>
            <w:shd w:val="clear" w:color="auto" w:fill="auto"/>
            <w:noWrap/>
            <w:vAlign w:val="bottom"/>
          </w:tcPr>
          <w:p w14:paraId="52743BA7" w14:textId="60A28CB9" w:rsidR="009A6D06" w:rsidRPr="00A62402" w:rsidRDefault="009A6D06" w:rsidP="005E6DBC">
            <w:pPr>
              <w:jc w:val="right"/>
              <w:rPr>
                <w:sz w:val="20"/>
              </w:rPr>
            </w:pPr>
            <w:r w:rsidRPr="00A62402">
              <w:rPr>
                <w:sz w:val="20"/>
              </w:rPr>
              <w:t>£890.00</w:t>
            </w:r>
          </w:p>
        </w:tc>
        <w:tc>
          <w:tcPr>
            <w:tcW w:w="1701" w:type="dxa"/>
            <w:shd w:val="clear" w:color="auto" w:fill="auto"/>
            <w:noWrap/>
            <w:vAlign w:val="bottom"/>
          </w:tcPr>
          <w:p w14:paraId="50215580" w14:textId="55A5197E" w:rsidR="009A6D06" w:rsidRPr="00A62402" w:rsidRDefault="009A6D06" w:rsidP="005E6DBC">
            <w:pPr>
              <w:jc w:val="right"/>
              <w:rPr>
                <w:sz w:val="20"/>
              </w:rPr>
            </w:pPr>
            <w:r w:rsidRPr="00A62402">
              <w:rPr>
                <w:sz w:val="20"/>
              </w:rPr>
              <w:t>£198.50</w:t>
            </w:r>
          </w:p>
        </w:tc>
        <w:tc>
          <w:tcPr>
            <w:tcW w:w="1559" w:type="dxa"/>
            <w:shd w:val="clear" w:color="auto" w:fill="auto"/>
            <w:noWrap/>
            <w:vAlign w:val="bottom"/>
          </w:tcPr>
          <w:p w14:paraId="29D9F58E" w14:textId="795A6397" w:rsidR="009A6D06" w:rsidRPr="00A62402" w:rsidRDefault="00C35A7E" w:rsidP="005E6DBC">
            <w:pPr>
              <w:jc w:val="right"/>
              <w:rPr>
                <w:sz w:val="20"/>
              </w:rPr>
            </w:pPr>
            <w:r>
              <w:rPr>
                <w:sz w:val="20"/>
              </w:rPr>
              <w:t>£</w:t>
            </w:r>
            <w:r w:rsidR="009A6D06" w:rsidRPr="00A62402">
              <w:rPr>
                <w:sz w:val="20"/>
              </w:rPr>
              <w:t>50.91</w:t>
            </w:r>
          </w:p>
        </w:tc>
        <w:tc>
          <w:tcPr>
            <w:tcW w:w="1418" w:type="dxa"/>
            <w:vAlign w:val="bottom"/>
          </w:tcPr>
          <w:p w14:paraId="29AE0B33" w14:textId="0264242A" w:rsidR="009A6D06" w:rsidRPr="00E11B7F" w:rsidRDefault="009A6D06" w:rsidP="005E6DBC">
            <w:pPr>
              <w:jc w:val="right"/>
              <w:rPr>
                <w:sz w:val="20"/>
              </w:rPr>
            </w:pPr>
            <w:r w:rsidRPr="001B05C3">
              <w:rPr>
                <w:sz w:val="20"/>
              </w:rPr>
              <w:t>£1,139.41</w:t>
            </w:r>
          </w:p>
        </w:tc>
      </w:tr>
      <w:tr w:rsidR="009A6D06" w:rsidRPr="00E11B7F" w14:paraId="485D3D2F" w14:textId="77777777" w:rsidTr="0075674B">
        <w:trPr>
          <w:trHeight w:val="300"/>
        </w:trPr>
        <w:tc>
          <w:tcPr>
            <w:tcW w:w="2268" w:type="dxa"/>
            <w:shd w:val="clear" w:color="auto" w:fill="auto"/>
            <w:noWrap/>
            <w:vAlign w:val="bottom"/>
          </w:tcPr>
          <w:p w14:paraId="6606D359" w14:textId="04AD1D8D" w:rsidR="009A6D06" w:rsidRPr="00A62402" w:rsidRDefault="009A6D06" w:rsidP="005E6DBC">
            <w:pPr>
              <w:spacing w:before="2" w:after="2"/>
              <w:rPr>
                <w:b/>
                <w:sz w:val="20"/>
              </w:rPr>
            </w:pPr>
            <w:r w:rsidRPr="00A62402">
              <w:rPr>
                <w:b/>
                <w:sz w:val="20"/>
              </w:rPr>
              <w:t>Difference</w:t>
            </w:r>
          </w:p>
        </w:tc>
        <w:tc>
          <w:tcPr>
            <w:tcW w:w="1276" w:type="dxa"/>
            <w:shd w:val="clear" w:color="auto" w:fill="auto"/>
            <w:noWrap/>
            <w:vAlign w:val="bottom"/>
          </w:tcPr>
          <w:p w14:paraId="2EE6F0DF" w14:textId="6F6A5749" w:rsidR="009A6D06" w:rsidRPr="00A62402" w:rsidRDefault="009A6D06" w:rsidP="005E6DBC">
            <w:pPr>
              <w:spacing w:before="2" w:after="2"/>
              <w:jc w:val="right"/>
              <w:rPr>
                <w:sz w:val="20"/>
              </w:rPr>
            </w:pPr>
            <w:r w:rsidRPr="00A62402">
              <w:rPr>
                <w:sz w:val="20"/>
              </w:rPr>
              <w:t>-£19.60</w:t>
            </w:r>
          </w:p>
        </w:tc>
        <w:tc>
          <w:tcPr>
            <w:tcW w:w="1701" w:type="dxa"/>
            <w:shd w:val="clear" w:color="auto" w:fill="auto"/>
            <w:noWrap/>
            <w:vAlign w:val="bottom"/>
          </w:tcPr>
          <w:p w14:paraId="6CB3784C" w14:textId="64A75BCD" w:rsidR="009A6D06" w:rsidRPr="00A62402" w:rsidRDefault="009A6D06" w:rsidP="005E6DBC">
            <w:pPr>
              <w:jc w:val="right"/>
              <w:rPr>
                <w:sz w:val="20"/>
              </w:rPr>
            </w:pPr>
            <w:r w:rsidRPr="00A62402">
              <w:rPr>
                <w:sz w:val="20"/>
              </w:rPr>
              <w:t>-£32.82</w:t>
            </w:r>
          </w:p>
        </w:tc>
        <w:tc>
          <w:tcPr>
            <w:tcW w:w="1559" w:type="dxa"/>
            <w:shd w:val="clear" w:color="auto" w:fill="auto"/>
            <w:noWrap/>
            <w:vAlign w:val="bottom"/>
          </w:tcPr>
          <w:p w14:paraId="3C1ADAEB" w14:textId="6C25AC1F" w:rsidR="009A6D06" w:rsidRPr="00A62402" w:rsidRDefault="009A6D06" w:rsidP="005E6DBC">
            <w:pPr>
              <w:jc w:val="right"/>
              <w:rPr>
                <w:sz w:val="20"/>
              </w:rPr>
            </w:pPr>
            <w:r w:rsidRPr="00A62402">
              <w:rPr>
                <w:sz w:val="20"/>
              </w:rPr>
              <w:t>-£50.91</w:t>
            </w:r>
          </w:p>
        </w:tc>
        <w:tc>
          <w:tcPr>
            <w:tcW w:w="1418" w:type="dxa"/>
            <w:vAlign w:val="bottom"/>
          </w:tcPr>
          <w:p w14:paraId="6D4D4502" w14:textId="189EF1B5" w:rsidR="009A6D06" w:rsidRPr="00E11B7F" w:rsidRDefault="009A6D06" w:rsidP="005E6DBC">
            <w:pPr>
              <w:jc w:val="right"/>
              <w:rPr>
                <w:sz w:val="20"/>
              </w:rPr>
            </w:pPr>
            <w:r w:rsidRPr="001B05C3">
              <w:rPr>
                <w:sz w:val="20"/>
              </w:rPr>
              <w:t>-£73.72</w:t>
            </w:r>
          </w:p>
        </w:tc>
      </w:tr>
      <w:tr w:rsidR="00B12EC0" w:rsidRPr="00E11B7F" w14:paraId="044916CF" w14:textId="77777777" w:rsidTr="0075674B">
        <w:trPr>
          <w:trHeight w:val="300"/>
        </w:trPr>
        <w:tc>
          <w:tcPr>
            <w:tcW w:w="2268" w:type="dxa"/>
            <w:shd w:val="clear" w:color="auto" w:fill="auto"/>
            <w:noWrap/>
            <w:vAlign w:val="bottom"/>
          </w:tcPr>
          <w:p w14:paraId="3C011DCC" w14:textId="77777777" w:rsidR="00B12EC0" w:rsidRPr="00A62402" w:rsidRDefault="00B12EC0" w:rsidP="005E6DBC">
            <w:pPr>
              <w:rPr>
                <w:b/>
                <w:sz w:val="20"/>
              </w:rPr>
            </w:pPr>
          </w:p>
        </w:tc>
        <w:tc>
          <w:tcPr>
            <w:tcW w:w="1276" w:type="dxa"/>
            <w:shd w:val="clear" w:color="auto" w:fill="auto"/>
            <w:noWrap/>
            <w:vAlign w:val="bottom"/>
          </w:tcPr>
          <w:p w14:paraId="11E10044" w14:textId="77777777" w:rsidR="00B12EC0" w:rsidRPr="00A62402" w:rsidRDefault="00B12EC0" w:rsidP="005E6DBC">
            <w:pPr>
              <w:jc w:val="right"/>
              <w:rPr>
                <w:sz w:val="20"/>
              </w:rPr>
            </w:pPr>
          </w:p>
        </w:tc>
        <w:tc>
          <w:tcPr>
            <w:tcW w:w="1701" w:type="dxa"/>
            <w:shd w:val="clear" w:color="auto" w:fill="auto"/>
            <w:noWrap/>
            <w:vAlign w:val="bottom"/>
          </w:tcPr>
          <w:p w14:paraId="7FD3EC6B" w14:textId="77777777" w:rsidR="00B12EC0" w:rsidRPr="00A62402" w:rsidRDefault="00B12EC0" w:rsidP="005E6DBC">
            <w:pPr>
              <w:jc w:val="right"/>
              <w:rPr>
                <w:sz w:val="20"/>
              </w:rPr>
            </w:pPr>
          </w:p>
        </w:tc>
        <w:tc>
          <w:tcPr>
            <w:tcW w:w="1559" w:type="dxa"/>
            <w:shd w:val="clear" w:color="auto" w:fill="auto"/>
            <w:noWrap/>
            <w:vAlign w:val="bottom"/>
          </w:tcPr>
          <w:p w14:paraId="0021BC29" w14:textId="77777777" w:rsidR="00B12EC0" w:rsidRPr="00A62402" w:rsidRDefault="00B12EC0" w:rsidP="005E6DBC">
            <w:pPr>
              <w:jc w:val="right"/>
              <w:rPr>
                <w:sz w:val="20"/>
              </w:rPr>
            </w:pPr>
          </w:p>
        </w:tc>
        <w:tc>
          <w:tcPr>
            <w:tcW w:w="1418" w:type="dxa"/>
          </w:tcPr>
          <w:p w14:paraId="293C2AF7" w14:textId="77777777" w:rsidR="00B12EC0" w:rsidRPr="00E11B7F" w:rsidRDefault="00B12EC0" w:rsidP="005E6DBC">
            <w:pPr>
              <w:jc w:val="right"/>
              <w:rPr>
                <w:sz w:val="20"/>
                <w:szCs w:val="22"/>
              </w:rPr>
            </w:pPr>
          </w:p>
        </w:tc>
      </w:tr>
      <w:tr w:rsidR="00B12EC0" w:rsidRPr="00E11B7F" w14:paraId="1C89ACBD" w14:textId="77777777" w:rsidTr="005E6DBC">
        <w:trPr>
          <w:trHeight w:val="300"/>
        </w:trPr>
        <w:tc>
          <w:tcPr>
            <w:tcW w:w="6804" w:type="dxa"/>
            <w:gridSpan w:val="4"/>
            <w:shd w:val="clear" w:color="auto" w:fill="auto"/>
            <w:noWrap/>
            <w:vAlign w:val="bottom"/>
          </w:tcPr>
          <w:p w14:paraId="02FCB33B" w14:textId="77777777" w:rsidR="00B12EC0" w:rsidRPr="00A62402" w:rsidRDefault="00B12EC0" w:rsidP="005E6DBC">
            <w:pPr>
              <w:rPr>
                <w:b/>
                <w:sz w:val="20"/>
              </w:rPr>
            </w:pPr>
            <w:r w:rsidRPr="00A62402">
              <w:rPr>
                <w:b/>
                <w:sz w:val="20"/>
              </w:rPr>
              <w:t>IV – 6 days</w:t>
            </w:r>
          </w:p>
        </w:tc>
        <w:tc>
          <w:tcPr>
            <w:tcW w:w="1418" w:type="dxa"/>
          </w:tcPr>
          <w:p w14:paraId="3374A278" w14:textId="77777777" w:rsidR="00B12EC0" w:rsidRPr="00E11B7F" w:rsidRDefault="00B12EC0" w:rsidP="005E6DBC">
            <w:pPr>
              <w:rPr>
                <w:b/>
                <w:sz w:val="20"/>
                <w:szCs w:val="22"/>
              </w:rPr>
            </w:pPr>
          </w:p>
        </w:tc>
      </w:tr>
      <w:tr w:rsidR="009A6D06" w:rsidRPr="00E11B7F" w14:paraId="5E77FAB1" w14:textId="77777777" w:rsidTr="0075674B">
        <w:trPr>
          <w:trHeight w:val="300"/>
        </w:trPr>
        <w:tc>
          <w:tcPr>
            <w:tcW w:w="2268" w:type="dxa"/>
            <w:shd w:val="clear" w:color="auto" w:fill="auto"/>
            <w:noWrap/>
            <w:vAlign w:val="bottom"/>
          </w:tcPr>
          <w:p w14:paraId="68B4A2A7" w14:textId="43991E19" w:rsidR="009A6D06" w:rsidRPr="00A62402" w:rsidRDefault="009A6D06" w:rsidP="005E6DBC">
            <w:pPr>
              <w:rPr>
                <w:b/>
                <w:sz w:val="20"/>
              </w:rPr>
            </w:pPr>
            <w:r w:rsidRPr="00A62402">
              <w:rPr>
                <w:b/>
                <w:sz w:val="20"/>
              </w:rPr>
              <w:t xml:space="preserve">Tedizolid </w:t>
            </w:r>
            <w:r w:rsidRPr="00A62402">
              <w:rPr>
                <w:rFonts w:cs="Arial"/>
                <w:b/>
                <w:sz w:val="20"/>
              </w:rPr>
              <w:t>phosphate</w:t>
            </w:r>
          </w:p>
        </w:tc>
        <w:tc>
          <w:tcPr>
            <w:tcW w:w="1276" w:type="dxa"/>
            <w:shd w:val="clear" w:color="auto" w:fill="auto"/>
            <w:noWrap/>
            <w:vAlign w:val="bottom"/>
          </w:tcPr>
          <w:p w14:paraId="74D0D242" w14:textId="36496F85" w:rsidR="009A6D06" w:rsidRPr="00A62402" w:rsidRDefault="009A6D06" w:rsidP="005E6DBC">
            <w:pPr>
              <w:jc w:val="right"/>
              <w:rPr>
                <w:sz w:val="20"/>
              </w:rPr>
            </w:pPr>
            <w:r w:rsidRPr="00A62402">
              <w:rPr>
                <w:sz w:val="20"/>
              </w:rPr>
              <w:t>£900.00</w:t>
            </w:r>
          </w:p>
        </w:tc>
        <w:tc>
          <w:tcPr>
            <w:tcW w:w="1701" w:type="dxa"/>
            <w:shd w:val="clear" w:color="auto" w:fill="auto"/>
            <w:noWrap/>
            <w:vAlign w:val="bottom"/>
          </w:tcPr>
          <w:p w14:paraId="0A1F15E8" w14:textId="7BB99A07" w:rsidR="009A6D06" w:rsidRPr="00A62402" w:rsidRDefault="009A6D06" w:rsidP="005E6DBC">
            <w:pPr>
              <w:jc w:val="right"/>
              <w:rPr>
                <w:sz w:val="20"/>
              </w:rPr>
            </w:pPr>
            <w:r w:rsidRPr="00A62402">
              <w:rPr>
                <w:sz w:val="20"/>
              </w:rPr>
              <w:t>£198.82</w:t>
            </w:r>
          </w:p>
        </w:tc>
        <w:tc>
          <w:tcPr>
            <w:tcW w:w="1559" w:type="dxa"/>
            <w:shd w:val="clear" w:color="auto" w:fill="auto"/>
            <w:noWrap/>
            <w:vAlign w:val="bottom"/>
          </w:tcPr>
          <w:p w14:paraId="6598165B" w14:textId="14B18B92" w:rsidR="009A6D06" w:rsidRPr="00A62402" w:rsidRDefault="009A6D06" w:rsidP="005E6DBC">
            <w:pPr>
              <w:jc w:val="right"/>
              <w:rPr>
                <w:sz w:val="20"/>
              </w:rPr>
            </w:pPr>
            <w:r w:rsidRPr="00A62402">
              <w:rPr>
                <w:sz w:val="20"/>
              </w:rPr>
              <w:t>£0.00</w:t>
            </w:r>
          </w:p>
        </w:tc>
        <w:tc>
          <w:tcPr>
            <w:tcW w:w="1418" w:type="dxa"/>
            <w:vAlign w:val="bottom"/>
          </w:tcPr>
          <w:p w14:paraId="169EA04A" w14:textId="217F5730" w:rsidR="009A6D06" w:rsidRPr="00E11B7F" w:rsidRDefault="009A6D06" w:rsidP="005E6DBC">
            <w:pPr>
              <w:jc w:val="right"/>
              <w:rPr>
                <w:sz w:val="20"/>
              </w:rPr>
            </w:pPr>
            <w:r w:rsidRPr="001B05C3">
              <w:rPr>
                <w:sz w:val="20"/>
              </w:rPr>
              <w:t>£1,098.82</w:t>
            </w:r>
          </w:p>
        </w:tc>
      </w:tr>
      <w:tr w:rsidR="009A6D06" w:rsidRPr="00E11B7F" w14:paraId="356B4CE7" w14:textId="77777777" w:rsidTr="0075674B">
        <w:trPr>
          <w:trHeight w:val="300"/>
        </w:trPr>
        <w:tc>
          <w:tcPr>
            <w:tcW w:w="2268" w:type="dxa"/>
            <w:shd w:val="clear" w:color="auto" w:fill="auto"/>
            <w:noWrap/>
            <w:vAlign w:val="bottom"/>
          </w:tcPr>
          <w:p w14:paraId="3BD940E7" w14:textId="77777777" w:rsidR="009A6D06" w:rsidRPr="0075674B" w:rsidRDefault="009A6D06" w:rsidP="005E6DBC">
            <w:pPr>
              <w:rPr>
                <w:b/>
                <w:sz w:val="20"/>
                <w:szCs w:val="22"/>
              </w:rPr>
            </w:pPr>
            <w:r w:rsidRPr="0075674B">
              <w:rPr>
                <w:b/>
                <w:sz w:val="20"/>
                <w:szCs w:val="22"/>
              </w:rPr>
              <w:t>Linezolid</w:t>
            </w:r>
          </w:p>
        </w:tc>
        <w:tc>
          <w:tcPr>
            <w:tcW w:w="1276" w:type="dxa"/>
            <w:shd w:val="clear" w:color="auto" w:fill="auto"/>
            <w:noWrap/>
            <w:vAlign w:val="bottom"/>
          </w:tcPr>
          <w:p w14:paraId="189BA747" w14:textId="1F527BDA" w:rsidR="009A6D06" w:rsidRPr="00382F72" w:rsidRDefault="009A6D06" w:rsidP="005E6DBC">
            <w:pPr>
              <w:jc w:val="right"/>
              <w:rPr>
                <w:sz w:val="20"/>
                <w:szCs w:val="22"/>
              </w:rPr>
            </w:pPr>
            <w:r w:rsidRPr="001B05C3">
              <w:rPr>
                <w:sz w:val="20"/>
                <w:szCs w:val="22"/>
              </w:rPr>
              <w:t>£890.00</w:t>
            </w:r>
          </w:p>
        </w:tc>
        <w:tc>
          <w:tcPr>
            <w:tcW w:w="1701" w:type="dxa"/>
            <w:shd w:val="clear" w:color="auto" w:fill="auto"/>
            <w:noWrap/>
            <w:vAlign w:val="bottom"/>
          </w:tcPr>
          <w:p w14:paraId="266CFB9A" w14:textId="7CE45A94" w:rsidR="009A6D06" w:rsidRPr="00E11B7F" w:rsidRDefault="009A6D06" w:rsidP="005E6DBC">
            <w:pPr>
              <w:jc w:val="right"/>
              <w:rPr>
                <w:sz w:val="20"/>
              </w:rPr>
            </w:pPr>
            <w:r w:rsidRPr="001B05C3">
              <w:rPr>
                <w:sz w:val="20"/>
              </w:rPr>
              <w:t>£238.20</w:t>
            </w:r>
          </w:p>
        </w:tc>
        <w:tc>
          <w:tcPr>
            <w:tcW w:w="1559" w:type="dxa"/>
            <w:shd w:val="clear" w:color="auto" w:fill="auto"/>
            <w:noWrap/>
            <w:vAlign w:val="bottom"/>
          </w:tcPr>
          <w:p w14:paraId="3DFD0E40" w14:textId="2270B821" w:rsidR="009A6D06" w:rsidRPr="00E11B7F" w:rsidRDefault="00C35A7E" w:rsidP="005E6DBC">
            <w:pPr>
              <w:jc w:val="right"/>
              <w:rPr>
                <w:sz w:val="20"/>
              </w:rPr>
            </w:pPr>
            <w:r>
              <w:rPr>
                <w:sz w:val="20"/>
              </w:rPr>
              <w:t>£</w:t>
            </w:r>
            <w:r w:rsidR="009A6D06" w:rsidRPr="001B05C3">
              <w:rPr>
                <w:sz w:val="20"/>
              </w:rPr>
              <w:t>50.91</w:t>
            </w:r>
          </w:p>
        </w:tc>
        <w:tc>
          <w:tcPr>
            <w:tcW w:w="1418" w:type="dxa"/>
            <w:vAlign w:val="bottom"/>
          </w:tcPr>
          <w:p w14:paraId="301875C8" w14:textId="1DA1A1CD" w:rsidR="009A6D06" w:rsidRPr="00E11B7F" w:rsidRDefault="009A6D06" w:rsidP="005E6DBC">
            <w:pPr>
              <w:jc w:val="right"/>
              <w:rPr>
                <w:sz w:val="20"/>
              </w:rPr>
            </w:pPr>
            <w:r w:rsidRPr="001B05C3">
              <w:rPr>
                <w:sz w:val="20"/>
              </w:rPr>
              <w:t>£1,179.11</w:t>
            </w:r>
          </w:p>
        </w:tc>
      </w:tr>
      <w:tr w:rsidR="009A6D06" w:rsidRPr="00E11B7F" w14:paraId="604AA242" w14:textId="77777777" w:rsidTr="0075674B">
        <w:trPr>
          <w:trHeight w:val="300"/>
        </w:trPr>
        <w:tc>
          <w:tcPr>
            <w:tcW w:w="2268" w:type="dxa"/>
            <w:shd w:val="clear" w:color="auto" w:fill="auto"/>
            <w:noWrap/>
            <w:vAlign w:val="bottom"/>
          </w:tcPr>
          <w:p w14:paraId="70720C30" w14:textId="77777777" w:rsidR="009A6D06" w:rsidRPr="00382F72" w:rsidRDefault="009A6D06" w:rsidP="005E6DBC">
            <w:pPr>
              <w:rPr>
                <w:b/>
                <w:sz w:val="20"/>
                <w:szCs w:val="22"/>
              </w:rPr>
            </w:pPr>
            <w:r w:rsidRPr="00382F72">
              <w:rPr>
                <w:b/>
                <w:sz w:val="20"/>
                <w:szCs w:val="22"/>
              </w:rPr>
              <w:t>Difference</w:t>
            </w:r>
          </w:p>
        </w:tc>
        <w:tc>
          <w:tcPr>
            <w:tcW w:w="1276" w:type="dxa"/>
            <w:shd w:val="clear" w:color="auto" w:fill="auto"/>
            <w:noWrap/>
            <w:vAlign w:val="bottom"/>
          </w:tcPr>
          <w:p w14:paraId="624A7835" w14:textId="238EF916" w:rsidR="009A6D06" w:rsidRPr="00382F72" w:rsidRDefault="009A6D06" w:rsidP="005E6DBC">
            <w:pPr>
              <w:jc w:val="right"/>
              <w:rPr>
                <w:sz w:val="20"/>
                <w:szCs w:val="22"/>
              </w:rPr>
            </w:pPr>
            <w:r w:rsidRPr="001B05C3">
              <w:rPr>
                <w:sz w:val="20"/>
                <w:szCs w:val="22"/>
              </w:rPr>
              <w:t>£10.00</w:t>
            </w:r>
          </w:p>
        </w:tc>
        <w:tc>
          <w:tcPr>
            <w:tcW w:w="1701" w:type="dxa"/>
            <w:shd w:val="clear" w:color="auto" w:fill="auto"/>
            <w:noWrap/>
            <w:vAlign w:val="bottom"/>
          </w:tcPr>
          <w:p w14:paraId="5DF28350" w14:textId="156AF162" w:rsidR="009A6D06" w:rsidRPr="00E11B7F" w:rsidRDefault="009A6D06" w:rsidP="005E6DBC">
            <w:pPr>
              <w:jc w:val="right"/>
              <w:rPr>
                <w:sz w:val="20"/>
              </w:rPr>
            </w:pPr>
            <w:r w:rsidRPr="001B05C3">
              <w:rPr>
                <w:sz w:val="20"/>
              </w:rPr>
              <w:t>-£39.38</w:t>
            </w:r>
          </w:p>
        </w:tc>
        <w:tc>
          <w:tcPr>
            <w:tcW w:w="1559" w:type="dxa"/>
            <w:shd w:val="clear" w:color="auto" w:fill="auto"/>
            <w:noWrap/>
            <w:vAlign w:val="bottom"/>
          </w:tcPr>
          <w:p w14:paraId="3BA469C8" w14:textId="1826061D" w:rsidR="009A6D06" w:rsidRPr="00E11B7F" w:rsidRDefault="009A6D06" w:rsidP="005E6DBC">
            <w:pPr>
              <w:jc w:val="right"/>
              <w:rPr>
                <w:sz w:val="20"/>
              </w:rPr>
            </w:pPr>
            <w:r w:rsidRPr="001B05C3">
              <w:rPr>
                <w:sz w:val="20"/>
              </w:rPr>
              <w:t>-£50.91</w:t>
            </w:r>
          </w:p>
        </w:tc>
        <w:tc>
          <w:tcPr>
            <w:tcW w:w="1418" w:type="dxa"/>
            <w:vAlign w:val="bottom"/>
          </w:tcPr>
          <w:p w14:paraId="2D7AEFB4" w14:textId="7BF303E0" w:rsidR="009A6D06" w:rsidRPr="00E11B7F" w:rsidRDefault="009A6D06" w:rsidP="005E6DBC">
            <w:pPr>
              <w:jc w:val="right"/>
              <w:rPr>
                <w:sz w:val="20"/>
              </w:rPr>
            </w:pPr>
            <w:r w:rsidRPr="001B05C3">
              <w:rPr>
                <w:sz w:val="20"/>
              </w:rPr>
              <w:t>-£80.29</w:t>
            </w:r>
          </w:p>
        </w:tc>
      </w:tr>
    </w:tbl>
    <w:p w14:paraId="60428871" w14:textId="77777777" w:rsidR="00BE69CC" w:rsidRDefault="00BE69CC" w:rsidP="00BE69CC">
      <w:pPr>
        <w:pStyle w:val="NormalWeb"/>
        <w:spacing w:before="0" w:after="0"/>
        <w:rPr>
          <w:rFonts w:ascii="Arial" w:hAnsi="Arial" w:cs="Arial"/>
          <w:b/>
          <w:i/>
          <w:sz w:val="22"/>
          <w:szCs w:val="22"/>
        </w:rPr>
      </w:pPr>
    </w:p>
    <w:p w14:paraId="73793323" w14:textId="2F2DDE00" w:rsidR="00BE69CC" w:rsidRDefault="00945CB7" w:rsidP="00BE69CC">
      <w:pPr>
        <w:pStyle w:val="NormalWeb"/>
        <w:spacing w:before="0" w:after="0"/>
        <w:rPr>
          <w:rFonts w:ascii="Arial" w:hAnsi="Arial" w:cs="Arial"/>
          <w:b/>
          <w:i/>
          <w:sz w:val="22"/>
          <w:szCs w:val="22"/>
        </w:rPr>
      </w:pPr>
      <w:r>
        <w:rPr>
          <w:rFonts w:ascii="Arial" w:hAnsi="Arial" w:cs="Arial"/>
          <w:b/>
          <w:i/>
          <w:sz w:val="22"/>
          <w:szCs w:val="22"/>
        </w:rPr>
        <w:t>6.7</w:t>
      </w:r>
      <w:r w:rsidR="00BE69CC" w:rsidRPr="00A50F66">
        <w:rPr>
          <w:rFonts w:ascii="Arial" w:hAnsi="Arial" w:cs="Arial"/>
          <w:b/>
          <w:i/>
          <w:sz w:val="22"/>
          <w:szCs w:val="22"/>
        </w:rPr>
        <w:t>.2.2</w:t>
      </w:r>
      <w:r w:rsidR="00BE69CC" w:rsidRPr="00A50F66">
        <w:rPr>
          <w:rFonts w:ascii="Arial" w:hAnsi="Arial" w:cs="Arial"/>
          <w:b/>
          <w:i/>
          <w:sz w:val="22"/>
          <w:szCs w:val="22"/>
        </w:rPr>
        <w:tab/>
        <w:t xml:space="preserve">Varying parameter of overall length of treatment </w:t>
      </w:r>
    </w:p>
    <w:p w14:paraId="0BABA8A0" w14:textId="77777777" w:rsidR="00BE69CC" w:rsidRDefault="00BE69CC" w:rsidP="00BE69CC">
      <w:pPr>
        <w:rPr>
          <w:sz w:val="22"/>
          <w:szCs w:val="22"/>
        </w:rPr>
      </w:pPr>
    </w:p>
    <w:p w14:paraId="5AFBBEB6" w14:textId="037015EA" w:rsidR="005E6DBC" w:rsidRDefault="00BE69CC" w:rsidP="00BE69CC">
      <w:pPr>
        <w:rPr>
          <w:sz w:val="22"/>
          <w:szCs w:val="22"/>
        </w:rPr>
      </w:pPr>
      <w:r w:rsidRPr="002A1891">
        <w:rPr>
          <w:sz w:val="22"/>
          <w:szCs w:val="22"/>
        </w:rPr>
        <w:t xml:space="preserve">A </w:t>
      </w:r>
      <w:r>
        <w:rPr>
          <w:sz w:val="22"/>
          <w:szCs w:val="22"/>
        </w:rPr>
        <w:t xml:space="preserve">second </w:t>
      </w:r>
      <w:r w:rsidRPr="002A1891">
        <w:rPr>
          <w:sz w:val="22"/>
          <w:szCs w:val="22"/>
        </w:rPr>
        <w:t xml:space="preserve">sensitivity analysis was performed on the </w:t>
      </w:r>
      <w:r>
        <w:rPr>
          <w:sz w:val="22"/>
          <w:szCs w:val="22"/>
        </w:rPr>
        <w:t xml:space="preserve">overall duration of treatment </w:t>
      </w:r>
      <w:r w:rsidRPr="002A1891">
        <w:rPr>
          <w:sz w:val="22"/>
          <w:szCs w:val="22"/>
        </w:rPr>
        <w:t>for li</w:t>
      </w:r>
      <w:r>
        <w:rPr>
          <w:sz w:val="22"/>
          <w:szCs w:val="22"/>
        </w:rPr>
        <w:t xml:space="preserve">nezolid. The base case analysis </w:t>
      </w:r>
      <w:r w:rsidRPr="002A1891">
        <w:rPr>
          <w:sz w:val="22"/>
          <w:szCs w:val="22"/>
        </w:rPr>
        <w:t>assumes 2 days of IV treatment followed by 8 days of oral treatment</w:t>
      </w:r>
      <w:r>
        <w:rPr>
          <w:sz w:val="22"/>
          <w:szCs w:val="22"/>
        </w:rPr>
        <w:t>, ten days in total</w:t>
      </w:r>
      <w:r w:rsidRPr="002A1891">
        <w:rPr>
          <w:sz w:val="22"/>
          <w:szCs w:val="22"/>
        </w:rPr>
        <w:t xml:space="preserve">. </w:t>
      </w:r>
      <w:r>
        <w:rPr>
          <w:sz w:val="22"/>
          <w:szCs w:val="22"/>
        </w:rPr>
        <w:t>However, the marketing authorisation for linezolid recommends a treatment course of 10-14 consecutive days. An analysis was undertaken to evaluate the effect of extending the overall duration of trea</w:t>
      </w:r>
      <w:r w:rsidR="00C35A7E">
        <w:rPr>
          <w:sz w:val="22"/>
          <w:szCs w:val="22"/>
        </w:rPr>
        <w:t xml:space="preserve">tment with linezolid from 10 to </w:t>
      </w:r>
      <w:r>
        <w:rPr>
          <w:sz w:val="22"/>
          <w:szCs w:val="22"/>
        </w:rPr>
        <w:t>12</w:t>
      </w:r>
      <w:r w:rsidR="00C35A7E">
        <w:rPr>
          <w:sz w:val="22"/>
          <w:szCs w:val="22"/>
        </w:rPr>
        <w:t xml:space="preserve"> and </w:t>
      </w:r>
      <w:r>
        <w:rPr>
          <w:sz w:val="22"/>
          <w:szCs w:val="22"/>
        </w:rPr>
        <w:t xml:space="preserve">14 </w:t>
      </w:r>
      <w:r w:rsidRPr="00C224C8">
        <w:rPr>
          <w:sz w:val="22"/>
          <w:szCs w:val="22"/>
        </w:rPr>
        <w:t>days.</w:t>
      </w:r>
      <w:r w:rsidR="00416E1B" w:rsidRPr="00C224C8">
        <w:rPr>
          <w:sz w:val="22"/>
          <w:szCs w:val="22"/>
        </w:rPr>
        <w:t xml:space="preserve"> </w:t>
      </w:r>
    </w:p>
    <w:p w14:paraId="7E970845" w14:textId="77777777" w:rsidR="005E6DBC" w:rsidRDefault="005E6DBC" w:rsidP="00BE69CC">
      <w:pPr>
        <w:rPr>
          <w:sz w:val="22"/>
          <w:szCs w:val="22"/>
        </w:rPr>
      </w:pPr>
    </w:p>
    <w:p w14:paraId="3D248BFA" w14:textId="3E98EDF7" w:rsidR="00542F56" w:rsidRPr="00B733E7" w:rsidRDefault="00416E1B" w:rsidP="00B733E7">
      <w:pPr>
        <w:rPr>
          <w:sz w:val="22"/>
          <w:szCs w:val="22"/>
        </w:rPr>
      </w:pPr>
      <w:r w:rsidRPr="00C224C8">
        <w:rPr>
          <w:sz w:val="22"/>
          <w:szCs w:val="22"/>
        </w:rPr>
        <w:lastRenderedPageBreak/>
        <w:t>As noted previously, linezolid monitoring would be</w:t>
      </w:r>
      <w:r w:rsidR="00211BCD">
        <w:rPr>
          <w:sz w:val="22"/>
          <w:szCs w:val="22"/>
        </w:rPr>
        <w:t xml:space="preserve"> carried out on a weekly basis </w:t>
      </w:r>
      <w:r w:rsidR="00211BCD" w:rsidRPr="00C224C8">
        <w:rPr>
          <w:rFonts w:cs="Arial"/>
          <w:sz w:val="22"/>
          <w:szCs w:val="22"/>
          <w:lang w:eastAsia="ja-JP"/>
        </w:rPr>
        <w:t>(</w:t>
      </w:r>
      <w:r w:rsidR="006F010F">
        <w:rPr>
          <w:rFonts w:cs="Arial"/>
          <w:sz w:val="22"/>
          <w:szCs w:val="22"/>
          <w:lang w:eastAsia="ja-JP"/>
        </w:rPr>
        <w:fldChar w:fldCharType="begin"/>
      </w:r>
      <w:r w:rsidR="006F010F">
        <w:rPr>
          <w:rFonts w:cs="Arial"/>
          <w:sz w:val="22"/>
          <w:szCs w:val="22"/>
          <w:lang w:eastAsia="ja-JP"/>
        </w:rPr>
        <w:instrText xml:space="preserve"> REF _Ref284439522 \r \h </w:instrText>
      </w:r>
      <w:r w:rsidR="006F010F">
        <w:rPr>
          <w:rFonts w:cs="Arial"/>
          <w:sz w:val="22"/>
          <w:szCs w:val="22"/>
          <w:lang w:eastAsia="ja-JP"/>
        </w:rPr>
      </w:r>
      <w:r w:rsidR="006F010F">
        <w:rPr>
          <w:rFonts w:cs="Arial"/>
          <w:sz w:val="22"/>
          <w:szCs w:val="22"/>
          <w:lang w:eastAsia="ja-JP"/>
        </w:rPr>
        <w:fldChar w:fldCharType="separate"/>
      </w:r>
      <w:r w:rsidR="00151A1C">
        <w:rPr>
          <w:rFonts w:cs="Arial"/>
          <w:sz w:val="22"/>
          <w:szCs w:val="22"/>
          <w:lang w:eastAsia="ja-JP"/>
        </w:rPr>
        <w:t>74</w:t>
      </w:r>
      <w:r w:rsidR="006F010F">
        <w:rPr>
          <w:rFonts w:cs="Arial"/>
          <w:sz w:val="22"/>
          <w:szCs w:val="22"/>
          <w:lang w:eastAsia="ja-JP"/>
        </w:rPr>
        <w:fldChar w:fldCharType="end"/>
      </w:r>
      <w:r w:rsidR="006F010F">
        <w:rPr>
          <w:sz w:val="22"/>
          <w:szCs w:val="22"/>
        </w:rPr>
        <w:t>;</w:t>
      </w:r>
      <w:r w:rsidR="006F010F">
        <w:rPr>
          <w:sz w:val="22"/>
          <w:szCs w:val="22"/>
        </w:rPr>
        <w:fldChar w:fldCharType="begin"/>
      </w:r>
      <w:r w:rsidR="006F010F">
        <w:rPr>
          <w:sz w:val="22"/>
          <w:szCs w:val="22"/>
        </w:rPr>
        <w:instrText xml:space="preserve"> REF _Ref284439567 \r \h </w:instrText>
      </w:r>
      <w:r w:rsidR="006F010F">
        <w:rPr>
          <w:sz w:val="22"/>
          <w:szCs w:val="22"/>
        </w:rPr>
      </w:r>
      <w:r w:rsidR="006F010F">
        <w:rPr>
          <w:sz w:val="22"/>
          <w:szCs w:val="22"/>
        </w:rPr>
        <w:fldChar w:fldCharType="separate"/>
      </w:r>
      <w:r w:rsidR="00151A1C">
        <w:rPr>
          <w:sz w:val="22"/>
          <w:szCs w:val="22"/>
        </w:rPr>
        <w:t>75</w:t>
      </w:r>
      <w:r w:rsidR="006F010F">
        <w:rPr>
          <w:sz w:val="22"/>
          <w:szCs w:val="22"/>
        </w:rPr>
        <w:fldChar w:fldCharType="end"/>
      </w:r>
      <w:r w:rsidR="006F010F">
        <w:rPr>
          <w:sz w:val="22"/>
          <w:szCs w:val="22"/>
        </w:rPr>
        <w:t xml:space="preserve">) </w:t>
      </w:r>
      <w:r w:rsidRPr="00C224C8">
        <w:rPr>
          <w:sz w:val="22"/>
          <w:szCs w:val="22"/>
        </w:rPr>
        <w:t>that, for the purposes of this analysis, has been assumed will take place on day 1</w:t>
      </w:r>
      <w:r w:rsidR="00F367DD">
        <w:rPr>
          <w:sz w:val="22"/>
          <w:szCs w:val="22"/>
        </w:rPr>
        <w:t xml:space="preserve"> </w:t>
      </w:r>
      <w:r w:rsidR="00F367DD" w:rsidRPr="004466B9">
        <w:rPr>
          <w:sz w:val="22"/>
          <w:szCs w:val="22"/>
        </w:rPr>
        <w:t xml:space="preserve">and </w:t>
      </w:r>
      <w:r w:rsidR="00F367DD">
        <w:rPr>
          <w:sz w:val="22"/>
          <w:szCs w:val="22"/>
        </w:rPr>
        <w:t xml:space="preserve">day 8. </w:t>
      </w:r>
      <w:r w:rsidR="00BE69CC" w:rsidRPr="002A1891">
        <w:rPr>
          <w:sz w:val="22"/>
          <w:szCs w:val="22"/>
        </w:rPr>
        <w:t xml:space="preserve">The results show that tedizolid phosphate </w:t>
      </w:r>
      <w:r w:rsidR="00BE69CC">
        <w:rPr>
          <w:sz w:val="22"/>
          <w:szCs w:val="22"/>
        </w:rPr>
        <w:t>is cost sav</w:t>
      </w:r>
      <w:r>
        <w:rPr>
          <w:sz w:val="22"/>
          <w:szCs w:val="22"/>
        </w:rPr>
        <w:t>ing for treatment courses of 12 and</w:t>
      </w:r>
      <w:r w:rsidR="00BE69CC">
        <w:rPr>
          <w:sz w:val="22"/>
          <w:szCs w:val="22"/>
        </w:rPr>
        <w:t xml:space="preserve"> 14 days in total</w:t>
      </w:r>
      <w:r w:rsidR="00BE69CC" w:rsidRPr="002A1891">
        <w:rPr>
          <w:sz w:val="22"/>
          <w:szCs w:val="22"/>
        </w:rPr>
        <w:t xml:space="preserve">, </w:t>
      </w:r>
      <w:r w:rsidR="00BE69CC">
        <w:rPr>
          <w:sz w:val="22"/>
          <w:szCs w:val="22"/>
        </w:rPr>
        <w:t>with the size of the saving increasing the longer the course of linezolid treatment</w:t>
      </w:r>
      <w:r w:rsidR="00BE69CC" w:rsidRPr="002A1891">
        <w:rPr>
          <w:sz w:val="22"/>
          <w:szCs w:val="22"/>
        </w:rPr>
        <w:t xml:space="preserve"> (see</w:t>
      </w:r>
      <w:r w:rsidR="00542F56">
        <w:rPr>
          <w:sz w:val="22"/>
          <w:szCs w:val="22"/>
        </w:rPr>
        <w:t xml:space="preserve"> </w:t>
      </w:r>
      <w:bookmarkStart w:id="206" w:name="_Ref283843062"/>
      <w:bookmarkStart w:id="207" w:name="_Ref283276603"/>
      <w:r w:rsidR="00B733E7">
        <w:rPr>
          <w:sz w:val="22"/>
          <w:szCs w:val="22"/>
        </w:rPr>
        <w:fldChar w:fldCharType="begin"/>
      </w:r>
      <w:r w:rsidR="00B733E7">
        <w:rPr>
          <w:sz w:val="22"/>
          <w:szCs w:val="22"/>
        </w:rPr>
        <w:instrText xml:space="preserve"> REF _Ref284426429 \h </w:instrText>
      </w:r>
      <w:r w:rsidR="00B733E7">
        <w:rPr>
          <w:sz w:val="22"/>
          <w:szCs w:val="22"/>
        </w:rPr>
      </w:r>
      <w:r w:rsidR="00B733E7">
        <w:rPr>
          <w:sz w:val="22"/>
          <w:szCs w:val="22"/>
        </w:rPr>
        <w:fldChar w:fldCharType="separate"/>
      </w:r>
      <w:r w:rsidR="00151A1C">
        <w:rPr>
          <w:rFonts w:cs="Arial"/>
          <w:sz w:val="22"/>
          <w:szCs w:val="22"/>
        </w:rPr>
        <w:t xml:space="preserve">Table </w:t>
      </w:r>
      <w:r w:rsidR="00151A1C">
        <w:rPr>
          <w:rFonts w:cs="Arial"/>
          <w:noProof/>
          <w:sz w:val="22"/>
          <w:szCs w:val="22"/>
        </w:rPr>
        <w:t>50</w:t>
      </w:r>
      <w:r w:rsidR="00B733E7">
        <w:rPr>
          <w:sz w:val="22"/>
          <w:szCs w:val="22"/>
        </w:rPr>
        <w:fldChar w:fldCharType="end"/>
      </w:r>
      <w:r w:rsidR="00B733E7">
        <w:rPr>
          <w:sz w:val="22"/>
          <w:szCs w:val="22"/>
        </w:rPr>
        <w:t>).</w:t>
      </w:r>
    </w:p>
    <w:p w14:paraId="21DAF374" w14:textId="22374321" w:rsidR="003A4DF6" w:rsidRDefault="00542F56" w:rsidP="003A4DF6">
      <w:pPr>
        <w:pStyle w:val="Caption"/>
        <w:rPr>
          <w:rFonts w:ascii="Arial" w:hAnsi="Arial" w:cs="Arial"/>
          <w:sz w:val="22"/>
          <w:szCs w:val="22"/>
        </w:rPr>
      </w:pPr>
      <w:bookmarkStart w:id="208" w:name="_Ref284426429"/>
      <w:r>
        <w:rPr>
          <w:rFonts w:ascii="Arial" w:hAnsi="Arial" w:cs="Arial"/>
          <w:sz w:val="22"/>
          <w:szCs w:val="22"/>
        </w:rPr>
        <w:t xml:space="preserve">Table </w:t>
      </w:r>
      <w:r w:rsidR="003A4DF6" w:rsidRPr="002A1891">
        <w:rPr>
          <w:rFonts w:ascii="Arial" w:hAnsi="Arial" w:cs="Arial"/>
          <w:sz w:val="22"/>
          <w:szCs w:val="22"/>
        </w:rPr>
        <w:fldChar w:fldCharType="begin"/>
      </w:r>
      <w:r w:rsidR="003A4DF6" w:rsidRPr="002A1891">
        <w:rPr>
          <w:rFonts w:ascii="Arial" w:hAnsi="Arial" w:cs="Arial"/>
          <w:sz w:val="22"/>
          <w:szCs w:val="22"/>
        </w:rPr>
        <w:instrText xml:space="preserve"> SEQ Table \* ARABIC </w:instrText>
      </w:r>
      <w:r w:rsidR="003A4DF6" w:rsidRPr="002A1891">
        <w:rPr>
          <w:rFonts w:ascii="Arial" w:hAnsi="Arial" w:cs="Arial"/>
          <w:sz w:val="22"/>
          <w:szCs w:val="22"/>
        </w:rPr>
        <w:fldChar w:fldCharType="separate"/>
      </w:r>
      <w:bookmarkStart w:id="209" w:name="_Ref284251962"/>
      <w:r w:rsidR="00151A1C">
        <w:rPr>
          <w:rFonts w:ascii="Arial" w:hAnsi="Arial" w:cs="Arial"/>
          <w:noProof/>
          <w:sz w:val="22"/>
          <w:szCs w:val="22"/>
        </w:rPr>
        <w:t>50</w:t>
      </w:r>
      <w:bookmarkEnd w:id="209"/>
      <w:r w:rsidR="003A4DF6" w:rsidRPr="002A1891">
        <w:rPr>
          <w:rFonts w:ascii="Arial" w:hAnsi="Arial" w:cs="Arial"/>
          <w:sz w:val="22"/>
          <w:szCs w:val="22"/>
        </w:rPr>
        <w:fldChar w:fldCharType="end"/>
      </w:r>
      <w:bookmarkEnd w:id="206"/>
      <w:bookmarkEnd w:id="208"/>
      <w:r w:rsidR="003A4DF6" w:rsidRPr="002A1891">
        <w:rPr>
          <w:rFonts w:ascii="Arial" w:hAnsi="Arial" w:cs="Arial"/>
          <w:sz w:val="22"/>
          <w:szCs w:val="22"/>
        </w:rPr>
        <w:t xml:space="preserve">: Results – sensitivity analysis on </w:t>
      </w:r>
      <w:r w:rsidR="003A4DF6">
        <w:rPr>
          <w:rFonts w:ascii="Arial" w:hAnsi="Arial" w:cs="Arial"/>
          <w:sz w:val="22"/>
          <w:szCs w:val="22"/>
        </w:rPr>
        <w:t>overall leng</w:t>
      </w:r>
      <w:r w:rsidR="003A4DF6" w:rsidRPr="002A1891">
        <w:rPr>
          <w:rFonts w:ascii="Arial" w:hAnsi="Arial" w:cs="Arial"/>
          <w:sz w:val="22"/>
          <w:szCs w:val="22"/>
        </w:rPr>
        <w:t>t</w:t>
      </w:r>
      <w:r w:rsidR="003A4DF6">
        <w:rPr>
          <w:rFonts w:ascii="Arial" w:hAnsi="Arial" w:cs="Arial"/>
          <w:sz w:val="22"/>
          <w:szCs w:val="22"/>
        </w:rPr>
        <w:t>h</w:t>
      </w:r>
      <w:r w:rsidR="003A4DF6" w:rsidRPr="002A1891">
        <w:rPr>
          <w:rFonts w:ascii="Arial" w:hAnsi="Arial" w:cs="Arial"/>
          <w:sz w:val="22"/>
          <w:szCs w:val="22"/>
        </w:rPr>
        <w:t xml:space="preserve"> </w:t>
      </w:r>
      <w:r w:rsidR="003A4DF6">
        <w:rPr>
          <w:rFonts w:ascii="Arial" w:hAnsi="Arial" w:cs="Arial"/>
          <w:sz w:val="22"/>
          <w:szCs w:val="22"/>
        </w:rPr>
        <w:t xml:space="preserve">of </w:t>
      </w:r>
      <w:r w:rsidR="005E6DBC">
        <w:rPr>
          <w:rFonts w:ascii="Arial" w:hAnsi="Arial" w:cs="Arial"/>
          <w:sz w:val="22"/>
          <w:szCs w:val="22"/>
        </w:rPr>
        <w:t xml:space="preserve">linezolid </w:t>
      </w:r>
      <w:r w:rsidR="003A4DF6">
        <w:rPr>
          <w:rFonts w:ascii="Arial" w:hAnsi="Arial" w:cs="Arial"/>
          <w:sz w:val="22"/>
          <w:szCs w:val="22"/>
        </w:rPr>
        <w:t xml:space="preserve">treatment </w:t>
      </w:r>
    </w:p>
    <w:p w14:paraId="4A22C414" w14:textId="77777777" w:rsidR="003A4DF6" w:rsidRPr="00077FB5" w:rsidRDefault="003A4DF6" w:rsidP="003A4DF6">
      <w:pPr>
        <w:pStyle w:val="BodyText"/>
      </w:pPr>
    </w:p>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6"/>
        <w:gridCol w:w="1984"/>
        <w:gridCol w:w="1559"/>
        <w:gridCol w:w="1560"/>
      </w:tblGrid>
      <w:tr w:rsidR="005E6DBC" w:rsidRPr="00077FB5" w14:paraId="5D21194B" w14:textId="77777777" w:rsidTr="0075674B">
        <w:trPr>
          <w:trHeight w:val="300"/>
        </w:trPr>
        <w:tc>
          <w:tcPr>
            <w:tcW w:w="2694" w:type="dxa"/>
            <w:shd w:val="clear" w:color="auto" w:fill="auto"/>
            <w:noWrap/>
            <w:vAlign w:val="bottom"/>
          </w:tcPr>
          <w:p w14:paraId="04B2F6C8" w14:textId="77777777" w:rsidR="005E6DBC" w:rsidRPr="00077FB5" w:rsidRDefault="005E6DBC" w:rsidP="005E6DBC">
            <w:pPr>
              <w:rPr>
                <w:b/>
                <w:sz w:val="20"/>
                <w:szCs w:val="22"/>
              </w:rPr>
            </w:pPr>
          </w:p>
        </w:tc>
        <w:tc>
          <w:tcPr>
            <w:tcW w:w="1276" w:type="dxa"/>
            <w:shd w:val="clear" w:color="auto" w:fill="auto"/>
            <w:noWrap/>
            <w:vAlign w:val="bottom"/>
          </w:tcPr>
          <w:p w14:paraId="60B2021D" w14:textId="77777777" w:rsidR="005E6DBC" w:rsidRPr="00077FB5" w:rsidRDefault="005E6DBC" w:rsidP="005E6DBC">
            <w:pPr>
              <w:jc w:val="right"/>
              <w:rPr>
                <w:b/>
                <w:sz w:val="20"/>
                <w:szCs w:val="22"/>
              </w:rPr>
            </w:pPr>
            <w:r w:rsidRPr="00077FB5">
              <w:rPr>
                <w:b/>
                <w:sz w:val="20"/>
                <w:szCs w:val="22"/>
              </w:rPr>
              <w:t>Drug costs</w:t>
            </w:r>
          </w:p>
        </w:tc>
        <w:tc>
          <w:tcPr>
            <w:tcW w:w="1984" w:type="dxa"/>
            <w:shd w:val="clear" w:color="auto" w:fill="auto"/>
            <w:noWrap/>
            <w:vAlign w:val="bottom"/>
          </w:tcPr>
          <w:p w14:paraId="2807F9DD" w14:textId="77777777" w:rsidR="005E6DBC" w:rsidRPr="00077FB5" w:rsidRDefault="005E6DBC" w:rsidP="005E6DBC">
            <w:pPr>
              <w:jc w:val="right"/>
              <w:rPr>
                <w:b/>
                <w:sz w:val="20"/>
                <w:szCs w:val="22"/>
              </w:rPr>
            </w:pPr>
            <w:r w:rsidRPr="00077FB5">
              <w:rPr>
                <w:b/>
                <w:sz w:val="20"/>
                <w:szCs w:val="22"/>
              </w:rPr>
              <w:t>Administration</w:t>
            </w:r>
          </w:p>
          <w:p w14:paraId="55095944" w14:textId="77777777" w:rsidR="005E6DBC" w:rsidRPr="00077FB5" w:rsidRDefault="005E6DBC" w:rsidP="005E6DBC">
            <w:pPr>
              <w:jc w:val="right"/>
              <w:rPr>
                <w:b/>
                <w:sz w:val="20"/>
                <w:szCs w:val="22"/>
              </w:rPr>
            </w:pPr>
            <w:r w:rsidRPr="00077FB5">
              <w:rPr>
                <w:b/>
                <w:sz w:val="20"/>
                <w:szCs w:val="22"/>
              </w:rPr>
              <w:t>costs</w:t>
            </w:r>
          </w:p>
        </w:tc>
        <w:tc>
          <w:tcPr>
            <w:tcW w:w="1559" w:type="dxa"/>
            <w:shd w:val="clear" w:color="auto" w:fill="auto"/>
            <w:noWrap/>
          </w:tcPr>
          <w:p w14:paraId="62B27891" w14:textId="77777777" w:rsidR="005E6DBC" w:rsidRPr="00077FB5" w:rsidRDefault="005E6DBC" w:rsidP="005E6DBC">
            <w:pPr>
              <w:spacing w:before="2" w:after="2"/>
              <w:jc w:val="right"/>
              <w:rPr>
                <w:b/>
                <w:sz w:val="20"/>
                <w:szCs w:val="22"/>
              </w:rPr>
            </w:pPr>
            <w:r w:rsidRPr="00077FB5">
              <w:rPr>
                <w:b/>
                <w:sz w:val="20"/>
                <w:szCs w:val="22"/>
              </w:rPr>
              <w:t xml:space="preserve">Monitoring </w:t>
            </w:r>
          </w:p>
          <w:p w14:paraId="73C83DF8" w14:textId="77777777" w:rsidR="005E6DBC" w:rsidRPr="00077FB5" w:rsidRDefault="005E6DBC" w:rsidP="005E6DBC">
            <w:pPr>
              <w:spacing w:before="2" w:after="2"/>
              <w:jc w:val="right"/>
              <w:rPr>
                <w:b/>
                <w:sz w:val="20"/>
                <w:szCs w:val="22"/>
              </w:rPr>
            </w:pPr>
            <w:r w:rsidRPr="00077FB5">
              <w:rPr>
                <w:b/>
                <w:sz w:val="20"/>
                <w:szCs w:val="22"/>
              </w:rPr>
              <w:t>costs</w:t>
            </w:r>
          </w:p>
        </w:tc>
        <w:tc>
          <w:tcPr>
            <w:tcW w:w="1560" w:type="dxa"/>
            <w:vAlign w:val="bottom"/>
          </w:tcPr>
          <w:p w14:paraId="63FE577D" w14:textId="77777777" w:rsidR="005E6DBC" w:rsidRDefault="005E6DBC" w:rsidP="005E6DBC">
            <w:pPr>
              <w:jc w:val="right"/>
              <w:rPr>
                <w:b/>
                <w:sz w:val="20"/>
                <w:szCs w:val="22"/>
              </w:rPr>
            </w:pPr>
            <w:r w:rsidRPr="00077FB5">
              <w:rPr>
                <w:b/>
                <w:sz w:val="20"/>
                <w:szCs w:val="22"/>
              </w:rPr>
              <w:t>Total costs</w:t>
            </w:r>
          </w:p>
          <w:p w14:paraId="2F6F551D" w14:textId="77777777" w:rsidR="005E6DBC" w:rsidRPr="00077FB5" w:rsidRDefault="005E6DBC" w:rsidP="005E6DBC">
            <w:pPr>
              <w:jc w:val="right"/>
              <w:rPr>
                <w:b/>
                <w:sz w:val="20"/>
                <w:szCs w:val="22"/>
              </w:rPr>
            </w:pPr>
          </w:p>
        </w:tc>
      </w:tr>
      <w:tr w:rsidR="005E6DBC" w:rsidRPr="00077FB5" w14:paraId="1EC3363A" w14:textId="77777777" w:rsidTr="0075674B">
        <w:trPr>
          <w:trHeight w:val="300"/>
        </w:trPr>
        <w:tc>
          <w:tcPr>
            <w:tcW w:w="7513" w:type="dxa"/>
            <w:gridSpan w:val="4"/>
            <w:shd w:val="clear" w:color="auto" w:fill="auto"/>
            <w:noWrap/>
            <w:vAlign w:val="bottom"/>
          </w:tcPr>
          <w:p w14:paraId="59D43154" w14:textId="77777777" w:rsidR="005E6DBC" w:rsidRPr="00077FB5" w:rsidRDefault="005E6DBC" w:rsidP="005E6DBC">
            <w:pPr>
              <w:rPr>
                <w:b/>
                <w:sz w:val="20"/>
                <w:szCs w:val="22"/>
              </w:rPr>
            </w:pPr>
            <w:r w:rsidRPr="00077FB5">
              <w:rPr>
                <w:b/>
                <w:sz w:val="20"/>
                <w:szCs w:val="22"/>
              </w:rPr>
              <w:t>IV – 2 days</w:t>
            </w:r>
          </w:p>
          <w:p w14:paraId="3C75509D" w14:textId="309A31A4" w:rsidR="005E6DBC" w:rsidRPr="00077FB5" w:rsidRDefault="00C35A7E" w:rsidP="005E6DBC">
            <w:pPr>
              <w:rPr>
                <w:sz w:val="20"/>
                <w:szCs w:val="22"/>
              </w:rPr>
            </w:pPr>
            <w:r>
              <w:rPr>
                <w:b/>
                <w:sz w:val="20"/>
                <w:szCs w:val="22"/>
              </w:rPr>
              <w:t xml:space="preserve">Oral – 10 days </w:t>
            </w:r>
            <w:r w:rsidR="00F367DD" w:rsidRPr="004466B9">
              <w:rPr>
                <w:b/>
                <w:sz w:val="20"/>
                <w:szCs w:val="22"/>
              </w:rPr>
              <w:t>- 12 days total</w:t>
            </w:r>
          </w:p>
        </w:tc>
        <w:tc>
          <w:tcPr>
            <w:tcW w:w="1560" w:type="dxa"/>
          </w:tcPr>
          <w:p w14:paraId="7BA25C7E" w14:textId="77777777" w:rsidR="005E6DBC" w:rsidRPr="00077FB5" w:rsidRDefault="005E6DBC" w:rsidP="005E6DBC">
            <w:pPr>
              <w:rPr>
                <w:b/>
                <w:sz w:val="20"/>
                <w:szCs w:val="22"/>
              </w:rPr>
            </w:pPr>
          </w:p>
        </w:tc>
      </w:tr>
      <w:tr w:rsidR="005E6DBC" w:rsidRPr="00961721" w14:paraId="3F3D5A83" w14:textId="77777777" w:rsidTr="0075674B">
        <w:trPr>
          <w:trHeight w:val="300"/>
        </w:trPr>
        <w:tc>
          <w:tcPr>
            <w:tcW w:w="2694" w:type="dxa"/>
            <w:shd w:val="clear" w:color="auto" w:fill="auto"/>
            <w:noWrap/>
            <w:vAlign w:val="bottom"/>
          </w:tcPr>
          <w:p w14:paraId="42040AA3" w14:textId="66E6B840" w:rsidR="005E6DBC" w:rsidRPr="0075674B" w:rsidRDefault="005E6DBC" w:rsidP="005E6DBC">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276" w:type="dxa"/>
            <w:shd w:val="clear" w:color="auto" w:fill="auto"/>
            <w:noWrap/>
            <w:vAlign w:val="bottom"/>
          </w:tcPr>
          <w:p w14:paraId="3018F891" w14:textId="77777777" w:rsidR="005E6DBC" w:rsidRPr="00961721" w:rsidRDefault="005E6DBC" w:rsidP="005E6DBC">
            <w:pPr>
              <w:jc w:val="right"/>
              <w:rPr>
                <w:sz w:val="20"/>
              </w:rPr>
            </w:pPr>
            <w:r w:rsidRPr="00961721">
              <w:rPr>
                <w:sz w:val="20"/>
              </w:rPr>
              <w:t>£900.00</w:t>
            </w:r>
          </w:p>
        </w:tc>
        <w:tc>
          <w:tcPr>
            <w:tcW w:w="1984" w:type="dxa"/>
            <w:shd w:val="clear" w:color="auto" w:fill="auto"/>
            <w:noWrap/>
            <w:vAlign w:val="bottom"/>
          </w:tcPr>
          <w:p w14:paraId="490494FD" w14:textId="77777777" w:rsidR="005E6DBC" w:rsidRPr="00961721" w:rsidRDefault="005E6DBC" w:rsidP="005E6DBC">
            <w:pPr>
              <w:jc w:val="right"/>
              <w:rPr>
                <w:sz w:val="20"/>
              </w:rPr>
            </w:pPr>
            <w:r w:rsidRPr="00961721">
              <w:rPr>
                <w:sz w:val="20"/>
              </w:rPr>
              <w:t>£66.27</w:t>
            </w:r>
          </w:p>
        </w:tc>
        <w:tc>
          <w:tcPr>
            <w:tcW w:w="1559" w:type="dxa"/>
            <w:shd w:val="clear" w:color="auto" w:fill="auto"/>
            <w:noWrap/>
            <w:vAlign w:val="bottom"/>
          </w:tcPr>
          <w:p w14:paraId="4FD47E3C" w14:textId="77777777" w:rsidR="005E6DBC" w:rsidRPr="00961721" w:rsidRDefault="005E6DBC" w:rsidP="005E6DBC">
            <w:pPr>
              <w:jc w:val="right"/>
              <w:rPr>
                <w:sz w:val="20"/>
              </w:rPr>
            </w:pPr>
            <w:r w:rsidRPr="00961721">
              <w:rPr>
                <w:sz w:val="20"/>
              </w:rPr>
              <w:t>£0.00</w:t>
            </w:r>
          </w:p>
        </w:tc>
        <w:tc>
          <w:tcPr>
            <w:tcW w:w="1560" w:type="dxa"/>
            <w:vAlign w:val="bottom"/>
          </w:tcPr>
          <w:p w14:paraId="25FB92D9" w14:textId="77777777" w:rsidR="005E6DBC" w:rsidRPr="00961721" w:rsidRDefault="005E6DBC" w:rsidP="005E6DBC">
            <w:pPr>
              <w:jc w:val="right"/>
              <w:rPr>
                <w:sz w:val="20"/>
              </w:rPr>
            </w:pPr>
            <w:r w:rsidRPr="00961721">
              <w:rPr>
                <w:sz w:val="20"/>
              </w:rPr>
              <w:t>£966.27</w:t>
            </w:r>
          </w:p>
        </w:tc>
      </w:tr>
      <w:tr w:rsidR="005E6DBC" w:rsidRPr="00961721" w14:paraId="50EDE397" w14:textId="77777777" w:rsidTr="0075674B">
        <w:trPr>
          <w:trHeight w:val="300"/>
        </w:trPr>
        <w:tc>
          <w:tcPr>
            <w:tcW w:w="2694" w:type="dxa"/>
            <w:shd w:val="clear" w:color="auto" w:fill="auto"/>
            <w:noWrap/>
            <w:vAlign w:val="bottom"/>
          </w:tcPr>
          <w:p w14:paraId="2FC6189A" w14:textId="77777777" w:rsidR="005E6DBC" w:rsidRPr="0075674B" w:rsidRDefault="005E6DBC" w:rsidP="005E6DBC">
            <w:pPr>
              <w:rPr>
                <w:b/>
                <w:sz w:val="20"/>
                <w:szCs w:val="22"/>
              </w:rPr>
            </w:pPr>
            <w:r w:rsidRPr="0075674B">
              <w:rPr>
                <w:b/>
                <w:sz w:val="20"/>
                <w:szCs w:val="22"/>
              </w:rPr>
              <w:t>Linezolid</w:t>
            </w:r>
          </w:p>
        </w:tc>
        <w:tc>
          <w:tcPr>
            <w:tcW w:w="1276" w:type="dxa"/>
            <w:shd w:val="clear" w:color="auto" w:fill="auto"/>
            <w:noWrap/>
            <w:vAlign w:val="bottom"/>
          </w:tcPr>
          <w:p w14:paraId="5DAA8A95" w14:textId="77777777" w:rsidR="005E6DBC" w:rsidRPr="00961721" w:rsidRDefault="005E6DBC" w:rsidP="005E6DBC">
            <w:pPr>
              <w:jc w:val="right"/>
              <w:rPr>
                <w:sz w:val="20"/>
              </w:rPr>
            </w:pPr>
            <w:r w:rsidRPr="00961721">
              <w:rPr>
                <w:sz w:val="20"/>
              </w:rPr>
              <w:t>£1,068.00</w:t>
            </w:r>
          </w:p>
        </w:tc>
        <w:tc>
          <w:tcPr>
            <w:tcW w:w="1984" w:type="dxa"/>
            <w:shd w:val="clear" w:color="auto" w:fill="auto"/>
            <w:noWrap/>
            <w:vAlign w:val="bottom"/>
          </w:tcPr>
          <w:p w14:paraId="729370A2" w14:textId="77777777" w:rsidR="005E6DBC" w:rsidRPr="00961721" w:rsidRDefault="005E6DBC" w:rsidP="005E6DBC">
            <w:pPr>
              <w:jc w:val="right"/>
              <w:rPr>
                <w:sz w:val="20"/>
              </w:rPr>
            </w:pPr>
            <w:r w:rsidRPr="00961721">
              <w:rPr>
                <w:sz w:val="20"/>
              </w:rPr>
              <w:t>£79.40</w:t>
            </w:r>
          </w:p>
        </w:tc>
        <w:tc>
          <w:tcPr>
            <w:tcW w:w="1559" w:type="dxa"/>
            <w:shd w:val="clear" w:color="auto" w:fill="auto"/>
            <w:noWrap/>
            <w:vAlign w:val="bottom"/>
          </w:tcPr>
          <w:p w14:paraId="1D54F662" w14:textId="1510F4B7" w:rsidR="005E6DBC" w:rsidRPr="00961721" w:rsidRDefault="00C51F2B" w:rsidP="005E6DBC">
            <w:pPr>
              <w:jc w:val="right"/>
              <w:rPr>
                <w:sz w:val="20"/>
              </w:rPr>
            </w:pPr>
            <w:r>
              <w:rPr>
                <w:sz w:val="20"/>
              </w:rPr>
              <w:t>£</w:t>
            </w:r>
            <w:r w:rsidR="005E6DBC" w:rsidRPr="00961721">
              <w:rPr>
                <w:sz w:val="20"/>
              </w:rPr>
              <w:t>50.91</w:t>
            </w:r>
          </w:p>
        </w:tc>
        <w:tc>
          <w:tcPr>
            <w:tcW w:w="1560" w:type="dxa"/>
            <w:vAlign w:val="bottom"/>
          </w:tcPr>
          <w:p w14:paraId="5F7CC712" w14:textId="77777777" w:rsidR="005E6DBC" w:rsidRPr="00961721" w:rsidRDefault="005E6DBC" w:rsidP="005E6DBC">
            <w:pPr>
              <w:jc w:val="right"/>
              <w:rPr>
                <w:sz w:val="20"/>
              </w:rPr>
            </w:pPr>
            <w:r w:rsidRPr="00961721">
              <w:rPr>
                <w:sz w:val="20"/>
              </w:rPr>
              <w:t>£1,198.31</w:t>
            </w:r>
          </w:p>
        </w:tc>
      </w:tr>
      <w:tr w:rsidR="005E6DBC" w:rsidRPr="00961721" w14:paraId="61A739E5" w14:textId="77777777" w:rsidTr="0075674B">
        <w:trPr>
          <w:trHeight w:val="300"/>
        </w:trPr>
        <w:tc>
          <w:tcPr>
            <w:tcW w:w="2694" w:type="dxa"/>
            <w:shd w:val="clear" w:color="auto" w:fill="auto"/>
            <w:noWrap/>
            <w:vAlign w:val="bottom"/>
          </w:tcPr>
          <w:p w14:paraId="514100D4" w14:textId="77777777" w:rsidR="005E6DBC" w:rsidRPr="0075674B" w:rsidRDefault="005E6DBC" w:rsidP="005E6DBC">
            <w:pPr>
              <w:rPr>
                <w:b/>
                <w:sz w:val="20"/>
                <w:szCs w:val="22"/>
              </w:rPr>
            </w:pPr>
            <w:r w:rsidRPr="0075674B">
              <w:rPr>
                <w:b/>
                <w:sz w:val="20"/>
                <w:szCs w:val="22"/>
              </w:rPr>
              <w:t>Difference</w:t>
            </w:r>
          </w:p>
        </w:tc>
        <w:tc>
          <w:tcPr>
            <w:tcW w:w="1276" w:type="dxa"/>
            <w:shd w:val="clear" w:color="auto" w:fill="auto"/>
            <w:noWrap/>
            <w:vAlign w:val="bottom"/>
          </w:tcPr>
          <w:p w14:paraId="45C9B136" w14:textId="77777777" w:rsidR="005E6DBC" w:rsidRPr="00961721" w:rsidRDefault="005E6DBC" w:rsidP="005E6DBC">
            <w:pPr>
              <w:jc w:val="right"/>
              <w:rPr>
                <w:sz w:val="20"/>
              </w:rPr>
            </w:pPr>
            <w:r w:rsidRPr="00961721">
              <w:rPr>
                <w:sz w:val="20"/>
              </w:rPr>
              <w:t>-£168.00</w:t>
            </w:r>
          </w:p>
        </w:tc>
        <w:tc>
          <w:tcPr>
            <w:tcW w:w="1984" w:type="dxa"/>
            <w:shd w:val="clear" w:color="auto" w:fill="auto"/>
            <w:noWrap/>
            <w:vAlign w:val="bottom"/>
          </w:tcPr>
          <w:p w14:paraId="65A0498B" w14:textId="77777777" w:rsidR="005E6DBC" w:rsidRPr="00961721" w:rsidRDefault="005E6DBC" w:rsidP="005E6DBC">
            <w:pPr>
              <w:jc w:val="right"/>
              <w:rPr>
                <w:sz w:val="20"/>
              </w:rPr>
            </w:pPr>
            <w:r w:rsidRPr="00961721">
              <w:rPr>
                <w:sz w:val="20"/>
              </w:rPr>
              <w:t>-£13.13</w:t>
            </w:r>
          </w:p>
        </w:tc>
        <w:tc>
          <w:tcPr>
            <w:tcW w:w="1559" w:type="dxa"/>
            <w:shd w:val="clear" w:color="auto" w:fill="auto"/>
            <w:noWrap/>
            <w:vAlign w:val="bottom"/>
          </w:tcPr>
          <w:p w14:paraId="51324D09" w14:textId="77777777" w:rsidR="005E6DBC" w:rsidRPr="00961721" w:rsidRDefault="005E6DBC" w:rsidP="005E6DBC">
            <w:pPr>
              <w:jc w:val="right"/>
              <w:rPr>
                <w:sz w:val="20"/>
              </w:rPr>
            </w:pPr>
            <w:r w:rsidRPr="00961721">
              <w:rPr>
                <w:sz w:val="20"/>
              </w:rPr>
              <w:t>-£50.91</w:t>
            </w:r>
          </w:p>
        </w:tc>
        <w:tc>
          <w:tcPr>
            <w:tcW w:w="1560" w:type="dxa"/>
            <w:vAlign w:val="bottom"/>
          </w:tcPr>
          <w:p w14:paraId="11C22F8F" w14:textId="77777777" w:rsidR="005E6DBC" w:rsidRPr="00961721" w:rsidRDefault="005E6DBC" w:rsidP="005E6DBC">
            <w:pPr>
              <w:jc w:val="right"/>
              <w:rPr>
                <w:sz w:val="20"/>
              </w:rPr>
            </w:pPr>
            <w:r w:rsidRPr="00961721">
              <w:rPr>
                <w:sz w:val="20"/>
              </w:rPr>
              <w:t>-£232.03</w:t>
            </w:r>
          </w:p>
        </w:tc>
      </w:tr>
      <w:tr w:rsidR="005E6DBC" w:rsidRPr="00961721" w14:paraId="414B823E" w14:textId="77777777" w:rsidTr="0075674B">
        <w:trPr>
          <w:trHeight w:val="300"/>
        </w:trPr>
        <w:tc>
          <w:tcPr>
            <w:tcW w:w="2694" w:type="dxa"/>
            <w:shd w:val="clear" w:color="auto" w:fill="auto"/>
            <w:noWrap/>
            <w:vAlign w:val="bottom"/>
          </w:tcPr>
          <w:p w14:paraId="6764E1D4" w14:textId="77777777" w:rsidR="005E6DBC" w:rsidRPr="0075674B" w:rsidRDefault="005E6DBC" w:rsidP="005E6DBC">
            <w:pPr>
              <w:rPr>
                <w:b/>
                <w:sz w:val="20"/>
                <w:szCs w:val="22"/>
              </w:rPr>
            </w:pPr>
          </w:p>
        </w:tc>
        <w:tc>
          <w:tcPr>
            <w:tcW w:w="1276" w:type="dxa"/>
            <w:shd w:val="clear" w:color="auto" w:fill="auto"/>
            <w:noWrap/>
            <w:vAlign w:val="bottom"/>
          </w:tcPr>
          <w:p w14:paraId="2438617A" w14:textId="77777777" w:rsidR="005E6DBC" w:rsidRPr="00961721" w:rsidRDefault="005E6DBC" w:rsidP="005E6DBC">
            <w:pPr>
              <w:jc w:val="right"/>
              <w:rPr>
                <w:sz w:val="20"/>
                <w:szCs w:val="22"/>
              </w:rPr>
            </w:pPr>
          </w:p>
        </w:tc>
        <w:tc>
          <w:tcPr>
            <w:tcW w:w="1984" w:type="dxa"/>
            <w:shd w:val="clear" w:color="auto" w:fill="auto"/>
            <w:noWrap/>
            <w:vAlign w:val="bottom"/>
          </w:tcPr>
          <w:p w14:paraId="22004888" w14:textId="77777777" w:rsidR="005E6DBC" w:rsidRPr="00961721" w:rsidRDefault="005E6DBC" w:rsidP="005E6DBC">
            <w:pPr>
              <w:jc w:val="right"/>
              <w:rPr>
                <w:sz w:val="20"/>
                <w:szCs w:val="22"/>
              </w:rPr>
            </w:pPr>
          </w:p>
        </w:tc>
        <w:tc>
          <w:tcPr>
            <w:tcW w:w="1559" w:type="dxa"/>
            <w:shd w:val="clear" w:color="auto" w:fill="auto"/>
            <w:noWrap/>
            <w:vAlign w:val="bottom"/>
          </w:tcPr>
          <w:p w14:paraId="7FEB609F" w14:textId="77777777" w:rsidR="005E6DBC" w:rsidRPr="00961721" w:rsidRDefault="005E6DBC" w:rsidP="005E6DBC">
            <w:pPr>
              <w:jc w:val="right"/>
              <w:rPr>
                <w:sz w:val="20"/>
                <w:szCs w:val="22"/>
              </w:rPr>
            </w:pPr>
          </w:p>
        </w:tc>
        <w:tc>
          <w:tcPr>
            <w:tcW w:w="1560" w:type="dxa"/>
          </w:tcPr>
          <w:p w14:paraId="03E69E17" w14:textId="77777777" w:rsidR="005E6DBC" w:rsidRPr="00961721" w:rsidRDefault="005E6DBC" w:rsidP="005E6DBC">
            <w:pPr>
              <w:jc w:val="right"/>
              <w:rPr>
                <w:sz w:val="20"/>
                <w:szCs w:val="22"/>
              </w:rPr>
            </w:pPr>
          </w:p>
        </w:tc>
      </w:tr>
      <w:tr w:rsidR="005E6DBC" w:rsidRPr="00961721" w14:paraId="60F87B5C" w14:textId="77777777" w:rsidTr="0075674B">
        <w:trPr>
          <w:trHeight w:val="300"/>
        </w:trPr>
        <w:tc>
          <w:tcPr>
            <w:tcW w:w="7513" w:type="dxa"/>
            <w:gridSpan w:val="4"/>
            <w:shd w:val="clear" w:color="auto" w:fill="auto"/>
            <w:noWrap/>
            <w:vAlign w:val="bottom"/>
          </w:tcPr>
          <w:p w14:paraId="08D04C9C" w14:textId="77777777" w:rsidR="005E6DBC" w:rsidRPr="0075674B" w:rsidRDefault="005E6DBC" w:rsidP="005E6DBC">
            <w:pPr>
              <w:rPr>
                <w:b/>
                <w:sz w:val="20"/>
                <w:szCs w:val="22"/>
              </w:rPr>
            </w:pPr>
            <w:r w:rsidRPr="0075674B">
              <w:rPr>
                <w:b/>
                <w:sz w:val="20"/>
                <w:szCs w:val="22"/>
              </w:rPr>
              <w:t>IV – 2 days</w:t>
            </w:r>
          </w:p>
          <w:p w14:paraId="3A17A61C" w14:textId="10B563DD" w:rsidR="005E6DBC" w:rsidRPr="0075674B" w:rsidRDefault="005E6DBC" w:rsidP="00F367DD">
            <w:pPr>
              <w:rPr>
                <w:b/>
                <w:sz w:val="20"/>
                <w:szCs w:val="22"/>
              </w:rPr>
            </w:pPr>
            <w:r w:rsidRPr="0075674B">
              <w:rPr>
                <w:b/>
                <w:sz w:val="20"/>
                <w:szCs w:val="22"/>
              </w:rPr>
              <w:t>Oral – 12 days</w:t>
            </w:r>
            <w:r w:rsidR="00F367DD" w:rsidRPr="0075674B">
              <w:rPr>
                <w:b/>
                <w:sz w:val="20"/>
                <w:szCs w:val="22"/>
              </w:rPr>
              <w:t xml:space="preserve"> - 14 days total</w:t>
            </w:r>
          </w:p>
        </w:tc>
        <w:tc>
          <w:tcPr>
            <w:tcW w:w="1560" w:type="dxa"/>
          </w:tcPr>
          <w:p w14:paraId="384C44CF" w14:textId="77777777" w:rsidR="005E6DBC" w:rsidRPr="00961721" w:rsidRDefault="005E6DBC" w:rsidP="005E6DBC">
            <w:pPr>
              <w:rPr>
                <w:b/>
                <w:sz w:val="20"/>
                <w:szCs w:val="22"/>
              </w:rPr>
            </w:pPr>
          </w:p>
        </w:tc>
      </w:tr>
      <w:tr w:rsidR="005E6DBC" w:rsidRPr="00961721" w14:paraId="0A265391" w14:textId="77777777" w:rsidTr="0075674B">
        <w:trPr>
          <w:trHeight w:val="300"/>
        </w:trPr>
        <w:tc>
          <w:tcPr>
            <w:tcW w:w="2694" w:type="dxa"/>
            <w:shd w:val="clear" w:color="auto" w:fill="auto"/>
            <w:noWrap/>
            <w:vAlign w:val="bottom"/>
          </w:tcPr>
          <w:p w14:paraId="37A1612C" w14:textId="320131C0" w:rsidR="005E6DBC" w:rsidRPr="0075674B" w:rsidRDefault="005E6DBC" w:rsidP="005E6DBC">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276" w:type="dxa"/>
            <w:shd w:val="clear" w:color="auto" w:fill="auto"/>
            <w:noWrap/>
            <w:vAlign w:val="bottom"/>
          </w:tcPr>
          <w:p w14:paraId="4519AC47" w14:textId="77777777" w:rsidR="005E6DBC" w:rsidRPr="00961721" w:rsidRDefault="005E6DBC" w:rsidP="005E6DBC">
            <w:pPr>
              <w:jc w:val="right"/>
              <w:rPr>
                <w:sz w:val="20"/>
              </w:rPr>
            </w:pPr>
            <w:r w:rsidRPr="00961721">
              <w:rPr>
                <w:sz w:val="20"/>
              </w:rPr>
              <w:t>£900.00</w:t>
            </w:r>
          </w:p>
        </w:tc>
        <w:tc>
          <w:tcPr>
            <w:tcW w:w="1984" w:type="dxa"/>
            <w:shd w:val="clear" w:color="auto" w:fill="auto"/>
            <w:noWrap/>
            <w:vAlign w:val="bottom"/>
          </w:tcPr>
          <w:p w14:paraId="04F2EABA" w14:textId="77777777" w:rsidR="005E6DBC" w:rsidRPr="00961721" w:rsidRDefault="005E6DBC" w:rsidP="005E6DBC">
            <w:pPr>
              <w:jc w:val="right"/>
              <w:rPr>
                <w:sz w:val="20"/>
              </w:rPr>
            </w:pPr>
            <w:r w:rsidRPr="00961721">
              <w:rPr>
                <w:sz w:val="20"/>
              </w:rPr>
              <w:t>£66.27</w:t>
            </w:r>
          </w:p>
        </w:tc>
        <w:tc>
          <w:tcPr>
            <w:tcW w:w="1559" w:type="dxa"/>
            <w:shd w:val="clear" w:color="auto" w:fill="auto"/>
            <w:noWrap/>
            <w:vAlign w:val="bottom"/>
          </w:tcPr>
          <w:p w14:paraId="76238742" w14:textId="77777777" w:rsidR="005E6DBC" w:rsidRPr="00961721" w:rsidRDefault="005E6DBC" w:rsidP="005E6DBC">
            <w:pPr>
              <w:jc w:val="right"/>
              <w:rPr>
                <w:sz w:val="20"/>
              </w:rPr>
            </w:pPr>
            <w:r w:rsidRPr="00961721">
              <w:rPr>
                <w:sz w:val="20"/>
              </w:rPr>
              <w:t>£0.00</w:t>
            </w:r>
          </w:p>
        </w:tc>
        <w:tc>
          <w:tcPr>
            <w:tcW w:w="1560" w:type="dxa"/>
            <w:vAlign w:val="bottom"/>
          </w:tcPr>
          <w:p w14:paraId="4C08D6D4" w14:textId="77777777" w:rsidR="005E6DBC" w:rsidRPr="00961721" w:rsidRDefault="005E6DBC" w:rsidP="005E6DBC">
            <w:pPr>
              <w:jc w:val="right"/>
              <w:rPr>
                <w:sz w:val="20"/>
              </w:rPr>
            </w:pPr>
            <w:r w:rsidRPr="00961721">
              <w:rPr>
                <w:sz w:val="20"/>
              </w:rPr>
              <w:t>£966.27</w:t>
            </w:r>
          </w:p>
        </w:tc>
      </w:tr>
      <w:tr w:rsidR="005E6DBC" w:rsidRPr="00961721" w14:paraId="7C0A46AE" w14:textId="77777777" w:rsidTr="0075674B">
        <w:trPr>
          <w:trHeight w:val="300"/>
        </w:trPr>
        <w:tc>
          <w:tcPr>
            <w:tcW w:w="2694" w:type="dxa"/>
            <w:shd w:val="clear" w:color="auto" w:fill="auto"/>
            <w:noWrap/>
            <w:vAlign w:val="bottom"/>
          </w:tcPr>
          <w:p w14:paraId="7B609F43" w14:textId="77777777" w:rsidR="005E6DBC" w:rsidRPr="0075674B" w:rsidRDefault="005E6DBC" w:rsidP="005E6DBC">
            <w:pPr>
              <w:rPr>
                <w:b/>
                <w:sz w:val="20"/>
                <w:szCs w:val="22"/>
              </w:rPr>
            </w:pPr>
            <w:r w:rsidRPr="0075674B">
              <w:rPr>
                <w:b/>
                <w:sz w:val="20"/>
                <w:szCs w:val="22"/>
              </w:rPr>
              <w:t>Linezolid</w:t>
            </w:r>
          </w:p>
        </w:tc>
        <w:tc>
          <w:tcPr>
            <w:tcW w:w="1276" w:type="dxa"/>
            <w:shd w:val="clear" w:color="auto" w:fill="auto"/>
            <w:noWrap/>
            <w:vAlign w:val="bottom"/>
          </w:tcPr>
          <w:p w14:paraId="44CAD961" w14:textId="77777777" w:rsidR="005E6DBC" w:rsidRPr="00961721" w:rsidRDefault="005E6DBC" w:rsidP="005E6DBC">
            <w:pPr>
              <w:jc w:val="right"/>
              <w:rPr>
                <w:sz w:val="20"/>
              </w:rPr>
            </w:pPr>
            <w:r w:rsidRPr="00961721">
              <w:rPr>
                <w:sz w:val="20"/>
              </w:rPr>
              <w:t>£1,246.00</w:t>
            </w:r>
          </w:p>
        </w:tc>
        <w:tc>
          <w:tcPr>
            <w:tcW w:w="1984" w:type="dxa"/>
            <w:shd w:val="clear" w:color="auto" w:fill="auto"/>
            <w:noWrap/>
            <w:vAlign w:val="bottom"/>
          </w:tcPr>
          <w:p w14:paraId="35024ACF" w14:textId="77777777" w:rsidR="005E6DBC" w:rsidRPr="00961721" w:rsidRDefault="005E6DBC" w:rsidP="005E6DBC">
            <w:pPr>
              <w:jc w:val="right"/>
              <w:rPr>
                <w:sz w:val="20"/>
              </w:rPr>
            </w:pPr>
            <w:r w:rsidRPr="00961721">
              <w:rPr>
                <w:sz w:val="20"/>
              </w:rPr>
              <w:t>£79.40</w:t>
            </w:r>
          </w:p>
        </w:tc>
        <w:tc>
          <w:tcPr>
            <w:tcW w:w="1559" w:type="dxa"/>
            <w:shd w:val="clear" w:color="auto" w:fill="auto"/>
            <w:noWrap/>
            <w:vAlign w:val="bottom"/>
          </w:tcPr>
          <w:p w14:paraId="33FCC89B" w14:textId="05740AEE" w:rsidR="005E6DBC" w:rsidRPr="00961721" w:rsidRDefault="00C51F2B" w:rsidP="005E6DBC">
            <w:pPr>
              <w:jc w:val="right"/>
              <w:rPr>
                <w:sz w:val="20"/>
              </w:rPr>
            </w:pPr>
            <w:r>
              <w:rPr>
                <w:sz w:val="20"/>
              </w:rPr>
              <w:t>£</w:t>
            </w:r>
            <w:r w:rsidR="005E6DBC" w:rsidRPr="00961721">
              <w:rPr>
                <w:sz w:val="20"/>
              </w:rPr>
              <w:t>50.91</w:t>
            </w:r>
          </w:p>
        </w:tc>
        <w:tc>
          <w:tcPr>
            <w:tcW w:w="1560" w:type="dxa"/>
            <w:vAlign w:val="bottom"/>
          </w:tcPr>
          <w:p w14:paraId="03A8C13F" w14:textId="77777777" w:rsidR="005E6DBC" w:rsidRPr="00961721" w:rsidRDefault="005E6DBC" w:rsidP="005E6DBC">
            <w:pPr>
              <w:jc w:val="right"/>
              <w:rPr>
                <w:sz w:val="20"/>
              </w:rPr>
            </w:pPr>
            <w:r w:rsidRPr="00961721">
              <w:rPr>
                <w:sz w:val="20"/>
              </w:rPr>
              <w:t>£1,376.31</w:t>
            </w:r>
          </w:p>
        </w:tc>
      </w:tr>
      <w:tr w:rsidR="005E6DBC" w:rsidRPr="00961721" w14:paraId="58A4FC88" w14:textId="77777777" w:rsidTr="0075674B">
        <w:trPr>
          <w:trHeight w:val="300"/>
        </w:trPr>
        <w:tc>
          <w:tcPr>
            <w:tcW w:w="2694" w:type="dxa"/>
            <w:shd w:val="clear" w:color="auto" w:fill="auto"/>
            <w:noWrap/>
            <w:vAlign w:val="bottom"/>
          </w:tcPr>
          <w:p w14:paraId="31467547" w14:textId="77777777" w:rsidR="005E6DBC" w:rsidRPr="0075674B" w:rsidRDefault="005E6DBC" w:rsidP="005E6DBC">
            <w:pPr>
              <w:rPr>
                <w:b/>
                <w:sz w:val="20"/>
                <w:szCs w:val="22"/>
              </w:rPr>
            </w:pPr>
            <w:r w:rsidRPr="0075674B">
              <w:rPr>
                <w:b/>
                <w:sz w:val="20"/>
                <w:szCs w:val="22"/>
              </w:rPr>
              <w:t>Difference</w:t>
            </w:r>
          </w:p>
        </w:tc>
        <w:tc>
          <w:tcPr>
            <w:tcW w:w="1276" w:type="dxa"/>
            <w:shd w:val="clear" w:color="auto" w:fill="auto"/>
            <w:noWrap/>
            <w:vAlign w:val="bottom"/>
          </w:tcPr>
          <w:p w14:paraId="770DE634" w14:textId="77777777" w:rsidR="005E6DBC" w:rsidRPr="00961721" w:rsidRDefault="005E6DBC" w:rsidP="005E6DBC">
            <w:pPr>
              <w:jc w:val="right"/>
              <w:rPr>
                <w:sz w:val="20"/>
              </w:rPr>
            </w:pPr>
            <w:r w:rsidRPr="00961721">
              <w:rPr>
                <w:sz w:val="20"/>
              </w:rPr>
              <w:t>-£346.00</w:t>
            </w:r>
          </w:p>
        </w:tc>
        <w:tc>
          <w:tcPr>
            <w:tcW w:w="1984" w:type="dxa"/>
            <w:shd w:val="clear" w:color="auto" w:fill="auto"/>
            <w:noWrap/>
            <w:vAlign w:val="bottom"/>
          </w:tcPr>
          <w:p w14:paraId="6B4548AE" w14:textId="77777777" w:rsidR="005E6DBC" w:rsidRPr="00961721" w:rsidRDefault="005E6DBC" w:rsidP="005E6DBC">
            <w:pPr>
              <w:jc w:val="right"/>
              <w:rPr>
                <w:sz w:val="20"/>
              </w:rPr>
            </w:pPr>
            <w:r w:rsidRPr="00961721">
              <w:rPr>
                <w:sz w:val="20"/>
              </w:rPr>
              <w:t>-£13.13</w:t>
            </w:r>
          </w:p>
        </w:tc>
        <w:tc>
          <w:tcPr>
            <w:tcW w:w="1559" w:type="dxa"/>
            <w:shd w:val="clear" w:color="auto" w:fill="auto"/>
            <w:noWrap/>
            <w:vAlign w:val="bottom"/>
          </w:tcPr>
          <w:p w14:paraId="5C023BB6" w14:textId="77777777" w:rsidR="005E6DBC" w:rsidRPr="00961721" w:rsidRDefault="005E6DBC" w:rsidP="005E6DBC">
            <w:pPr>
              <w:jc w:val="right"/>
              <w:rPr>
                <w:sz w:val="20"/>
              </w:rPr>
            </w:pPr>
            <w:r w:rsidRPr="00961721">
              <w:rPr>
                <w:sz w:val="20"/>
              </w:rPr>
              <w:t>-£50.91</w:t>
            </w:r>
          </w:p>
        </w:tc>
        <w:tc>
          <w:tcPr>
            <w:tcW w:w="1560" w:type="dxa"/>
            <w:vAlign w:val="bottom"/>
          </w:tcPr>
          <w:p w14:paraId="5CB9A2BC" w14:textId="77777777" w:rsidR="005E6DBC" w:rsidRPr="00961721" w:rsidRDefault="005E6DBC" w:rsidP="005E6DBC">
            <w:pPr>
              <w:jc w:val="right"/>
              <w:rPr>
                <w:sz w:val="20"/>
              </w:rPr>
            </w:pPr>
            <w:r w:rsidRPr="00961721">
              <w:rPr>
                <w:sz w:val="20"/>
              </w:rPr>
              <w:t>-£410.03</w:t>
            </w:r>
          </w:p>
        </w:tc>
      </w:tr>
    </w:tbl>
    <w:p w14:paraId="575CC18A" w14:textId="77777777" w:rsidR="003A4DF6" w:rsidRDefault="003A4DF6" w:rsidP="003A4DF6">
      <w:pPr>
        <w:pStyle w:val="NormalWeb"/>
        <w:spacing w:before="0" w:after="0"/>
        <w:rPr>
          <w:rFonts w:ascii="Arial" w:hAnsi="Arial" w:cs="Arial"/>
          <w:b/>
          <w:szCs w:val="22"/>
        </w:rPr>
      </w:pPr>
    </w:p>
    <w:bookmarkEnd w:id="207"/>
    <w:p w14:paraId="4D6DFB87" w14:textId="76D611C1" w:rsidR="00CC2BF2" w:rsidRDefault="00CC2BF2" w:rsidP="00CC2BF2">
      <w:pPr>
        <w:pStyle w:val="NormalWeb"/>
        <w:spacing w:before="0" w:after="0"/>
        <w:rPr>
          <w:rFonts w:ascii="Arial" w:hAnsi="Arial" w:cs="Arial"/>
          <w:b/>
          <w:i/>
          <w:sz w:val="22"/>
          <w:szCs w:val="22"/>
        </w:rPr>
      </w:pPr>
      <w:r>
        <w:rPr>
          <w:rFonts w:ascii="Arial" w:hAnsi="Arial" w:cs="Arial"/>
          <w:b/>
          <w:i/>
          <w:sz w:val="22"/>
          <w:szCs w:val="22"/>
        </w:rPr>
        <w:t>6.7</w:t>
      </w:r>
      <w:r w:rsidRPr="00A50F66">
        <w:rPr>
          <w:rFonts w:ascii="Arial" w:hAnsi="Arial" w:cs="Arial"/>
          <w:b/>
          <w:i/>
          <w:sz w:val="22"/>
          <w:szCs w:val="22"/>
        </w:rPr>
        <w:t>.2.</w:t>
      </w:r>
      <w:r>
        <w:rPr>
          <w:rFonts w:ascii="Arial" w:hAnsi="Arial" w:cs="Arial"/>
          <w:b/>
          <w:i/>
          <w:sz w:val="22"/>
          <w:szCs w:val="22"/>
        </w:rPr>
        <w:t>3</w:t>
      </w:r>
      <w:r w:rsidRPr="00A50F66">
        <w:rPr>
          <w:rFonts w:ascii="Arial" w:hAnsi="Arial" w:cs="Arial"/>
          <w:b/>
          <w:i/>
          <w:sz w:val="22"/>
          <w:szCs w:val="22"/>
        </w:rPr>
        <w:tab/>
        <w:t>Varying</w:t>
      </w:r>
      <w:r>
        <w:rPr>
          <w:rFonts w:ascii="Arial" w:hAnsi="Arial" w:cs="Arial"/>
          <w:b/>
          <w:i/>
          <w:sz w:val="22"/>
          <w:szCs w:val="22"/>
        </w:rPr>
        <w:t xml:space="preserve"> proportion of </w:t>
      </w:r>
      <w:r w:rsidR="00B86256">
        <w:rPr>
          <w:rFonts w:ascii="Arial" w:hAnsi="Arial" w:cs="Arial"/>
          <w:b/>
          <w:i/>
          <w:sz w:val="22"/>
          <w:szCs w:val="22"/>
        </w:rPr>
        <w:t xml:space="preserve">linezolid </w:t>
      </w:r>
      <w:r>
        <w:rPr>
          <w:rFonts w:ascii="Arial" w:hAnsi="Arial" w:cs="Arial"/>
          <w:b/>
          <w:i/>
          <w:sz w:val="22"/>
          <w:szCs w:val="22"/>
        </w:rPr>
        <w:t>patients with monitoring</w:t>
      </w:r>
      <w:r w:rsidRPr="00A50F66">
        <w:rPr>
          <w:rFonts w:ascii="Arial" w:hAnsi="Arial" w:cs="Arial"/>
          <w:b/>
          <w:i/>
          <w:sz w:val="22"/>
          <w:szCs w:val="22"/>
        </w:rPr>
        <w:t xml:space="preserve"> </w:t>
      </w:r>
    </w:p>
    <w:p w14:paraId="0F574097" w14:textId="77777777" w:rsidR="00CC2BF2" w:rsidRDefault="00CC2BF2" w:rsidP="00CC2BF2">
      <w:pPr>
        <w:rPr>
          <w:sz w:val="22"/>
          <w:szCs w:val="22"/>
        </w:rPr>
      </w:pPr>
    </w:p>
    <w:p w14:paraId="21558C77" w14:textId="466C8281" w:rsidR="00CC2BF2" w:rsidRPr="004466B9" w:rsidRDefault="00CC2BF2" w:rsidP="00613B80">
      <w:pPr>
        <w:rPr>
          <w:sz w:val="22"/>
          <w:szCs w:val="22"/>
        </w:rPr>
      </w:pPr>
      <w:r w:rsidRPr="00613B80">
        <w:rPr>
          <w:sz w:val="22"/>
          <w:szCs w:val="22"/>
        </w:rPr>
        <w:t xml:space="preserve">A third sensitivity analysis was performed on the proportion of patients on linezolid treatment who would receive monitoring in accordance with the </w:t>
      </w:r>
      <w:r w:rsidR="00613B80" w:rsidRPr="00613B80">
        <w:rPr>
          <w:sz w:val="22"/>
          <w:szCs w:val="22"/>
        </w:rPr>
        <w:t xml:space="preserve">linezolid </w:t>
      </w:r>
      <w:r w:rsidRPr="00613B80">
        <w:rPr>
          <w:sz w:val="22"/>
          <w:szCs w:val="22"/>
        </w:rPr>
        <w:t>SmPC</w:t>
      </w:r>
      <w:r w:rsidR="00613B80">
        <w:rPr>
          <w:sz w:val="22"/>
          <w:szCs w:val="22"/>
        </w:rPr>
        <w:t xml:space="preserve"> and NHS Scotland health board guidelines</w:t>
      </w:r>
      <w:r w:rsidRPr="00613B80">
        <w:rPr>
          <w:sz w:val="22"/>
          <w:szCs w:val="22"/>
        </w:rPr>
        <w:t xml:space="preserve">.  The base case analysis assumes that all patients on linezolid will have monitoring. An analysis was undertaken to evaluate the effect of </w:t>
      </w:r>
      <w:r w:rsidRPr="004466B9">
        <w:rPr>
          <w:sz w:val="22"/>
          <w:szCs w:val="22"/>
        </w:rPr>
        <w:t xml:space="preserve">only </w:t>
      </w:r>
      <w:r w:rsidR="00F367DD" w:rsidRPr="004466B9">
        <w:rPr>
          <w:sz w:val="22"/>
          <w:szCs w:val="22"/>
        </w:rPr>
        <w:t>60% or 8</w:t>
      </w:r>
      <w:r w:rsidRPr="004466B9">
        <w:rPr>
          <w:sz w:val="22"/>
          <w:szCs w:val="22"/>
        </w:rPr>
        <w:t xml:space="preserve">0% of linezolid patients receiving </w:t>
      </w:r>
      <w:r w:rsidR="00416E1B" w:rsidRPr="004466B9">
        <w:rPr>
          <w:sz w:val="22"/>
          <w:szCs w:val="22"/>
        </w:rPr>
        <w:t xml:space="preserve">weekly </w:t>
      </w:r>
      <w:r w:rsidRPr="004466B9">
        <w:rPr>
          <w:sz w:val="22"/>
          <w:szCs w:val="22"/>
        </w:rPr>
        <w:t>monitoring.</w:t>
      </w:r>
    </w:p>
    <w:p w14:paraId="69FA8021" w14:textId="77777777" w:rsidR="00CC2BF2" w:rsidRPr="00613B80" w:rsidRDefault="00CC2BF2" w:rsidP="00613B80">
      <w:pPr>
        <w:rPr>
          <w:sz w:val="22"/>
          <w:szCs w:val="22"/>
        </w:rPr>
      </w:pPr>
      <w:r w:rsidRPr="00613B80">
        <w:rPr>
          <w:sz w:val="22"/>
          <w:szCs w:val="22"/>
        </w:rPr>
        <w:t xml:space="preserve"> </w:t>
      </w:r>
    </w:p>
    <w:p w14:paraId="4A125618" w14:textId="0670CF96" w:rsidR="00CC2BF2" w:rsidRPr="00613B80" w:rsidRDefault="00CC2BF2" w:rsidP="00613B80">
      <w:pPr>
        <w:rPr>
          <w:rFonts w:cs="Arial"/>
          <w:sz w:val="22"/>
          <w:szCs w:val="22"/>
        </w:rPr>
      </w:pPr>
      <w:r w:rsidRPr="00613B80">
        <w:rPr>
          <w:rFonts w:cs="Arial"/>
          <w:sz w:val="22"/>
          <w:szCs w:val="22"/>
        </w:rPr>
        <w:t xml:space="preserve">The results show that tedizolid phosphate remains cost saving in both sensitivity analyses </w:t>
      </w:r>
      <w:r w:rsidR="00B86256" w:rsidRPr="00613B80">
        <w:rPr>
          <w:rFonts w:cs="Arial"/>
          <w:sz w:val="22"/>
          <w:szCs w:val="22"/>
        </w:rPr>
        <w:t xml:space="preserve">(see </w:t>
      </w:r>
      <w:r w:rsidR="00B86256" w:rsidRPr="00613B80">
        <w:rPr>
          <w:rFonts w:cs="Arial"/>
          <w:sz w:val="22"/>
          <w:szCs w:val="22"/>
        </w:rPr>
        <w:fldChar w:fldCharType="begin"/>
      </w:r>
      <w:r w:rsidR="00B86256" w:rsidRPr="00613B80">
        <w:rPr>
          <w:rFonts w:cs="Arial"/>
          <w:sz w:val="22"/>
          <w:szCs w:val="22"/>
        </w:rPr>
        <w:instrText xml:space="preserve"> REF _Ref283843621 \h </w:instrText>
      </w:r>
      <w:r w:rsidR="00B86256" w:rsidRPr="00613B80">
        <w:rPr>
          <w:rFonts w:cs="Arial"/>
          <w:sz w:val="22"/>
          <w:szCs w:val="22"/>
        </w:rPr>
      </w:r>
      <w:r w:rsidR="00B86256" w:rsidRPr="00613B80">
        <w:rPr>
          <w:rFonts w:cs="Arial"/>
          <w:sz w:val="22"/>
          <w:szCs w:val="22"/>
        </w:rPr>
        <w:fldChar w:fldCharType="separate"/>
      </w:r>
      <w:r w:rsidR="00151A1C" w:rsidRPr="00613B80">
        <w:rPr>
          <w:rFonts w:cs="Arial"/>
          <w:sz w:val="22"/>
          <w:szCs w:val="22"/>
        </w:rPr>
        <w:t xml:space="preserve">Table </w:t>
      </w:r>
      <w:r w:rsidR="00151A1C">
        <w:rPr>
          <w:rFonts w:cs="Arial"/>
          <w:noProof/>
          <w:sz w:val="22"/>
          <w:szCs w:val="22"/>
        </w:rPr>
        <w:t>51</w:t>
      </w:r>
      <w:r w:rsidR="00B86256" w:rsidRPr="00613B80">
        <w:rPr>
          <w:rFonts w:cs="Arial"/>
          <w:sz w:val="22"/>
          <w:szCs w:val="22"/>
        </w:rPr>
        <w:fldChar w:fldCharType="end"/>
      </w:r>
      <w:r w:rsidR="00B86256" w:rsidRPr="00613B80">
        <w:rPr>
          <w:rFonts w:cs="Arial"/>
          <w:sz w:val="22"/>
          <w:szCs w:val="22"/>
        </w:rPr>
        <w:t>).</w:t>
      </w:r>
    </w:p>
    <w:p w14:paraId="0FE6E295" w14:textId="1C1D56EC" w:rsidR="00B86256" w:rsidRPr="00613B80" w:rsidRDefault="00B86256" w:rsidP="00B86256">
      <w:pPr>
        <w:pStyle w:val="Caption"/>
        <w:jc w:val="left"/>
        <w:rPr>
          <w:rFonts w:ascii="Arial" w:hAnsi="Arial" w:cs="Arial"/>
          <w:b w:val="0"/>
          <w:sz w:val="22"/>
          <w:szCs w:val="22"/>
        </w:rPr>
      </w:pPr>
      <w:bookmarkStart w:id="210" w:name="_Ref283843621"/>
      <w:r w:rsidRPr="00613B80">
        <w:rPr>
          <w:rFonts w:ascii="Arial" w:hAnsi="Arial" w:cs="Arial"/>
          <w:sz w:val="22"/>
          <w:szCs w:val="22"/>
        </w:rPr>
        <w:lastRenderedPageBreak/>
        <w:t xml:space="preserve">Table </w:t>
      </w:r>
      <w:r w:rsidRPr="00613B80">
        <w:rPr>
          <w:rFonts w:ascii="Arial" w:hAnsi="Arial" w:cs="Arial"/>
          <w:sz w:val="22"/>
          <w:szCs w:val="22"/>
        </w:rPr>
        <w:fldChar w:fldCharType="begin"/>
      </w:r>
      <w:r w:rsidRPr="00613B80">
        <w:rPr>
          <w:rFonts w:ascii="Arial" w:hAnsi="Arial" w:cs="Arial"/>
          <w:sz w:val="22"/>
          <w:szCs w:val="22"/>
        </w:rPr>
        <w:instrText xml:space="preserve"> SEQ Table \* ARABIC </w:instrText>
      </w:r>
      <w:r w:rsidRPr="00613B80">
        <w:rPr>
          <w:rFonts w:ascii="Arial" w:hAnsi="Arial" w:cs="Arial"/>
          <w:sz w:val="22"/>
          <w:szCs w:val="22"/>
        </w:rPr>
        <w:fldChar w:fldCharType="separate"/>
      </w:r>
      <w:r w:rsidR="00151A1C">
        <w:rPr>
          <w:rFonts w:ascii="Arial" w:hAnsi="Arial" w:cs="Arial"/>
          <w:noProof/>
          <w:sz w:val="22"/>
          <w:szCs w:val="22"/>
        </w:rPr>
        <w:t>51</w:t>
      </w:r>
      <w:r w:rsidRPr="00613B80">
        <w:rPr>
          <w:rFonts w:ascii="Arial" w:hAnsi="Arial" w:cs="Arial"/>
          <w:sz w:val="22"/>
          <w:szCs w:val="22"/>
        </w:rPr>
        <w:fldChar w:fldCharType="end"/>
      </w:r>
      <w:bookmarkEnd w:id="210"/>
      <w:r w:rsidRPr="00613B80">
        <w:rPr>
          <w:rFonts w:ascii="Arial" w:hAnsi="Arial" w:cs="Arial"/>
          <w:sz w:val="22"/>
          <w:szCs w:val="22"/>
        </w:rPr>
        <w:t>: Results – sensitivity analysis on proportion of linezolid patients being monitored</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01"/>
        <w:gridCol w:w="1559"/>
        <w:gridCol w:w="1559"/>
        <w:gridCol w:w="1418"/>
      </w:tblGrid>
      <w:tr w:rsidR="00C51F2B" w:rsidRPr="00077FB5" w14:paraId="23F14E79" w14:textId="77777777" w:rsidTr="0075674B">
        <w:trPr>
          <w:trHeight w:val="300"/>
        </w:trPr>
        <w:tc>
          <w:tcPr>
            <w:tcW w:w="2410" w:type="dxa"/>
            <w:shd w:val="clear" w:color="auto" w:fill="auto"/>
            <w:noWrap/>
            <w:vAlign w:val="bottom"/>
          </w:tcPr>
          <w:p w14:paraId="1B35BD60" w14:textId="77777777" w:rsidR="00C51F2B" w:rsidRPr="00077FB5" w:rsidRDefault="00C51F2B" w:rsidP="00402DC0">
            <w:pPr>
              <w:rPr>
                <w:b/>
                <w:sz w:val="20"/>
                <w:szCs w:val="22"/>
              </w:rPr>
            </w:pPr>
          </w:p>
        </w:tc>
        <w:tc>
          <w:tcPr>
            <w:tcW w:w="1701" w:type="dxa"/>
            <w:shd w:val="clear" w:color="auto" w:fill="auto"/>
            <w:noWrap/>
            <w:vAlign w:val="bottom"/>
          </w:tcPr>
          <w:p w14:paraId="77AEC0D9" w14:textId="77777777" w:rsidR="00C51F2B" w:rsidRPr="00077FB5" w:rsidRDefault="00C51F2B" w:rsidP="00402DC0">
            <w:pPr>
              <w:jc w:val="right"/>
              <w:rPr>
                <w:b/>
                <w:sz w:val="20"/>
                <w:szCs w:val="22"/>
              </w:rPr>
            </w:pPr>
            <w:r w:rsidRPr="00077FB5">
              <w:rPr>
                <w:b/>
                <w:sz w:val="20"/>
                <w:szCs w:val="22"/>
              </w:rPr>
              <w:t>Drug costs</w:t>
            </w:r>
          </w:p>
        </w:tc>
        <w:tc>
          <w:tcPr>
            <w:tcW w:w="1559" w:type="dxa"/>
            <w:shd w:val="clear" w:color="auto" w:fill="auto"/>
            <w:noWrap/>
            <w:vAlign w:val="bottom"/>
          </w:tcPr>
          <w:p w14:paraId="06292EC9" w14:textId="77777777" w:rsidR="00C51F2B" w:rsidRPr="00077FB5" w:rsidRDefault="00C51F2B" w:rsidP="00402DC0">
            <w:pPr>
              <w:jc w:val="right"/>
              <w:rPr>
                <w:b/>
                <w:sz w:val="20"/>
                <w:szCs w:val="22"/>
              </w:rPr>
            </w:pPr>
            <w:r w:rsidRPr="00077FB5">
              <w:rPr>
                <w:b/>
                <w:sz w:val="20"/>
                <w:szCs w:val="22"/>
              </w:rPr>
              <w:t>Administration</w:t>
            </w:r>
          </w:p>
          <w:p w14:paraId="74F48280" w14:textId="77777777" w:rsidR="00C51F2B" w:rsidRPr="00077FB5" w:rsidRDefault="00C51F2B" w:rsidP="00402DC0">
            <w:pPr>
              <w:jc w:val="right"/>
              <w:rPr>
                <w:b/>
                <w:sz w:val="20"/>
                <w:szCs w:val="22"/>
              </w:rPr>
            </w:pPr>
            <w:r w:rsidRPr="00077FB5">
              <w:rPr>
                <w:b/>
                <w:sz w:val="20"/>
                <w:szCs w:val="22"/>
              </w:rPr>
              <w:t>costs</w:t>
            </w:r>
          </w:p>
        </w:tc>
        <w:tc>
          <w:tcPr>
            <w:tcW w:w="1559" w:type="dxa"/>
            <w:shd w:val="clear" w:color="auto" w:fill="auto"/>
            <w:noWrap/>
          </w:tcPr>
          <w:p w14:paraId="633F4C27" w14:textId="77777777" w:rsidR="00C51F2B" w:rsidRPr="00077FB5" w:rsidRDefault="00C51F2B" w:rsidP="00402DC0">
            <w:pPr>
              <w:spacing w:before="2" w:after="2"/>
              <w:jc w:val="right"/>
              <w:rPr>
                <w:b/>
                <w:sz w:val="20"/>
                <w:szCs w:val="22"/>
              </w:rPr>
            </w:pPr>
            <w:r w:rsidRPr="00077FB5">
              <w:rPr>
                <w:b/>
                <w:sz w:val="20"/>
                <w:szCs w:val="22"/>
              </w:rPr>
              <w:t xml:space="preserve">Monitoring </w:t>
            </w:r>
          </w:p>
          <w:p w14:paraId="0E59647D" w14:textId="77777777" w:rsidR="00C51F2B" w:rsidRPr="00077FB5" w:rsidRDefault="00C51F2B" w:rsidP="00402DC0">
            <w:pPr>
              <w:spacing w:before="2" w:after="2"/>
              <w:jc w:val="right"/>
              <w:rPr>
                <w:b/>
                <w:sz w:val="20"/>
                <w:szCs w:val="22"/>
              </w:rPr>
            </w:pPr>
            <w:r w:rsidRPr="00077FB5">
              <w:rPr>
                <w:b/>
                <w:sz w:val="20"/>
                <w:szCs w:val="22"/>
              </w:rPr>
              <w:t>costs</w:t>
            </w:r>
          </w:p>
        </w:tc>
        <w:tc>
          <w:tcPr>
            <w:tcW w:w="1418" w:type="dxa"/>
            <w:vAlign w:val="bottom"/>
          </w:tcPr>
          <w:p w14:paraId="1670CD9A" w14:textId="77777777" w:rsidR="00C51F2B" w:rsidRDefault="00C51F2B" w:rsidP="00402DC0">
            <w:pPr>
              <w:jc w:val="right"/>
              <w:rPr>
                <w:b/>
                <w:sz w:val="20"/>
                <w:szCs w:val="22"/>
              </w:rPr>
            </w:pPr>
            <w:r w:rsidRPr="00077FB5">
              <w:rPr>
                <w:b/>
                <w:sz w:val="20"/>
                <w:szCs w:val="22"/>
              </w:rPr>
              <w:t>Total costs</w:t>
            </w:r>
          </w:p>
          <w:p w14:paraId="008C5DA6" w14:textId="77777777" w:rsidR="00C51F2B" w:rsidRPr="00077FB5" w:rsidRDefault="00C51F2B" w:rsidP="00402DC0">
            <w:pPr>
              <w:jc w:val="right"/>
              <w:rPr>
                <w:b/>
                <w:sz w:val="20"/>
                <w:szCs w:val="22"/>
              </w:rPr>
            </w:pPr>
          </w:p>
        </w:tc>
      </w:tr>
      <w:tr w:rsidR="00C51F2B" w:rsidRPr="00077FB5" w14:paraId="7F01B0F6" w14:textId="77777777" w:rsidTr="0075674B">
        <w:trPr>
          <w:trHeight w:val="300"/>
        </w:trPr>
        <w:tc>
          <w:tcPr>
            <w:tcW w:w="7229" w:type="dxa"/>
            <w:gridSpan w:val="4"/>
            <w:shd w:val="clear" w:color="auto" w:fill="auto"/>
            <w:noWrap/>
            <w:vAlign w:val="bottom"/>
          </w:tcPr>
          <w:p w14:paraId="7B5C2F07" w14:textId="7D974C11" w:rsidR="00C51F2B" w:rsidRPr="00077FB5" w:rsidRDefault="00C51F2B" w:rsidP="00402DC0">
            <w:pPr>
              <w:rPr>
                <w:sz w:val="20"/>
                <w:szCs w:val="22"/>
              </w:rPr>
            </w:pPr>
            <w:r>
              <w:rPr>
                <w:b/>
                <w:sz w:val="20"/>
                <w:szCs w:val="22"/>
              </w:rPr>
              <w:t>60%</w:t>
            </w:r>
            <w:r w:rsidRPr="00077FB5">
              <w:rPr>
                <w:b/>
                <w:sz w:val="20"/>
                <w:szCs w:val="22"/>
              </w:rPr>
              <w:t xml:space="preserve"> </w:t>
            </w:r>
            <w:r>
              <w:rPr>
                <w:b/>
                <w:sz w:val="20"/>
                <w:szCs w:val="22"/>
              </w:rPr>
              <w:t xml:space="preserve"> of patients</w:t>
            </w:r>
            <w:r w:rsidRPr="00077FB5">
              <w:rPr>
                <w:b/>
                <w:sz w:val="20"/>
                <w:szCs w:val="22"/>
              </w:rPr>
              <w:t xml:space="preserve"> </w:t>
            </w:r>
          </w:p>
        </w:tc>
        <w:tc>
          <w:tcPr>
            <w:tcW w:w="1418" w:type="dxa"/>
          </w:tcPr>
          <w:p w14:paraId="1A85184B" w14:textId="77777777" w:rsidR="00C51F2B" w:rsidRPr="00077FB5" w:rsidRDefault="00C51F2B" w:rsidP="00402DC0">
            <w:pPr>
              <w:rPr>
                <w:b/>
                <w:sz w:val="20"/>
                <w:szCs w:val="22"/>
              </w:rPr>
            </w:pPr>
          </w:p>
        </w:tc>
      </w:tr>
      <w:tr w:rsidR="00C51F2B" w:rsidRPr="005741D3" w14:paraId="6666B381" w14:textId="77777777" w:rsidTr="0075674B">
        <w:trPr>
          <w:trHeight w:val="300"/>
        </w:trPr>
        <w:tc>
          <w:tcPr>
            <w:tcW w:w="2410" w:type="dxa"/>
            <w:shd w:val="clear" w:color="auto" w:fill="auto"/>
            <w:noWrap/>
            <w:vAlign w:val="bottom"/>
          </w:tcPr>
          <w:p w14:paraId="7EEEC4A6" w14:textId="57F9058C" w:rsidR="00C51F2B" w:rsidRPr="0075674B" w:rsidRDefault="00C51F2B" w:rsidP="00402DC0">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701" w:type="dxa"/>
            <w:shd w:val="clear" w:color="auto" w:fill="auto"/>
            <w:noWrap/>
            <w:vAlign w:val="bottom"/>
          </w:tcPr>
          <w:p w14:paraId="28FB1B1A" w14:textId="77777777" w:rsidR="00C51F2B" w:rsidRPr="00DA764F" w:rsidRDefault="00C51F2B" w:rsidP="00402DC0">
            <w:pPr>
              <w:jc w:val="right"/>
              <w:rPr>
                <w:sz w:val="20"/>
              </w:rPr>
            </w:pPr>
            <w:r w:rsidRPr="00DA764F">
              <w:rPr>
                <w:sz w:val="20"/>
              </w:rPr>
              <w:t>£900.00</w:t>
            </w:r>
          </w:p>
        </w:tc>
        <w:tc>
          <w:tcPr>
            <w:tcW w:w="1559" w:type="dxa"/>
            <w:shd w:val="clear" w:color="auto" w:fill="auto"/>
            <w:noWrap/>
            <w:vAlign w:val="bottom"/>
          </w:tcPr>
          <w:p w14:paraId="444B8598" w14:textId="77777777" w:rsidR="00C51F2B" w:rsidRPr="005741D3" w:rsidRDefault="00C51F2B" w:rsidP="00402DC0">
            <w:pPr>
              <w:jc w:val="right"/>
              <w:rPr>
                <w:sz w:val="20"/>
              </w:rPr>
            </w:pPr>
            <w:r w:rsidRPr="005741D3">
              <w:rPr>
                <w:sz w:val="20"/>
              </w:rPr>
              <w:t>£66.27</w:t>
            </w:r>
          </w:p>
        </w:tc>
        <w:tc>
          <w:tcPr>
            <w:tcW w:w="1559" w:type="dxa"/>
            <w:shd w:val="clear" w:color="auto" w:fill="auto"/>
            <w:noWrap/>
            <w:vAlign w:val="bottom"/>
          </w:tcPr>
          <w:p w14:paraId="2050E732" w14:textId="77777777" w:rsidR="00C51F2B" w:rsidRPr="005741D3" w:rsidRDefault="00C51F2B" w:rsidP="00402DC0">
            <w:pPr>
              <w:jc w:val="right"/>
              <w:rPr>
                <w:sz w:val="20"/>
              </w:rPr>
            </w:pPr>
            <w:r w:rsidRPr="005741D3">
              <w:rPr>
                <w:sz w:val="20"/>
              </w:rPr>
              <w:t>£0.00</w:t>
            </w:r>
          </w:p>
        </w:tc>
        <w:tc>
          <w:tcPr>
            <w:tcW w:w="1418" w:type="dxa"/>
            <w:vAlign w:val="bottom"/>
          </w:tcPr>
          <w:p w14:paraId="5AC22DDF" w14:textId="77777777" w:rsidR="00C51F2B" w:rsidRPr="005741D3" w:rsidRDefault="00C51F2B" w:rsidP="00402DC0">
            <w:pPr>
              <w:jc w:val="right"/>
              <w:rPr>
                <w:sz w:val="20"/>
              </w:rPr>
            </w:pPr>
            <w:r w:rsidRPr="005741D3">
              <w:rPr>
                <w:sz w:val="20"/>
              </w:rPr>
              <w:t>£966.27</w:t>
            </w:r>
          </w:p>
        </w:tc>
      </w:tr>
      <w:tr w:rsidR="00C51F2B" w:rsidRPr="005741D3" w14:paraId="38C87F2C" w14:textId="77777777" w:rsidTr="0075674B">
        <w:trPr>
          <w:trHeight w:val="300"/>
        </w:trPr>
        <w:tc>
          <w:tcPr>
            <w:tcW w:w="2410" w:type="dxa"/>
            <w:shd w:val="clear" w:color="auto" w:fill="auto"/>
            <w:noWrap/>
            <w:vAlign w:val="bottom"/>
          </w:tcPr>
          <w:p w14:paraId="0D01407F" w14:textId="77777777" w:rsidR="00C51F2B" w:rsidRPr="0075674B" w:rsidRDefault="00C51F2B" w:rsidP="00402DC0">
            <w:pPr>
              <w:rPr>
                <w:b/>
                <w:sz w:val="20"/>
                <w:szCs w:val="22"/>
              </w:rPr>
            </w:pPr>
            <w:r w:rsidRPr="0075674B">
              <w:rPr>
                <w:b/>
                <w:sz w:val="20"/>
                <w:szCs w:val="22"/>
              </w:rPr>
              <w:t>Linezolid</w:t>
            </w:r>
          </w:p>
        </w:tc>
        <w:tc>
          <w:tcPr>
            <w:tcW w:w="1701" w:type="dxa"/>
            <w:shd w:val="clear" w:color="auto" w:fill="auto"/>
            <w:noWrap/>
            <w:vAlign w:val="bottom"/>
          </w:tcPr>
          <w:p w14:paraId="0413F972" w14:textId="77777777" w:rsidR="00C51F2B" w:rsidRPr="00DA764F" w:rsidRDefault="00C51F2B" w:rsidP="00402DC0">
            <w:pPr>
              <w:jc w:val="right"/>
              <w:rPr>
                <w:sz w:val="20"/>
              </w:rPr>
            </w:pPr>
            <w:r w:rsidRPr="00DA764F">
              <w:rPr>
                <w:sz w:val="20"/>
              </w:rPr>
              <w:t>£890.00</w:t>
            </w:r>
          </w:p>
        </w:tc>
        <w:tc>
          <w:tcPr>
            <w:tcW w:w="1559" w:type="dxa"/>
            <w:shd w:val="clear" w:color="auto" w:fill="auto"/>
            <w:noWrap/>
            <w:vAlign w:val="bottom"/>
          </w:tcPr>
          <w:p w14:paraId="0D552B76" w14:textId="77777777" w:rsidR="00C51F2B" w:rsidRPr="005741D3" w:rsidRDefault="00C51F2B" w:rsidP="00402DC0">
            <w:pPr>
              <w:jc w:val="right"/>
              <w:rPr>
                <w:sz w:val="20"/>
              </w:rPr>
            </w:pPr>
            <w:r w:rsidRPr="005741D3">
              <w:rPr>
                <w:sz w:val="20"/>
              </w:rPr>
              <w:t>£79.40</w:t>
            </w:r>
          </w:p>
        </w:tc>
        <w:tc>
          <w:tcPr>
            <w:tcW w:w="1559" w:type="dxa"/>
            <w:shd w:val="clear" w:color="auto" w:fill="auto"/>
            <w:noWrap/>
            <w:vAlign w:val="bottom"/>
          </w:tcPr>
          <w:p w14:paraId="17710551" w14:textId="4602E7C5" w:rsidR="00C51F2B" w:rsidRPr="004466B9" w:rsidRDefault="00F367DD" w:rsidP="00402DC0">
            <w:pPr>
              <w:jc w:val="right"/>
              <w:rPr>
                <w:sz w:val="20"/>
              </w:rPr>
            </w:pPr>
            <w:r w:rsidRPr="004466B9">
              <w:rPr>
                <w:sz w:val="20"/>
                <w:u w:color="FF0000"/>
              </w:rPr>
              <w:t>£</w:t>
            </w:r>
            <w:r w:rsidR="00C51F2B" w:rsidRPr="004466B9">
              <w:rPr>
                <w:sz w:val="20"/>
              </w:rPr>
              <w:t>30.54</w:t>
            </w:r>
          </w:p>
        </w:tc>
        <w:tc>
          <w:tcPr>
            <w:tcW w:w="1418" w:type="dxa"/>
            <w:vAlign w:val="bottom"/>
          </w:tcPr>
          <w:p w14:paraId="65E5B7C9" w14:textId="77777777" w:rsidR="00C51F2B" w:rsidRPr="005741D3" w:rsidRDefault="00C51F2B" w:rsidP="00402DC0">
            <w:pPr>
              <w:jc w:val="right"/>
              <w:rPr>
                <w:sz w:val="20"/>
              </w:rPr>
            </w:pPr>
            <w:r w:rsidRPr="005741D3">
              <w:rPr>
                <w:sz w:val="20"/>
              </w:rPr>
              <w:t>£999.94</w:t>
            </w:r>
          </w:p>
        </w:tc>
      </w:tr>
      <w:tr w:rsidR="00C51F2B" w:rsidRPr="005741D3" w14:paraId="3012700E" w14:textId="77777777" w:rsidTr="0075674B">
        <w:trPr>
          <w:trHeight w:val="300"/>
        </w:trPr>
        <w:tc>
          <w:tcPr>
            <w:tcW w:w="2410" w:type="dxa"/>
            <w:shd w:val="clear" w:color="auto" w:fill="auto"/>
            <w:noWrap/>
            <w:vAlign w:val="bottom"/>
          </w:tcPr>
          <w:p w14:paraId="7EC39D10" w14:textId="77777777" w:rsidR="00C51F2B" w:rsidRPr="0075674B" w:rsidRDefault="00C51F2B" w:rsidP="00402DC0">
            <w:pPr>
              <w:rPr>
                <w:b/>
                <w:sz w:val="20"/>
                <w:szCs w:val="22"/>
              </w:rPr>
            </w:pPr>
            <w:r w:rsidRPr="0075674B">
              <w:rPr>
                <w:b/>
                <w:sz w:val="20"/>
                <w:szCs w:val="22"/>
              </w:rPr>
              <w:t>Difference</w:t>
            </w:r>
          </w:p>
        </w:tc>
        <w:tc>
          <w:tcPr>
            <w:tcW w:w="1701" w:type="dxa"/>
            <w:shd w:val="clear" w:color="auto" w:fill="auto"/>
            <w:noWrap/>
            <w:vAlign w:val="bottom"/>
          </w:tcPr>
          <w:p w14:paraId="316D6619" w14:textId="77777777" w:rsidR="00C51F2B" w:rsidRPr="00DA764F" w:rsidRDefault="00C51F2B" w:rsidP="00402DC0">
            <w:pPr>
              <w:jc w:val="right"/>
              <w:rPr>
                <w:sz w:val="20"/>
              </w:rPr>
            </w:pPr>
            <w:r w:rsidRPr="00DA764F">
              <w:rPr>
                <w:sz w:val="20"/>
              </w:rPr>
              <w:t>£10.00</w:t>
            </w:r>
          </w:p>
        </w:tc>
        <w:tc>
          <w:tcPr>
            <w:tcW w:w="1559" w:type="dxa"/>
            <w:shd w:val="clear" w:color="auto" w:fill="auto"/>
            <w:noWrap/>
            <w:vAlign w:val="bottom"/>
          </w:tcPr>
          <w:p w14:paraId="4CF2AD84" w14:textId="77777777" w:rsidR="00C51F2B" w:rsidRPr="005741D3" w:rsidRDefault="00C51F2B" w:rsidP="00402DC0">
            <w:pPr>
              <w:jc w:val="right"/>
              <w:rPr>
                <w:sz w:val="20"/>
              </w:rPr>
            </w:pPr>
            <w:r w:rsidRPr="005741D3">
              <w:rPr>
                <w:sz w:val="20"/>
              </w:rPr>
              <w:t>-£13.13</w:t>
            </w:r>
          </w:p>
        </w:tc>
        <w:tc>
          <w:tcPr>
            <w:tcW w:w="1559" w:type="dxa"/>
            <w:shd w:val="clear" w:color="auto" w:fill="auto"/>
            <w:noWrap/>
            <w:vAlign w:val="bottom"/>
          </w:tcPr>
          <w:p w14:paraId="14F77207" w14:textId="77777777" w:rsidR="00C51F2B" w:rsidRPr="004466B9" w:rsidRDefault="00C51F2B" w:rsidP="00402DC0">
            <w:pPr>
              <w:jc w:val="right"/>
              <w:rPr>
                <w:sz w:val="20"/>
              </w:rPr>
            </w:pPr>
            <w:r w:rsidRPr="004466B9">
              <w:rPr>
                <w:sz w:val="20"/>
              </w:rPr>
              <w:t>-£30.54</w:t>
            </w:r>
          </w:p>
        </w:tc>
        <w:tc>
          <w:tcPr>
            <w:tcW w:w="1418" w:type="dxa"/>
            <w:vAlign w:val="bottom"/>
          </w:tcPr>
          <w:p w14:paraId="73DE3E8C" w14:textId="77777777" w:rsidR="00C51F2B" w:rsidRPr="005741D3" w:rsidRDefault="00C51F2B" w:rsidP="00402DC0">
            <w:pPr>
              <w:jc w:val="right"/>
              <w:rPr>
                <w:sz w:val="20"/>
              </w:rPr>
            </w:pPr>
            <w:r w:rsidRPr="005741D3">
              <w:rPr>
                <w:sz w:val="20"/>
              </w:rPr>
              <w:t>-£33.67</w:t>
            </w:r>
          </w:p>
        </w:tc>
      </w:tr>
      <w:tr w:rsidR="00C51F2B" w:rsidRPr="00DA764F" w14:paraId="10683FC0" w14:textId="77777777" w:rsidTr="0075674B">
        <w:trPr>
          <w:trHeight w:val="300"/>
        </w:trPr>
        <w:tc>
          <w:tcPr>
            <w:tcW w:w="2410" w:type="dxa"/>
            <w:shd w:val="clear" w:color="auto" w:fill="auto"/>
            <w:noWrap/>
            <w:vAlign w:val="bottom"/>
          </w:tcPr>
          <w:p w14:paraId="4E6191D7" w14:textId="77777777" w:rsidR="00C51F2B" w:rsidRPr="0075674B" w:rsidRDefault="00C51F2B" w:rsidP="00402DC0">
            <w:pPr>
              <w:rPr>
                <w:b/>
                <w:sz w:val="20"/>
                <w:szCs w:val="22"/>
              </w:rPr>
            </w:pPr>
          </w:p>
        </w:tc>
        <w:tc>
          <w:tcPr>
            <w:tcW w:w="1701" w:type="dxa"/>
            <w:shd w:val="clear" w:color="auto" w:fill="auto"/>
            <w:noWrap/>
            <w:vAlign w:val="bottom"/>
          </w:tcPr>
          <w:p w14:paraId="1024CD42" w14:textId="77777777" w:rsidR="00C51F2B" w:rsidRPr="00DA764F" w:rsidRDefault="00C51F2B" w:rsidP="00402DC0">
            <w:pPr>
              <w:jc w:val="right"/>
              <w:rPr>
                <w:sz w:val="20"/>
                <w:szCs w:val="22"/>
              </w:rPr>
            </w:pPr>
          </w:p>
        </w:tc>
        <w:tc>
          <w:tcPr>
            <w:tcW w:w="1559" w:type="dxa"/>
            <w:shd w:val="clear" w:color="auto" w:fill="auto"/>
            <w:noWrap/>
            <w:vAlign w:val="bottom"/>
          </w:tcPr>
          <w:p w14:paraId="6EE322E2" w14:textId="77777777" w:rsidR="00C51F2B" w:rsidRPr="00DA764F" w:rsidRDefault="00C51F2B" w:rsidP="00402DC0">
            <w:pPr>
              <w:jc w:val="right"/>
              <w:rPr>
                <w:sz w:val="20"/>
                <w:szCs w:val="22"/>
              </w:rPr>
            </w:pPr>
          </w:p>
        </w:tc>
        <w:tc>
          <w:tcPr>
            <w:tcW w:w="1559" w:type="dxa"/>
            <w:shd w:val="clear" w:color="auto" w:fill="auto"/>
            <w:noWrap/>
            <w:vAlign w:val="bottom"/>
          </w:tcPr>
          <w:p w14:paraId="1ABE2400" w14:textId="77777777" w:rsidR="00C51F2B" w:rsidRPr="004466B9" w:rsidRDefault="00C51F2B" w:rsidP="00402DC0">
            <w:pPr>
              <w:jc w:val="right"/>
              <w:rPr>
                <w:sz w:val="20"/>
                <w:szCs w:val="22"/>
              </w:rPr>
            </w:pPr>
          </w:p>
        </w:tc>
        <w:tc>
          <w:tcPr>
            <w:tcW w:w="1418" w:type="dxa"/>
          </w:tcPr>
          <w:p w14:paraId="0B77DD0F" w14:textId="77777777" w:rsidR="00C51F2B" w:rsidRPr="00DA764F" w:rsidRDefault="00C51F2B" w:rsidP="00402DC0">
            <w:pPr>
              <w:jc w:val="right"/>
              <w:rPr>
                <w:sz w:val="20"/>
                <w:szCs w:val="22"/>
              </w:rPr>
            </w:pPr>
          </w:p>
        </w:tc>
      </w:tr>
      <w:tr w:rsidR="00C51F2B" w:rsidRPr="00DA764F" w14:paraId="3F928992" w14:textId="77777777" w:rsidTr="0075674B">
        <w:trPr>
          <w:trHeight w:val="300"/>
        </w:trPr>
        <w:tc>
          <w:tcPr>
            <w:tcW w:w="7229" w:type="dxa"/>
            <w:gridSpan w:val="4"/>
            <w:shd w:val="clear" w:color="auto" w:fill="auto"/>
            <w:noWrap/>
            <w:vAlign w:val="bottom"/>
          </w:tcPr>
          <w:p w14:paraId="0A625E2D" w14:textId="304E30FF" w:rsidR="00C51F2B" w:rsidRPr="0075674B" w:rsidRDefault="00C51F2B" w:rsidP="00402DC0">
            <w:pPr>
              <w:rPr>
                <w:b/>
                <w:sz w:val="20"/>
                <w:szCs w:val="22"/>
              </w:rPr>
            </w:pPr>
            <w:r w:rsidRPr="0075674B">
              <w:rPr>
                <w:b/>
                <w:sz w:val="20"/>
                <w:szCs w:val="22"/>
              </w:rPr>
              <w:t>80% of patients</w:t>
            </w:r>
          </w:p>
        </w:tc>
        <w:tc>
          <w:tcPr>
            <w:tcW w:w="1418" w:type="dxa"/>
          </w:tcPr>
          <w:p w14:paraId="7AC3AB60" w14:textId="77777777" w:rsidR="00C51F2B" w:rsidRPr="00DA764F" w:rsidRDefault="00C51F2B" w:rsidP="00402DC0">
            <w:pPr>
              <w:rPr>
                <w:b/>
                <w:sz w:val="20"/>
                <w:szCs w:val="22"/>
              </w:rPr>
            </w:pPr>
          </w:p>
        </w:tc>
      </w:tr>
      <w:tr w:rsidR="00C51F2B" w:rsidRPr="005741D3" w14:paraId="409658D9" w14:textId="77777777" w:rsidTr="0075674B">
        <w:trPr>
          <w:trHeight w:val="300"/>
        </w:trPr>
        <w:tc>
          <w:tcPr>
            <w:tcW w:w="2410" w:type="dxa"/>
            <w:shd w:val="clear" w:color="auto" w:fill="auto"/>
            <w:noWrap/>
            <w:vAlign w:val="bottom"/>
          </w:tcPr>
          <w:p w14:paraId="73B47E14" w14:textId="22C08E76" w:rsidR="00C51F2B" w:rsidRPr="0075674B" w:rsidRDefault="00C51F2B" w:rsidP="00402DC0">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701" w:type="dxa"/>
            <w:shd w:val="clear" w:color="auto" w:fill="auto"/>
            <w:noWrap/>
            <w:vAlign w:val="bottom"/>
          </w:tcPr>
          <w:p w14:paraId="6E55AF83" w14:textId="77777777" w:rsidR="00C51F2B" w:rsidRPr="00DA764F" w:rsidRDefault="00C51F2B" w:rsidP="00402DC0">
            <w:pPr>
              <w:jc w:val="right"/>
              <w:rPr>
                <w:sz w:val="20"/>
              </w:rPr>
            </w:pPr>
            <w:r w:rsidRPr="00DA764F">
              <w:rPr>
                <w:sz w:val="20"/>
              </w:rPr>
              <w:t>£900.00</w:t>
            </w:r>
          </w:p>
        </w:tc>
        <w:tc>
          <w:tcPr>
            <w:tcW w:w="1559" w:type="dxa"/>
            <w:shd w:val="clear" w:color="auto" w:fill="auto"/>
            <w:noWrap/>
            <w:vAlign w:val="bottom"/>
          </w:tcPr>
          <w:p w14:paraId="683B244E" w14:textId="77777777" w:rsidR="00C51F2B" w:rsidRPr="005741D3" w:rsidRDefault="00C51F2B" w:rsidP="00402DC0">
            <w:pPr>
              <w:jc w:val="right"/>
              <w:rPr>
                <w:sz w:val="20"/>
              </w:rPr>
            </w:pPr>
            <w:r w:rsidRPr="005741D3">
              <w:rPr>
                <w:sz w:val="20"/>
              </w:rPr>
              <w:t>£66.27</w:t>
            </w:r>
          </w:p>
        </w:tc>
        <w:tc>
          <w:tcPr>
            <w:tcW w:w="1559" w:type="dxa"/>
            <w:shd w:val="clear" w:color="auto" w:fill="auto"/>
            <w:noWrap/>
            <w:vAlign w:val="bottom"/>
          </w:tcPr>
          <w:p w14:paraId="3FECBDF2" w14:textId="77777777" w:rsidR="00C51F2B" w:rsidRPr="004466B9" w:rsidRDefault="00C51F2B" w:rsidP="00402DC0">
            <w:pPr>
              <w:jc w:val="right"/>
              <w:rPr>
                <w:sz w:val="20"/>
              </w:rPr>
            </w:pPr>
            <w:r w:rsidRPr="004466B9">
              <w:rPr>
                <w:sz w:val="20"/>
              </w:rPr>
              <w:t>£0.00</w:t>
            </w:r>
          </w:p>
        </w:tc>
        <w:tc>
          <w:tcPr>
            <w:tcW w:w="1418" w:type="dxa"/>
            <w:vAlign w:val="bottom"/>
          </w:tcPr>
          <w:p w14:paraId="783FBF2F" w14:textId="77777777" w:rsidR="00C51F2B" w:rsidRPr="005741D3" w:rsidRDefault="00C51F2B" w:rsidP="00402DC0">
            <w:pPr>
              <w:jc w:val="right"/>
              <w:rPr>
                <w:sz w:val="20"/>
              </w:rPr>
            </w:pPr>
            <w:r w:rsidRPr="005741D3">
              <w:rPr>
                <w:sz w:val="20"/>
              </w:rPr>
              <w:t>£966.27</w:t>
            </w:r>
          </w:p>
        </w:tc>
      </w:tr>
      <w:tr w:rsidR="00C51F2B" w:rsidRPr="005741D3" w14:paraId="5A3813E9" w14:textId="77777777" w:rsidTr="0075674B">
        <w:trPr>
          <w:trHeight w:val="300"/>
        </w:trPr>
        <w:tc>
          <w:tcPr>
            <w:tcW w:w="2410" w:type="dxa"/>
            <w:shd w:val="clear" w:color="auto" w:fill="auto"/>
            <w:noWrap/>
            <w:vAlign w:val="bottom"/>
          </w:tcPr>
          <w:p w14:paraId="62DB5086" w14:textId="77777777" w:rsidR="00C51F2B" w:rsidRPr="0075674B" w:rsidRDefault="00C51F2B" w:rsidP="00402DC0">
            <w:pPr>
              <w:rPr>
                <w:b/>
                <w:sz w:val="20"/>
                <w:szCs w:val="22"/>
              </w:rPr>
            </w:pPr>
            <w:r w:rsidRPr="0075674B">
              <w:rPr>
                <w:b/>
                <w:sz w:val="20"/>
                <w:szCs w:val="22"/>
              </w:rPr>
              <w:t>Linezolid</w:t>
            </w:r>
          </w:p>
        </w:tc>
        <w:tc>
          <w:tcPr>
            <w:tcW w:w="1701" w:type="dxa"/>
            <w:shd w:val="clear" w:color="auto" w:fill="auto"/>
            <w:noWrap/>
            <w:vAlign w:val="bottom"/>
          </w:tcPr>
          <w:p w14:paraId="12AD20C4" w14:textId="77777777" w:rsidR="00C51F2B" w:rsidRPr="00DA764F" w:rsidRDefault="00C51F2B" w:rsidP="00402DC0">
            <w:pPr>
              <w:jc w:val="right"/>
              <w:rPr>
                <w:sz w:val="20"/>
              </w:rPr>
            </w:pPr>
            <w:r w:rsidRPr="00DA764F">
              <w:rPr>
                <w:sz w:val="20"/>
              </w:rPr>
              <w:t>£890.00</w:t>
            </w:r>
          </w:p>
        </w:tc>
        <w:tc>
          <w:tcPr>
            <w:tcW w:w="1559" w:type="dxa"/>
            <w:shd w:val="clear" w:color="auto" w:fill="auto"/>
            <w:noWrap/>
            <w:vAlign w:val="bottom"/>
          </w:tcPr>
          <w:p w14:paraId="16CEAAE4" w14:textId="77777777" w:rsidR="00C51F2B" w:rsidRPr="005741D3" w:rsidRDefault="00C51F2B" w:rsidP="00402DC0">
            <w:pPr>
              <w:jc w:val="right"/>
              <w:rPr>
                <w:sz w:val="20"/>
              </w:rPr>
            </w:pPr>
            <w:r w:rsidRPr="005741D3">
              <w:rPr>
                <w:sz w:val="20"/>
              </w:rPr>
              <w:t>£79.40</w:t>
            </w:r>
          </w:p>
        </w:tc>
        <w:tc>
          <w:tcPr>
            <w:tcW w:w="1559" w:type="dxa"/>
            <w:shd w:val="clear" w:color="auto" w:fill="auto"/>
            <w:noWrap/>
            <w:vAlign w:val="bottom"/>
          </w:tcPr>
          <w:p w14:paraId="117E9C56" w14:textId="3B337505" w:rsidR="00C51F2B" w:rsidRPr="004466B9" w:rsidRDefault="00F367DD" w:rsidP="00402DC0">
            <w:pPr>
              <w:jc w:val="right"/>
              <w:rPr>
                <w:sz w:val="20"/>
              </w:rPr>
            </w:pPr>
            <w:r w:rsidRPr="004466B9">
              <w:rPr>
                <w:sz w:val="20"/>
                <w:u w:color="FF0000"/>
              </w:rPr>
              <w:t>£</w:t>
            </w:r>
            <w:r w:rsidR="00C51F2B" w:rsidRPr="004466B9">
              <w:rPr>
                <w:sz w:val="20"/>
              </w:rPr>
              <w:t>40.73</w:t>
            </w:r>
          </w:p>
        </w:tc>
        <w:tc>
          <w:tcPr>
            <w:tcW w:w="1418" w:type="dxa"/>
            <w:vAlign w:val="bottom"/>
          </w:tcPr>
          <w:p w14:paraId="414048DD" w14:textId="77777777" w:rsidR="00C51F2B" w:rsidRPr="005741D3" w:rsidRDefault="00C51F2B" w:rsidP="00402DC0">
            <w:pPr>
              <w:jc w:val="right"/>
              <w:rPr>
                <w:sz w:val="20"/>
              </w:rPr>
            </w:pPr>
            <w:r w:rsidRPr="005741D3">
              <w:rPr>
                <w:sz w:val="20"/>
              </w:rPr>
              <w:t>£1,010.13</w:t>
            </w:r>
          </w:p>
        </w:tc>
      </w:tr>
      <w:tr w:rsidR="00C51F2B" w:rsidRPr="005741D3" w14:paraId="56183C15" w14:textId="77777777" w:rsidTr="0075674B">
        <w:trPr>
          <w:trHeight w:val="300"/>
        </w:trPr>
        <w:tc>
          <w:tcPr>
            <w:tcW w:w="2410" w:type="dxa"/>
            <w:shd w:val="clear" w:color="auto" w:fill="auto"/>
            <w:noWrap/>
            <w:vAlign w:val="bottom"/>
          </w:tcPr>
          <w:p w14:paraId="3460B261" w14:textId="77777777" w:rsidR="00C51F2B" w:rsidRPr="00DA764F" w:rsidRDefault="00C51F2B" w:rsidP="00402DC0">
            <w:pPr>
              <w:rPr>
                <w:b/>
                <w:sz w:val="20"/>
                <w:szCs w:val="22"/>
              </w:rPr>
            </w:pPr>
            <w:r w:rsidRPr="00DA764F">
              <w:rPr>
                <w:b/>
                <w:sz w:val="20"/>
                <w:szCs w:val="22"/>
              </w:rPr>
              <w:t>Difference</w:t>
            </w:r>
          </w:p>
        </w:tc>
        <w:tc>
          <w:tcPr>
            <w:tcW w:w="1701" w:type="dxa"/>
            <w:shd w:val="clear" w:color="auto" w:fill="auto"/>
            <w:noWrap/>
            <w:vAlign w:val="bottom"/>
          </w:tcPr>
          <w:p w14:paraId="7CA7F9D1" w14:textId="77777777" w:rsidR="00C51F2B" w:rsidRPr="00DA764F" w:rsidRDefault="00C51F2B" w:rsidP="00402DC0">
            <w:pPr>
              <w:jc w:val="right"/>
              <w:rPr>
                <w:sz w:val="20"/>
              </w:rPr>
            </w:pPr>
            <w:r w:rsidRPr="00DA764F">
              <w:rPr>
                <w:sz w:val="20"/>
              </w:rPr>
              <w:t>£10.00</w:t>
            </w:r>
          </w:p>
        </w:tc>
        <w:tc>
          <w:tcPr>
            <w:tcW w:w="1559" w:type="dxa"/>
            <w:shd w:val="clear" w:color="auto" w:fill="auto"/>
            <w:noWrap/>
            <w:vAlign w:val="bottom"/>
          </w:tcPr>
          <w:p w14:paraId="5327CB2C" w14:textId="77777777" w:rsidR="00C51F2B" w:rsidRPr="005741D3" w:rsidRDefault="00C51F2B" w:rsidP="00402DC0">
            <w:pPr>
              <w:jc w:val="right"/>
              <w:rPr>
                <w:sz w:val="20"/>
              </w:rPr>
            </w:pPr>
            <w:r w:rsidRPr="005741D3">
              <w:rPr>
                <w:sz w:val="20"/>
              </w:rPr>
              <w:t>-£13.13</w:t>
            </w:r>
          </w:p>
        </w:tc>
        <w:tc>
          <w:tcPr>
            <w:tcW w:w="1559" w:type="dxa"/>
            <w:shd w:val="clear" w:color="auto" w:fill="auto"/>
            <w:noWrap/>
            <w:vAlign w:val="bottom"/>
          </w:tcPr>
          <w:p w14:paraId="38AA47C1" w14:textId="77777777" w:rsidR="00C51F2B" w:rsidRPr="004466B9" w:rsidRDefault="00C51F2B" w:rsidP="00402DC0">
            <w:pPr>
              <w:jc w:val="right"/>
              <w:rPr>
                <w:sz w:val="20"/>
              </w:rPr>
            </w:pPr>
            <w:r w:rsidRPr="004466B9">
              <w:rPr>
                <w:sz w:val="20"/>
              </w:rPr>
              <w:t>-£40.73</w:t>
            </w:r>
          </w:p>
        </w:tc>
        <w:tc>
          <w:tcPr>
            <w:tcW w:w="1418" w:type="dxa"/>
            <w:vAlign w:val="bottom"/>
          </w:tcPr>
          <w:p w14:paraId="778F78BF" w14:textId="77777777" w:rsidR="00C51F2B" w:rsidRPr="005741D3" w:rsidRDefault="00C51F2B" w:rsidP="00402DC0">
            <w:pPr>
              <w:jc w:val="right"/>
              <w:rPr>
                <w:sz w:val="20"/>
              </w:rPr>
            </w:pPr>
            <w:r w:rsidRPr="005741D3">
              <w:rPr>
                <w:sz w:val="20"/>
              </w:rPr>
              <w:t>-£43.85</w:t>
            </w:r>
          </w:p>
        </w:tc>
      </w:tr>
    </w:tbl>
    <w:p w14:paraId="2A605A1E" w14:textId="77777777" w:rsidR="00CC2BF2" w:rsidRDefault="00CC2BF2" w:rsidP="00BE69CC">
      <w:pPr>
        <w:pStyle w:val="NormalWeb"/>
        <w:spacing w:before="0" w:after="0"/>
        <w:rPr>
          <w:rFonts w:ascii="Arial" w:hAnsi="Arial" w:cs="Arial"/>
          <w:b/>
          <w:sz w:val="22"/>
          <w:szCs w:val="22"/>
        </w:rPr>
      </w:pPr>
    </w:p>
    <w:p w14:paraId="7B96F3DE" w14:textId="17565AE7" w:rsidR="00BE69CC" w:rsidRPr="002A1891" w:rsidRDefault="00945CB7" w:rsidP="00BE69CC">
      <w:pPr>
        <w:pStyle w:val="NormalWeb"/>
        <w:spacing w:before="0" w:after="0"/>
        <w:rPr>
          <w:rFonts w:ascii="Arial" w:hAnsi="Arial" w:cs="Arial"/>
          <w:b/>
          <w:sz w:val="22"/>
          <w:szCs w:val="22"/>
        </w:rPr>
      </w:pPr>
      <w:r>
        <w:rPr>
          <w:rFonts w:ascii="Arial" w:hAnsi="Arial" w:cs="Arial"/>
          <w:b/>
          <w:sz w:val="22"/>
          <w:szCs w:val="22"/>
        </w:rPr>
        <w:t>6.7</w:t>
      </w:r>
      <w:r w:rsidR="00BE69CC" w:rsidRPr="002A1891">
        <w:rPr>
          <w:rFonts w:ascii="Arial" w:hAnsi="Arial" w:cs="Arial"/>
          <w:b/>
          <w:sz w:val="22"/>
          <w:szCs w:val="22"/>
        </w:rPr>
        <w:t>.3</w:t>
      </w:r>
      <w:r w:rsidR="00BE69CC" w:rsidRPr="002A1891">
        <w:rPr>
          <w:rFonts w:ascii="Arial" w:hAnsi="Arial" w:cs="Arial"/>
          <w:b/>
          <w:sz w:val="22"/>
          <w:szCs w:val="22"/>
        </w:rPr>
        <w:tab/>
        <w:t>Scenario analyses</w:t>
      </w:r>
    </w:p>
    <w:p w14:paraId="6916766B" w14:textId="77777777" w:rsidR="00BE69CC" w:rsidRPr="002A1891" w:rsidRDefault="00BE69CC" w:rsidP="00BE69CC">
      <w:pPr>
        <w:pStyle w:val="NormalWeb"/>
        <w:spacing w:before="0" w:after="0"/>
        <w:rPr>
          <w:rFonts w:ascii="Arial" w:hAnsi="Arial" w:cs="Arial"/>
          <w:b/>
          <w:sz w:val="22"/>
          <w:szCs w:val="22"/>
        </w:rPr>
      </w:pPr>
    </w:p>
    <w:p w14:paraId="1DC9E0EF" w14:textId="40F4C1FB" w:rsidR="00BE69CC" w:rsidRPr="002A1891" w:rsidRDefault="00BE69CC" w:rsidP="00BE69CC">
      <w:pPr>
        <w:rPr>
          <w:sz w:val="22"/>
          <w:szCs w:val="22"/>
        </w:rPr>
      </w:pPr>
      <w:r w:rsidRPr="002A1891">
        <w:rPr>
          <w:sz w:val="22"/>
          <w:szCs w:val="22"/>
        </w:rPr>
        <w:t>The results of the scenario an</w:t>
      </w:r>
      <w:r w:rsidR="00637972">
        <w:rPr>
          <w:sz w:val="22"/>
          <w:szCs w:val="22"/>
        </w:rPr>
        <w:t xml:space="preserve">alyses are presented in Tables </w:t>
      </w:r>
      <w:r w:rsidR="00C51F2B" w:rsidRPr="00C51F2B">
        <w:rPr>
          <w:sz w:val="22"/>
          <w:szCs w:val="22"/>
        </w:rPr>
        <w:t>5</w:t>
      </w:r>
      <w:r w:rsidR="00613B80" w:rsidRPr="00C51F2B">
        <w:rPr>
          <w:sz w:val="22"/>
          <w:szCs w:val="22"/>
        </w:rPr>
        <w:t>2-</w:t>
      </w:r>
      <w:r w:rsidR="00C51F2B" w:rsidRPr="00C51F2B">
        <w:rPr>
          <w:sz w:val="22"/>
          <w:szCs w:val="22"/>
        </w:rPr>
        <w:t>5</w:t>
      </w:r>
      <w:r w:rsidR="00F55047">
        <w:rPr>
          <w:sz w:val="22"/>
          <w:szCs w:val="22"/>
        </w:rPr>
        <w:t>9</w:t>
      </w:r>
      <w:r w:rsidRPr="002A1891">
        <w:rPr>
          <w:sz w:val="22"/>
          <w:szCs w:val="22"/>
        </w:rPr>
        <w:t xml:space="preserve"> below.</w:t>
      </w:r>
    </w:p>
    <w:p w14:paraId="64C6E02D" w14:textId="77777777" w:rsidR="00BE69CC" w:rsidRPr="002A1891" w:rsidRDefault="00BE69CC" w:rsidP="00BE69CC">
      <w:pPr>
        <w:rPr>
          <w:sz w:val="22"/>
          <w:szCs w:val="22"/>
        </w:rPr>
      </w:pPr>
    </w:p>
    <w:p w14:paraId="3C9316C2" w14:textId="77777777" w:rsidR="00BE69CC" w:rsidRPr="002A1891" w:rsidRDefault="00BE69CC" w:rsidP="00BE69CC">
      <w:pPr>
        <w:rPr>
          <w:b/>
          <w:sz w:val="22"/>
          <w:szCs w:val="22"/>
        </w:rPr>
      </w:pPr>
      <w:r w:rsidRPr="002A1891">
        <w:rPr>
          <w:b/>
          <w:sz w:val="22"/>
          <w:szCs w:val="22"/>
        </w:rPr>
        <w:t xml:space="preserve">Scenario 1: 6 days of IV and 10 days overall treatment of linezolid </w:t>
      </w:r>
    </w:p>
    <w:p w14:paraId="71DCE657" w14:textId="5B8CDB73" w:rsidR="00BE69CC" w:rsidRPr="002A1891" w:rsidRDefault="00BE69CC" w:rsidP="00BE69CC">
      <w:pPr>
        <w:rPr>
          <w:sz w:val="22"/>
          <w:szCs w:val="22"/>
        </w:rPr>
      </w:pPr>
      <w:r w:rsidRPr="002A1891">
        <w:rPr>
          <w:sz w:val="22"/>
          <w:szCs w:val="22"/>
        </w:rPr>
        <w:tab/>
        <w:t>Tedizolid </w:t>
      </w:r>
      <w:r w:rsidR="0075674B">
        <w:rPr>
          <w:rFonts w:cs="Arial"/>
          <w:sz w:val="22"/>
          <w:szCs w:val="22"/>
        </w:rPr>
        <w:t>phosphate</w:t>
      </w:r>
      <w:r w:rsidR="0075674B" w:rsidRPr="002A1891">
        <w:rPr>
          <w:sz w:val="22"/>
          <w:szCs w:val="22"/>
        </w:rPr>
        <w:t xml:space="preserve"> </w:t>
      </w:r>
      <w:r w:rsidRPr="002A1891">
        <w:rPr>
          <w:sz w:val="22"/>
          <w:szCs w:val="22"/>
        </w:rPr>
        <w:t>- 6 days IV</w:t>
      </w:r>
    </w:p>
    <w:p w14:paraId="427D9DF4" w14:textId="77777777" w:rsidR="00BE69CC" w:rsidRPr="002A1891" w:rsidRDefault="00BE69CC" w:rsidP="00BE69CC">
      <w:pPr>
        <w:rPr>
          <w:sz w:val="22"/>
          <w:szCs w:val="22"/>
        </w:rPr>
      </w:pPr>
      <w:r w:rsidRPr="002A1891">
        <w:rPr>
          <w:sz w:val="22"/>
          <w:szCs w:val="22"/>
        </w:rPr>
        <w:tab/>
        <w:t>Linezolid - 6 days IV; 4 days oral</w:t>
      </w:r>
    </w:p>
    <w:p w14:paraId="68216757" w14:textId="77777777" w:rsidR="00BE69CC" w:rsidRPr="002A1891" w:rsidRDefault="00BE69CC" w:rsidP="00BE69CC">
      <w:pPr>
        <w:rPr>
          <w:sz w:val="22"/>
          <w:szCs w:val="22"/>
        </w:rPr>
      </w:pPr>
    </w:p>
    <w:p w14:paraId="1190052A" w14:textId="15AFAA40" w:rsidR="00BE69CC" w:rsidRPr="002A1891" w:rsidRDefault="00BE69CC" w:rsidP="00BE69CC">
      <w:pPr>
        <w:rPr>
          <w:rFonts w:cs="Arial"/>
          <w:sz w:val="22"/>
          <w:szCs w:val="22"/>
        </w:rPr>
      </w:pPr>
      <w:r w:rsidRPr="002A1891">
        <w:rPr>
          <w:rFonts w:cs="Arial"/>
          <w:sz w:val="22"/>
          <w:szCs w:val="22"/>
        </w:rPr>
        <w:t>The use of tedizolid leads to costs of £</w:t>
      </w:r>
      <w:r w:rsidR="00F55047">
        <w:rPr>
          <w:rFonts w:cs="Arial"/>
          <w:sz w:val="22"/>
          <w:szCs w:val="22"/>
        </w:rPr>
        <w:t>1,098.82</w:t>
      </w:r>
      <w:r w:rsidRPr="002A1891">
        <w:rPr>
          <w:rFonts w:cs="Arial"/>
          <w:sz w:val="22"/>
          <w:szCs w:val="22"/>
        </w:rPr>
        <w:t xml:space="preserve"> and linezolid to costs of £</w:t>
      </w:r>
      <w:r w:rsidR="00F55047">
        <w:rPr>
          <w:rFonts w:cs="Arial"/>
          <w:sz w:val="22"/>
          <w:szCs w:val="22"/>
        </w:rPr>
        <w:t>1,179.11</w:t>
      </w:r>
      <w:r w:rsidRPr="002A1891">
        <w:rPr>
          <w:rFonts w:cs="Arial"/>
          <w:sz w:val="22"/>
          <w:szCs w:val="22"/>
        </w:rPr>
        <w:t xml:space="preserve">, </w:t>
      </w:r>
      <w:r w:rsidR="00F55047">
        <w:rPr>
          <w:rFonts w:cs="Arial"/>
          <w:sz w:val="22"/>
          <w:szCs w:val="22"/>
        </w:rPr>
        <w:t>a cost saving of £80.29</w:t>
      </w:r>
      <w:r w:rsidRPr="002A1891">
        <w:rPr>
          <w:rFonts w:cs="Arial"/>
          <w:sz w:val="22"/>
          <w:szCs w:val="22"/>
        </w:rPr>
        <w:t xml:space="preserve"> (</w:t>
      </w:r>
      <w:r w:rsidRPr="002A1891">
        <w:rPr>
          <w:rFonts w:cs="Arial"/>
          <w:sz w:val="22"/>
          <w:szCs w:val="22"/>
        </w:rPr>
        <w:fldChar w:fldCharType="begin"/>
      </w:r>
      <w:r w:rsidRPr="002A1891">
        <w:rPr>
          <w:rFonts w:cs="Arial"/>
          <w:sz w:val="22"/>
          <w:szCs w:val="22"/>
        </w:rPr>
        <w:instrText xml:space="preserve"> REF _Ref283055531 \h </w:instrText>
      </w:r>
      <w:r w:rsidRPr="002A1891">
        <w:rPr>
          <w:rFonts w:cs="Arial"/>
          <w:sz w:val="22"/>
          <w:szCs w:val="22"/>
        </w:rPr>
      </w:r>
      <w:r w:rsidRPr="002A1891">
        <w:rPr>
          <w:rFonts w:cs="Arial"/>
          <w:sz w:val="22"/>
          <w:szCs w:val="22"/>
        </w:rPr>
        <w:fldChar w:fldCharType="separate"/>
      </w:r>
      <w:r w:rsidR="00151A1C" w:rsidRPr="002A1891">
        <w:rPr>
          <w:rFonts w:cs="Arial"/>
          <w:sz w:val="22"/>
          <w:szCs w:val="22"/>
        </w:rPr>
        <w:t xml:space="preserve">Table </w:t>
      </w:r>
      <w:r w:rsidR="00151A1C">
        <w:rPr>
          <w:rFonts w:cs="Arial"/>
          <w:noProof/>
          <w:sz w:val="22"/>
          <w:szCs w:val="22"/>
        </w:rPr>
        <w:t>52</w:t>
      </w:r>
      <w:r w:rsidRPr="002A1891">
        <w:rPr>
          <w:rFonts w:cs="Arial"/>
          <w:sz w:val="22"/>
          <w:szCs w:val="22"/>
        </w:rPr>
        <w:fldChar w:fldCharType="end"/>
      </w:r>
      <w:r w:rsidRPr="002A1891">
        <w:rPr>
          <w:rFonts w:cs="Arial"/>
          <w:sz w:val="22"/>
          <w:szCs w:val="22"/>
        </w:rPr>
        <w:t>).</w:t>
      </w:r>
    </w:p>
    <w:p w14:paraId="5D22D427" w14:textId="77777777" w:rsidR="00BE69CC" w:rsidRDefault="00BE69CC" w:rsidP="00BE69CC">
      <w:pPr>
        <w:pStyle w:val="Caption"/>
        <w:rPr>
          <w:rFonts w:ascii="Arial" w:hAnsi="Arial" w:cs="Arial"/>
          <w:sz w:val="22"/>
          <w:szCs w:val="22"/>
        </w:rPr>
      </w:pPr>
      <w:bookmarkStart w:id="211" w:name="_Ref283055531"/>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52</w:t>
      </w:r>
      <w:r w:rsidRPr="002A1891">
        <w:rPr>
          <w:rFonts w:ascii="Arial" w:hAnsi="Arial" w:cs="Arial"/>
          <w:sz w:val="22"/>
          <w:szCs w:val="22"/>
        </w:rPr>
        <w:fldChar w:fldCharType="end"/>
      </w:r>
      <w:bookmarkEnd w:id="211"/>
      <w:r w:rsidRPr="002A1891">
        <w:rPr>
          <w:rFonts w:ascii="Arial" w:hAnsi="Arial" w:cs="Arial"/>
          <w:sz w:val="22"/>
          <w:szCs w:val="22"/>
        </w:rPr>
        <w:t>: Results – scenario 1</w:t>
      </w:r>
    </w:p>
    <w:p w14:paraId="76B772AD" w14:textId="77777777" w:rsidR="00F55047" w:rsidRDefault="00F55047" w:rsidP="00F55047">
      <w:pPr>
        <w:pStyle w:val="BodyText"/>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701"/>
        <w:gridCol w:w="1701"/>
        <w:gridCol w:w="1701"/>
      </w:tblGrid>
      <w:tr w:rsidR="00F55047" w:rsidRPr="009B33BE" w14:paraId="7B6C6B9F" w14:textId="77777777" w:rsidTr="0075674B">
        <w:trPr>
          <w:trHeight w:val="300"/>
        </w:trPr>
        <w:tc>
          <w:tcPr>
            <w:tcW w:w="2268" w:type="dxa"/>
            <w:shd w:val="clear" w:color="auto" w:fill="auto"/>
            <w:noWrap/>
            <w:vAlign w:val="bottom"/>
          </w:tcPr>
          <w:p w14:paraId="76B73CBF" w14:textId="77777777" w:rsidR="00F55047" w:rsidRPr="004D0DE0" w:rsidRDefault="00F55047" w:rsidP="00402DC0">
            <w:pPr>
              <w:rPr>
                <w:b/>
                <w:sz w:val="20"/>
                <w:szCs w:val="22"/>
              </w:rPr>
            </w:pPr>
          </w:p>
        </w:tc>
        <w:tc>
          <w:tcPr>
            <w:tcW w:w="1134" w:type="dxa"/>
            <w:shd w:val="clear" w:color="auto" w:fill="auto"/>
            <w:noWrap/>
            <w:vAlign w:val="bottom"/>
          </w:tcPr>
          <w:p w14:paraId="6EA26CC9" w14:textId="77777777" w:rsidR="00F55047" w:rsidRPr="004D0DE0" w:rsidRDefault="00F55047" w:rsidP="00402DC0">
            <w:pPr>
              <w:jc w:val="right"/>
              <w:rPr>
                <w:b/>
                <w:sz w:val="20"/>
                <w:szCs w:val="22"/>
                <w:vertAlign w:val="superscript"/>
              </w:rPr>
            </w:pPr>
            <w:r w:rsidRPr="004D0DE0">
              <w:rPr>
                <w:b/>
                <w:sz w:val="20"/>
                <w:szCs w:val="22"/>
              </w:rPr>
              <w:t>Drug cost</w:t>
            </w:r>
          </w:p>
          <w:p w14:paraId="68344F88" w14:textId="77777777" w:rsidR="00F55047" w:rsidRPr="004D0DE0" w:rsidRDefault="00F55047" w:rsidP="00402DC0">
            <w:pPr>
              <w:jc w:val="right"/>
              <w:rPr>
                <w:b/>
                <w:sz w:val="20"/>
                <w:szCs w:val="22"/>
                <w:vertAlign w:val="superscript"/>
              </w:rPr>
            </w:pPr>
          </w:p>
        </w:tc>
        <w:tc>
          <w:tcPr>
            <w:tcW w:w="1701" w:type="dxa"/>
            <w:shd w:val="clear" w:color="auto" w:fill="auto"/>
            <w:noWrap/>
            <w:vAlign w:val="bottom"/>
          </w:tcPr>
          <w:p w14:paraId="39DBFFA1" w14:textId="77777777" w:rsidR="00F55047" w:rsidRPr="004D0DE0" w:rsidRDefault="00F55047" w:rsidP="00402DC0">
            <w:pPr>
              <w:jc w:val="right"/>
              <w:rPr>
                <w:b/>
                <w:sz w:val="20"/>
                <w:szCs w:val="22"/>
                <w:vertAlign w:val="superscript"/>
              </w:rPr>
            </w:pPr>
            <w:r w:rsidRPr="004D0DE0">
              <w:rPr>
                <w:b/>
                <w:sz w:val="20"/>
                <w:szCs w:val="22"/>
              </w:rPr>
              <w:t>Administration costs</w:t>
            </w:r>
          </w:p>
        </w:tc>
        <w:tc>
          <w:tcPr>
            <w:tcW w:w="1701" w:type="dxa"/>
          </w:tcPr>
          <w:p w14:paraId="47EA9A8E" w14:textId="77777777" w:rsidR="00F55047" w:rsidRPr="004D0DE0" w:rsidRDefault="00F55047" w:rsidP="00402DC0">
            <w:pPr>
              <w:spacing w:before="2" w:after="2"/>
              <w:jc w:val="right"/>
              <w:rPr>
                <w:b/>
                <w:sz w:val="20"/>
                <w:szCs w:val="22"/>
              </w:rPr>
            </w:pPr>
            <w:r w:rsidRPr="004D0DE0">
              <w:rPr>
                <w:b/>
                <w:sz w:val="20"/>
                <w:szCs w:val="22"/>
              </w:rPr>
              <w:t xml:space="preserve">Monitoring </w:t>
            </w:r>
          </w:p>
          <w:p w14:paraId="0E3815FA" w14:textId="77777777" w:rsidR="00F55047" w:rsidRPr="004D0DE0" w:rsidRDefault="00F55047" w:rsidP="00402DC0">
            <w:pPr>
              <w:spacing w:before="2" w:after="2"/>
              <w:jc w:val="right"/>
              <w:rPr>
                <w:b/>
                <w:sz w:val="20"/>
                <w:szCs w:val="22"/>
              </w:rPr>
            </w:pPr>
            <w:r w:rsidRPr="004D0DE0">
              <w:rPr>
                <w:b/>
                <w:sz w:val="20"/>
                <w:szCs w:val="22"/>
              </w:rPr>
              <w:t>costs</w:t>
            </w:r>
          </w:p>
        </w:tc>
        <w:tc>
          <w:tcPr>
            <w:tcW w:w="1701" w:type="dxa"/>
            <w:shd w:val="clear" w:color="auto" w:fill="auto"/>
            <w:noWrap/>
            <w:vAlign w:val="bottom"/>
          </w:tcPr>
          <w:p w14:paraId="18AFC9E0" w14:textId="77777777" w:rsidR="00F55047" w:rsidRPr="004D0DE0" w:rsidRDefault="00F55047" w:rsidP="00402DC0">
            <w:pPr>
              <w:jc w:val="right"/>
              <w:rPr>
                <w:b/>
                <w:sz w:val="20"/>
                <w:szCs w:val="22"/>
              </w:rPr>
            </w:pPr>
            <w:r w:rsidRPr="004D0DE0">
              <w:rPr>
                <w:b/>
                <w:sz w:val="20"/>
                <w:szCs w:val="22"/>
              </w:rPr>
              <w:t>Total costs</w:t>
            </w:r>
          </w:p>
          <w:p w14:paraId="2AE056BD" w14:textId="77777777" w:rsidR="00F55047" w:rsidRPr="004D0DE0" w:rsidRDefault="00F55047" w:rsidP="00402DC0">
            <w:pPr>
              <w:jc w:val="right"/>
              <w:rPr>
                <w:b/>
                <w:sz w:val="20"/>
                <w:szCs w:val="22"/>
              </w:rPr>
            </w:pPr>
          </w:p>
        </w:tc>
      </w:tr>
      <w:tr w:rsidR="00F55047" w:rsidRPr="009B33BE" w14:paraId="614C684D" w14:textId="77777777" w:rsidTr="0075674B">
        <w:trPr>
          <w:trHeight w:val="300"/>
        </w:trPr>
        <w:tc>
          <w:tcPr>
            <w:tcW w:w="2268" w:type="dxa"/>
            <w:shd w:val="clear" w:color="auto" w:fill="auto"/>
            <w:noWrap/>
            <w:vAlign w:val="bottom"/>
          </w:tcPr>
          <w:p w14:paraId="0969A03C" w14:textId="334B727B" w:rsidR="00F55047" w:rsidRPr="0075674B" w:rsidRDefault="00F55047" w:rsidP="00402DC0">
            <w:pPr>
              <w:rPr>
                <w:b/>
                <w:sz w:val="20"/>
              </w:rPr>
            </w:pPr>
            <w:r w:rsidRPr="0075674B">
              <w:rPr>
                <w:b/>
                <w:sz w:val="20"/>
              </w:rPr>
              <w:t>Tedizolid</w:t>
            </w:r>
            <w:r w:rsidR="0075674B" w:rsidRPr="0075674B">
              <w:rPr>
                <w:b/>
                <w:sz w:val="20"/>
              </w:rPr>
              <w:t xml:space="preserve"> </w:t>
            </w:r>
            <w:r w:rsidR="0075674B" w:rsidRPr="0075674B">
              <w:rPr>
                <w:rFonts w:cs="Arial"/>
                <w:b/>
                <w:sz w:val="20"/>
              </w:rPr>
              <w:t>phosphate</w:t>
            </w:r>
          </w:p>
        </w:tc>
        <w:tc>
          <w:tcPr>
            <w:tcW w:w="1134" w:type="dxa"/>
            <w:shd w:val="clear" w:color="auto" w:fill="auto"/>
            <w:noWrap/>
            <w:vAlign w:val="bottom"/>
          </w:tcPr>
          <w:p w14:paraId="3434DFCF" w14:textId="77777777" w:rsidR="00F55047" w:rsidRPr="000A0F4F" w:rsidRDefault="00F55047" w:rsidP="00402DC0">
            <w:pPr>
              <w:jc w:val="right"/>
              <w:rPr>
                <w:sz w:val="20"/>
              </w:rPr>
            </w:pPr>
            <w:r w:rsidRPr="000A0F4F">
              <w:rPr>
                <w:sz w:val="20"/>
              </w:rPr>
              <w:t>£900.00</w:t>
            </w:r>
          </w:p>
        </w:tc>
        <w:tc>
          <w:tcPr>
            <w:tcW w:w="1701" w:type="dxa"/>
            <w:shd w:val="clear" w:color="auto" w:fill="auto"/>
            <w:noWrap/>
            <w:vAlign w:val="bottom"/>
          </w:tcPr>
          <w:p w14:paraId="6B7AE303" w14:textId="77777777" w:rsidR="00F55047" w:rsidRPr="00DA1CF5" w:rsidRDefault="00F55047" w:rsidP="00402DC0">
            <w:pPr>
              <w:jc w:val="right"/>
              <w:rPr>
                <w:sz w:val="20"/>
              </w:rPr>
            </w:pPr>
            <w:r w:rsidRPr="00DA1CF5">
              <w:rPr>
                <w:sz w:val="20"/>
              </w:rPr>
              <w:t>£198.82</w:t>
            </w:r>
          </w:p>
        </w:tc>
        <w:tc>
          <w:tcPr>
            <w:tcW w:w="1701" w:type="dxa"/>
            <w:vAlign w:val="bottom"/>
          </w:tcPr>
          <w:p w14:paraId="6463C99F" w14:textId="77777777" w:rsidR="00F55047" w:rsidRPr="00DA1CF5" w:rsidRDefault="00F55047" w:rsidP="00402DC0">
            <w:pPr>
              <w:jc w:val="right"/>
              <w:rPr>
                <w:sz w:val="20"/>
              </w:rPr>
            </w:pPr>
            <w:r w:rsidRPr="00DA1CF5">
              <w:rPr>
                <w:sz w:val="20"/>
              </w:rPr>
              <w:t>£0.00</w:t>
            </w:r>
          </w:p>
        </w:tc>
        <w:tc>
          <w:tcPr>
            <w:tcW w:w="1701" w:type="dxa"/>
            <w:shd w:val="clear" w:color="auto" w:fill="auto"/>
            <w:noWrap/>
            <w:vAlign w:val="bottom"/>
          </w:tcPr>
          <w:p w14:paraId="633AC961" w14:textId="77777777" w:rsidR="00F55047" w:rsidRPr="00DA1CF5" w:rsidRDefault="00F55047" w:rsidP="00402DC0">
            <w:pPr>
              <w:jc w:val="right"/>
              <w:rPr>
                <w:sz w:val="20"/>
              </w:rPr>
            </w:pPr>
            <w:r w:rsidRPr="00DA1CF5">
              <w:rPr>
                <w:sz w:val="20"/>
              </w:rPr>
              <w:t>£1,098.82</w:t>
            </w:r>
          </w:p>
        </w:tc>
      </w:tr>
      <w:tr w:rsidR="00F55047" w:rsidRPr="009B33BE" w14:paraId="22C21C8E" w14:textId="77777777" w:rsidTr="0075674B">
        <w:trPr>
          <w:trHeight w:val="300"/>
        </w:trPr>
        <w:tc>
          <w:tcPr>
            <w:tcW w:w="2268" w:type="dxa"/>
            <w:shd w:val="clear" w:color="auto" w:fill="auto"/>
            <w:noWrap/>
            <w:vAlign w:val="bottom"/>
          </w:tcPr>
          <w:p w14:paraId="4B4A388D" w14:textId="77777777" w:rsidR="00F55047" w:rsidRPr="004D0DE0" w:rsidRDefault="00F55047" w:rsidP="00402DC0">
            <w:pPr>
              <w:rPr>
                <w:b/>
                <w:sz w:val="20"/>
                <w:szCs w:val="22"/>
              </w:rPr>
            </w:pPr>
            <w:r w:rsidRPr="004D0DE0">
              <w:rPr>
                <w:b/>
                <w:sz w:val="20"/>
                <w:szCs w:val="22"/>
              </w:rPr>
              <w:lastRenderedPageBreak/>
              <w:t>Linezolid</w:t>
            </w:r>
          </w:p>
        </w:tc>
        <w:tc>
          <w:tcPr>
            <w:tcW w:w="1134" w:type="dxa"/>
            <w:shd w:val="clear" w:color="auto" w:fill="auto"/>
            <w:noWrap/>
            <w:vAlign w:val="bottom"/>
          </w:tcPr>
          <w:p w14:paraId="7968463F" w14:textId="77777777" w:rsidR="00F55047" w:rsidRPr="000A0F4F" w:rsidRDefault="00F55047" w:rsidP="00402DC0">
            <w:pPr>
              <w:jc w:val="right"/>
              <w:rPr>
                <w:sz w:val="20"/>
              </w:rPr>
            </w:pPr>
            <w:r w:rsidRPr="000A0F4F">
              <w:rPr>
                <w:sz w:val="20"/>
              </w:rPr>
              <w:t>£890.00</w:t>
            </w:r>
          </w:p>
        </w:tc>
        <w:tc>
          <w:tcPr>
            <w:tcW w:w="1701" w:type="dxa"/>
            <w:shd w:val="clear" w:color="auto" w:fill="auto"/>
            <w:noWrap/>
            <w:vAlign w:val="bottom"/>
          </w:tcPr>
          <w:p w14:paraId="305BD49A" w14:textId="77777777" w:rsidR="00F55047" w:rsidRPr="00DA1CF5" w:rsidRDefault="00F55047" w:rsidP="00402DC0">
            <w:pPr>
              <w:jc w:val="right"/>
              <w:rPr>
                <w:sz w:val="20"/>
              </w:rPr>
            </w:pPr>
            <w:r w:rsidRPr="00DA1CF5">
              <w:rPr>
                <w:sz w:val="20"/>
              </w:rPr>
              <w:t>£238.20</w:t>
            </w:r>
          </w:p>
        </w:tc>
        <w:tc>
          <w:tcPr>
            <w:tcW w:w="1701" w:type="dxa"/>
            <w:vAlign w:val="bottom"/>
          </w:tcPr>
          <w:p w14:paraId="4DF7D935" w14:textId="1798C60C" w:rsidR="00F55047" w:rsidRPr="00DA1CF5" w:rsidRDefault="00402DC0" w:rsidP="00402DC0">
            <w:pPr>
              <w:jc w:val="right"/>
              <w:rPr>
                <w:sz w:val="20"/>
              </w:rPr>
            </w:pPr>
            <w:r>
              <w:rPr>
                <w:sz w:val="20"/>
              </w:rPr>
              <w:t>£</w:t>
            </w:r>
            <w:r w:rsidR="00F55047" w:rsidRPr="00DA1CF5">
              <w:rPr>
                <w:sz w:val="20"/>
              </w:rPr>
              <w:t>50.91</w:t>
            </w:r>
          </w:p>
        </w:tc>
        <w:tc>
          <w:tcPr>
            <w:tcW w:w="1701" w:type="dxa"/>
            <w:shd w:val="clear" w:color="auto" w:fill="auto"/>
            <w:noWrap/>
            <w:vAlign w:val="bottom"/>
          </w:tcPr>
          <w:p w14:paraId="3854A81C" w14:textId="77777777" w:rsidR="00F55047" w:rsidRPr="00DA1CF5" w:rsidRDefault="00F55047" w:rsidP="00402DC0">
            <w:pPr>
              <w:jc w:val="right"/>
              <w:rPr>
                <w:sz w:val="20"/>
              </w:rPr>
            </w:pPr>
            <w:r w:rsidRPr="00DA1CF5">
              <w:rPr>
                <w:sz w:val="20"/>
              </w:rPr>
              <w:t>£1,179.11</w:t>
            </w:r>
          </w:p>
        </w:tc>
      </w:tr>
      <w:tr w:rsidR="00F55047" w:rsidRPr="009B33BE" w14:paraId="5B8DCA5C" w14:textId="77777777" w:rsidTr="0075674B">
        <w:trPr>
          <w:trHeight w:val="300"/>
        </w:trPr>
        <w:tc>
          <w:tcPr>
            <w:tcW w:w="2268" w:type="dxa"/>
            <w:shd w:val="clear" w:color="auto" w:fill="auto"/>
            <w:noWrap/>
            <w:vAlign w:val="bottom"/>
          </w:tcPr>
          <w:p w14:paraId="0BCE3A06" w14:textId="77777777" w:rsidR="00F55047" w:rsidRPr="004D0DE0" w:rsidRDefault="00F55047" w:rsidP="00402DC0">
            <w:pPr>
              <w:rPr>
                <w:b/>
                <w:sz w:val="20"/>
                <w:szCs w:val="22"/>
              </w:rPr>
            </w:pPr>
          </w:p>
        </w:tc>
        <w:tc>
          <w:tcPr>
            <w:tcW w:w="1134" w:type="dxa"/>
            <w:shd w:val="clear" w:color="auto" w:fill="auto"/>
            <w:noWrap/>
            <w:vAlign w:val="bottom"/>
          </w:tcPr>
          <w:p w14:paraId="0194A1C5" w14:textId="77777777" w:rsidR="00F55047" w:rsidRPr="000A0F4F" w:rsidRDefault="00F55047" w:rsidP="00402DC0">
            <w:pPr>
              <w:rPr>
                <w:sz w:val="20"/>
              </w:rPr>
            </w:pPr>
          </w:p>
        </w:tc>
        <w:tc>
          <w:tcPr>
            <w:tcW w:w="1701" w:type="dxa"/>
            <w:shd w:val="clear" w:color="auto" w:fill="auto"/>
            <w:noWrap/>
            <w:vAlign w:val="bottom"/>
          </w:tcPr>
          <w:p w14:paraId="3E0EAEC6" w14:textId="77777777" w:rsidR="00F55047" w:rsidRPr="00DA1CF5" w:rsidRDefault="00F55047" w:rsidP="00402DC0">
            <w:pPr>
              <w:rPr>
                <w:sz w:val="20"/>
              </w:rPr>
            </w:pPr>
          </w:p>
        </w:tc>
        <w:tc>
          <w:tcPr>
            <w:tcW w:w="1701" w:type="dxa"/>
            <w:vAlign w:val="bottom"/>
          </w:tcPr>
          <w:p w14:paraId="5453C236" w14:textId="77777777" w:rsidR="00F55047" w:rsidRPr="00DA1CF5" w:rsidRDefault="00F55047" w:rsidP="00402DC0">
            <w:pPr>
              <w:rPr>
                <w:sz w:val="20"/>
              </w:rPr>
            </w:pPr>
          </w:p>
        </w:tc>
        <w:tc>
          <w:tcPr>
            <w:tcW w:w="1701" w:type="dxa"/>
            <w:shd w:val="clear" w:color="auto" w:fill="auto"/>
            <w:noWrap/>
            <w:vAlign w:val="bottom"/>
          </w:tcPr>
          <w:p w14:paraId="2C4E8695" w14:textId="77777777" w:rsidR="00F55047" w:rsidRPr="00DA1CF5" w:rsidRDefault="00F55047" w:rsidP="00402DC0">
            <w:pPr>
              <w:rPr>
                <w:sz w:val="20"/>
              </w:rPr>
            </w:pPr>
          </w:p>
        </w:tc>
      </w:tr>
      <w:tr w:rsidR="00F55047" w:rsidRPr="009B33BE" w14:paraId="4B329F2B" w14:textId="77777777" w:rsidTr="0075674B">
        <w:trPr>
          <w:trHeight w:val="300"/>
        </w:trPr>
        <w:tc>
          <w:tcPr>
            <w:tcW w:w="2268" w:type="dxa"/>
            <w:shd w:val="clear" w:color="auto" w:fill="auto"/>
            <w:noWrap/>
            <w:vAlign w:val="bottom"/>
          </w:tcPr>
          <w:p w14:paraId="69990928" w14:textId="77777777" w:rsidR="00F55047" w:rsidRPr="004D0DE0" w:rsidRDefault="00F55047" w:rsidP="00402DC0">
            <w:pPr>
              <w:rPr>
                <w:b/>
                <w:sz w:val="20"/>
                <w:szCs w:val="22"/>
              </w:rPr>
            </w:pPr>
            <w:r w:rsidRPr="004D0DE0">
              <w:rPr>
                <w:b/>
                <w:sz w:val="20"/>
                <w:szCs w:val="22"/>
              </w:rPr>
              <w:t>Difference</w:t>
            </w:r>
          </w:p>
        </w:tc>
        <w:tc>
          <w:tcPr>
            <w:tcW w:w="1134" w:type="dxa"/>
            <w:shd w:val="clear" w:color="auto" w:fill="auto"/>
            <w:noWrap/>
            <w:vAlign w:val="bottom"/>
          </w:tcPr>
          <w:p w14:paraId="2F01264A" w14:textId="77777777" w:rsidR="00F55047" w:rsidRPr="000A0F4F" w:rsidRDefault="00F55047" w:rsidP="00402DC0">
            <w:pPr>
              <w:jc w:val="right"/>
              <w:rPr>
                <w:sz w:val="20"/>
              </w:rPr>
            </w:pPr>
            <w:r w:rsidRPr="000A0F4F">
              <w:rPr>
                <w:sz w:val="20"/>
              </w:rPr>
              <w:t>£10.00</w:t>
            </w:r>
          </w:p>
        </w:tc>
        <w:tc>
          <w:tcPr>
            <w:tcW w:w="1701" w:type="dxa"/>
            <w:shd w:val="clear" w:color="auto" w:fill="auto"/>
            <w:noWrap/>
            <w:vAlign w:val="bottom"/>
          </w:tcPr>
          <w:p w14:paraId="5A26A7CB" w14:textId="77777777" w:rsidR="00F55047" w:rsidRPr="00DA1CF5" w:rsidRDefault="00F55047" w:rsidP="00402DC0">
            <w:pPr>
              <w:jc w:val="right"/>
              <w:rPr>
                <w:sz w:val="20"/>
              </w:rPr>
            </w:pPr>
            <w:r w:rsidRPr="00DA1CF5">
              <w:rPr>
                <w:sz w:val="20"/>
              </w:rPr>
              <w:t>-£39.38</w:t>
            </w:r>
          </w:p>
        </w:tc>
        <w:tc>
          <w:tcPr>
            <w:tcW w:w="1701" w:type="dxa"/>
            <w:vAlign w:val="bottom"/>
          </w:tcPr>
          <w:p w14:paraId="17FFF875" w14:textId="77777777" w:rsidR="00F55047" w:rsidRPr="00DA1CF5" w:rsidRDefault="00F55047" w:rsidP="00402DC0">
            <w:pPr>
              <w:jc w:val="right"/>
              <w:rPr>
                <w:sz w:val="20"/>
              </w:rPr>
            </w:pPr>
            <w:r w:rsidRPr="00DA1CF5">
              <w:rPr>
                <w:sz w:val="20"/>
              </w:rPr>
              <w:t>-£50.91</w:t>
            </w:r>
          </w:p>
        </w:tc>
        <w:tc>
          <w:tcPr>
            <w:tcW w:w="1701" w:type="dxa"/>
            <w:shd w:val="clear" w:color="auto" w:fill="auto"/>
            <w:noWrap/>
            <w:vAlign w:val="bottom"/>
          </w:tcPr>
          <w:p w14:paraId="51EB4E96" w14:textId="77777777" w:rsidR="00F55047" w:rsidRPr="00DA1CF5" w:rsidRDefault="00F55047" w:rsidP="00402DC0">
            <w:pPr>
              <w:jc w:val="right"/>
              <w:rPr>
                <w:sz w:val="20"/>
              </w:rPr>
            </w:pPr>
            <w:r w:rsidRPr="00DA1CF5">
              <w:rPr>
                <w:sz w:val="20"/>
              </w:rPr>
              <w:t>-£80.29</w:t>
            </w:r>
          </w:p>
        </w:tc>
      </w:tr>
    </w:tbl>
    <w:p w14:paraId="27D3FB8B" w14:textId="77777777" w:rsidR="00F55047" w:rsidRDefault="00F55047" w:rsidP="00BE69CC">
      <w:pPr>
        <w:rPr>
          <w:b/>
          <w:sz w:val="22"/>
          <w:szCs w:val="22"/>
        </w:rPr>
      </w:pPr>
    </w:p>
    <w:p w14:paraId="5CB17B2D" w14:textId="77777777" w:rsidR="00BE69CC" w:rsidRPr="002A1891" w:rsidRDefault="00BE69CC" w:rsidP="00BE69CC">
      <w:pPr>
        <w:rPr>
          <w:b/>
          <w:sz w:val="22"/>
          <w:szCs w:val="22"/>
        </w:rPr>
      </w:pPr>
      <w:r w:rsidRPr="002A1891">
        <w:rPr>
          <w:b/>
          <w:sz w:val="22"/>
          <w:szCs w:val="22"/>
        </w:rPr>
        <w:t>Scenario 2: 6 days of IV and 10 days overall treatment of linezolid</w:t>
      </w:r>
    </w:p>
    <w:p w14:paraId="1FCF49F6" w14:textId="211BD5C9" w:rsidR="00BE69CC" w:rsidRPr="002A1891" w:rsidRDefault="00BE69CC" w:rsidP="00BE69CC">
      <w:pPr>
        <w:rPr>
          <w:sz w:val="22"/>
          <w:szCs w:val="22"/>
        </w:rPr>
      </w:pPr>
      <w:r w:rsidRPr="002A1891">
        <w:rPr>
          <w:sz w:val="22"/>
          <w:szCs w:val="22"/>
        </w:rPr>
        <w:tab/>
        <w:t>Tedizolid </w:t>
      </w:r>
      <w:r w:rsidR="0075674B">
        <w:rPr>
          <w:rFonts w:cs="Arial"/>
          <w:sz w:val="22"/>
          <w:szCs w:val="22"/>
        </w:rPr>
        <w:t>phosphate</w:t>
      </w:r>
      <w:r w:rsidR="0075674B" w:rsidRPr="002A1891">
        <w:rPr>
          <w:sz w:val="22"/>
          <w:szCs w:val="22"/>
        </w:rPr>
        <w:t xml:space="preserve"> </w:t>
      </w:r>
      <w:r w:rsidRPr="002A1891">
        <w:rPr>
          <w:sz w:val="22"/>
          <w:szCs w:val="22"/>
        </w:rPr>
        <w:t>- 6 days IV</w:t>
      </w:r>
    </w:p>
    <w:p w14:paraId="6E552952" w14:textId="77777777" w:rsidR="00BE69CC" w:rsidRPr="002A1891" w:rsidRDefault="00BE69CC" w:rsidP="00BE69CC">
      <w:pPr>
        <w:rPr>
          <w:sz w:val="22"/>
          <w:szCs w:val="22"/>
        </w:rPr>
      </w:pPr>
      <w:r w:rsidRPr="002A1891">
        <w:rPr>
          <w:sz w:val="22"/>
          <w:szCs w:val="22"/>
        </w:rPr>
        <w:tab/>
        <w:t>Linezolid - 6 days IV 4 days OPAT</w:t>
      </w:r>
    </w:p>
    <w:p w14:paraId="541F2F84" w14:textId="77777777" w:rsidR="00BE69CC" w:rsidRPr="002A1891" w:rsidRDefault="00BE69CC" w:rsidP="00BE69CC">
      <w:pPr>
        <w:rPr>
          <w:sz w:val="22"/>
          <w:szCs w:val="22"/>
        </w:rPr>
      </w:pPr>
    </w:p>
    <w:p w14:paraId="71769D47" w14:textId="635DCD70" w:rsidR="00BE69CC" w:rsidRPr="002A1891" w:rsidRDefault="00BE69CC" w:rsidP="00BE69CC">
      <w:pPr>
        <w:rPr>
          <w:sz w:val="22"/>
          <w:szCs w:val="22"/>
        </w:rPr>
      </w:pPr>
      <w:r w:rsidRPr="002A1891">
        <w:rPr>
          <w:sz w:val="22"/>
          <w:szCs w:val="22"/>
        </w:rPr>
        <w:t xml:space="preserve">The use of tedizolid phosphate leads to costs of </w:t>
      </w:r>
      <w:r w:rsidR="00402DC0" w:rsidRPr="002A1891">
        <w:rPr>
          <w:rFonts w:cs="Arial"/>
          <w:sz w:val="22"/>
          <w:szCs w:val="22"/>
        </w:rPr>
        <w:t>£</w:t>
      </w:r>
      <w:r w:rsidR="00402DC0">
        <w:rPr>
          <w:rFonts w:cs="Arial"/>
          <w:sz w:val="22"/>
          <w:szCs w:val="22"/>
        </w:rPr>
        <w:t>1,098.82</w:t>
      </w:r>
      <w:r w:rsidR="00402DC0" w:rsidRPr="002A1891">
        <w:rPr>
          <w:rFonts w:cs="Arial"/>
          <w:sz w:val="22"/>
          <w:szCs w:val="22"/>
        </w:rPr>
        <w:t xml:space="preserve"> </w:t>
      </w:r>
      <w:r w:rsidR="00402DC0" w:rsidRPr="006C2539">
        <w:rPr>
          <w:sz w:val="22"/>
          <w:szCs w:val="22"/>
        </w:rPr>
        <w:t>and linezolid to costs £1,</w:t>
      </w:r>
      <w:r w:rsidR="00402DC0">
        <w:rPr>
          <w:sz w:val="22"/>
          <w:szCs w:val="22"/>
        </w:rPr>
        <w:t>285.71</w:t>
      </w:r>
      <w:r w:rsidRPr="002A1891">
        <w:rPr>
          <w:sz w:val="22"/>
          <w:szCs w:val="22"/>
        </w:rPr>
        <w:t>, leading to total savings of £</w:t>
      </w:r>
      <w:r w:rsidR="00402DC0">
        <w:rPr>
          <w:sz w:val="22"/>
          <w:szCs w:val="22"/>
        </w:rPr>
        <w:t>186.89</w:t>
      </w:r>
      <w:r w:rsidRPr="002A1891">
        <w:rPr>
          <w:sz w:val="22"/>
          <w:szCs w:val="22"/>
        </w:rPr>
        <w:t xml:space="preserve">, </w:t>
      </w:r>
      <w:r w:rsidR="006239E0">
        <w:rPr>
          <w:sz w:val="22"/>
          <w:szCs w:val="22"/>
        </w:rPr>
        <w:t xml:space="preserve">largely </w:t>
      </w:r>
      <w:r w:rsidRPr="002A1891">
        <w:rPr>
          <w:sz w:val="22"/>
          <w:szCs w:val="22"/>
        </w:rPr>
        <w:t>because of the additional costs of £106.60 for linezolid for ambulatory care (OPAT)(</w:t>
      </w:r>
      <w:r w:rsidRPr="002A1891">
        <w:rPr>
          <w:sz w:val="22"/>
          <w:szCs w:val="22"/>
        </w:rPr>
        <w:fldChar w:fldCharType="begin"/>
      </w:r>
      <w:r w:rsidRPr="002A1891">
        <w:rPr>
          <w:sz w:val="22"/>
          <w:szCs w:val="22"/>
        </w:rPr>
        <w:instrText xml:space="preserve"> REF _Ref283055634 \h </w:instrText>
      </w:r>
      <w:r w:rsidRPr="002A1891">
        <w:rPr>
          <w:sz w:val="22"/>
          <w:szCs w:val="22"/>
        </w:rPr>
      </w:r>
      <w:r w:rsidRPr="002A1891">
        <w:rPr>
          <w:sz w:val="22"/>
          <w:szCs w:val="22"/>
        </w:rPr>
        <w:fldChar w:fldCharType="separate"/>
      </w:r>
      <w:r w:rsidR="00151A1C" w:rsidRPr="002A1891">
        <w:rPr>
          <w:rFonts w:cs="Arial"/>
          <w:sz w:val="22"/>
          <w:szCs w:val="22"/>
        </w:rPr>
        <w:t xml:space="preserve">Table </w:t>
      </w:r>
      <w:r w:rsidR="00151A1C">
        <w:rPr>
          <w:rFonts w:cs="Arial"/>
          <w:noProof/>
          <w:sz w:val="22"/>
          <w:szCs w:val="22"/>
        </w:rPr>
        <w:t>53</w:t>
      </w:r>
      <w:r w:rsidRPr="002A1891">
        <w:rPr>
          <w:sz w:val="22"/>
          <w:szCs w:val="22"/>
        </w:rPr>
        <w:fldChar w:fldCharType="end"/>
      </w:r>
      <w:r w:rsidRPr="002A1891">
        <w:rPr>
          <w:sz w:val="22"/>
          <w:szCs w:val="22"/>
        </w:rPr>
        <w:t xml:space="preserve">). </w:t>
      </w:r>
    </w:p>
    <w:p w14:paraId="6E7C9BC2" w14:textId="77777777" w:rsidR="00BE69CC" w:rsidRPr="002A1891" w:rsidRDefault="00BE69CC" w:rsidP="00BE69CC">
      <w:pPr>
        <w:pStyle w:val="Caption"/>
        <w:rPr>
          <w:rFonts w:ascii="Arial" w:hAnsi="Arial" w:cs="Arial"/>
          <w:sz w:val="22"/>
          <w:szCs w:val="22"/>
        </w:rPr>
      </w:pPr>
      <w:bookmarkStart w:id="212" w:name="_Ref283055634"/>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53</w:t>
      </w:r>
      <w:r w:rsidRPr="002A1891">
        <w:rPr>
          <w:rFonts w:ascii="Arial" w:hAnsi="Arial" w:cs="Arial"/>
          <w:sz w:val="22"/>
          <w:szCs w:val="22"/>
        </w:rPr>
        <w:fldChar w:fldCharType="end"/>
      </w:r>
      <w:bookmarkEnd w:id="212"/>
      <w:r w:rsidRPr="002A1891">
        <w:rPr>
          <w:rFonts w:ascii="Arial" w:hAnsi="Arial" w:cs="Arial"/>
          <w:sz w:val="22"/>
          <w:szCs w:val="22"/>
        </w:rPr>
        <w:t>: Results – scenario 2</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701"/>
        <w:gridCol w:w="1701"/>
        <w:gridCol w:w="993"/>
        <w:gridCol w:w="1417"/>
      </w:tblGrid>
      <w:tr w:rsidR="00402DC0" w:rsidRPr="009B33BE" w14:paraId="397CFA8F" w14:textId="77777777" w:rsidTr="0075674B">
        <w:trPr>
          <w:trHeight w:val="300"/>
        </w:trPr>
        <w:tc>
          <w:tcPr>
            <w:tcW w:w="2268" w:type="dxa"/>
            <w:shd w:val="clear" w:color="auto" w:fill="auto"/>
            <w:noWrap/>
            <w:vAlign w:val="bottom"/>
          </w:tcPr>
          <w:p w14:paraId="31333C45" w14:textId="77777777" w:rsidR="00402DC0" w:rsidRPr="004D0DE0" w:rsidRDefault="00402DC0" w:rsidP="00402DC0">
            <w:pPr>
              <w:rPr>
                <w:b/>
                <w:sz w:val="20"/>
                <w:szCs w:val="22"/>
              </w:rPr>
            </w:pPr>
          </w:p>
        </w:tc>
        <w:tc>
          <w:tcPr>
            <w:tcW w:w="1134" w:type="dxa"/>
            <w:shd w:val="clear" w:color="auto" w:fill="auto"/>
            <w:noWrap/>
            <w:vAlign w:val="bottom"/>
          </w:tcPr>
          <w:p w14:paraId="159C03A7" w14:textId="77777777" w:rsidR="00402DC0" w:rsidRPr="004D0DE0" w:rsidRDefault="00402DC0" w:rsidP="00402DC0">
            <w:pPr>
              <w:jc w:val="right"/>
              <w:rPr>
                <w:b/>
                <w:sz w:val="20"/>
                <w:szCs w:val="22"/>
                <w:vertAlign w:val="superscript"/>
              </w:rPr>
            </w:pPr>
            <w:r w:rsidRPr="004D0DE0">
              <w:rPr>
                <w:b/>
                <w:sz w:val="20"/>
                <w:szCs w:val="22"/>
              </w:rPr>
              <w:t>Drug cost</w:t>
            </w:r>
          </w:p>
          <w:p w14:paraId="1D44D651" w14:textId="77777777" w:rsidR="00402DC0" w:rsidRPr="004D0DE0" w:rsidRDefault="00402DC0" w:rsidP="00402DC0">
            <w:pPr>
              <w:jc w:val="right"/>
              <w:rPr>
                <w:b/>
                <w:sz w:val="20"/>
                <w:szCs w:val="22"/>
                <w:vertAlign w:val="superscript"/>
              </w:rPr>
            </w:pPr>
          </w:p>
        </w:tc>
        <w:tc>
          <w:tcPr>
            <w:tcW w:w="1701" w:type="dxa"/>
            <w:shd w:val="clear" w:color="auto" w:fill="auto"/>
            <w:noWrap/>
            <w:vAlign w:val="bottom"/>
          </w:tcPr>
          <w:p w14:paraId="74DEA130" w14:textId="77777777" w:rsidR="00402DC0" w:rsidRPr="004D0DE0" w:rsidRDefault="00402DC0" w:rsidP="00402DC0">
            <w:pPr>
              <w:jc w:val="right"/>
              <w:rPr>
                <w:b/>
                <w:sz w:val="20"/>
                <w:szCs w:val="22"/>
                <w:vertAlign w:val="superscript"/>
              </w:rPr>
            </w:pPr>
            <w:r w:rsidRPr="004D0DE0">
              <w:rPr>
                <w:b/>
                <w:sz w:val="20"/>
                <w:szCs w:val="22"/>
              </w:rPr>
              <w:t>Administration costs</w:t>
            </w:r>
          </w:p>
        </w:tc>
        <w:tc>
          <w:tcPr>
            <w:tcW w:w="1701" w:type="dxa"/>
          </w:tcPr>
          <w:p w14:paraId="1BDA9E62" w14:textId="77777777" w:rsidR="00402DC0" w:rsidRPr="004D0DE0" w:rsidRDefault="00402DC0" w:rsidP="00402DC0">
            <w:pPr>
              <w:spacing w:before="2" w:after="2"/>
              <w:jc w:val="right"/>
              <w:rPr>
                <w:b/>
                <w:sz w:val="20"/>
                <w:szCs w:val="22"/>
              </w:rPr>
            </w:pPr>
            <w:r w:rsidRPr="004D0DE0">
              <w:rPr>
                <w:b/>
                <w:sz w:val="20"/>
                <w:szCs w:val="22"/>
              </w:rPr>
              <w:t xml:space="preserve">Monitoring </w:t>
            </w:r>
          </w:p>
          <w:p w14:paraId="2CFAD777" w14:textId="77777777" w:rsidR="00402DC0" w:rsidRPr="004D0DE0" w:rsidRDefault="00402DC0" w:rsidP="00402DC0">
            <w:pPr>
              <w:spacing w:before="2" w:after="2"/>
              <w:jc w:val="right"/>
              <w:rPr>
                <w:b/>
                <w:sz w:val="20"/>
                <w:szCs w:val="22"/>
              </w:rPr>
            </w:pPr>
            <w:r w:rsidRPr="004D0DE0">
              <w:rPr>
                <w:b/>
                <w:sz w:val="20"/>
                <w:szCs w:val="22"/>
              </w:rPr>
              <w:t>costs</w:t>
            </w:r>
          </w:p>
        </w:tc>
        <w:tc>
          <w:tcPr>
            <w:tcW w:w="993" w:type="dxa"/>
          </w:tcPr>
          <w:p w14:paraId="2E28BD1C" w14:textId="77777777" w:rsidR="00402DC0" w:rsidRPr="004D0DE0" w:rsidRDefault="00402DC0" w:rsidP="00402DC0">
            <w:pPr>
              <w:spacing w:before="2" w:after="2"/>
              <w:jc w:val="right"/>
              <w:rPr>
                <w:b/>
                <w:sz w:val="20"/>
                <w:szCs w:val="22"/>
              </w:rPr>
            </w:pPr>
            <w:r>
              <w:rPr>
                <w:b/>
                <w:sz w:val="20"/>
                <w:szCs w:val="22"/>
              </w:rPr>
              <w:t>OPAT</w:t>
            </w:r>
            <w:r w:rsidRPr="004D0DE0">
              <w:rPr>
                <w:b/>
                <w:sz w:val="20"/>
                <w:szCs w:val="22"/>
              </w:rPr>
              <w:t xml:space="preserve"> </w:t>
            </w:r>
          </w:p>
          <w:p w14:paraId="6BEB9C95" w14:textId="77777777" w:rsidR="00402DC0" w:rsidRPr="004D0DE0" w:rsidRDefault="00402DC0" w:rsidP="00402DC0">
            <w:pPr>
              <w:spacing w:before="2" w:after="2"/>
              <w:jc w:val="right"/>
              <w:rPr>
                <w:b/>
                <w:sz w:val="20"/>
                <w:szCs w:val="22"/>
              </w:rPr>
            </w:pPr>
            <w:r w:rsidRPr="004D0DE0">
              <w:rPr>
                <w:b/>
                <w:sz w:val="20"/>
                <w:szCs w:val="22"/>
              </w:rPr>
              <w:t>costs</w:t>
            </w:r>
          </w:p>
        </w:tc>
        <w:tc>
          <w:tcPr>
            <w:tcW w:w="1417" w:type="dxa"/>
            <w:shd w:val="clear" w:color="auto" w:fill="auto"/>
            <w:noWrap/>
            <w:vAlign w:val="bottom"/>
          </w:tcPr>
          <w:p w14:paraId="48E2EFEC" w14:textId="77777777" w:rsidR="00402DC0" w:rsidRPr="004D0DE0" w:rsidRDefault="00402DC0" w:rsidP="00402DC0">
            <w:pPr>
              <w:jc w:val="right"/>
              <w:rPr>
                <w:b/>
                <w:sz w:val="20"/>
                <w:szCs w:val="22"/>
              </w:rPr>
            </w:pPr>
            <w:r w:rsidRPr="004D0DE0">
              <w:rPr>
                <w:b/>
                <w:sz w:val="20"/>
                <w:szCs w:val="22"/>
              </w:rPr>
              <w:t>Total costs</w:t>
            </w:r>
          </w:p>
          <w:p w14:paraId="451B0AE0" w14:textId="77777777" w:rsidR="00402DC0" w:rsidRPr="004D0DE0" w:rsidRDefault="00402DC0" w:rsidP="00402DC0">
            <w:pPr>
              <w:jc w:val="right"/>
              <w:rPr>
                <w:b/>
                <w:sz w:val="20"/>
                <w:szCs w:val="22"/>
              </w:rPr>
            </w:pPr>
          </w:p>
        </w:tc>
      </w:tr>
      <w:tr w:rsidR="00402DC0" w:rsidRPr="009B33BE" w14:paraId="0219C450" w14:textId="77777777" w:rsidTr="0075674B">
        <w:trPr>
          <w:trHeight w:val="300"/>
        </w:trPr>
        <w:tc>
          <w:tcPr>
            <w:tcW w:w="2268" w:type="dxa"/>
            <w:shd w:val="clear" w:color="auto" w:fill="auto"/>
            <w:noWrap/>
            <w:vAlign w:val="bottom"/>
          </w:tcPr>
          <w:p w14:paraId="0AA508DC" w14:textId="4DD53FB3" w:rsidR="00402DC0" w:rsidRPr="0075674B" w:rsidRDefault="00402DC0" w:rsidP="00402DC0">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134" w:type="dxa"/>
            <w:shd w:val="clear" w:color="auto" w:fill="auto"/>
            <w:noWrap/>
            <w:vAlign w:val="bottom"/>
          </w:tcPr>
          <w:p w14:paraId="78518947" w14:textId="77777777" w:rsidR="00402DC0" w:rsidRPr="00BE676E" w:rsidRDefault="00402DC0" w:rsidP="00402DC0">
            <w:pPr>
              <w:jc w:val="right"/>
              <w:rPr>
                <w:sz w:val="20"/>
                <w:szCs w:val="22"/>
              </w:rPr>
            </w:pPr>
            <w:r w:rsidRPr="00BE676E">
              <w:rPr>
                <w:sz w:val="20"/>
                <w:szCs w:val="22"/>
              </w:rPr>
              <w:t>£900.00</w:t>
            </w:r>
          </w:p>
        </w:tc>
        <w:tc>
          <w:tcPr>
            <w:tcW w:w="1701" w:type="dxa"/>
            <w:shd w:val="clear" w:color="auto" w:fill="auto"/>
            <w:noWrap/>
            <w:vAlign w:val="bottom"/>
          </w:tcPr>
          <w:p w14:paraId="6B0C732F" w14:textId="77777777" w:rsidR="00402DC0" w:rsidRPr="007C4C3B" w:rsidRDefault="00402DC0" w:rsidP="00402DC0">
            <w:pPr>
              <w:jc w:val="right"/>
              <w:rPr>
                <w:sz w:val="20"/>
              </w:rPr>
            </w:pPr>
            <w:r w:rsidRPr="007C4C3B">
              <w:rPr>
                <w:sz w:val="20"/>
              </w:rPr>
              <w:t>£198.82</w:t>
            </w:r>
          </w:p>
        </w:tc>
        <w:tc>
          <w:tcPr>
            <w:tcW w:w="1701" w:type="dxa"/>
            <w:vAlign w:val="bottom"/>
          </w:tcPr>
          <w:p w14:paraId="57ABBECB" w14:textId="77777777" w:rsidR="00402DC0" w:rsidRPr="007C4C3B" w:rsidRDefault="00402DC0" w:rsidP="00402DC0">
            <w:pPr>
              <w:jc w:val="right"/>
              <w:rPr>
                <w:sz w:val="20"/>
              </w:rPr>
            </w:pPr>
            <w:r w:rsidRPr="007C4C3B">
              <w:rPr>
                <w:sz w:val="20"/>
              </w:rPr>
              <w:t>£0.00</w:t>
            </w:r>
          </w:p>
        </w:tc>
        <w:tc>
          <w:tcPr>
            <w:tcW w:w="993" w:type="dxa"/>
            <w:vAlign w:val="bottom"/>
          </w:tcPr>
          <w:p w14:paraId="72C36129" w14:textId="77777777" w:rsidR="00402DC0" w:rsidRPr="007C4C3B" w:rsidRDefault="00402DC0" w:rsidP="00402DC0">
            <w:pPr>
              <w:jc w:val="right"/>
              <w:rPr>
                <w:sz w:val="20"/>
              </w:rPr>
            </w:pPr>
            <w:r w:rsidRPr="007C4C3B">
              <w:rPr>
                <w:sz w:val="20"/>
              </w:rPr>
              <w:t>£0.00</w:t>
            </w:r>
          </w:p>
        </w:tc>
        <w:tc>
          <w:tcPr>
            <w:tcW w:w="1417" w:type="dxa"/>
            <w:shd w:val="clear" w:color="auto" w:fill="auto"/>
            <w:noWrap/>
            <w:vAlign w:val="bottom"/>
          </w:tcPr>
          <w:p w14:paraId="4C7365EB" w14:textId="77777777" w:rsidR="00402DC0" w:rsidRPr="004105AC" w:rsidRDefault="00402DC0" w:rsidP="00402DC0">
            <w:pPr>
              <w:jc w:val="right"/>
              <w:rPr>
                <w:sz w:val="20"/>
              </w:rPr>
            </w:pPr>
            <w:r w:rsidRPr="004105AC">
              <w:rPr>
                <w:sz w:val="20"/>
              </w:rPr>
              <w:t>£1,098.82</w:t>
            </w:r>
          </w:p>
        </w:tc>
      </w:tr>
      <w:tr w:rsidR="00402DC0" w:rsidRPr="009B33BE" w14:paraId="3F21C9BF" w14:textId="77777777" w:rsidTr="0075674B">
        <w:trPr>
          <w:trHeight w:val="300"/>
        </w:trPr>
        <w:tc>
          <w:tcPr>
            <w:tcW w:w="2268" w:type="dxa"/>
            <w:shd w:val="clear" w:color="auto" w:fill="auto"/>
            <w:noWrap/>
            <w:vAlign w:val="bottom"/>
          </w:tcPr>
          <w:p w14:paraId="318CDFAB" w14:textId="77777777" w:rsidR="00402DC0" w:rsidRPr="004D0DE0" w:rsidRDefault="00402DC0" w:rsidP="00402DC0">
            <w:pPr>
              <w:rPr>
                <w:b/>
                <w:sz w:val="20"/>
                <w:szCs w:val="22"/>
              </w:rPr>
            </w:pPr>
            <w:r w:rsidRPr="004D0DE0">
              <w:rPr>
                <w:b/>
                <w:sz w:val="20"/>
                <w:szCs w:val="22"/>
              </w:rPr>
              <w:t>Linezolid</w:t>
            </w:r>
          </w:p>
        </w:tc>
        <w:tc>
          <w:tcPr>
            <w:tcW w:w="1134" w:type="dxa"/>
            <w:shd w:val="clear" w:color="auto" w:fill="auto"/>
            <w:noWrap/>
            <w:vAlign w:val="bottom"/>
          </w:tcPr>
          <w:p w14:paraId="046D7C38" w14:textId="77777777" w:rsidR="00402DC0" w:rsidRPr="00BE676E" w:rsidRDefault="00402DC0" w:rsidP="00402DC0">
            <w:pPr>
              <w:jc w:val="right"/>
              <w:rPr>
                <w:sz w:val="20"/>
                <w:szCs w:val="22"/>
              </w:rPr>
            </w:pPr>
            <w:r w:rsidRPr="00BE676E">
              <w:rPr>
                <w:sz w:val="20"/>
                <w:szCs w:val="22"/>
              </w:rPr>
              <w:t>£890.00</w:t>
            </w:r>
          </w:p>
        </w:tc>
        <w:tc>
          <w:tcPr>
            <w:tcW w:w="1701" w:type="dxa"/>
            <w:shd w:val="clear" w:color="auto" w:fill="auto"/>
            <w:noWrap/>
            <w:vAlign w:val="bottom"/>
          </w:tcPr>
          <w:p w14:paraId="77431355" w14:textId="77777777" w:rsidR="00402DC0" w:rsidRPr="007C4C3B" w:rsidRDefault="00402DC0" w:rsidP="00402DC0">
            <w:pPr>
              <w:jc w:val="right"/>
              <w:rPr>
                <w:sz w:val="20"/>
              </w:rPr>
            </w:pPr>
            <w:r w:rsidRPr="007C4C3B">
              <w:rPr>
                <w:sz w:val="20"/>
              </w:rPr>
              <w:t>£238.20</w:t>
            </w:r>
          </w:p>
        </w:tc>
        <w:tc>
          <w:tcPr>
            <w:tcW w:w="1701" w:type="dxa"/>
            <w:vAlign w:val="bottom"/>
          </w:tcPr>
          <w:p w14:paraId="63499D69" w14:textId="21F35E6B" w:rsidR="00402DC0" w:rsidRPr="007C4C3B" w:rsidRDefault="00402DC0" w:rsidP="00402DC0">
            <w:pPr>
              <w:jc w:val="right"/>
              <w:rPr>
                <w:sz w:val="20"/>
              </w:rPr>
            </w:pPr>
            <w:r>
              <w:rPr>
                <w:sz w:val="20"/>
              </w:rPr>
              <w:t>£</w:t>
            </w:r>
            <w:r w:rsidRPr="007C4C3B">
              <w:rPr>
                <w:sz w:val="20"/>
              </w:rPr>
              <w:t>50.91</w:t>
            </w:r>
          </w:p>
        </w:tc>
        <w:tc>
          <w:tcPr>
            <w:tcW w:w="993" w:type="dxa"/>
            <w:vAlign w:val="bottom"/>
          </w:tcPr>
          <w:p w14:paraId="1A28B6F7" w14:textId="77777777" w:rsidR="00402DC0" w:rsidRPr="007C4C3B" w:rsidRDefault="00402DC0" w:rsidP="00402DC0">
            <w:pPr>
              <w:jc w:val="right"/>
              <w:rPr>
                <w:sz w:val="20"/>
              </w:rPr>
            </w:pPr>
            <w:r w:rsidRPr="007C4C3B">
              <w:rPr>
                <w:sz w:val="20"/>
              </w:rPr>
              <w:t>£106.60</w:t>
            </w:r>
          </w:p>
        </w:tc>
        <w:tc>
          <w:tcPr>
            <w:tcW w:w="1417" w:type="dxa"/>
            <w:shd w:val="clear" w:color="auto" w:fill="auto"/>
            <w:noWrap/>
            <w:vAlign w:val="bottom"/>
          </w:tcPr>
          <w:p w14:paraId="26FFD1D6" w14:textId="77777777" w:rsidR="00402DC0" w:rsidRPr="004105AC" w:rsidRDefault="00402DC0" w:rsidP="00402DC0">
            <w:pPr>
              <w:jc w:val="right"/>
              <w:rPr>
                <w:sz w:val="20"/>
              </w:rPr>
            </w:pPr>
            <w:r w:rsidRPr="004105AC">
              <w:rPr>
                <w:sz w:val="20"/>
              </w:rPr>
              <w:t>£1,285.71</w:t>
            </w:r>
          </w:p>
        </w:tc>
      </w:tr>
      <w:tr w:rsidR="00402DC0" w:rsidRPr="009B33BE" w14:paraId="0136779F" w14:textId="77777777" w:rsidTr="0075674B">
        <w:trPr>
          <w:trHeight w:val="300"/>
        </w:trPr>
        <w:tc>
          <w:tcPr>
            <w:tcW w:w="2268" w:type="dxa"/>
            <w:shd w:val="clear" w:color="auto" w:fill="auto"/>
            <w:noWrap/>
            <w:vAlign w:val="bottom"/>
          </w:tcPr>
          <w:p w14:paraId="0E457769" w14:textId="77777777" w:rsidR="00402DC0" w:rsidRPr="004D0DE0" w:rsidRDefault="00402DC0" w:rsidP="00402DC0">
            <w:pPr>
              <w:rPr>
                <w:b/>
                <w:sz w:val="20"/>
                <w:szCs w:val="22"/>
              </w:rPr>
            </w:pPr>
          </w:p>
        </w:tc>
        <w:tc>
          <w:tcPr>
            <w:tcW w:w="1134" w:type="dxa"/>
            <w:shd w:val="clear" w:color="auto" w:fill="auto"/>
            <w:noWrap/>
            <w:vAlign w:val="bottom"/>
          </w:tcPr>
          <w:p w14:paraId="1A02B483" w14:textId="77777777" w:rsidR="00402DC0" w:rsidRPr="00BE676E" w:rsidRDefault="00402DC0" w:rsidP="00402DC0">
            <w:pPr>
              <w:rPr>
                <w:sz w:val="20"/>
                <w:szCs w:val="22"/>
              </w:rPr>
            </w:pPr>
          </w:p>
        </w:tc>
        <w:tc>
          <w:tcPr>
            <w:tcW w:w="1701" w:type="dxa"/>
            <w:shd w:val="clear" w:color="auto" w:fill="auto"/>
            <w:noWrap/>
            <w:vAlign w:val="bottom"/>
          </w:tcPr>
          <w:p w14:paraId="74D3D65C" w14:textId="77777777" w:rsidR="00402DC0" w:rsidRPr="007C4C3B" w:rsidRDefault="00402DC0" w:rsidP="00402DC0">
            <w:pPr>
              <w:rPr>
                <w:sz w:val="20"/>
              </w:rPr>
            </w:pPr>
          </w:p>
        </w:tc>
        <w:tc>
          <w:tcPr>
            <w:tcW w:w="1701" w:type="dxa"/>
            <w:vAlign w:val="bottom"/>
          </w:tcPr>
          <w:p w14:paraId="7DD38047" w14:textId="77777777" w:rsidR="00402DC0" w:rsidRPr="007C4C3B" w:rsidRDefault="00402DC0" w:rsidP="00402DC0">
            <w:pPr>
              <w:rPr>
                <w:sz w:val="20"/>
              </w:rPr>
            </w:pPr>
          </w:p>
        </w:tc>
        <w:tc>
          <w:tcPr>
            <w:tcW w:w="993" w:type="dxa"/>
            <w:vAlign w:val="bottom"/>
          </w:tcPr>
          <w:p w14:paraId="35ED238C" w14:textId="77777777" w:rsidR="00402DC0" w:rsidRPr="007C4C3B" w:rsidRDefault="00402DC0" w:rsidP="00402DC0">
            <w:pPr>
              <w:rPr>
                <w:sz w:val="20"/>
              </w:rPr>
            </w:pPr>
          </w:p>
        </w:tc>
        <w:tc>
          <w:tcPr>
            <w:tcW w:w="1417" w:type="dxa"/>
            <w:shd w:val="clear" w:color="auto" w:fill="auto"/>
            <w:noWrap/>
            <w:vAlign w:val="bottom"/>
          </w:tcPr>
          <w:p w14:paraId="65798028" w14:textId="77777777" w:rsidR="00402DC0" w:rsidRPr="004105AC" w:rsidRDefault="00402DC0" w:rsidP="00402DC0">
            <w:pPr>
              <w:rPr>
                <w:sz w:val="20"/>
              </w:rPr>
            </w:pPr>
          </w:p>
        </w:tc>
      </w:tr>
      <w:tr w:rsidR="00402DC0" w:rsidRPr="009B33BE" w14:paraId="1ECD9640" w14:textId="77777777" w:rsidTr="0075674B">
        <w:trPr>
          <w:trHeight w:val="300"/>
        </w:trPr>
        <w:tc>
          <w:tcPr>
            <w:tcW w:w="2268" w:type="dxa"/>
            <w:shd w:val="clear" w:color="auto" w:fill="auto"/>
            <w:noWrap/>
            <w:vAlign w:val="bottom"/>
          </w:tcPr>
          <w:p w14:paraId="2197B042" w14:textId="77777777" w:rsidR="00402DC0" w:rsidRPr="004D0DE0" w:rsidRDefault="00402DC0" w:rsidP="00402DC0">
            <w:pPr>
              <w:rPr>
                <w:b/>
                <w:sz w:val="20"/>
                <w:szCs w:val="22"/>
              </w:rPr>
            </w:pPr>
            <w:r w:rsidRPr="004D0DE0">
              <w:rPr>
                <w:b/>
                <w:sz w:val="20"/>
                <w:szCs w:val="22"/>
              </w:rPr>
              <w:t>Difference</w:t>
            </w:r>
          </w:p>
        </w:tc>
        <w:tc>
          <w:tcPr>
            <w:tcW w:w="1134" w:type="dxa"/>
            <w:shd w:val="clear" w:color="auto" w:fill="auto"/>
            <w:noWrap/>
            <w:vAlign w:val="bottom"/>
          </w:tcPr>
          <w:p w14:paraId="53518EDF" w14:textId="77777777" w:rsidR="00402DC0" w:rsidRPr="00BE676E" w:rsidRDefault="00402DC0" w:rsidP="00402DC0">
            <w:pPr>
              <w:jc w:val="right"/>
              <w:rPr>
                <w:sz w:val="20"/>
                <w:szCs w:val="22"/>
              </w:rPr>
            </w:pPr>
            <w:r w:rsidRPr="00BE676E">
              <w:rPr>
                <w:sz w:val="20"/>
                <w:szCs w:val="22"/>
              </w:rPr>
              <w:t>£10.00</w:t>
            </w:r>
          </w:p>
        </w:tc>
        <w:tc>
          <w:tcPr>
            <w:tcW w:w="1701" w:type="dxa"/>
            <w:shd w:val="clear" w:color="auto" w:fill="auto"/>
            <w:noWrap/>
            <w:vAlign w:val="bottom"/>
          </w:tcPr>
          <w:p w14:paraId="7AE2DD82" w14:textId="77777777" w:rsidR="00402DC0" w:rsidRPr="007C4C3B" w:rsidRDefault="00402DC0" w:rsidP="00402DC0">
            <w:pPr>
              <w:jc w:val="right"/>
              <w:rPr>
                <w:sz w:val="20"/>
              </w:rPr>
            </w:pPr>
            <w:r w:rsidRPr="007C4C3B">
              <w:rPr>
                <w:sz w:val="20"/>
              </w:rPr>
              <w:t>-£39.38</w:t>
            </w:r>
          </w:p>
        </w:tc>
        <w:tc>
          <w:tcPr>
            <w:tcW w:w="1701" w:type="dxa"/>
            <w:vAlign w:val="bottom"/>
          </w:tcPr>
          <w:p w14:paraId="6C58BA50" w14:textId="77777777" w:rsidR="00402DC0" w:rsidRPr="007C4C3B" w:rsidRDefault="00402DC0" w:rsidP="00402DC0">
            <w:pPr>
              <w:jc w:val="right"/>
              <w:rPr>
                <w:sz w:val="20"/>
              </w:rPr>
            </w:pPr>
            <w:r w:rsidRPr="007C4C3B">
              <w:rPr>
                <w:sz w:val="20"/>
              </w:rPr>
              <w:t>-£50.91</w:t>
            </w:r>
          </w:p>
        </w:tc>
        <w:tc>
          <w:tcPr>
            <w:tcW w:w="993" w:type="dxa"/>
            <w:vAlign w:val="bottom"/>
          </w:tcPr>
          <w:p w14:paraId="22F07318" w14:textId="77777777" w:rsidR="00402DC0" w:rsidRPr="007C4C3B" w:rsidRDefault="00402DC0" w:rsidP="00402DC0">
            <w:pPr>
              <w:jc w:val="right"/>
              <w:rPr>
                <w:sz w:val="20"/>
              </w:rPr>
            </w:pPr>
            <w:r w:rsidRPr="007C4C3B">
              <w:rPr>
                <w:sz w:val="20"/>
              </w:rPr>
              <w:t>-£106.60</w:t>
            </w:r>
          </w:p>
        </w:tc>
        <w:tc>
          <w:tcPr>
            <w:tcW w:w="1417" w:type="dxa"/>
            <w:shd w:val="clear" w:color="auto" w:fill="auto"/>
            <w:noWrap/>
            <w:vAlign w:val="bottom"/>
          </w:tcPr>
          <w:p w14:paraId="7D7C2613" w14:textId="77777777" w:rsidR="00402DC0" w:rsidRPr="004105AC" w:rsidRDefault="00402DC0" w:rsidP="00402DC0">
            <w:pPr>
              <w:jc w:val="right"/>
              <w:rPr>
                <w:sz w:val="20"/>
              </w:rPr>
            </w:pPr>
            <w:r w:rsidRPr="004105AC">
              <w:rPr>
                <w:sz w:val="20"/>
              </w:rPr>
              <w:t>-£186.89</w:t>
            </w:r>
          </w:p>
        </w:tc>
      </w:tr>
    </w:tbl>
    <w:p w14:paraId="5D215C80" w14:textId="77777777" w:rsidR="006239E0" w:rsidRDefault="006239E0" w:rsidP="006239E0">
      <w:pPr>
        <w:pStyle w:val="BodyText"/>
      </w:pPr>
    </w:p>
    <w:p w14:paraId="1DEAF7BC" w14:textId="77777777" w:rsidR="006C7EAC" w:rsidRDefault="006C7EAC" w:rsidP="00BE69CC">
      <w:pPr>
        <w:rPr>
          <w:b/>
          <w:sz w:val="22"/>
          <w:szCs w:val="22"/>
        </w:rPr>
      </w:pPr>
    </w:p>
    <w:p w14:paraId="07BF03F7" w14:textId="77777777" w:rsidR="00BE69CC" w:rsidRPr="002A1891" w:rsidRDefault="00BE69CC" w:rsidP="00BE69CC">
      <w:pPr>
        <w:rPr>
          <w:b/>
          <w:sz w:val="22"/>
          <w:szCs w:val="22"/>
        </w:rPr>
      </w:pPr>
      <w:r w:rsidRPr="002A1891">
        <w:rPr>
          <w:b/>
          <w:sz w:val="22"/>
          <w:szCs w:val="22"/>
        </w:rPr>
        <w:t>Scenario 3: 6 days of IV and 12 days overall treatment of linezolid</w:t>
      </w:r>
    </w:p>
    <w:p w14:paraId="4607C896" w14:textId="6BDFA8FD" w:rsidR="00BE69CC" w:rsidRPr="002A1891" w:rsidRDefault="00BE69CC" w:rsidP="00BE69CC">
      <w:pPr>
        <w:rPr>
          <w:sz w:val="22"/>
          <w:szCs w:val="22"/>
        </w:rPr>
      </w:pPr>
      <w:r w:rsidRPr="002A1891">
        <w:rPr>
          <w:sz w:val="22"/>
          <w:szCs w:val="22"/>
        </w:rPr>
        <w:tab/>
        <w:t>Tedizolid </w:t>
      </w:r>
      <w:r w:rsidR="0075674B">
        <w:rPr>
          <w:rFonts w:cs="Arial"/>
          <w:sz w:val="22"/>
          <w:szCs w:val="22"/>
        </w:rPr>
        <w:t>phosphate</w:t>
      </w:r>
      <w:r w:rsidR="0075674B" w:rsidRPr="002A1891">
        <w:rPr>
          <w:sz w:val="22"/>
          <w:szCs w:val="22"/>
        </w:rPr>
        <w:t xml:space="preserve"> </w:t>
      </w:r>
      <w:r w:rsidRPr="002A1891">
        <w:rPr>
          <w:sz w:val="22"/>
          <w:szCs w:val="22"/>
        </w:rPr>
        <w:t>- 6 days IV</w:t>
      </w:r>
      <w:r w:rsidRPr="002A1891">
        <w:rPr>
          <w:sz w:val="22"/>
          <w:szCs w:val="22"/>
        </w:rPr>
        <w:tab/>
      </w:r>
    </w:p>
    <w:p w14:paraId="33A702A0" w14:textId="77777777" w:rsidR="00BE69CC" w:rsidRPr="002A1891" w:rsidRDefault="00BE69CC" w:rsidP="00BE69CC">
      <w:pPr>
        <w:rPr>
          <w:sz w:val="22"/>
          <w:szCs w:val="22"/>
        </w:rPr>
      </w:pPr>
      <w:r w:rsidRPr="002A1891">
        <w:rPr>
          <w:sz w:val="22"/>
          <w:szCs w:val="22"/>
        </w:rPr>
        <w:tab/>
        <w:t>Linezolid - 6 days IV; 6 days oral</w:t>
      </w:r>
    </w:p>
    <w:p w14:paraId="291C8FB0" w14:textId="77777777" w:rsidR="00BE69CC" w:rsidRPr="002A1891" w:rsidRDefault="00BE69CC" w:rsidP="00BE69CC">
      <w:pPr>
        <w:rPr>
          <w:sz w:val="22"/>
          <w:szCs w:val="22"/>
        </w:rPr>
      </w:pPr>
    </w:p>
    <w:p w14:paraId="58ABE24B" w14:textId="1C18D868" w:rsidR="00BE69CC" w:rsidRPr="002A1891" w:rsidRDefault="00402DC0" w:rsidP="00402DC0">
      <w:pPr>
        <w:rPr>
          <w:sz w:val="22"/>
          <w:szCs w:val="22"/>
        </w:rPr>
      </w:pPr>
      <w:r w:rsidRPr="002A1891">
        <w:rPr>
          <w:sz w:val="22"/>
          <w:szCs w:val="22"/>
        </w:rPr>
        <w:t xml:space="preserve">The use of tedizolid phosphate leads to costs of </w:t>
      </w:r>
      <w:r w:rsidRPr="002A1891">
        <w:rPr>
          <w:rFonts w:cs="Arial"/>
          <w:sz w:val="22"/>
          <w:szCs w:val="22"/>
        </w:rPr>
        <w:t>£</w:t>
      </w:r>
      <w:r>
        <w:rPr>
          <w:rFonts w:cs="Arial"/>
          <w:sz w:val="22"/>
          <w:szCs w:val="22"/>
        </w:rPr>
        <w:t>1,098.82</w:t>
      </w:r>
      <w:r w:rsidRPr="002A1891">
        <w:rPr>
          <w:sz w:val="22"/>
          <w:szCs w:val="22"/>
        </w:rPr>
        <w:t xml:space="preserve"> and linezolid to costs £1,</w:t>
      </w:r>
      <w:r>
        <w:rPr>
          <w:sz w:val="22"/>
          <w:szCs w:val="22"/>
        </w:rPr>
        <w:t>357</w:t>
      </w:r>
      <w:r w:rsidRPr="002A1891">
        <w:rPr>
          <w:sz w:val="22"/>
          <w:szCs w:val="22"/>
        </w:rPr>
        <w:t>.</w:t>
      </w:r>
      <w:r>
        <w:rPr>
          <w:sz w:val="22"/>
          <w:szCs w:val="22"/>
        </w:rPr>
        <w:t>11</w:t>
      </w:r>
      <w:r w:rsidRPr="002A1891">
        <w:rPr>
          <w:sz w:val="22"/>
          <w:szCs w:val="22"/>
        </w:rPr>
        <w:t>, resulting in total savings of £</w:t>
      </w:r>
      <w:r>
        <w:rPr>
          <w:sz w:val="22"/>
          <w:szCs w:val="22"/>
        </w:rPr>
        <w:t>258</w:t>
      </w:r>
      <w:r w:rsidRPr="002A1891">
        <w:rPr>
          <w:sz w:val="22"/>
          <w:szCs w:val="22"/>
        </w:rPr>
        <w:t>.</w:t>
      </w:r>
      <w:r>
        <w:rPr>
          <w:sz w:val="22"/>
          <w:szCs w:val="22"/>
        </w:rPr>
        <w:t xml:space="preserve">29 </w:t>
      </w:r>
      <w:r w:rsidR="00BE69CC" w:rsidRPr="002A1891">
        <w:rPr>
          <w:sz w:val="22"/>
          <w:szCs w:val="22"/>
        </w:rPr>
        <w:t>(</w:t>
      </w:r>
      <w:r w:rsidR="00BE69CC" w:rsidRPr="002A1891">
        <w:rPr>
          <w:sz w:val="22"/>
          <w:szCs w:val="22"/>
        </w:rPr>
        <w:fldChar w:fldCharType="begin"/>
      </w:r>
      <w:r w:rsidR="00BE69CC" w:rsidRPr="002A1891">
        <w:rPr>
          <w:sz w:val="22"/>
          <w:szCs w:val="22"/>
        </w:rPr>
        <w:instrText xml:space="preserve"> REF _Ref283055776 \h </w:instrText>
      </w:r>
      <w:r w:rsidR="00BE69CC" w:rsidRPr="002A1891">
        <w:rPr>
          <w:sz w:val="22"/>
          <w:szCs w:val="22"/>
        </w:rPr>
      </w:r>
      <w:r w:rsidR="00BE69CC" w:rsidRPr="002A1891">
        <w:rPr>
          <w:sz w:val="22"/>
          <w:szCs w:val="22"/>
        </w:rPr>
        <w:fldChar w:fldCharType="separate"/>
      </w:r>
      <w:r w:rsidR="00151A1C" w:rsidRPr="002A1891">
        <w:rPr>
          <w:rFonts w:cs="Arial"/>
          <w:sz w:val="22"/>
          <w:szCs w:val="22"/>
        </w:rPr>
        <w:t xml:space="preserve">Table </w:t>
      </w:r>
      <w:r w:rsidR="00151A1C">
        <w:rPr>
          <w:rFonts w:cs="Arial"/>
          <w:noProof/>
          <w:sz w:val="22"/>
          <w:szCs w:val="22"/>
        </w:rPr>
        <w:t>54</w:t>
      </w:r>
      <w:r w:rsidR="00BE69CC" w:rsidRPr="002A1891">
        <w:rPr>
          <w:sz w:val="22"/>
          <w:szCs w:val="22"/>
        </w:rPr>
        <w:fldChar w:fldCharType="end"/>
      </w:r>
      <w:r w:rsidR="00BE69CC" w:rsidRPr="002A1891">
        <w:rPr>
          <w:sz w:val="22"/>
          <w:szCs w:val="22"/>
        </w:rPr>
        <w:t>).</w:t>
      </w:r>
    </w:p>
    <w:p w14:paraId="4AB8C170" w14:textId="72FD0646" w:rsidR="00B2707C" w:rsidRPr="00B2707C" w:rsidRDefault="00BE69CC" w:rsidP="00B2707C">
      <w:pPr>
        <w:pStyle w:val="Caption"/>
        <w:rPr>
          <w:rFonts w:ascii="Arial" w:hAnsi="Arial" w:cs="Arial"/>
          <w:sz w:val="22"/>
          <w:szCs w:val="22"/>
        </w:rPr>
      </w:pPr>
      <w:bookmarkStart w:id="213" w:name="_Ref283055776"/>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54</w:t>
      </w:r>
      <w:r w:rsidRPr="002A1891">
        <w:rPr>
          <w:rFonts w:ascii="Arial" w:hAnsi="Arial" w:cs="Arial"/>
          <w:sz w:val="22"/>
          <w:szCs w:val="22"/>
        </w:rPr>
        <w:fldChar w:fldCharType="end"/>
      </w:r>
      <w:bookmarkEnd w:id="213"/>
      <w:r w:rsidRPr="002A1891">
        <w:rPr>
          <w:rFonts w:ascii="Arial" w:hAnsi="Arial" w:cs="Arial"/>
          <w:sz w:val="22"/>
          <w:szCs w:val="22"/>
        </w:rPr>
        <w:t>: Results – scenario 3</w:t>
      </w:r>
    </w:p>
    <w:p w14:paraId="277F4B82" w14:textId="77777777" w:rsidR="00B2707C" w:rsidRDefault="00B2707C" w:rsidP="00B2707C">
      <w:pPr>
        <w:pStyle w:val="BodyText"/>
      </w:pPr>
    </w:p>
    <w:tbl>
      <w:tblPr>
        <w:tblW w:w="82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559"/>
        <w:gridCol w:w="1701"/>
        <w:gridCol w:w="1417"/>
      </w:tblGrid>
      <w:tr w:rsidR="00402DC0" w:rsidRPr="004D0DE0" w14:paraId="69A0ABEF" w14:textId="77777777" w:rsidTr="0075674B">
        <w:trPr>
          <w:trHeight w:val="300"/>
        </w:trPr>
        <w:tc>
          <w:tcPr>
            <w:tcW w:w="2268" w:type="dxa"/>
            <w:shd w:val="clear" w:color="auto" w:fill="auto"/>
            <w:noWrap/>
            <w:vAlign w:val="bottom"/>
          </w:tcPr>
          <w:p w14:paraId="757F3F6E" w14:textId="77777777" w:rsidR="00402DC0" w:rsidRPr="004D0DE0" w:rsidRDefault="00402DC0" w:rsidP="00402DC0">
            <w:pPr>
              <w:rPr>
                <w:b/>
                <w:sz w:val="20"/>
                <w:szCs w:val="22"/>
              </w:rPr>
            </w:pPr>
          </w:p>
        </w:tc>
        <w:tc>
          <w:tcPr>
            <w:tcW w:w="1276" w:type="dxa"/>
            <w:shd w:val="clear" w:color="auto" w:fill="auto"/>
            <w:noWrap/>
            <w:vAlign w:val="bottom"/>
          </w:tcPr>
          <w:p w14:paraId="2DB14F6E" w14:textId="77777777" w:rsidR="00402DC0" w:rsidRPr="004D0DE0" w:rsidRDefault="00402DC0" w:rsidP="00402DC0">
            <w:pPr>
              <w:jc w:val="right"/>
              <w:rPr>
                <w:b/>
                <w:sz w:val="20"/>
                <w:szCs w:val="22"/>
                <w:vertAlign w:val="superscript"/>
              </w:rPr>
            </w:pPr>
            <w:r w:rsidRPr="004D0DE0">
              <w:rPr>
                <w:b/>
                <w:sz w:val="20"/>
                <w:szCs w:val="22"/>
              </w:rPr>
              <w:t>Drug cost</w:t>
            </w:r>
          </w:p>
          <w:p w14:paraId="0640FB2B" w14:textId="77777777" w:rsidR="00402DC0" w:rsidRPr="004D0DE0" w:rsidRDefault="00402DC0" w:rsidP="00402DC0">
            <w:pPr>
              <w:jc w:val="right"/>
              <w:rPr>
                <w:b/>
                <w:sz w:val="20"/>
                <w:szCs w:val="22"/>
                <w:vertAlign w:val="superscript"/>
              </w:rPr>
            </w:pPr>
          </w:p>
        </w:tc>
        <w:tc>
          <w:tcPr>
            <w:tcW w:w="1559" w:type="dxa"/>
            <w:shd w:val="clear" w:color="auto" w:fill="auto"/>
            <w:noWrap/>
            <w:vAlign w:val="bottom"/>
          </w:tcPr>
          <w:p w14:paraId="05F049B0" w14:textId="77777777" w:rsidR="00402DC0" w:rsidRPr="004D0DE0" w:rsidRDefault="00402DC0" w:rsidP="00402DC0">
            <w:pPr>
              <w:jc w:val="right"/>
              <w:rPr>
                <w:b/>
                <w:sz w:val="20"/>
                <w:szCs w:val="22"/>
                <w:vertAlign w:val="superscript"/>
              </w:rPr>
            </w:pPr>
            <w:r w:rsidRPr="004D0DE0">
              <w:rPr>
                <w:b/>
                <w:sz w:val="20"/>
                <w:szCs w:val="22"/>
              </w:rPr>
              <w:t>Administration costs</w:t>
            </w:r>
          </w:p>
        </w:tc>
        <w:tc>
          <w:tcPr>
            <w:tcW w:w="1701" w:type="dxa"/>
          </w:tcPr>
          <w:p w14:paraId="6E4786BA" w14:textId="77777777" w:rsidR="00402DC0" w:rsidRPr="004D0DE0" w:rsidRDefault="00402DC0" w:rsidP="00402DC0">
            <w:pPr>
              <w:spacing w:before="2" w:after="2"/>
              <w:jc w:val="right"/>
              <w:rPr>
                <w:b/>
                <w:sz w:val="20"/>
                <w:szCs w:val="22"/>
              </w:rPr>
            </w:pPr>
            <w:r w:rsidRPr="004D0DE0">
              <w:rPr>
                <w:b/>
                <w:sz w:val="20"/>
                <w:szCs w:val="22"/>
              </w:rPr>
              <w:t xml:space="preserve">Monitoring </w:t>
            </w:r>
          </w:p>
          <w:p w14:paraId="49088AB3" w14:textId="77777777" w:rsidR="00402DC0" w:rsidRPr="004D0DE0" w:rsidRDefault="00402DC0" w:rsidP="00402DC0">
            <w:pPr>
              <w:spacing w:before="2" w:after="2"/>
              <w:jc w:val="right"/>
              <w:rPr>
                <w:b/>
                <w:sz w:val="20"/>
                <w:szCs w:val="22"/>
              </w:rPr>
            </w:pPr>
            <w:r w:rsidRPr="004D0DE0">
              <w:rPr>
                <w:b/>
                <w:sz w:val="20"/>
                <w:szCs w:val="22"/>
              </w:rPr>
              <w:t>costs</w:t>
            </w:r>
          </w:p>
        </w:tc>
        <w:tc>
          <w:tcPr>
            <w:tcW w:w="1417" w:type="dxa"/>
            <w:shd w:val="clear" w:color="auto" w:fill="auto"/>
            <w:noWrap/>
            <w:vAlign w:val="bottom"/>
          </w:tcPr>
          <w:p w14:paraId="67BDDC0D" w14:textId="77777777" w:rsidR="00402DC0" w:rsidRPr="004D0DE0" w:rsidRDefault="00402DC0" w:rsidP="00402DC0">
            <w:pPr>
              <w:jc w:val="right"/>
              <w:rPr>
                <w:b/>
                <w:sz w:val="20"/>
                <w:szCs w:val="22"/>
              </w:rPr>
            </w:pPr>
            <w:r w:rsidRPr="004D0DE0">
              <w:rPr>
                <w:b/>
                <w:sz w:val="20"/>
                <w:szCs w:val="22"/>
              </w:rPr>
              <w:t>Total costs</w:t>
            </w:r>
          </w:p>
          <w:p w14:paraId="79AFD58E" w14:textId="77777777" w:rsidR="00402DC0" w:rsidRPr="004D0DE0" w:rsidRDefault="00402DC0" w:rsidP="00402DC0">
            <w:pPr>
              <w:jc w:val="right"/>
              <w:rPr>
                <w:b/>
                <w:sz w:val="20"/>
                <w:szCs w:val="22"/>
              </w:rPr>
            </w:pPr>
          </w:p>
        </w:tc>
      </w:tr>
      <w:tr w:rsidR="00402DC0" w:rsidRPr="00BE676E" w14:paraId="286D2D1C" w14:textId="77777777" w:rsidTr="0075674B">
        <w:trPr>
          <w:trHeight w:val="300"/>
        </w:trPr>
        <w:tc>
          <w:tcPr>
            <w:tcW w:w="2268" w:type="dxa"/>
            <w:shd w:val="clear" w:color="auto" w:fill="auto"/>
            <w:noWrap/>
            <w:vAlign w:val="bottom"/>
          </w:tcPr>
          <w:p w14:paraId="53F0D9B2" w14:textId="2FF2CDB4" w:rsidR="00402DC0" w:rsidRPr="0075674B" w:rsidRDefault="00402DC0" w:rsidP="00402DC0">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276" w:type="dxa"/>
            <w:shd w:val="clear" w:color="auto" w:fill="auto"/>
            <w:noWrap/>
            <w:vAlign w:val="bottom"/>
          </w:tcPr>
          <w:p w14:paraId="59DC74C1" w14:textId="77777777" w:rsidR="00402DC0" w:rsidRPr="000A0F4F" w:rsidRDefault="00402DC0" w:rsidP="00402DC0">
            <w:pPr>
              <w:jc w:val="right"/>
              <w:rPr>
                <w:sz w:val="20"/>
              </w:rPr>
            </w:pPr>
            <w:r w:rsidRPr="000A0F4F">
              <w:rPr>
                <w:sz w:val="20"/>
              </w:rPr>
              <w:t>£900.00</w:t>
            </w:r>
          </w:p>
        </w:tc>
        <w:tc>
          <w:tcPr>
            <w:tcW w:w="1559" w:type="dxa"/>
            <w:shd w:val="clear" w:color="auto" w:fill="auto"/>
            <w:noWrap/>
            <w:vAlign w:val="bottom"/>
          </w:tcPr>
          <w:p w14:paraId="7977E9F3" w14:textId="77777777" w:rsidR="00402DC0" w:rsidRPr="007C4C3B" w:rsidRDefault="00402DC0" w:rsidP="00402DC0">
            <w:pPr>
              <w:jc w:val="right"/>
              <w:rPr>
                <w:sz w:val="20"/>
              </w:rPr>
            </w:pPr>
            <w:r w:rsidRPr="007C4C3B">
              <w:rPr>
                <w:sz w:val="20"/>
              </w:rPr>
              <w:t>£198.82</w:t>
            </w:r>
          </w:p>
        </w:tc>
        <w:tc>
          <w:tcPr>
            <w:tcW w:w="1701" w:type="dxa"/>
            <w:vAlign w:val="bottom"/>
          </w:tcPr>
          <w:p w14:paraId="08570751" w14:textId="77777777" w:rsidR="00402DC0" w:rsidRPr="007C4C3B" w:rsidRDefault="00402DC0" w:rsidP="00402DC0">
            <w:pPr>
              <w:jc w:val="right"/>
              <w:rPr>
                <w:sz w:val="20"/>
              </w:rPr>
            </w:pPr>
            <w:r w:rsidRPr="007C4C3B">
              <w:rPr>
                <w:sz w:val="20"/>
              </w:rPr>
              <w:t>£0.00</w:t>
            </w:r>
          </w:p>
        </w:tc>
        <w:tc>
          <w:tcPr>
            <w:tcW w:w="1417" w:type="dxa"/>
            <w:shd w:val="clear" w:color="auto" w:fill="auto"/>
            <w:noWrap/>
            <w:vAlign w:val="bottom"/>
          </w:tcPr>
          <w:p w14:paraId="0DC0619B" w14:textId="77777777" w:rsidR="00402DC0" w:rsidRPr="007C4C3B" w:rsidRDefault="00402DC0" w:rsidP="00402DC0">
            <w:pPr>
              <w:jc w:val="right"/>
              <w:rPr>
                <w:sz w:val="20"/>
              </w:rPr>
            </w:pPr>
            <w:r w:rsidRPr="007C4C3B">
              <w:rPr>
                <w:sz w:val="20"/>
              </w:rPr>
              <w:t>£1,098.82</w:t>
            </w:r>
          </w:p>
        </w:tc>
      </w:tr>
      <w:tr w:rsidR="00402DC0" w:rsidRPr="00BE676E" w14:paraId="1F358A7B" w14:textId="77777777" w:rsidTr="0075674B">
        <w:trPr>
          <w:trHeight w:val="300"/>
        </w:trPr>
        <w:tc>
          <w:tcPr>
            <w:tcW w:w="2268" w:type="dxa"/>
            <w:shd w:val="clear" w:color="auto" w:fill="auto"/>
            <w:noWrap/>
            <w:vAlign w:val="bottom"/>
          </w:tcPr>
          <w:p w14:paraId="7F684EAE" w14:textId="77777777" w:rsidR="00402DC0" w:rsidRPr="004D0DE0" w:rsidRDefault="00402DC0" w:rsidP="00402DC0">
            <w:pPr>
              <w:rPr>
                <w:b/>
                <w:sz w:val="20"/>
                <w:szCs w:val="22"/>
              </w:rPr>
            </w:pPr>
            <w:r w:rsidRPr="004D0DE0">
              <w:rPr>
                <w:b/>
                <w:sz w:val="20"/>
                <w:szCs w:val="22"/>
              </w:rPr>
              <w:t>Linezolid</w:t>
            </w:r>
          </w:p>
        </w:tc>
        <w:tc>
          <w:tcPr>
            <w:tcW w:w="1276" w:type="dxa"/>
            <w:shd w:val="clear" w:color="auto" w:fill="auto"/>
            <w:noWrap/>
            <w:vAlign w:val="bottom"/>
          </w:tcPr>
          <w:p w14:paraId="5F9F5C4D" w14:textId="77777777" w:rsidR="00402DC0" w:rsidRPr="000A0F4F" w:rsidRDefault="00402DC0" w:rsidP="00402DC0">
            <w:pPr>
              <w:jc w:val="right"/>
              <w:rPr>
                <w:sz w:val="20"/>
              </w:rPr>
            </w:pPr>
            <w:r w:rsidRPr="000A0F4F">
              <w:rPr>
                <w:sz w:val="20"/>
              </w:rPr>
              <w:t>£1,068.00</w:t>
            </w:r>
          </w:p>
        </w:tc>
        <w:tc>
          <w:tcPr>
            <w:tcW w:w="1559" w:type="dxa"/>
            <w:shd w:val="clear" w:color="auto" w:fill="auto"/>
            <w:noWrap/>
            <w:vAlign w:val="bottom"/>
          </w:tcPr>
          <w:p w14:paraId="7FA4CFCF" w14:textId="77777777" w:rsidR="00402DC0" w:rsidRPr="007C4C3B" w:rsidRDefault="00402DC0" w:rsidP="00402DC0">
            <w:pPr>
              <w:jc w:val="right"/>
              <w:rPr>
                <w:sz w:val="20"/>
              </w:rPr>
            </w:pPr>
            <w:r w:rsidRPr="007C4C3B">
              <w:rPr>
                <w:sz w:val="20"/>
              </w:rPr>
              <w:t>£238.20</w:t>
            </w:r>
          </w:p>
        </w:tc>
        <w:tc>
          <w:tcPr>
            <w:tcW w:w="1701" w:type="dxa"/>
            <w:vAlign w:val="bottom"/>
          </w:tcPr>
          <w:p w14:paraId="70C5303B" w14:textId="60A53873" w:rsidR="00402DC0" w:rsidRPr="007C4C3B" w:rsidRDefault="00402DC0" w:rsidP="00402DC0">
            <w:pPr>
              <w:jc w:val="right"/>
              <w:rPr>
                <w:sz w:val="20"/>
              </w:rPr>
            </w:pPr>
            <w:r>
              <w:rPr>
                <w:sz w:val="20"/>
              </w:rPr>
              <w:t>£</w:t>
            </w:r>
            <w:r w:rsidRPr="007C4C3B">
              <w:rPr>
                <w:sz w:val="20"/>
              </w:rPr>
              <w:t>50.91</w:t>
            </w:r>
          </w:p>
        </w:tc>
        <w:tc>
          <w:tcPr>
            <w:tcW w:w="1417" w:type="dxa"/>
            <w:shd w:val="clear" w:color="auto" w:fill="auto"/>
            <w:noWrap/>
            <w:vAlign w:val="bottom"/>
          </w:tcPr>
          <w:p w14:paraId="57D84756" w14:textId="77777777" w:rsidR="00402DC0" w:rsidRPr="007C4C3B" w:rsidRDefault="00402DC0" w:rsidP="00402DC0">
            <w:pPr>
              <w:jc w:val="right"/>
              <w:rPr>
                <w:sz w:val="20"/>
              </w:rPr>
            </w:pPr>
            <w:r w:rsidRPr="007C4C3B">
              <w:rPr>
                <w:sz w:val="20"/>
              </w:rPr>
              <w:t>£1,357.11</w:t>
            </w:r>
          </w:p>
        </w:tc>
      </w:tr>
      <w:tr w:rsidR="00402DC0" w:rsidRPr="00BE676E" w14:paraId="081F6764" w14:textId="77777777" w:rsidTr="0075674B">
        <w:trPr>
          <w:trHeight w:val="300"/>
        </w:trPr>
        <w:tc>
          <w:tcPr>
            <w:tcW w:w="2268" w:type="dxa"/>
            <w:shd w:val="clear" w:color="auto" w:fill="auto"/>
            <w:noWrap/>
            <w:vAlign w:val="bottom"/>
          </w:tcPr>
          <w:p w14:paraId="640E5B29" w14:textId="77777777" w:rsidR="00402DC0" w:rsidRPr="004D0DE0" w:rsidRDefault="00402DC0" w:rsidP="00402DC0">
            <w:pPr>
              <w:rPr>
                <w:b/>
                <w:sz w:val="20"/>
                <w:szCs w:val="22"/>
              </w:rPr>
            </w:pPr>
          </w:p>
        </w:tc>
        <w:tc>
          <w:tcPr>
            <w:tcW w:w="1276" w:type="dxa"/>
            <w:shd w:val="clear" w:color="auto" w:fill="auto"/>
            <w:noWrap/>
            <w:vAlign w:val="bottom"/>
          </w:tcPr>
          <w:p w14:paraId="15CC22DE" w14:textId="77777777" w:rsidR="00402DC0" w:rsidRPr="000A0F4F" w:rsidRDefault="00402DC0" w:rsidP="00402DC0">
            <w:pPr>
              <w:rPr>
                <w:sz w:val="20"/>
              </w:rPr>
            </w:pPr>
          </w:p>
        </w:tc>
        <w:tc>
          <w:tcPr>
            <w:tcW w:w="1559" w:type="dxa"/>
            <w:shd w:val="clear" w:color="auto" w:fill="auto"/>
            <w:noWrap/>
            <w:vAlign w:val="bottom"/>
          </w:tcPr>
          <w:p w14:paraId="5362527F" w14:textId="77777777" w:rsidR="00402DC0" w:rsidRPr="007C4C3B" w:rsidRDefault="00402DC0" w:rsidP="00402DC0">
            <w:pPr>
              <w:rPr>
                <w:sz w:val="20"/>
              </w:rPr>
            </w:pPr>
          </w:p>
        </w:tc>
        <w:tc>
          <w:tcPr>
            <w:tcW w:w="1701" w:type="dxa"/>
            <w:vAlign w:val="bottom"/>
          </w:tcPr>
          <w:p w14:paraId="7E03C6A6" w14:textId="77777777" w:rsidR="00402DC0" w:rsidRPr="007C4C3B" w:rsidRDefault="00402DC0" w:rsidP="00402DC0">
            <w:pPr>
              <w:rPr>
                <w:sz w:val="20"/>
              </w:rPr>
            </w:pPr>
          </w:p>
        </w:tc>
        <w:tc>
          <w:tcPr>
            <w:tcW w:w="1417" w:type="dxa"/>
            <w:shd w:val="clear" w:color="auto" w:fill="auto"/>
            <w:noWrap/>
            <w:vAlign w:val="bottom"/>
          </w:tcPr>
          <w:p w14:paraId="71E8B973" w14:textId="77777777" w:rsidR="00402DC0" w:rsidRPr="007C4C3B" w:rsidRDefault="00402DC0" w:rsidP="00402DC0">
            <w:pPr>
              <w:rPr>
                <w:sz w:val="20"/>
              </w:rPr>
            </w:pPr>
          </w:p>
        </w:tc>
      </w:tr>
      <w:tr w:rsidR="00402DC0" w:rsidRPr="00BE676E" w14:paraId="656499C8" w14:textId="77777777" w:rsidTr="0075674B">
        <w:trPr>
          <w:trHeight w:val="300"/>
        </w:trPr>
        <w:tc>
          <w:tcPr>
            <w:tcW w:w="2268" w:type="dxa"/>
            <w:shd w:val="clear" w:color="auto" w:fill="auto"/>
            <w:noWrap/>
            <w:vAlign w:val="bottom"/>
          </w:tcPr>
          <w:p w14:paraId="37CE2F7C" w14:textId="77777777" w:rsidR="00402DC0" w:rsidRPr="004D0DE0" w:rsidRDefault="00402DC0" w:rsidP="00402DC0">
            <w:pPr>
              <w:rPr>
                <w:b/>
                <w:sz w:val="20"/>
                <w:szCs w:val="22"/>
              </w:rPr>
            </w:pPr>
            <w:r w:rsidRPr="004D0DE0">
              <w:rPr>
                <w:b/>
                <w:sz w:val="20"/>
                <w:szCs w:val="22"/>
              </w:rPr>
              <w:t>Difference</w:t>
            </w:r>
          </w:p>
        </w:tc>
        <w:tc>
          <w:tcPr>
            <w:tcW w:w="1276" w:type="dxa"/>
            <w:shd w:val="clear" w:color="auto" w:fill="auto"/>
            <w:noWrap/>
            <w:vAlign w:val="bottom"/>
          </w:tcPr>
          <w:p w14:paraId="7C007ECF" w14:textId="77777777" w:rsidR="00402DC0" w:rsidRPr="000A0F4F" w:rsidRDefault="00402DC0" w:rsidP="00402DC0">
            <w:pPr>
              <w:jc w:val="right"/>
              <w:rPr>
                <w:sz w:val="20"/>
              </w:rPr>
            </w:pPr>
            <w:r w:rsidRPr="000A0F4F">
              <w:rPr>
                <w:sz w:val="20"/>
              </w:rPr>
              <w:t>-£168.00</w:t>
            </w:r>
          </w:p>
        </w:tc>
        <w:tc>
          <w:tcPr>
            <w:tcW w:w="1559" w:type="dxa"/>
            <w:shd w:val="clear" w:color="auto" w:fill="auto"/>
            <w:noWrap/>
            <w:vAlign w:val="bottom"/>
          </w:tcPr>
          <w:p w14:paraId="3A0DD871" w14:textId="77777777" w:rsidR="00402DC0" w:rsidRPr="007C4C3B" w:rsidRDefault="00402DC0" w:rsidP="00402DC0">
            <w:pPr>
              <w:jc w:val="right"/>
              <w:rPr>
                <w:sz w:val="20"/>
              </w:rPr>
            </w:pPr>
            <w:r w:rsidRPr="007C4C3B">
              <w:rPr>
                <w:sz w:val="20"/>
              </w:rPr>
              <w:t>-£39.38</w:t>
            </w:r>
          </w:p>
        </w:tc>
        <w:tc>
          <w:tcPr>
            <w:tcW w:w="1701" w:type="dxa"/>
            <w:vAlign w:val="bottom"/>
          </w:tcPr>
          <w:p w14:paraId="403529AA" w14:textId="77777777" w:rsidR="00402DC0" w:rsidRPr="007C4C3B" w:rsidRDefault="00402DC0" w:rsidP="00402DC0">
            <w:pPr>
              <w:jc w:val="right"/>
              <w:rPr>
                <w:sz w:val="20"/>
              </w:rPr>
            </w:pPr>
            <w:r w:rsidRPr="007C4C3B">
              <w:rPr>
                <w:sz w:val="20"/>
              </w:rPr>
              <w:t>-£50.91</w:t>
            </w:r>
          </w:p>
        </w:tc>
        <w:tc>
          <w:tcPr>
            <w:tcW w:w="1417" w:type="dxa"/>
            <w:shd w:val="clear" w:color="auto" w:fill="auto"/>
            <w:noWrap/>
            <w:vAlign w:val="bottom"/>
          </w:tcPr>
          <w:p w14:paraId="528C2497" w14:textId="77777777" w:rsidR="00402DC0" w:rsidRPr="007C4C3B" w:rsidRDefault="00402DC0" w:rsidP="00402DC0">
            <w:pPr>
              <w:jc w:val="right"/>
              <w:rPr>
                <w:sz w:val="20"/>
              </w:rPr>
            </w:pPr>
            <w:r w:rsidRPr="007C4C3B">
              <w:rPr>
                <w:sz w:val="20"/>
              </w:rPr>
              <w:t>-£258.29</w:t>
            </w:r>
          </w:p>
        </w:tc>
      </w:tr>
    </w:tbl>
    <w:p w14:paraId="30A00C79" w14:textId="77777777" w:rsidR="00B2707C" w:rsidRDefault="00B2707C" w:rsidP="00B2707C">
      <w:pPr>
        <w:pStyle w:val="BodyText"/>
      </w:pPr>
    </w:p>
    <w:p w14:paraId="4C3AA7F8" w14:textId="77777777" w:rsidR="00B2707C" w:rsidRDefault="00B2707C" w:rsidP="00B2707C">
      <w:pPr>
        <w:pStyle w:val="BodyText"/>
      </w:pPr>
    </w:p>
    <w:p w14:paraId="4A58728C" w14:textId="77777777" w:rsidR="00BE69CC" w:rsidRPr="002A1891" w:rsidRDefault="00BE69CC" w:rsidP="00BE69CC">
      <w:pPr>
        <w:rPr>
          <w:b/>
          <w:sz w:val="22"/>
          <w:szCs w:val="22"/>
        </w:rPr>
      </w:pPr>
      <w:r w:rsidRPr="002A1891">
        <w:rPr>
          <w:b/>
          <w:sz w:val="22"/>
          <w:szCs w:val="22"/>
        </w:rPr>
        <w:t>Scenario 4: 6 days of IV and 12 days overall treatment of linezolid</w:t>
      </w:r>
    </w:p>
    <w:p w14:paraId="3E2F4A3D" w14:textId="3B17CDE6" w:rsidR="00BE69CC" w:rsidRPr="002A1891" w:rsidRDefault="00BE69CC" w:rsidP="00BE69CC">
      <w:pPr>
        <w:rPr>
          <w:sz w:val="22"/>
          <w:szCs w:val="22"/>
        </w:rPr>
      </w:pPr>
      <w:r w:rsidRPr="002A1891">
        <w:rPr>
          <w:sz w:val="22"/>
          <w:szCs w:val="22"/>
        </w:rPr>
        <w:tab/>
        <w:t>Tedizolid </w:t>
      </w:r>
      <w:r w:rsidR="0075674B">
        <w:rPr>
          <w:rFonts w:cs="Arial"/>
          <w:sz w:val="22"/>
          <w:szCs w:val="22"/>
        </w:rPr>
        <w:t>phosphate</w:t>
      </w:r>
      <w:r w:rsidR="0075674B" w:rsidRPr="002A1891">
        <w:rPr>
          <w:sz w:val="22"/>
          <w:szCs w:val="22"/>
        </w:rPr>
        <w:t xml:space="preserve"> </w:t>
      </w:r>
      <w:r w:rsidRPr="002A1891">
        <w:rPr>
          <w:sz w:val="22"/>
          <w:szCs w:val="22"/>
        </w:rPr>
        <w:t>- 6 days IV</w:t>
      </w:r>
      <w:r w:rsidRPr="002A1891">
        <w:rPr>
          <w:sz w:val="22"/>
          <w:szCs w:val="22"/>
        </w:rPr>
        <w:tab/>
      </w:r>
    </w:p>
    <w:p w14:paraId="373FD6C9" w14:textId="77777777" w:rsidR="00BE69CC" w:rsidRPr="002A1891" w:rsidRDefault="00BE69CC" w:rsidP="00BE69CC">
      <w:pPr>
        <w:rPr>
          <w:sz w:val="22"/>
          <w:szCs w:val="22"/>
        </w:rPr>
      </w:pPr>
      <w:r w:rsidRPr="002A1891">
        <w:rPr>
          <w:sz w:val="22"/>
          <w:szCs w:val="22"/>
        </w:rPr>
        <w:tab/>
        <w:t>Linezolid - 6 days IV 6 days OPAT</w:t>
      </w:r>
    </w:p>
    <w:p w14:paraId="30B7E262" w14:textId="77777777" w:rsidR="00B2707C" w:rsidRDefault="00B2707C" w:rsidP="00B2707C">
      <w:pPr>
        <w:pStyle w:val="BodyText"/>
      </w:pPr>
    </w:p>
    <w:p w14:paraId="19749D00" w14:textId="34CA6386" w:rsidR="00B2707C" w:rsidRDefault="00402DC0" w:rsidP="00B2707C">
      <w:pPr>
        <w:rPr>
          <w:sz w:val="22"/>
          <w:szCs w:val="22"/>
        </w:rPr>
      </w:pPr>
      <w:r w:rsidRPr="002A1891">
        <w:rPr>
          <w:sz w:val="22"/>
          <w:szCs w:val="22"/>
        </w:rPr>
        <w:t xml:space="preserve">The use of tedizolid phosphate leads to costs of </w:t>
      </w:r>
      <w:r w:rsidRPr="002A1891">
        <w:rPr>
          <w:rFonts w:cs="Arial"/>
          <w:sz w:val="22"/>
          <w:szCs w:val="22"/>
        </w:rPr>
        <w:t>£</w:t>
      </w:r>
      <w:r>
        <w:rPr>
          <w:rFonts w:cs="Arial"/>
          <w:sz w:val="22"/>
          <w:szCs w:val="22"/>
        </w:rPr>
        <w:t>1,098.82</w:t>
      </w:r>
      <w:r w:rsidRPr="002A1891">
        <w:rPr>
          <w:sz w:val="22"/>
          <w:szCs w:val="22"/>
        </w:rPr>
        <w:t xml:space="preserve"> and linezolid to costs of £1,</w:t>
      </w:r>
      <w:r>
        <w:rPr>
          <w:sz w:val="22"/>
          <w:szCs w:val="22"/>
        </w:rPr>
        <w:t>517</w:t>
      </w:r>
      <w:r w:rsidRPr="002A1891">
        <w:rPr>
          <w:sz w:val="22"/>
          <w:szCs w:val="22"/>
        </w:rPr>
        <w:t>.</w:t>
      </w:r>
      <w:r>
        <w:rPr>
          <w:sz w:val="22"/>
          <w:szCs w:val="22"/>
        </w:rPr>
        <w:t>01</w:t>
      </w:r>
      <w:r w:rsidRPr="002A1891">
        <w:rPr>
          <w:sz w:val="22"/>
          <w:szCs w:val="22"/>
        </w:rPr>
        <w:t xml:space="preserve"> (</w:t>
      </w:r>
      <w:r>
        <w:rPr>
          <w:sz w:val="22"/>
          <w:szCs w:val="22"/>
        </w:rPr>
        <w:t xml:space="preserve">largely </w:t>
      </w:r>
      <w:r w:rsidRPr="002A1891">
        <w:rPr>
          <w:sz w:val="22"/>
          <w:szCs w:val="22"/>
        </w:rPr>
        <w:t xml:space="preserve">because of </w:t>
      </w:r>
      <w:r>
        <w:rPr>
          <w:sz w:val="22"/>
          <w:szCs w:val="22"/>
        </w:rPr>
        <w:t xml:space="preserve">the </w:t>
      </w:r>
      <w:r w:rsidRPr="002A1891">
        <w:rPr>
          <w:sz w:val="22"/>
          <w:szCs w:val="22"/>
        </w:rPr>
        <w:t>additional costs of £159.90 for ambulatory care (OPAT), resulting in total savings of £</w:t>
      </w:r>
      <w:r>
        <w:rPr>
          <w:sz w:val="22"/>
          <w:szCs w:val="22"/>
        </w:rPr>
        <w:t>418</w:t>
      </w:r>
      <w:r w:rsidRPr="002A1891">
        <w:rPr>
          <w:sz w:val="22"/>
          <w:szCs w:val="22"/>
        </w:rPr>
        <w:t>.</w:t>
      </w:r>
      <w:r>
        <w:rPr>
          <w:sz w:val="22"/>
          <w:szCs w:val="22"/>
        </w:rPr>
        <w:t>19</w:t>
      </w:r>
      <w:r w:rsidRPr="002A1891">
        <w:rPr>
          <w:sz w:val="22"/>
          <w:szCs w:val="22"/>
        </w:rPr>
        <w:t xml:space="preserve"> </w:t>
      </w:r>
      <w:r w:rsidR="00B2707C" w:rsidRPr="002A1891">
        <w:rPr>
          <w:sz w:val="22"/>
          <w:szCs w:val="22"/>
        </w:rPr>
        <w:t>(</w:t>
      </w:r>
      <w:r w:rsidR="00B733E7">
        <w:rPr>
          <w:sz w:val="22"/>
          <w:szCs w:val="22"/>
        </w:rPr>
        <w:fldChar w:fldCharType="begin"/>
      </w:r>
      <w:r w:rsidR="00B733E7">
        <w:rPr>
          <w:sz w:val="22"/>
          <w:szCs w:val="22"/>
        </w:rPr>
        <w:instrText xml:space="preserve"> REF _Ref284426461 \h </w:instrText>
      </w:r>
      <w:r w:rsidR="00B733E7">
        <w:rPr>
          <w:sz w:val="22"/>
          <w:szCs w:val="22"/>
        </w:rPr>
      </w:r>
      <w:r w:rsidR="00B733E7">
        <w:rPr>
          <w:sz w:val="22"/>
          <w:szCs w:val="22"/>
        </w:rPr>
        <w:fldChar w:fldCharType="separate"/>
      </w:r>
      <w:r w:rsidR="00151A1C" w:rsidRPr="002A1891">
        <w:rPr>
          <w:rFonts w:cs="Arial"/>
          <w:sz w:val="22"/>
          <w:szCs w:val="22"/>
        </w:rPr>
        <w:t xml:space="preserve">Table </w:t>
      </w:r>
      <w:r w:rsidR="00151A1C">
        <w:rPr>
          <w:rFonts w:cs="Arial"/>
          <w:noProof/>
          <w:sz w:val="22"/>
          <w:szCs w:val="22"/>
        </w:rPr>
        <w:t>55</w:t>
      </w:r>
      <w:r w:rsidR="00B733E7">
        <w:rPr>
          <w:sz w:val="22"/>
          <w:szCs w:val="22"/>
        </w:rPr>
        <w:fldChar w:fldCharType="end"/>
      </w:r>
      <w:r w:rsidR="00B733E7">
        <w:rPr>
          <w:sz w:val="22"/>
          <w:szCs w:val="22"/>
        </w:rPr>
        <w:t>).</w:t>
      </w:r>
    </w:p>
    <w:p w14:paraId="09BABB01" w14:textId="2D47125D" w:rsidR="00B2707C" w:rsidRPr="00B2707C" w:rsidRDefault="00B2707C" w:rsidP="00B2707C">
      <w:pPr>
        <w:pStyle w:val="Caption"/>
        <w:rPr>
          <w:rFonts w:ascii="Arial" w:hAnsi="Arial" w:cs="Arial"/>
          <w:sz w:val="22"/>
          <w:szCs w:val="22"/>
        </w:rPr>
      </w:pPr>
      <w:bookmarkStart w:id="214" w:name="_Ref284426461"/>
      <w:r w:rsidRPr="002A1891">
        <w:rPr>
          <w:rFonts w:ascii="Arial" w:hAnsi="Arial" w:cs="Arial"/>
          <w:sz w:val="22"/>
          <w:szCs w:val="22"/>
        </w:rPr>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55</w:t>
      </w:r>
      <w:r w:rsidRPr="002A1891">
        <w:rPr>
          <w:rFonts w:ascii="Arial" w:hAnsi="Arial" w:cs="Arial"/>
          <w:sz w:val="22"/>
          <w:szCs w:val="22"/>
        </w:rPr>
        <w:fldChar w:fldCharType="end"/>
      </w:r>
      <w:bookmarkEnd w:id="214"/>
      <w:r w:rsidRPr="002A1891">
        <w:rPr>
          <w:rFonts w:ascii="Arial" w:hAnsi="Arial" w:cs="Arial"/>
          <w:sz w:val="22"/>
          <w:szCs w:val="22"/>
        </w:rPr>
        <w:t>: Results – scenario 4</w:t>
      </w:r>
    </w:p>
    <w:p w14:paraId="72FE934B" w14:textId="77777777" w:rsidR="00B2707C" w:rsidRPr="008864B0" w:rsidRDefault="00B2707C" w:rsidP="00B2707C">
      <w:pPr>
        <w:rPr>
          <w:b/>
          <w:sz w:val="20"/>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559"/>
        <w:gridCol w:w="1701"/>
        <w:gridCol w:w="993"/>
        <w:gridCol w:w="1417"/>
      </w:tblGrid>
      <w:tr w:rsidR="00B716D1" w:rsidRPr="004D0DE0" w14:paraId="1C2F9610" w14:textId="77777777" w:rsidTr="0075674B">
        <w:trPr>
          <w:trHeight w:val="300"/>
        </w:trPr>
        <w:tc>
          <w:tcPr>
            <w:tcW w:w="2268" w:type="dxa"/>
            <w:shd w:val="clear" w:color="auto" w:fill="auto"/>
            <w:noWrap/>
            <w:vAlign w:val="bottom"/>
          </w:tcPr>
          <w:p w14:paraId="397AE069" w14:textId="77777777" w:rsidR="00B716D1" w:rsidRPr="004D0DE0" w:rsidRDefault="00B716D1" w:rsidP="00481E22">
            <w:pPr>
              <w:rPr>
                <w:b/>
                <w:sz w:val="20"/>
                <w:szCs w:val="22"/>
              </w:rPr>
            </w:pPr>
          </w:p>
        </w:tc>
        <w:tc>
          <w:tcPr>
            <w:tcW w:w="1276" w:type="dxa"/>
            <w:shd w:val="clear" w:color="auto" w:fill="auto"/>
            <w:noWrap/>
            <w:vAlign w:val="bottom"/>
          </w:tcPr>
          <w:p w14:paraId="39FFF5AF" w14:textId="77777777" w:rsidR="00B716D1" w:rsidRPr="004D0DE0" w:rsidRDefault="00B716D1" w:rsidP="00481E22">
            <w:pPr>
              <w:jc w:val="right"/>
              <w:rPr>
                <w:b/>
                <w:sz w:val="20"/>
                <w:szCs w:val="22"/>
                <w:vertAlign w:val="superscript"/>
              </w:rPr>
            </w:pPr>
            <w:r w:rsidRPr="004D0DE0">
              <w:rPr>
                <w:b/>
                <w:sz w:val="20"/>
                <w:szCs w:val="22"/>
              </w:rPr>
              <w:t>Drug cost</w:t>
            </w:r>
          </w:p>
          <w:p w14:paraId="2B8116BD" w14:textId="77777777" w:rsidR="00B716D1" w:rsidRPr="004D0DE0" w:rsidRDefault="00B716D1" w:rsidP="00481E22">
            <w:pPr>
              <w:jc w:val="right"/>
              <w:rPr>
                <w:b/>
                <w:sz w:val="20"/>
                <w:szCs w:val="22"/>
                <w:vertAlign w:val="superscript"/>
              </w:rPr>
            </w:pPr>
          </w:p>
        </w:tc>
        <w:tc>
          <w:tcPr>
            <w:tcW w:w="1559" w:type="dxa"/>
            <w:shd w:val="clear" w:color="auto" w:fill="auto"/>
            <w:noWrap/>
            <w:vAlign w:val="bottom"/>
          </w:tcPr>
          <w:p w14:paraId="1252142C" w14:textId="77777777" w:rsidR="00B716D1" w:rsidRPr="004D0DE0" w:rsidRDefault="00B716D1" w:rsidP="00481E22">
            <w:pPr>
              <w:jc w:val="right"/>
              <w:rPr>
                <w:b/>
                <w:sz w:val="20"/>
                <w:szCs w:val="22"/>
                <w:vertAlign w:val="superscript"/>
              </w:rPr>
            </w:pPr>
            <w:r w:rsidRPr="004D0DE0">
              <w:rPr>
                <w:b/>
                <w:sz w:val="20"/>
                <w:szCs w:val="22"/>
              </w:rPr>
              <w:t>Administration costs</w:t>
            </w:r>
          </w:p>
        </w:tc>
        <w:tc>
          <w:tcPr>
            <w:tcW w:w="1701" w:type="dxa"/>
          </w:tcPr>
          <w:p w14:paraId="71DCA8B5" w14:textId="77777777" w:rsidR="00B716D1" w:rsidRPr="004D0DE0" w:rsidRDefault="00B716D1" w:rsidP="00481E22">
            <w:pPr>
              <w:spacing w:before="2" w:after="2"/>
              <w:jc w:val="right"/>
              <w:rPr>
                <w:b/>
                <w:sz w:val="20"/>
                <w:szCs w:val="22"/>
              </w:rPr>
            </w:pPr>
            <w:r w:rsidRPr="004D0DE0">
              <w:rPr>
                <w:b/>
                <w:sz w:val="20"/>
                <w:szCs w:val="22"/>
              </w:rPr>
              <w:t xml:space="preserve">Monitoring </w:t>
            </w:r>
          </w:p>
          <w:p w14:paraId="394127F5" w14:textId="77777777" w:rsidR="00B716D1" w:rsidRPr="004D0DE0" w:rsidRDefault="00B716D1" w:rsidP="00481E22">
            <w:pPr>
              <w:spacing w:before="2" w:after="2"/>
              <w:jc w:val="right"/>
              <w:rPr>
                <w:b/>
                <w:sz w:val="20"/>
                <w:szCs w:val="22"/>
              </w:rPr>
            </w:pPr>
            <w:r w:rsidRPr="004D0DE0">
              <w:rPr>
                <w:b/>
                <w:sz w:val="20"/>
                <w:szCs w:val="22"/>
              </w:rPr>
              <w:t>costs</w:t>
            </w:r>
          </w:p>
        </w:tc>
        <w:tc>
          <w:tcPr>
            <w:tcW w:w="993" w:type="dxa"/>
          </w:tcPr>
          <w:p w14:paraId="13A6B3C1" w14:textId="77777777" w:rsidR="00B716D1" w:rsidRPr="004D0DE0" w:rsidRDefault="00B716D1" w:rsidP="00481E22">
            <w:pPr>
              <w:spacing w:before="2" w:after="2"/>
              <w:jc w:val="right"/>
              <w:rPr>
                <w:b/>
                <w:sz w:val="20"/>
                <w:szCs w:val="22"/>
              </w:rPr>
            </w:pPr>
            <w:r>
              <w:rPr>
                <w:b/>
                <w:sz w:val="20"/>
                <w:szCs w:val="22"/>
              </w:rPr>
              <w:t>OPAT</w:t>
            </w:r>
            <w:r w:rsidRPr="004D0DE0">
              <w:rPr>
                <w:b/>
                <w:sz w:val="20"/>
                <w:szCs w:val="22"/>
              </w:rPr>
              <w:t xml:space="preserve"> </w:t>
            </w:r>
          </w:p>
          <w:p w14:paraId="7D4AAD1B" w14:textId="77777777" w:rsidR="00B716D1" w:rsidRPr="004D0DE0" w:rsidRDefault="00B716D1" w:rsidP="00481E22">
            <w:pPr>
              <w:spacing w:before="2" w:after="2"/>
              <w:jc w:val="right"/>
              <w:rPr>
                <w:b/>
                <w:sz w:val="20"/>
                <w:szCs w:val="22"/>
              </w:rPr>
            </w:pPr>
            <w:r w:rsidRPr="004D0DE0">
              <w:rPr>
                <w:b/>
                <w:sz w:val="20"/>
                <w:szCs w:val="22"/>
              </w:rPr>
              <w:t>costs</w:t>
            </w:r>
          </w:p>
        </w:tc>
        <w:tc>
          <w:tcPr>
            <w:tcW w:w="1417" w:type="dxa"/>
            <w:shd w:val="clear" w:color="auto" w:fill="auto"/>
            <w:noWrap/>
            <w:vAlign w:val="bottom"/>
          </w:tcPr>
          <w:p w14:paraId="34DFD547" w14:textId="77777777" w:rsidR="00B716D1" w:rsidRPr="004D0DE0" w:rsidRDefault="00B716D1" w:rsidP="00481E22">
            <w:pPr>
              <w:jc w:val="right"/>
              <w:rPr>
                <w:b/>
                <w:sz w:val="20"/>
                <w:szCs w:val="22"/>
              </w:rPr>
            </w:pPr>
            <w:r w:rsidRPr="004D0DE0">
              <w:rPr>
                <w:b/>
                <w:sz w:val="20"/>
                <w:szCs w:val="22"/>
              </w:rPr>
              <w:t>Total costs</w:t>
            </w:r>
          </w:p>
          <w:p w14:paraId="0A05D100" w14:textId="77777777" w:rsidR="00B716D1" w:rsidRPr="004D0DE0" w:rsidRDefault="00B716D1" w:rsidP="00481E22">
            <w:pPr>
              <w:jc w:val="right"/>
              <w:rPr>
                <w:b/>
                <w:sz w:val="20"/>
                <w:szCs w:val="22"/>
              </w:rPr>
            </w:pPr>
          </w:p>
        </w:tc>
      </w:tr>
      <w:tr w:rsidR="00B716D1" w:rsidRPr="004105AC" w14:paraId="61DDF8F9" w14:textId="77777777" w:rsidTr="0075674B">
        <w:trPr>
          <w:trHeight w:val="300"/>
        </w:trPr>
        <w:tc>
          <w:tcPr>
            <w:tcW w:w="2268" w:type="dxa"/>
            <w:shd w:val="clear" w:color="auto" w:fill="auto"/>
            <w:noWrap/>
            <w:vAlign w:val="bottom"/>
          </w:tcPr>
          <w:p w14:paraId="689CABF7" w14:textId="6E0A82F6" w:rsidR="00B716D1" w:rsidRPr="004D0DE0" w:rsidRDefault="00B716D1" w:rsidP="00481E22">
            <w:pPr>
              <w:rPr>
                <w:b/>
                <w:sz w:val="20"/>
                <w:szCs w:val="22"/>
              </w:rPr>
            </w:pPr>
            <w:r w:rsidRPr="004D0DE0">
              <w:rPr>
                <w:b/>
                <w:sz w:val="20"/>
                <w:szCs w:val="22"/>
              </w:rPr>
              <w:t>Tedizolid</w:t>
            </w:r>
            <w:r w:rsidR="0075674B">
              <w:rPr>
                <w:b/>
                <w:sz w:val="20"/>
                <w:szCs w:val="22"/>
              </w:rPr>
              <w:t xml:space="preserve"> </w:t>
            </w:r>
            <w:r w:rsidR="0075674B" w:rsidRPr="0075674B">
              <w:rPr>
                <w:rFonts w:cs="Arial"/>
                <w:b/>
                <w:sz w:val="22"/>
                <w:szCs w:val="22"/>
              </w:rPr>
              <w:t>phosphate</w:t>
            </w:r>
          </w:p>
        </w:tc>
        <w:tc>
          <w:tcPr>
            <w:tcW w:w="1276" w:type="dxa"/>
            <w:shd w:val="clear" w:color="auto" w:fill="auto"/>
            <w:noWrap/>
            <w:vAlign w:val="bottom"/>
          </w:tcPr>
          <w:p w14:paraId="5D7E1FDC" w14:textId="77777777" w:rsidR="00B716D1" w:rsidRPr="008864B0" w:rsidRDefault="00B716D1" w:rsidP="00481E22">
            <w:pPr>
              <w:jc w:val="right"/>
              <w:rPr>
                <w:sz w:val="20"/>
              </w:rPr>
            </w:pPr>
            <w:r w:rsidRPr="008864B0">
              <w:rPr>
                <w:sz w:val="20"/>
              </w:rPr>
              <w:t>£900.00</w:t>
            </w:r>
          </w:p>
        </w:tc>
        <w:tc>
          <w:tcPr>
            <w:tcW w:w="1559" w:type="dxa"/>
            <w:shd w:val="clear" w:color="auto" w:fill="auto"/>
            <w:noWrap/>
            <w:vAlign w:val="bottom"/>
          </w:tcPr>
          <w:p w14:paraId="4A9921CC" w14:textId="77777777" w:rsidR="00B716D1" w:rsidRPr="007C4C3B" w:rsidRDefault="00B716D1" w:rsidP="00481E22">
            <w:pPr>
              <w:jc w:val="right"/>
              <w:rPr>
                <w:sz w:val="20"/>
              </w:rPr>
            </w:pPr>
            <w:r w:rsidRPr="007C4C3B">
              <w:rPr>
                <w:sz w:val="20"/>
              </w:rPr>
              <w:t>£198.82</w:t>
            </w:r>
          </w:p>
        </w:tc>
        <w:tc>
          <w:tcPr>
            <w:tcW w:w="1701" w:type="dxa"/>
            <w:vAlign w:val="bottom"/>
          </w:tcPr>
          <w:p w14:paraId="6FB27802" w14:textId="77777777" w:rsidR="00B716D1" w:rsidRPr="007C4C3B" w:rsidRDefault="00B716D1" w:rsidP="00481E22">
            <w:pPr>
              <w:jc w:val="right"/>
              <w:rPr>
                <w:sz w:val="20"/>
              </w:rPr>
            </w:pPr>
            <w:r w:rsidRPr="007C4C3B">
              <w:rPr>
                <w:sz w:val="20"/>
              </w:rPr>
              <w:t>£0.00</w:t>
            </w:r>
          </w:p>
        </w:tc>
        <w:tc>
          <w:tcPr>
            <w:tcW w:w="993" w:type="dxa"/>
            <w:vAlign w:val="bottom"/>
          </w:tcPr>
          <w:p w14:paraId="2CB2C9F5" w14:textId="77777777" w:rsidR="00B716D1" w:rsidRPr="007C4C3B" w:rsidRDefault="00B716D1" w:rsidP="00481E22">
            <w:pPr>
              <w:jc w:val="right"/>
              <w:rPr>
                <w:sz w:val="20"/>
              </w:rPr>
            </w:pPr>
            <w:r w:rsidRPr="007C4C3B">
              <w:rPr>
                <w:sz w:val="20"/>
              </w:rPr>
              <w:t>£0.00</w:t>
            </w:r>
          </w:p>
        </w:tc>
        <w:tc>
          <w:tcPr>
            <w:tcW w:w="1417" w:type="dxa"/>
            <w:shd w:val="clear" w:color="auto" w:fill="auto"/>
            <w:noWrap/>
            <w:vAlign w:val="bottom"/>
          </w:tcPr>
          <w:p w14:paraId="61FA7EC3" w14:textId="77777777" w:rsidR="00B716D1" w:rsidRPr="004105AC" w:rsidRDefault="00B716D1" w:rsidP="00481E22">
            <w:pPr>
              <w:jc w:val="right"/>
              <w:rPr>
                <w:sz w:val="20"/>
              </w:rPr>
            </w:pPr>
            <w:r w:rsidRPr="004105AC">
              <w:rPr>
                <w:sz w:val="20"/>
              </w:rPr>
              <w:t>£1,098.82</w:t>
            </w:r>
          </w:p>
        </w:tc>
      </w:tr>
      <w:tr w:rsidR="00B716D1" w:rsidRPr="004105AC" w14:paraId="6B64C789" w14:textId="77777777" w:rsidTr="0075674B">
        <w:trPr>
          <w:trHeight w:val="300"/>
        </w:trPr>
        <w:tc>
          <w:tcPr>
            <w:tcW w:w="2268" w:type="dxa"/>
            <w:shd w:val="clear" w:color="auto" w:fill="auto"/>
            <w:noWrap/>
            <w:vAlign w:val="bottom"/>
          </w:tcPr>
          <w:p w14:paraId="1BA54525" w14:textId="77777777" w:rsidR="00B716D1" w:rsidRPr="004D0DE0" w:rsidRDefault="00B716D1" w:rsidP="00481E22">
            <w:pPr>
              <w:rPr>
                <w:b/>
                <w:sz w:val="20"/>
                <w:szCs w:val="22"/>
              </w:rPr>
            </w:pPr>
            <w:r w:rsidRPr="004D0DE0">
              <w:rPr>
                <w:b/>
                <w:sz w:val="20"/>
                <w:szCs w:val="22"/>
              </w:rPr>
              <w:t>Linezolid</w:t>
            </w:r>
          </w:p>
        </w:tc>
        <w:tc>
          <w:tcPr>
            <w:tcW w:w="1276" w:type="dxa"/>
            <w:shd w:val="clear" w:color="auto" w:fill="auto"/>
            <w:noWrap/>
            <w:vAlign w:val="bottom"/>
          </w:tcPr>
          <w:p w14:paraId="2E5A6A5E" w14:textId="77777777" w:rsidR="00B716D1" w:rsidRPr="008864B0" w:rsidRDefault="00B716D1" w:rsidP="00481E22">
            <w:pPr>
              <w:jc w:val="right"/>
              <w:rPr>
                <w:sz w:val="20"/>
              </w:rPr>
            </w:pPr>
            <w:r w:rsidRPr="008864B0">
              <w:rPr>
                <w:sz w:val="20"/>
              </w:rPr>
              <w:t>£1,068.00</w:t>
            </w:r>
          </w:p>
        </w:tc>
        <w:tc>
          <w:tcPr>
            <w:tcW w:w="1559" w:type="dxa"/>
            <w:shd w:val="clear" w:color="auto" w:fill="auto"/>
            <w:noWrap/>
            <w:vAlign w:val="bottom"/>
          </w:tcPr>
          <w:p w14:paraId="5DAF6E64" w14:textId="77777777" w:rsidR="00B716D1" w:rsidRPr="007C4C3B" w:rsidRDefault="00B716D1" w:rsidP="00481E22">
            <w:pPr>
              <w:jc w:val="right"/>
              <w:rPr>
                <w:sz w:val="20"/>
              </w:rPr>
            </w:pPr>
            <w:r w:rsidRPr="007C4C3B">
              <w:rPr>
                <w:sz w:val="20"/>
              </w:rPr>
              <w:t>£238.20</w:t>
            </w:r>
          </w:p>
        </w:tc>
        <w:tc>
          <w:tcPr>
            <w:tcW w:w="1701" w:type="dxa"/>
            <w:vAlign w:val="bottom"/>
          </w:tcPr>
          <w:p w14:paraId="2E2ACECB" w14:textId="1362560E" w:rsidR="00B716D1" w:rsidRPr="007C4C3B" w:rsidRDefault="00B716D1" w:rsidP="00481E22">
            <w:pPr>
              <w:jc w:val="right"/>
              <w:rPr>
                <w:sz w:val="20"/>
              </w:rPr>
            </w:pPr>
            <w:r>
              <w:rPr>
                <w:sz w:val="20"/>
              </w:rPr>
              <w:t>£</w:t>
            </w:r>
            <w:r w:rsidRPr="007C4C3B">
              <w:rPr>
                <w:sz w:val="20"/>
              </w:rPr>
              <w:t>50.91</w:t>
            </w:r>
          </w:p>
        </w:tc>
        <w:tc>
          <w:tcPr>
            <w:tcW w:w="993" w:type="dxa"/>
            <w:vAlign w:val="bottom"/>
          </w:tcPr>
          <w:p w14:paraId="3B4BFAC4" w14:textId="77777777" w:rsidR="00B716D1" w:rsidRPr="007C4C3B" w:rsidRDefault="00B716D1" w:rsidP="00481E22">
            <w:pPr>
              <w:jc w:val="right"/>
              <w:rPr>
                <w:sz w:val="20"/>
              </w:rPr>
            </w:pPr>
            <w:r w:rsidRPr="007C4C3B">
              <w:rPr>
                <w:sz w:val="20"/>
              </w:rPr>
              <w:t>£159.90</w:t>
            </w:r>
          </w:p>
        </w:tc>
        <w:tc>
          <w:tcPr>
            <w:tcW w:w="1417" w:type="dxa"/>
            <w:shd w:val="clear" w:color="auto" w:fill="auto"/>
            <w:noWrap/>
            <w:vAlign w:val="bottom"/>
          </w:tcPr>
          <w:p w14:paraId="6CE013CE" w14:textId="77777777" w:rsidR="00B716D1" w:rsidRPr="004105AC" w:rsidRDefault="00B716D1" w:rsidP="00481E22">
            <w:pPr>
              <w:jc w:val="right"/>
              <w:rPr>
                <w:sz w:val="20"/>
              </w:rPr>
            </w:pPr>
            <w:r w:rsidRPr="004105AC">
              <w:rPr>
                <w:sz w:val="20"/>
              </w:rPr>
              <w:t>£1,517.01</w:t>
            </w:r>
          </w:p>
        </w:tc>
      </w:tr>
      <w:tr w:rsidR="00B716D1" w:rsidRPr="004105AC" w14:paraId="020607C1" w14:textId="77777777" w:rsidTr="0075674B">
        <w:trPr>
          <w:trHeight w:val="300"/>
        </w:trPr>
        <w:tc>
          <w:tcPr>
            <w:tcW w:w="2268" w:type="dxa"/>
            <w:shd w:val="clear" w:color="auto" w:fill="auto"/>
            <w:noWrap/>
            <w:vAlign w:val="bottom"/>
          </w:tcPr>
          <w:p w14:paraId="1447BCCC" w14:textId="77777777" w:rsidR="00B716D1" w:rsidRPr="004D0DE0" w:rsidRDefault="00B716D1" w:rsidP="00481E22">
            <w:pPr>
              <w:rPr>
                <w:b/>
                <w:sz w:val="20"/>
                <w:szCs w:val="22"/>
              </w:rPr>
            </w:pPr>
          </w:p>
        </w:tc>
        <w:tc>
          <w:tcPr>
            <w:tcW w:w="1276" w:type="dxa"/>
            <w:shd w:val="clear" w:color="auto" w:fill="auto"/>
            <w:noWrap/>
            <w:vAlign w:val="bottom"/>
          </w:tcPr>
          <w:p w14:paraId="1F22927D" w14:textId="77777777" w:rsidR="00B716D1" w:rsidRPr="008864B0" w:rsidRDefault="00B716D1" w:rsidP="00481E22">
            <w:pPr>
              <w:rPr>
                <w:sz w:val="20"/>
              </w:rPr>
            </w:pPr>
          </w:p>
        </w:tc>
        <w:tc>
          <w:tcPr>
            <w:tcW w:w="1559" w:type="dxa"/>
            <w:shd w:val="clear" w:color="auto" w:fill="auto"/>
            <w:noWrap/>
            <w:vAlign w:val="bottom"/>
          </w:tcPr>
          <w:p w14:paraId="0C5A779E" w14:textId="77777777" w:rsidR="00B716D1" w:rsidRPr="007C4C3B" w:rsidRDefault="00B716D1" w:rsidP="00481E22">
            <w:pPr>
              <w:rPr>
                <w:sz w:val="20"/>
              </w:rPr>
            </w:pPr>
          </w:p>
        </w:tc>
        <w:tc>
          <w:tcPr>
            <w:tcW w:w="1701" w:type="dxa"/>
            <w:vAlign w:val="bottom"/>
          </w:tcPr>
          <w:p w14:paraId="05AB9057" w14:textId="77777777" w:rsidR="00B716D1" w:rsidRPr="007C4C3B" w:rsidRDefault="00B716D1" w:rsidP="00481E22">
            <w:pPr>
              <w:rPr>
                <w:sz w:val="20"/>
              </w:rPr>
            </w:pPr>
          </w:p>
        </w:tc>
        <w:tc>
          <w:tcPr>
            <w:tcW w:w="993" w:type="dxa"/>
            <w:vAlign w:val="bottom"/>
          </w:tcPr>
          <w:p w14:paraId="21CD05F7" w14:textId="77777777" w:rsidR="00B716D1" w:rsidRPr="007C4C3B" w:rsidRDefault="00B716D1" w:rsidP="00481E22">
            <w:pPr>
              <w:rPr>
                <w:sz w:val="20"/>
              </w:rPr>
            </w:pPr>
          </w:p>
        </w:tc>
        <w:tc>
          <w:tcPr>
            <w:tcW w:w="1417" w:type="dxa"/>
            <w:shd w:val="clear" w:color="auto" w:fill="auto"/>
            <w:noWrap/>
            <w:vAlign w:val="bottom"/>
          </w:tcPr>
          <w:p w14:paraId="516A9C96" w14:textId="77777777" w:rsidR="00B716D1" w:rsidRPr="004105AC" w:rsidRDefault="00B716D1" w:rsidP="00481E22">
            <w:pPr>
              <w:rPr>
                <w:sz w:val="20"/>
              </w:rPr>
            </w:pPr>
          </w:p>
        </w:tc>
      </w:tr>
      <w:tr w:rsidR="00B716D1" w:rsidRPr="004105AC" w14:paraId="1FFA950D" w14:textId="77777777" w:rsidTr="0075674B">
        <w:trPr>
          <w:trHeight w:val="300"/>
        </w:trPr>
        <w:tc>
          <w:tcPr>
            <w:tcW w:w="2268" w:type="dxa"/>
            <w:shd w:val="clear" w:color="auto" w:fill="auto"/>
            <w:noWrap/>
            <w:vAlign w:val="bottom"/>
          </w:tcPr>
          <w:p w14:paraId="3C6421BF" w14:textId="77777777" w:rsidR="00B716D1" w:rsidRPr="004D0DE0" w:rsidRDefault="00B716D1" w:rsidP="00481E22">
            <w:pPr>
              <w:rPr>
                <w:b/>
                <w:sz w:val="20"/>
                <w:szCs w:val="22"/>
              </w:rPr>
            </w:pPr>
            <w:r w:rsidRPr="004D0DE0">
              <w:rPr>
                <w:b/>
                <w:sz w:val="20"/>
                <w:szCs w:val="22"/>
              </w:rPr>
              <w:t>Difference</w:t>
            </w:r>
          </w:p>
        </w:tc>
        <w:tc>
          <w:tcPr>
            <w:tcW w:w="1276" w:type="dxa"/>
            <w:shd w:val="clear" w:color="auto" w:fill="auto"/>
            <w:noWrap/>
            <w:vAlign w:val="bottom"/>
          </w:tcPr>
          <w:p w14:paraId="686F83CA" w14:textId="77777777" w:rsidR="00B716D1" w:rsidRPr="008864B0" w:rsidRDefault="00B716D1" w:rsidP="00481E22">
            <w:pPr>
              <w:jc w:val="right"/>
              <w:rPr>
                <w:sz w:val="20"/>
              </w:rPr>
            </w:pPr>
            <w:r w:rsidRPr="008864B0">
              <w:rPr>
                <w:sz w:val="20"/>
              </w:rPr>
              <w:t>-£168.00</w:t>
            </w:r>
          </w:p>
        </w:tc>
        <w:tc>
          <w:tcPr>
            <w:tcW w:w="1559" w:type="dxa"/>
            <w:shd w:val="clear" w:color="auto" w:fill="auto"/>
            <w:noWrap/>
            <w:vAlign w:val="bottom"/>
          </w:tcPr>
          <w:p w14:paraId="191FC057" w14:textId="77777777" w:rsidR="00B716D1" w:rsidRPr="007C4C3B" w:rsidRDefault="00B716D1" w:rsidP="00481E22">
            <w:pPr>
              <w:jc w:val="right"/>
              <w:rPr>
                <w:sz w:val="20"/>
              </w:rPr>
            </w:pPr>
            <w:r w:rsidRPr="007C4C3B">
              <w:rPr>
                <w:sz w:val="20"/>
              </w:rPr>
              <w:t>-£39.38</w:t>
            </w:r>
          </w:p>
        </w:tc>
        <w:tc>
          <w:tcPr>
            <w:tcW w:w="1701" w:type="dxa"/>
            <w:vAlign w:val="bottom"/>
          </w:tcPr>
          <w:p w14:paraId="722288EB" w14:textId="77777777" w:rsidR="00B716D1" w:rsidRPr="007C4C3B" w:rsidRDefault="00B716D1" w:rsidP="00481E22">
            <w:pPr>
              <w:jc w:val="right"/>
              <w:rPr>
                <w:sz w:val="20"/>
              </w:rPr>
            </w:pPr>
            <w:r w:rsidRPr="007C4C3B">
              <w:rPr>
                <w:sz w:val="20"/>
              </w:rPr>
              <w:t>-£50.91</w:t>
            </w:r>
          </w:p>
        </w:tc>
        <w:tc>
          <w:tcPr>
            <w:tcW w:w="993" w:type="dxa"/>
            <w:vAlign w:val="bottom"/>
          </w:tcPr>
          <w:p w14:paraId="31EB8BDE" w14:textId="77777777" w:rsidR="00B716D1" w:rsidRPr="007C4C3B" w:rsidRDefault="00B716D1" w:rsidP="00481E22">
            <w:pPr>
              <w:jc w:val="right"/>
              <w:rPr>
                <w:sz w:val="20"/>
              </w:rPr>
            </w:pPr>
            <w:r w:rsidRPr="007C4C3B">
              <w:rPr>
                <w:sz w:val="20"/>
              </w:rPr>
              <w:t>-£159.90</w:t>
            </w:r>
          </w:p>
        </w:tc>
        <w:tc>
          <w:tcPr>
            <w:tcW w:w="1417" w:type="dxa"/>
            <w:shd w:val="clear" w:color="auto" w:fill="auto"/>
            <w:noWrap/>
            <w:vAlign w:val="bottom"/>
          </w:tcPr>
          <w:p w14:paraId="34619E17" w14:textId="77777777" w:rsidR="00B716D1" w:rsidRPr="004105AC" w:rsidRDefault="00B716D1" w:rsidP="00481E22">
            <w:pPr>
              <w:jc w:val="right"/>
              <w:rPr>
                <w:sz w:val="20"/>
              </w:rPr>
            </w:pPr>
            <w:r w:rsidRPr="004105AC">
              <w:rPr>
                <w:sz w:val="20"/>
              </w:rPr>
              <w:t>-£418.19</w:t>
            </w:r>
          </w:p>
        </w:tc>
      </w:tr>
    </w:tbl>
    <w:p w14:paraId="6B37D76D" w14:textId="77777777" w:rsidR="00B2707C" w:rsidRDefault="00B2707C" w:rsidP="00BE69CC">
      <w:pPr>
        <w:rPr>
          <w:sz w:val="22"/>
          <w:szCs w:val="22"/>
        </w:rPr>
      </w:pPr>
    </w:p>
    <w:p w14:paraId="3828619D" w14:textId="77777777" w:rsidR="00BE69CC" w:rsidRPr="002A1891" w:rsidRDefault="00BE69CC" w:rsidP="00BE69CC">
      <w:pPr>
        <w:rPr>
          <w:b/>
          <w:sz w:val="22"/>
          <w:szCs w:val="22"/>
        </w:rPr>
      </w:pPr>
      <w:r w:rsidRPr="002A1891">
        <w:rPr>
          <w:b/>
          <w:sz w:val="22"/>
          <w:szCs w:val="22"/>
        </w:rPr>
        <w:t>Scenario 5: 6 days of IV and 14 days overall treatment of linezolid</w:t>
      </w:r>
    </w:p>
    <w:p w14:paraId="00359A6F" w14:textId="08901611" w:rsidR="00BE69CC" w:rsidRPr="002A1891" w:rsidRDefault="00BE69CC" w:rsidP="00BE69CC">
      <w:pPr>
        <w:rPr>
          <w:sz w:val="22"/>
          <w:szCs w:val="22"/>
        </w:rPr>
      </w:pPr>
      <w:r w:rsidRPr="002A1891">
        <w:rPr>
          <w:sz w:val="22"/>
          <w:szCs w:val="22"/>
        </w:rPr>
        <w:tab/>
        <w:t>Tedizolid </w:t>
      </w:r>
      <w:r w:rsidR="0075674B">
        <w:rPr>
          <w:rFonts w:cs="Arial"/>
          <w:sz w:val="22"/>
          <w:szCs w:val="22"/>
        </w:rPr>
        <w:t>phosphate</w:t>
      </w:r>
      <w:r w:rsidR="0075674B" w:rsidRPr="002A1891">
        <w:rPr>
          <w:sz w:val="22"/>
          <w:szCs w:val="22"/>
        </w:rPr>
        <w:t xml:space="preserve"> </w:t>
      </w:r>
      <w:r w:rsidRPr="002A1891">
        <w:rPr>
          <w:sz w:val="22"/>
          <w:szCs w:val="22"/>
        </w:rPr>
        <w:t>- 6 days IV</w:t>
      </w:r>
    </w:p>
    <w:p w14:paraId="237231FF" w14:textId="77777777" w:rsidR="00BE69CC" w:rsidRPr="002A1891" w:rsidRDefault="00BE69CC" w:rsidP="00BE69CC">
      <w:pPr>
        <w:rPr>
          <w:sz w:val="22"/>
          <w:szCs w:val="22"/>
        </w:rPr>
      </w:pPr>
      <w:r w:rsidRPr="002A1891">
        <w:rPr>
          <w:sz w:val="22"/>
          <w:szCs w:val="22"/>
        </w:rPr>
        <w:tab/>
        <w:t>Linezolid - 6 days IV; 8 days oral</w:t>
      </w:r>
    </w:p>
    <w:p w14:paraId="337E0721" w14:textId="77777777" w:rsidR="00A341BF" w:rsidRDefault="00A341BF" w:rsidP="00A341BF">
      <w:pPr>
        <w:rPr>
          <w:sz w:val="22"/>
          <w:szCs w:val="22"/>
          <w:highlight w:val="yellow"/>
        </w:rPr>
      </w:pPr>
    </w:p>
    <w:p w14:paraId="5BE086EB" w14:textId="168AA4FB" w:rsidR="00BE69CC" w:rsidRPr="002A1891" w:rsidRDefault="00B716D1" w:rsidP="00A341BF">
      <w:pPr>
        <w:rPr>
          <w:sz w:val="22"/>
          <w:szCs w:val="22"/>
        </w:rPr>
      </w:pPr>
      <w:r w:rsidRPr="002A1891">
        <w:rPr>
          <w:sz w:val="22"/>
          <w:szCs w:val="22"/>
        </w:rPr>
        <w:t>The use of tedizolid phosphate leads to costs of</w:t>
      </w:r>
      <w:r>
        <w:rPr>
          <w:sz w:val="22"/>
          <w:szCs w:val="22"/>
        </w:rPr>
        <w:t xml:space="preserve"> </w:t>
      </w:r>
      <w:r w:rsidRPr="002A1891">
        <w:rPr>
          <w:rFonts w:cs="Arial"/>
          <w:sz w:val="22"/>
          <w:szCs w:val="22"/>
        </w:rPr>
        <w:t>£</w:t>
      </w:r>
      <w:r>
        <w:rPr>
          <w:rFonts w:cs="Arial"/>
          <w:sz w:val="22"/>
          <w:szCs w:val="22"/>
        </w:rPr>
        <w:t>1,098.82</w:t>
      </w:r>
      <w:r w:rsidRPr="002A1891">
        <w:rPr>
          <w:rFonts w:cs="Arial"/>
          <w:sz w:val="22"/>
          <w:szCs w:val="22"/>
        </w:rPr>
        <w:t xml:space="preserve"> </w:t>
      </w:r>
      <w:r w:rsidRPr="002A1891">
        <w:rPr>
          <w:sz w:val="22"/>
          <w:szCs w:val="22"/>
        </w:rPr>
        <w:t>and linezolid to costs of £1,</w:t>
      </w:r>
      <w:r>
        <w:rPr>
          <w:sz w:val="22"/>
          <w:szCs w:val="22"/>
        </w:rPr>
        <w:t>535</w:t>
      </w:r>
      <w:r w:rsidRPr="002A1891">
        <w:rPr>
          <w:sz w:val="22"/>
          <w:szCs w:val="22"/>
        </w:rPr>
        <w:t>.</w:t>
      </w:r>
      <w:r>
        <w:rPr>
          <w:sz w:val="22"/>
          <w:szCs w:val="22"/>
        </w:rPr>
        <w:t>11</w:t>
      </w:r>
      <w:r w:rsidRPr="002A1891">
        <w:rPr>
          <w:sz w:val="22"/>
          <w:szCs w:val="22"/>
        </w:rPr>
        <w:t>, resulting in total savings of £</w:t>
      </w:r>
      <w:r>
        <w:rPr>
          <w:sz w:val="22"/>
          <w:szCs w:val="22"/>
        </w:rPr>
        <w:t>436</w:t>
      </w:r>
      <w:r w:rsidRPr="002A1891">
        <w:rPr>
          <w:sz w:val="22"/>
          <w:szCs w:val="22"/>
        </w:rPr>
        <w:t>.</w:t>
      </w:r>
      <w:r>
        <w:rPr>
          <w:sz w:val="22"/>
          <w:szCs w:val="22"/>
        </w:rPr>
        <w:t>29</w:t>
      </w:r>
      <w:r w:rsidRPr="002A1891">
        <w:rPr>
          <w:sz w:val="22"/>
          <w:szCs w:val="22"/>
        </w:rPr>
        <w:t xml:space="preserve"> </w:t>
      </w:r>
      <w:r w:rsidR="00BE69CC" w:rsidRPr="002A1891">
        <w:rPr>
          <w:sz w:val="22"/>
          <w:szCs w:val="22"/>
        </w:rPr>
        <w:t>(</w:t>
      </w:r>
      <w:r w:rsidR="00BE69CC" w:rsidRPr="002A1891">
        <w:rPr>
          <w:sz w:val="22"/>
          <w:szCs w:val="22"/>
        </w:rPr>
        <w:fldChar w:fldCharType="begin"/>
      </w:r>
      <w:r w:rsidR="00BE69CC" w:rsidRPr="002A1891">
        <w:rPr>
          <w:sz w:val="22"/>
          <w:szCs w:val="22"/>
        </w:rPr>
        <w:instrText xml:space="preserve"> REF _Ref283056012 \h </w:instrText>
      </w:r>
      <w:r w:rsidR="00BE69CC" w:rsidRPr="002A1891">
        <w:rPr>
          <w:sz w:val="22"/>
          <w:szCs w:val="22"/>
        </w:rPr>
      </w:r>
      <w:r w:rsidR="00BE69CC" w:rsidRPr="002A1891">
        <w:rPr>
          <w:sz w:val="22"/>
          <w:szCs w:val="22"/>
        </w:rPr>
        <w:fldChar w:fldCharType="separate"/>
      </w:r>
      <w:r w:rsidR="00151A1C" w:rsidRPr="002A1891">
        <w:rPr>
          <w:rFonts w:cs="Arial"/>
          <w:sz w:val="22"/>
          <w:szCs w:val="22"/>
        </w:rPr>
        <w:t xml:space="preserve">Table </w:t>
      </w:r>
      <w:r w:rsidR="00151A1C">
        <w:rPr>
          <w:rFonts w:cs="Arial"/>
          <w:noProof/>
          <w:sz w:val="22"/>
          <w:szCs w:val="22"/>
        </w:rPr>
        <w:t>56</w:t>
      </w:r>
      <w:r w:rsidR="00BE69CC" w:rsidRPr="002A1891">
        <w:rPr>
          <w:sz w:val="22"/>
          <w:szCs w:val="22"/>
        </w:rPr>
        <w:fldChar w:fldCharType="end"/>
      </w:r>
      <w:r w:rsidR="00BE69CC" w:rsidRPr="002A1891">
        <w:rPr>
          <w:sz w:val="22"/>
          <w:szCs w:val="22"/>
        </w:rPr>
        <w:t>).</w:t>
      </w:r>
    </w:p>
    <w:p w14:paraId="4FA4C26E" w14:textId="77777777" w:rsidR="00BE69CC" w:rsidRDefault="00BE69CC" w:rsidP="00BE69CC">
      <w:pPr>
        <w:pStyle w:val="Caption"/>
        <w:rPr>
          <w:rFonts w:ascii="Arial" w:hAnsi="Arial" w:cs="Arial"/>
          <w:sz w:val="22"/>
          <w:szCs w:val="22"/>
        </w:rPr>
      </w:pPr>
      <w:bookmarkStart w:id="215" w:name="_Ref283056012"/>
      <w:r w:rsidRPr="002A1891">
        <w:rPr>
          <w:rFonts w:ascii="Arial" w:hAnsi="Arial" w:cs="Arial"/>
          <w:sz w:val="22"/>
          <w:szCs w:val="22"/>
        </w:rPr>
        <w:lastRenderedPageBreak/>
        <w:t xml:space="preserve">Table </w:t>
      </w:r>
      <w:r w:rsidRPr="002A1891">
        <w:rPr>
          <w:rFonts w:ascii="Arial" w:hAnsi="Arial" w:cs="Arial"/>
          <w:sz w:val="22"/>
          <w:szCs w:val="22"/>
        </w:rPr>
        <w:fldChar w:fldCharType="begin"/>
      </w:r>
      <w:r w:rsidRPr="002A1891">
        <w:rPr>
          <w:rFonts w:ascii="Arial" w:hAnsi="Arial" w:cs="Arial"/>
          <w:sz w:val="22"/>
          <w:szCs w:val="22"/>
        </w:rPr>
        <w:instrText xml:space="preserve"> SEQ Table \* ARABIC </w:instrText>
      </w:r>
      <w:r w:rsidRPr="002A1891">
        <w:rPr>
          <w:rFonts w:ascii="Arial" w:hAnsi="Arial" w:cs="Arial"/>
          <w:sz w:val="22"/>
          <w:szCs w:val="22"/>
        </w:rPr>
        <w:fldChar w:fldCharType="separate"/>
      </w:r>
      <w:r w:rsidR="00151A1C">
        <w:rPr>
          <w:rFonts w:ascii="Arial" w:hAnsi="Arial" w:cs="Arial"/>
          <w:noProof/>
          <w:sz w:val="22"/>
          <w:szCs w:val="22"/>
        </w:rPr>
        <w:t>56</w:t>
      </w:r>
      <w:r w:rsidRPr="002A1891">
        <w:rPr>
          <w:rFonts w:ascii="Arial" w:hAnsi="Arial" w:cs="Arial"/>
          <w:sz w:val="22"/>
          <w:szCs w:val="22"/>
        </w:rPr>
        <w:fldChar w:fldCharType="end"/>
      </w:r>
      <w:bookmarkEnd w:id="215"/>
      <w:r w:rsidRPr="002A1891">
        <w:rPr>
          <w:rFonts w:ascii="Arial" w:hAnsi="Arial" w:cs="Arial"/>
          <w:sz w:val="22"/>
          <w:szCs w:val="22"/>
        </w:rPr>
        <w:t>: Results – scenario 5</w:t>
      </w:r>
    </w:p>
    <w:p w14:paraId="0BDBFEFE" w14:textId="77777777" w:rsidR="00B716D1" w:rsidRDefault="00B716D1" w:rsidP="00B716D1">
      <w:pPr>
        <w:pStyle w:val="BodyText"/>
      </w:pPr>
    </w:p>
    <w:tbl>
      <w:tblPr>
        <w:tblW w:w="82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559"/>
        <w:gridCol w:w="1701"/>
        <w:gridCol w:w="1417"/>
      </w:tblGrid>
      <w:tr w:rsidR="00B716D1" w:rsidRPr="009B33BE" w14:paraId="62F4E05D" w14:textId="77777777" w:rsidTr="0075674B">
        <w:trPr>
          <w:trHeight w:val="300"/>
        </w:trPr>
        <w:tc>
          <w:tcPr>
            <w:tcW w:w="2268" w:type="dxa"/>
            <w:shd w:val="clear" w:color="auto" w:fill="auto"/>
            <w:noWrap/>
            <w:vAlign w:val="bottom"/>
          </w:tcPr>
          <w:p w14:paraId="11D20495" w14:textId="77777777" w:rsidR="00B716D1" w:rsidRPr="004D0DE0" w:rsidRDefault="00B716D1" w:rsidP="00481E22">
            <w:pPr>
              <w:rPr>
                <w:b/>
                <w:sz w:val="20"/>
                <w:szCs w:val="22"/>
              </w:rPr>
            </w:pPr>
          </w:p>
        </w:tc>
        <w:tc>
          <w:tcPr>
            <w:tcW w:w="1276" w:type="dxa"/>
            <w:shd w:val="clear" w:color="auto" w:fill="auto"/>
            <w:noWrap/>
            <w:vAlign w:val="bottom"/>
          </w:tcPr>
          <w:p w14:paraId="41068558" w14:textId="77777777" w:rsidR="00B716D1" w:rsidRPr="004D0DE0" w:rsidRDefault="00B716D1" w:rsidP="00481E22">
            <w:pPr>
              <w:jc w:val="right"/>
              <w:rPr>
                <w:b/>
                <w:sz w:val="20"/>
                <w:szCs w:val="22"/>
                <w:vertAlign w:val="superscript"/>
              </w:rPr>
            </w:pPr>
            <w:r w:rsidRPr="004D0DE0">
              <w:rPr>
                <w:b/>
                <w:sz w:val="20"/>
                <w:szCs w:val="22"/>
              </w:rPr>
              <w:t>Drug cost</w:t>
            </w:r>
          </w:p>
          <w:p w14:paraId="32366A2B" w14:textId="77777777" w:rsidR="00B716D1" w:rsidRPr="004D0DE0" w:rsidRDefault="00B716D1" w:rsidP="00481E22">
            <w:pPr>
              <w:jc w:val="right"/>
              <w:rPr>
                <w:b/>
                <w:sz w:val="20"/>
                <w:szCs w:val="22"/>
                <w:vertAlign w:val="superscript"/>
              </w:rPr>
            </w:pPr>
          </w:p>
        </w:tc>
        <w:tc>
          <w:tcPr>
            <w:tcW w:w="1559" w:type="dxa"/>
            <w:shd w:val="clear" w:color="auto" w:fill="auto"/>
            <w:noWrap/>
            <w:vAlign w:val="bottom"/>
          </w:tcPr>
          <w:p w14:paraId="6C93CE5B" w14:textId="77777777" w:rsidR="00B716D1" w:rsidRPr="004D0DE0" w:rsidRDefault="00B716D1" w:rsidP="00481E22">
            <w:pPr>
              <w:jc w:val="right"/>
              <w:rPr>
                <w:b/>
                <w:sz w:val="20"/>
                <w:szCs w:val="22"/>
                <w:vertAlign w:val="superscript"/>
              </w:rPr>
            </w:pPr>
            <w:r w:rsidRPr="004D0DE0">
              <w:rPr>
                <w:b/>
                <w:sz w:val="20"/>
                <w:szCs w:val="22"/>
              </w:rPr>
              <w:t>Administration costs</w:t>
            </w:r>
          </w:p>
        </w:tc>
        <w:tc>
          <w:tcPr>
            <w:tcW w:w="1701" w:type="dxa"/>
          </w:tcPr>
          <w:p w14:paraId="7D6077FC" w14:textId="77777777" w:rsidR="00B716D1" w:rsidRPr="004D0DE0" w:rsidRDefault="00B716D1" w:rsidP="00481E22">
            <w:pPr>
              <w:spacing w:before="2" w:after="2"/>
              <w:jc w:val="right"/>
              <w:rPr>
                <w:b/>
                <w:sz w:val="20"/>
                <w:szCs w:val="22"/>
              </w:rPr>
            </w:pPr>
            <w:r w:rsidRPr="004D0DE0">
              <w:rPr>
                <w:b/>
                <w:sz w:val="20"/>
                <w:szCs w:val="22"/>
              </w:rPr>
              <w:t xml:space="preserve">Monitoring </w:t>
            </w:r>
          </w:p>
          <w:p w14:paraId="78E7F35B" w14:textId="77777777" w:rsidR="00B716D1" w:rsidRPr="004D0DE0" w:rsidRDefault="00B716D1" w:rsidP="00481E22">
            <w:pPr>
              <w:spacing w:before="2" w:after="2"/>
              <w:jc w:val="right"/>
              <w:rPr>
                <w:b/>
                <w:sz w:val="20"/>
                <w:szCs w:val="22"/>
              </w:rPr>
            </w:pPr>
            <w:r w:rsidRPr="004D0DE0">
              <w:rPr>
                <w:b/>
                <w:sz w:val="20"/>
                <w:szCs w:val="22"/>
              </w:rPr>
              <w:t>costs</w:t>
            </w:r>
          </w:p>
        </w:tc>
        <w:tc>
          <w:tcPr>
            <w:tcW w:w="1417" w:type="dxa"/>
            <w:shd w:val="clear" w:color="auto" w:fill="auto"/>
            <w:noWrap/>
            <w:vAlign w:val="bottom"/>
          </w:tcPr>
          <w:p w14:paraId="756FF127" w14:textId="77777777" w:rsidR="00B716D1" w:rsidRPr="004D0DE0" w:rsidRDefault="00B716D1" w:rsidP="00481E22">
            <w:pPr>
              <w:jc w:val="right"/>
              <w:rPr>
                <w:b/>
                <w:sz w:val="20"/>
                <w:szCs w:val="22"/>
              </w:rPr>
            </w:pPr>
            <w:r w:rsidRPr="004D0DE0">
              <w:rPr>
                <w:b/>
                <w:sz w:val="20"/>
                <w:szCs w:val="22"/>
              </w:rPr>
              <w:t>Total costs</w:t>
            </w:r>
          </w:p>
          <w:p w14:paraId="62835230" w14:textId="77777777" w:rsidR="00B716D1" w:rsidRPr="004D0DE0" w:rsidRDefault="00B716D1" w:rsidP="00481E22">
            <w:pPr>
              <w:jc w:val="right"/>
              <w:rPr>
                <w:b/>
                <w:sz w:val="20"/>
                <w:szCs w:val="22"/>
              </w:rPr>
            </w:pPr>
          </w:p>
        </w:tc>
      </w:tr>
      <w:tr w:rsidR="00B716D1" w:rsidRPr="009B33BE" w14:paraId="4CE7A30A" w14:textId="77777777" w:rsidTr="0075674B">
        <w:trPr>
          <w:trHeight w:val="300"/>
        </w:trPr>
        <w:tc>
          <w:tcPr>
            <w:tcW w:w="2268" w:type="dxa"/>
            <w:shd w:val="clear" w:color="auto" w:fill="auto"/>
            <w:noWrap/>
            <w:vAlign w:val="bottom"/>
          </w:tcPr>
          <w:p w14:paraId="67504353" w14:textId="36AB1E5E" w:rsidR="00B716D1" w:rsidRPr="0075674B" w:rsidRDefault="00B716D1" w:rsidP="00481E22">
            <w:pPr>
              <w:rPr>
                <w:b/>
                <w:sz w:val="20"/>
                <w:szCs w:val="22"/>
              </w:rPr>
            </w:pPr>
            <w:r w:rsidRPr="0075674B">
              <w:rPr>
                <w:b/>
                <w:sz w:val="20"/>
                <w:szCs w:val="22"/>
              </w:rPr>
              <w:t>Tedizolid</w:t>
            </w:r>
            <w:r w:rsidR="0075674B" w:rsidRPr="0075674B">
              <w:rPr>
                <w:b/>
                <w:sz w:val="20"/>
                <w:szCs w:val="22"/>
              </w:rPr>
              <w:t xml:space="preserve"> </w:t>
            </w:r>
            <w:r w:rsidR="0075674B" w:rsidRPr="0075674B">
              <w:rPr>
                <w:rFonts w:cs="Arial"/>
                <w:b/>
                <w:sz w:val="22"/>
                <w:szCs w:val="22"/>
              </w:rPr>
              <w:t>phosphate</w:t>
            </w:r>
          </w:p>
        </w:tc>
        <w:tc>
          <w:tcPr>
            <w:tcW w:w="1276" w:type="dxa"/>
            <w:shd w:val="clear" w:color="auto" w:fill="auto"/>
            <w:noWrap/>
            <w:vAlign w:val="bottom"/>
          </w:tcPr>
          <w:p w14:paraId="0D33A471" w14:textId="77777777" w:rsidR="00B716D1" w:rsidRPr="00150E40" w:rsidRDefault="00B716D1" w:rsidP="00481E22">
            <w:pPr>
              <w:jc w:val="right"/>
              <w:rPr>
                <w:sz w:val="20"/>
              </w:rPr>
            </w:pPr>
            <w:r w:rsidRPr="00150E40">
              <w:rPr>
                <w:sz w:val="20"/>
              </w:rPr>
              <w:t>£900.00</w:t>
            </w:r>
          </w:p>
        </w:tc>
        <w:tc>
          <w:tcPr>
            <w:tcW w:w="1559" w:type="dxa"/>
            <w:shd w:val="clear" w:color="auto" w:fill="auto"/>
            <w:noWrap/>
            <w:vAlign w:val="bottom"/>
          </w:tcPr>
          <w:p w14:paraId="11383C00" w14:textId="77777777" w:rsidR="00B716D1" w:rsidRPr="008F549A" w:rsidRDefault="00B716D1" w:rsidP="00481E22">
            <w:pPr>
              <w:jc w:val="right"/>
              <w:rPr>
                <w:sz w:val="20"/>
              </w:rPr>
            </w:pPr>
            <w:r w:rsidRPr="008F549A">
              <w:rPr>
                <w:sz w:val="20"/>
              </w:rPr>
              <w:t>£198.82</w:t>
            </w:r>
          </w:p>
        </w:tc>
        <w:tc>
          <w:tcPr>
            <w:tcW w:w="1701" w:type="dxa"/>
            <w:vAlign w:val="bottom"/>
          </w:tcPr>
          <w:p w14:paraId="35628146" w14:textId="77777777" w:rsidR="00B716D1" w:rsidRPr="008F549A" w:rsidRDefault="00B716D1" w:rsidP="00481E22">
            <w:pPr>
              <w:jc w:val="right"/>
              <w:rPr>
                <w:sz w:val="20"/>
              </w:rPr>
            </w:pPr>
            <w:r w:rsidRPr="008F549A">
              <w:rPr>
                <w:sz w:val="20"/>
              </w:rPr>
              <w:t>£0.00</w:t>
            </w:r>
          </w:p>
        </w:tc>
        <w:tc>
          <w:tcPr>
            <w:tcW w:w="1417" w:type="dxa"/>
            <w:shd w:val="clear" w:color="auto" w:fill="auto"/>
            <w:noWrap/>
            <w:vAlign w:val="bottom"/>
          </w:tcPr>
          <w:p w14:paraId="1F0639E4" w14:textId="77777777" w:rsidR="00B716D1" w:rsidRPr="008F549A" w:rsidRDefault="00B716D1" w:rsidP="00481E22">
            <w:pPr>
              <w:jc w:val="right"/>
              <w:rPr>
                <w:sz w:val="20"/>
              </w:rPr>
            </w:pPr>
            <w:r w:rsidRPr="008F549A">
              <w:rPr>
                <w:sz w:val="20"/>
              </w:rPr>
              <w:t>£1,098.82</w:t>
            </w:r>
          </w:p>
        </w:tc>
      </w:tr>
      <w:tr w:rsidR="00B716D1" w:rsidRPr="009B33BE" w14:paraId="7FF7BB7F" w14:textId="77777777" w:rsidTr="0075674B">
        <w:trPr>
          <w:trHeight w:val="300"/>
        </w:trPr>
        <w:tc>
          <w:tcPr>
            <w:tcW w:w="2268" w:type="dxa"/>
            <w:shd w:val="clear" w:color="auto" w:fill="auto"/>
            <w:noWrap/>
            <w:vAlign w:val="bottom"/>
          </w:tcPr>
          <w:p w14:paraId="6D668DD9" w14:textId="77777777" w:rsidR="00B716D1" w:rsidRPr="004D0DE0" w:rsidRDefault="00B716D1" w:rsidP="00481E22">
            <w:pPr>
              <w:rPr>
                <w:b/>
                <w:sz w:val="20"/>
                <w:szCs w:val="22"/>
              </w:rPr>
            </w:pPr>
            <w:r w:rsidRPr="004D0DE0">
              <w:rPr>
                <w:b/>
                <w:sz w:val="20"/>
                <w:szCs w:val="22"/>
              </w:rPr>
              <w:t>Linezolid</w:t>
            </w:r>
          </w:p>
        </w:tc>
        <w:tc>
          <w:tcPr>
            <w:tcW w:w="1276" w:type="dxa"/>
            <w:shd w:val="clear" w:color="auto" w:fill="auto"/>
            <w:noWrap/>
            <w:vAlign w:val="bottom"/>
          </w:tcPr>
          <w:p w14:paraId="125CA829" w14:textId="77777777" w:rsidR="00B716D1" w:rsidRPr="00150E40" w:rsidRDefault="00B716D1" w:rsidP="00481E22">
            <w:pPr>
              <w:jc w:val="right"/>
              <w:rPr>
                <w:sz w:val="20"/>
              </w:rPr>
            </w:pPr>
            <w:r w:rsidRPr="00150E40">
              <w:rPr>
                <w:sz w:val="20"/>
              </w:rPr>
              <w:t>£1,246.00</w:t>
            </w:r>
          </w:p>
        </w:tc>
        <w:tc>
          <w:tcPr>
            <w:tcW w:w="1559" w:type="dxa"/>
            <w:shd w:val="clear" w:color="auto" w:fill="auto"/>
            <w:noWrap/>
            <w:vAlign w:val="bottom"/>
          </w:tcPr>
          <w:p w14:paraId="07ABD6C9" w14:textId="77777777" w:rsidR="00B716D1" w:rsidRPr="008F549A" w:rsidRDefault="00B716D1" w:rsidP="00481E22">
            <w:pPr>
              <w:jc w:val="right"/>
              <w:rPr>
                <w:sz w:val="20"/>
              </w:rPr>
            </w:pPr>
            <w:r w:rsidRPr="008F549A">
              <w:rPr>
                <w:sz w:val="20"/>
              </w:rPr>
              <w:t>£238.20</w:t>
            </w:r>
          </w:p>
        </w:tc>
        <w:tc>
          <w:tcPr>
            <w:tcW w:w="1701" w:type="dxa"/>
            <w:vAlign w:val="bottom"/>
          </w:tcPr>
          <w:p w14:paraId="665B7EBC" w14:textId="5F34E47D" w:rsidR="00B716D1" w:rsidRPr="008F549A" w:rsidRDefault="00B716D1" w:rsidP="00481E22">
            <w:pPr>
              <w:jc w:val="right"/>
              <w:rPr>
                <w:sz w:val="20"/>
              </w:rPr>
            </w:pPr>
            <w:r>
              <w:rPr>
                <w:sz w:val="20"/>
              </w:rPr>
              <w:t>£</w:t>
            </w:r>
            <w:r w:rsidRPr="008F549A">
              <w:rPr>
                <w:sz w:val="20"/>
              </w:rPr>
              <w:t>50.91</w:t>
            </w:r>
          </w:p>
        </w:tc>
        <w:tc>
          <w:tcPr>
            <w:tcW w:w="1417" w:type="dxa"/>
            <w:shd w:val="clear" w:color="auto" w:fill="auto"/>
            <w:noWrap/>
            <w:vAlign w:val="bottom"/>
          </w:tcPr>
          <w:p w14:paraId="5F19E875" w14:textId="77777777" w:rsidR="00B716D1" w:rsidRPr="008F549A" w:rsidRDefault="00B716D1" w:rsidP="00481E22">
            <w:pPr>
              <w:jc w:val="right"/>
              <w:rPr>
                <w:sz w:val="20"/>
              </w:rPr>
            </w:pPr>
            <w:r w:rsidRPr="008F549A">
              <w:rPr>
                <w:sz w:val="20"/>
              </w:rPr>
              <w:t>£1,535.11</w:t>
            </w:r>
          </w:p>
        </w:tc>
      </w:tr>
      <w:tr w:rsidR="00B716D1" w:rsidRPr="009B33BE" w14:paraId="2552E595" w14:textId="77777777" w:rsidTr="0075674B">
        <w:trPr>
          <w:trHeight w:val="300"/>
        </w:trPr>
        <w:tc>
          <w:tcPr>
            <w:tcW w:w="2268" w:type="dxa"/>
            <w:shd w:val="clear" w:color="auto" w:fill="auto"/>
            <w:noWrap/>
            <w:vAlign w:val="bottom"/>
          </w:tcPr>
          <w:p w14:paraId="5DE10606" w14:textId="77777777" w:rsidR="00B716D1" w:rsidRPr="004D0DE0" w:rsidRDefault="00B716D1" w:rsidP="00481E22">
            <w:pPr>
              <w:rPr>
                <w:b/>
                <w:sz w:val="20"/>
                <w:szCs w:val="22"/>
              </w:rPr>
            </w:pPr>
          </w:p>
        </w:tc>
        <w:tc>
          <w:tcPr>
            <w:tcW w:w="1276" w:type="dxa"/>
            <w:shd w:val="clear" w:color="auto" w:fill="auto"/>
            <w:noWrap/>
            <w:vAlign w:val="bottom"/>
          </w:tcPr>
          <w:p w14:paraId="1CB0FD02" w14:textId="77777777" w:rsidR="00B716D1" w:rsidRPr="00150E40" w:rsidRDefault="00B716D1" w:rsidP="00481E22">
            <w:pPr>
              <w:rPr>
                <w:sz w:val="20"/>
              </w:rPr>
            </w:pPr>
          </w:p>
        </w:tc>
        <w:tc>
          <w:tcPr>
            <w:tcW w:w="1559" w:type="dxa"/>
            <w:shd w:val="clear" w:color="auto" w:fill="auto"/>
            <w:noWrap/>
            <w:vAlign w:val="bottom"/>
          </w:tcPr>
          <w:p w14:paraId="4CE6ED9F" w14:textId="77777777" w:rsidR="00B716D1" w:rsidRPr="008F549A" w:rsidRDefault="00B716D1" w:rsidP="00481E22">
            <w:pPr>
              <w:rPr>
                <w:sz w:val="20"/>
              </w:rPr>
            </w:pPr>
          </w:p>
        </w:tc>
        <w:tc>
          <w:tcPr>
            <w:tcW w:w="1701" w:type="dxa"/>
            <w:vAlign w:val="bottom"/>
          </w:tcPr>
          <w:p w14:paraId="5236D9EE" w14:textId="77777777" w:rsidR="00B716D1" w:rsidRPr="008F549A" w:rsidRDefault="00B716D1" w:rsidP="00481E22">
            <w:pPr>
              <w:rPr>
                <w:sz w:val="20"/>
              </w:rPr>
            </w:pPr>
          </w:p>
        </w:tc>
        <w:tc>
          <w:tcPr>
            <w:tcW w:w="1417" w:type="dxa"/>
            <w:shd w:val="clear" w:color="auto" w:fill="auto"/>
            <w:noWrap/>
            <w:vAlign w:val="bottom"/>
          </w:tcPr>
          <w:p w14:paraId="1D537241" w14:textId="77777777" w:rsidR="00B716D1" w:rsidRPr="008F549A" w:rsidRDefault="00B716D1" w:rsidP="00481E22">
            <w:pPr>
              <w:rPr>
                <w:sz w:val="20"/>
              </w:rPr>
            </w:pPr>
          </w:p>
        </w:tc>
      </w:tr>
      <w:tr w:rsidR="00B716D1" w:rsidRPr="009B33BE" w14:paraId="1C858352" w14:textId="77777777" w:rsidTr="0075674B">
        <w:trPr>
          <w:trHeight w:val="300"/>
        </w:trPr>
        <w:tc>
          <w:tcPr>
            <w:tcW w:w="2268" w:type="dxa"/>
            <w:shd w:val="clear" w:color="auto" w:fill="auto"/>
            <w:noWrap/>
            <w:vAlign w:val="bottom"/>
          </w:tcPr>
          <w:p w14:paraId="783E40EB" w14:textId="77777777" w:rsidR="00B716D1" w:rsidRPr="004D0DE0" w:rsidRDefault="00B716D1" w:rsidP="00481E22">
            <w:pPr>
              <w:rPr>
                <w:b/>
                <w:sz w:val="20"/>
                <w:szCs w:val="22"/>
              </w:rPr>
            </w:pPr>
            <w:r w:rsidRPr="004D0DE0">
              <w:rPr>
                <w:b/>
                <w:sz w:val="20"/>
                <w:szCs w:val="22"/>
              </w:rPr>
              <w:t>Difference</w:t>
            </w:r>
          </w:p>
        </w:tc>
        <w:tc>
          <w:tcPr>
            <w:tcW w:w="1276" w:type="dxa"/>
            <w:shd w:val="clear" w:color="auto" w:fill="auto"/>
            <w:noWrap/>
            <w:vAlign w:val="bottom"/>
          </w:tcPr>
          <w:p w14:paraId="074D75A1" w14:textId="77777777" w:rsidR="00B716D1" w:rsidRPr="00150E40" w:rsidRDefault="00B716D1" w:rsidP="00481E22">
            <w:pPr>
              <w:jc w:val="right"/>
              <w:rPr>
                <w:sz w:val="20"/>
              </w:rPr>
            </w:pPr>
            <w:r w:rsidRPr="00150E40">
              <w:rPr>
                <w:sz w:val="20"/>
              </w:rPr>
              <w:t>-£346.00</w:t>
            </w:r>
          </w:p>
        </w:tc>
        <w:tc>
          <w:tcPr>
            <w:tcW w:w="1559" w:type="dxa"/>
            <w:shd w:val="clear" w:color="auto" w:fill="auto"/>
            <w:noWrap/>
            <w:vAlign w:val="bottom"/>
          </w:tcPr>
          <w:p w14:paraId="41A65783" w14:textId="77777777" w:rsidR="00B716D1" w:rsidRPr="008F549A" w:rsidRDefault="00B716D1" w:rsidP="00481E22">
            <w:pPr>
              <w:jc w:val="right"/>
              <w:rPr>
                <w:sz w:val="20"/>
              </w:rPr>
            </w:pPr>
            <w:r w:rsidRPr="008F549A">
              <w:rPr>
                <w:sz w:val="20"/>
              </w:rPr>
              <w:t>-£39.38</w:t>
            </w:r>
          </w:p>
        </w:tc>
        <w:tc>
          <w:tcPr>
            <w:tcW w:w="1701" w:type="dxa"/>
            <w:vAlign w:val="bottom"/>
          </w:tcPr>
          <w:p w14:paraId="25781502" w14:textId="77777777" w:rsidR="00B716D1" w:rsidRPr="008F549A" w:rsidRDefault="00B716D1" w:rsidP="00481E22">
            <w:pPr>
              <w:jc w:val="right"/>
              <w:rPr>
                <w:sz w:val="20"/>
              </w:rPr>
            </w:pPr>
            <w:r w:rsidRPr="008F549A">
              <w:rPr>
                <w:sz w:val="20"/>
              </w:rPr>
              <w:t>-£50.91</w:t>
            </w:r>
          </w:p>
        </w:tc>
        <w:tc>
          <w:tcPr>
            <w:tcW w:w="1417" w:type="dxa"/>
            <w:shd w:val="clear" w:color="auto" w:fill="auto"/>
            <w:noWrap/>
            <w:vAlign w:val="bottom"/>
          </w:tcPr>
          <w:p w14:paraId="0ACAAE18" w14:textId="77777777" w:rsidR="00B716D1" w:rsidRPr="008F549A" w:rsidRDefault="00B716D1" w:rsidP="00481E22">
            <w:pPr>
              <w:jc w:val="right"/>
              <w:rPr>
                <w:sz w:val="20"/>
              </w:rPr>
            </w:pPr>
            <w:r w:rsidRPr="008F549A">
              <w:rPr>
                <w:sz w:val="20"/>
              </w:rPr>
              <w:t>-£436.29</w:t>
            </w:r>
          </w:p>
        </w:tc>
      </w:tr>
    </w:tbl>
    <w:p w14:paraId="54F7F429" w14:textId="77777777" w:rsidR="00A341BF" w:rsidRDefault="00A341BF" w:rsidP="00BE69CC">
      <w:pPr>
        <w:rPr>
          <w:sz w:val="22"/>
          <w:szCs w:val="22"/>
        </w:rPr>
      </w:pPr>
    </w:p>
    <w:p w14:paraId="0E78AF79" w14:textId="77777777" w:rsidR="00BE69CC" w:rsidRPr="002A1891" w:rsidRDefault="00BE69CC" w:rsidP="00BE69CC">
      <w:pPr>
        <w:rPr>
          <w:b/>
          <w:sz w:val="22"/>
          <w:szCs w:val="22"/>
        </w:rPr>
      </w:pPr>
      <w:r w:rsidRPr="002A1891">
        <w:rPr>
          <w:b/>
          <w:sz w:val="22"/>
          <w:szCs w:val="22"/>
        </w:rPr>
        <w:t>Scenario 6: 6 days of IV and 14 days overall treatment of linezolid</w:t>
      </w:r>
    </w:p>
    <w:p w14:paraId="46F07F23" w14:textId="33CBE7D2" w:rsidR="00BE69CC" w:rsidRPr="002A1891" w:rsidRDefault="00BE69CC" w:rsidP="00BE69CC">
      <w:pPr>
        <w:rPr>
          <w:sz w:val="22"/>
          <w:szCs w:val="22"/>
        </w:rPr>
      </w:pPr>
      <w:r w:rsidRPr="002A1891">
        <w:rPr>
          <w:sz w:val="22"/>
          <w:szCs w:val="22"/>
        </w:rPr>
        <w:tab/>
        <w:t>Tedizolid </w:t>
      </w:r>
      <w:r w:rsidR="00FA1FF1">
        <w:rPr>
          <w:rFonts w:cs="Arial"/>
          <w:sz w:val="22"/>
          <w:szCs w:val="22"/>
        </w:rPr>
        <w:t>phosphate</w:t>
      </w:r>
      <w:r w:rsidR="00FA1FF1" w:rsidRPr="002A1891">
        <w:rPr>
          <w:sz w:val="22"/>
          <w:szCs w:val="22"/>
        </w:rPr>
        <w:t xml:space="preserve"> </w:t>
      </w:r>
      <w:r w:rsidRPr="002A1891">
        <w:rPr>
          <w:sz w:val="22"/>
          <w:szCs w:val="22"/>
        </w:rPr>
        <w:t>- 6 days IV</w:t>
      </w:r>
    </w:p>
    <w:p w14:paraId="134A34D0" w14:textId="17CD9CC6" w:rsidR="00BE69CC" w:rsidRPr="002A1891" w:rsidRDefault="00FA1FF1" w:rsidP="00BE69CC">
      <w:pPr>
        <w:rPr>
          <w:sz w:val="22"/>
          <w:szCs w:val="22"/>
        </w:rPr>
      </w:pPr>
      <w:r>
        <w:rPr>
          <w:sz w:val="22"/>
          <w:szCs w:val="22"/>
        </w:rPr>
        <w:tab/>
        <w:t>Linezolid -</w:t>
      </w:r>
      <w:r w:rsidR="00BE69CC" w:rsidRPr="002A1891">
        <w:rPr>
          <w:sz w:val="22"/>
          <w:szCs w:val="22"/>
        </w:rPr>
        <w:t xml:space="preserve"> 6 days IV; 8 days OPAT</w:t>
      </w:r>
    </w:p>
    <w:p w14:paraId="0EA5071D" w14:textId="77777777" w:rsidR="00683678" w:rsidRDefault="00683678" w:rsidP="00683678">
      <w:pPr>
        <w:rPr>
          <w:sz w:val="22"/>
          <w:szCs w:val="22"/>
          <w:highlight w:val="yellow"/>
        </w:rPr>
      </w:pPr>
    </w:p>
    <w:p w14:paraId="2BCC6CA4" w14:textId="77777777" w:rsidR="00151A1C" w:rsidRPr="00B733E7" w:rsidRDefault="00B716D1" w:rsidP="00B733E7">
      <w:pPr>
        <w:jc w:val="both"/>
        <w:rPr>
          <w:rFonts w:cs="Arial"/>
          <w:sz w:val="22"/>
          <w:szCs w:val="22"/>
        </w:rPr>
      </w:pPr>
      <w:r w:rsidRPr="002A1891">
        <w:rPr>
          <w:sz w:val="22"/>
          <w:szCs w:val="22"/>
        </w:rPr>
        <w:t xml:space="preserve">The use of tedizolid phosphate leads to costs of </w:t>
      </w:r>
      <w:r w:rsidRPr="002A1891">
        <w:rPr>
          <w:rFonts w:cs="Arial"/>
          <w:sz w:val="22"/>
          <w:szCs w:val="22"/>
        </w:rPr>
        <w:t>£</w:t>
      </w:r>
      <w:r>
        <w:rPr>
          <w:rFonts w:cs="Arial"/>
          <w:sz w:val="22"/>
          <w:szCs w:val="22"/>
        </w:rPr>
        <w:t>1,098.82</w:t>
      </w:r>
      <w:r w:rsidRPr="002A1891">
        <w:rPr>
          <w:rFonts w:cs="Arial"/>
          <w:sz w:val="22"/>
          <w:szCs w:val="22"/>
        </w:rPr>
        <w:t xml:space="preserve"> </w:t>
      </w:r>
      <w:r w:rsidRPr="002A1891">
        <w:rPr>
          <w:sz w:val="22"/>
          <w:szCs w:val="22"/>
        </w:rPr>
        <w:t>and linezolid to costs £1,</w:t>
      </w:r>
      <w:r>
        <w:rPr>
          <w:sz w:val="22"/>
          <w:szCs w:val="22"/>
        </w:rPr>
        <w:t>748</w:t>
      </w:r>
      <w:r w:rsidRPr="002A1891">
        <w:rPr>
          <w:sz w:val="22"/>
          <w:szCs w:val="22"/>
        </w:rPr>
        <w:t>.</w:t>
      </w:r>
      <w:r>
        <w:rPr>
          <w:sz w:val="22"/>
          <w:szCs w:val="22"/>
        </w:rPr>
        <w:t>31</w:t>
      </w:r>
      <w:r w:rsidRPr="002A1891">
        <w:rPr>
          <w:sz w:val="22"/>
          <w:szCs w:val="22"/>
        </w:rPr>
        <w:t xml:space="preserve"> (</w:t>
      </w:r>
      <w:r w:rsidRPr="00B733E7">
        <w:rPr>
          <w:sz w:val="22"/>
          <w:szCs w:val="22"/>
        </w:rPr>
        <w:t xml:space="preserve">largely because of the additional costs of £436.29 for ambulatory care (OPAT)), resulting in total savings of £649.49 </w:t>
      </w:r>
      <w:r w:rsidR="00BE69CC" w:rsidRPr="00B733E7">
        <w:rPr>
          <w:sz w:val="22"/>
          <w:szCs w:val="22"/>
        </w:rPr>
        <w:t>(</w:t>
      </w:r>
      <w:r w:rsidR="00BE69CC" w:rsidRPr="00B733E7">
        <w:rPr>
          <w:sz w:val="22"/>
          <w:szCs w:val="22"/>
        </w:rPr>
        <w:fldChar w:fldCharType="begin"/>
      </w:r>
      <w:r w:rsidR="00BE69CC" w:rsidRPr="00B733E7">
        <w:rPr>
          <w:sz w:val="22"/>
          <w:szCs w:val="22"/>
        </w:rPr>
        <w:instrText xml:space="preserve"> REF _Ref283056154 \h </w:instrText>
      </w:r>
      <w:r w:rsidR="00BE69CC" w:rsidRPr="00B733E7">
        <w:rPr>
          <w:sz w:val="22"/>
          <w:szCs w:val="22"/>
        </w:rPr>
      </w:r>
      <w:r w:rsidR="00BE69CC" w:rsidRPr="00B733E7">
        <w:rPr>
          <w:sz w:val="22"/>
          <w:szCs w:val="22"/>
        </w:rPr>
        <w:fldChar w:fldCharType="separate"/>
      </w:r>
    </w:p>
    <w:p w14:paraId="5C70A332" w14:textId="77777777" w:rsidR="00151A1C" w:rsidRDefault="00151A1C" w:rsidP="00C35A7E">
      <w:pPr>
        <w:ind w:left="357" w:hanging="357"/>
        <w:jc w:val="both"/>
        <w:rPr>
          <w:rFonts w:cs="Arial"/>
          <w:b/>
          <w:sz w:val="22"/>
          <w:szCs w:val="22"/>
        </w:rPr>
      </w:pPr>
    </w:p>
    <w:p w14:paraId="04F9C6E0" w14:textId="4DA0FD41" w:rsidR="00C35A7E" w:rsidRPr="00B733E7" w:rsidRDefault="00151A1C" w:rsidP="00B733E7">
      <w:pPr>
        <w:jc w:val="both"/>
        <w:rPr>
          <w:rFonts w:cs="Arial"/>
          <w:sz w:val="22"/>
          <w:szCs w:val="22"/>
        </w:rPr>
      </w:pPr>
      <w:r w:rsidRPr="00C35A7E">
        <w:rPr>
          <w:rFonts w:cs="Arial"/>
          <w:b/>
          <w:sz w:val="22"/>
          <w:szCs w:val="22"/>
        </w:rPr>
        <w:t xml:space="preserve">Table </w:t>
      </w:r>
      <w:r>
        <w:rPr>
          <w:rFonts w:cs="Arial"/>
          <w:b/>
          <w:noProof/>
          <w:sz w:val="22"/>
          <w:szCs w:val="22"/>
        </w:rPr>
        <w:t>57</w:t>
      </w:r>
      <w:r w:rsidR="00BE69CC" w:rsidRPr="00B733E7">
        <w:rPr>
          <w:sz w:val="22"/>
          <w:szCs w:val="22"/>
        </w:rPr>
        <w:fldChar w:fldCharType="end"/>
      </w:r>
      <w:r w:rsidR="00BE69CC" w:rsidRPr="00B733E7">
        <w:rPr>
          <w:sz w:val="22"/>
          <w:szCs w:val="22"/>
        </w:rPr>
        <w:t>).</w:t>
      </w:r>
      <w:bookmarkStart w:id="216" w:name="_Ref283056154"/>
    </w:p>
    <w:p w14:paraId="20BB5462" w14:textId="77777777" w:rsidR="00B733E7" w:rsidRDefault="00B733E7" w:rsidP="00C35A7E">
      <w:pPr>
        <w:ind w:left="357" w:hanging="357"/>
        <w:jc w:val="both"/>
        <w:rPr>
          <w:rFonts w:cs="Arial"/>
          <w:b/>
          <w:sz w:val="22"/>
          <w:szCs w:val="22"/>
        </w:rPr>
      </w:pPr>
    </w:p>
    <w:p w14:paraId="67BCEAA8" w14:textId="05AACFFD" w:rsidR="00BE69CC" w:rsidRPr="00C35A7E" w:rsidRDefault="00BE69CC" w:rsidP="00C35A7E">
      <w:pPr>
        <w:ind w:left="357" w:hanging="357"/>
        <w:jc w:val="both"/>
        <w:rPr>
          <w:rFonts w:eastAsia="Times New Roman" w:cs="Arial"/>
          <w:b/>
          <w:bCs/>
          <w:sz w:val="22"/>
          <w:szCs w:val="22"/>
        </w:rPr>
      </w:pPr>
      <w:r w:rsidRPr="00C35A7E">
        <w:rPr>
          <w:rFonts w:cs="Arial"/>
          <w:b/>
          <w:sz w:val="22"/>
          <w:szCs w:val="22"/>
        </w:rPr>
        <w:t xml:space="preserve">Table </w:t>
      </w:r>
      <w:r w:rsidRPr="00C35A7E">
        <w:rPr>
          <w:rFonts w:cs="Arial"/>
          <w:b/>
          <w:sz w:val="22"/>
          <w:szCs w:val="22"/>
        </w:rPr>
        <w:fldChar w:fldCharType="begin"/>
      </w:r>
      <w:r w:rsidRPr="00C35A7E">
        <w:rPr>
          <w:rFonts w:cs="Arial"/>
          <w:b/>
          <w:sz w:val="22"/>
          <w:szCs w:val="22"/>
        </w:rPr>
        <w:instrText xml:space="preserve"> SEQ Table \* ARABIC </w:instrText>
      </w:r>
      <w:r w:rsidRPr="00C35A7E">
        <w:rPr>
          <w:rFonts w:cs="Arial"/>
          <w:b/>
          <w:sz w:val="22"/>
          <w:szCs w:val="22"/>
        </w:rPr>
        <w:fldChar w:fldCharType="separate"/>
      </w:r>
      <w:r w:rsidR="00151A1C">
        <w:rPr>
          <w:rFonts w:cs="Arial"/>
          <w:b/>
          <w:noProof/>
          <w:sz w:val="22"/>
          <w:szCs w:val="22"/>
        </w:rPr>
        <w:t>57</w:t>
      </w:r>
      <w:r w:rsidRPr="00C35A7E">
        <w:rPr>
          <w:rFonts w:cs="Arial"/>
          <w:b/>
          <w:sz w:val="22"/>
          <w:szCs w:val="22"/>
        </w:rPr>
        <w:fldChar w:fldCharType="end"/>
      </w:r>
      <w:bookmarkEnd w:id="216"/>
      <w:r w:rsidRPr="00C35A7E">
        <w:rPr>
          <w:rFonts w:cs="Arial"/>
          <w:b/>
          <w:sz w:val="22"/>
          <w:szCs w:val="22"/>
        </w:rPr>
        <w:t>: Results – scenario 6</w:t>
      </w:r>
    </w:p>
    <w:p w14:paraId="68E71AC2" w14:textId="77777777" w:rsidR="00B716D1" w:rsidRPr="004105AC" w:rsidRDefault="00B716D1" w:rsidP="00B716D1">
      <w:pPr>
        <w:pStyle w:val="BodyText"/>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134"/>
        <w:gridCol w:w="1559"/>
        <w:gridCol w:w="1701"/>
        <w:gridCol w:w="993"/>
        <w:gridCol w:w="1417"/>
      </w:tblGrid>
      <w:tr w:rsidR="00B716D1" w:rsidRPr="004105AC" w14:paraId="23C6807A" w14:textId="77777777" w:rsidTr="00FA1FF1">
        <w:trPr>
          <w:trHeight w:val="300"/>
        </w:trPr>
        <w:tc>
          <w:tcPr>
            <w:tcW w:w="2410" w:type="dxa"/>
            <w:shd w:val="clear" w:color="auto" w:fill="auto"/>
            <w:noWrap/>
            <w:vAlign w:val="bottom"/>
          </w:tcPr>
          <w:p w14:paraId="04FA7BC4" w14:textId="77777777" w:rsidR="00B716D1" w:rsidRPr="004105AC" w:rsidRDefault="00B716D1" w:rsidP="00481E22">
            <w:pPr>
              <w:rPr>
                <w:b/>
                <w:sz w:val="20"/>
                <w:szCs w:val="22"/>
              </w:rPr>
            </w:pPr>
          </w:p>
        </w:tc>
        <w:tc>
          <w:tcPr>
            <w:tcW w:w="1134" w:type="dxa"/>
            <w:shd w:val="clear" w:color="auto" w:fill="auto"/>
            <w:noWrap/>
            <w:vAlign w:val="bottom"/>
          </w:tcPr>
          <w:p w14:paraId="186AC846" w14:textId="77777777" w:rsidR="00B716D1" w:rsidRPr="004105AC" w:rsidRDefault="00B716D1" w:rsidP="00481E22">
            <w:pPr>
              <w:jc w:val="right"/>
              <w:rPr>
                <w:b/>
                <w:sz w:val="20"/>
                <w:szCs w:val="22"/>
                <w:vertAlign w:val="superscript"/>
              </w:rPr>
            </w:pPr>
            <w:r w:rsidRPr="004105AC">
              <w:rPr>
                <w:b/>
                <w:sz w:val="20"/>
                <w:szCs w:val="22"/>
              </w:rPr>
              <w:t>Drug cost</w:t>
            </w:r>
          </w:p>
          <w:p w14:paraId="5391F680" w14:textId="77777777" w:rsidR="00B716D1" w:rsidRPr="004105AC" w:rsidRDefault="00B716D1" w:rsidP="00481E22">
            <w:pPr>
              <w:jc w:val="right"/>
              <w:rPr>
                <w:b/>
                <w:sz w:val="20"/>
                <w:szCs w:val="22"/>
                <w:vertAlign w:val="superscript"/>
              </w:rPr>
            </w:pPr>
          </w:p>
        </w:tc>
        <w:tc>
          <w:tcPr>
            <w:tcW w:w="1559" w:type="dxa"/>
            <w:shd w:val="clear" w:color="auto" w:fill="auto"/>
            <w:noWrap/>
            <w:vAlign w:val="bottom"/>
          </w:tcPr>
          <w:p w14:paraId="21AA7ADF" w14:textId="77777777" w:rsidR="00B716D1" w:rsidRPr="004105AC" w:rsidRDefault="00B716D1" w:rsidP="00481E22">
            <w:pPr>
              <w:jc w:val="right"/>
              <w:rPr>
                <w:b/>
                <w:sz w:val="20"/>
                <w:szCs w:val="22"/>
                <w:vertAlign w:val="superscript"/>
              </w:rPr>
            </w:pPr>
            <w:r w:rsidRPr="004105AC">
              <w:rPr>
                <w:b/>
                <w:sz w:val="20"/>
                <w:szCs w:val="22"/>
              </w:rPr>
              <w:t>Administration costs</w:t>
            </w:r>
          </w:p>
        </w:tc>
        <w:tc>
          <w:tcPr>
            <w:tcW w:w="1701" w:type="dxa"/>
          </w:tcPr>
          <w:p w14:paraId="243885D8" w14:textId="77777777" w:rsidR="00B716D1" w:rsidRPr="004105AC" w:rsidRDefault="00B716D1" w:rsidP="00481E22">
            <w:pPr>
              <w:spacing w:before="2" w:after="2"/>
              <w:jc w:val="right"/>
              <w:rPr>
                <w:b/>
                <w:sz w:val="20"/>
                <w:szCs w:val="22"/>
              </w:rPr>
            </w:pPr>
            <w:r w:rsidRPr="004105AC">
              <w:rPr>
                <w:b/>
                <w:sz w:val="20"/>
                <w:szCs w:val="22"/>
              </w:rPr>
              <w:t xml:space="preserve">Monitoring </w:t>
            </w:r>
          </w:p>
          <w:p w14:paraId="2773783A" w14:textId="77777777" w:rsidR="00B716D1" w:rsidRPr="004105AC" w:rsidRDefault="00B716D1" w:rsidP="00481E22">
            <w:pPr>
              <w:spacing w:before="2" w:after="2"/>
              <w:jc w:val="right"/>
              <w:rPr>
                <w:b/>
                <w:sz w:val="20"/>
                <w:szCs w:val="22"/>
              </w:rPr>
            </w:pPr>
            <w:r w:rsidRPr="004105AC">
              <w:rPr>
                <w:b/>
                <w:sz w:val="20"/>
                <w:szCs w:val="22"/>
              </w:rPr>
              <w:t>costs</w:t>
            </w:r>
          </w:p>
        </w:tc>
        <w:tc>
          <w:tcPr>
            <w:tcW w:w="993" w:type="dxa"/>
          </w:tcPr>
          <w:p w14:paraId="13D80ADC" w14:textId="77777777" w:rsidR="00B716D1" w:rsidRPr="004105AC" w:rsidRDefault="00B716D1" w:rsidP="00481E22">
            <w:pPr>
              <w:spacing w:before="2" w:after="2"/>
              <w:jc w:val="right"/>
              <w:rPr>
                <w:b/>
                <w:sz w:val="20"/>
                <w:szCs w:val="22"/>
              </w:rPr>
            </w:pPr>
            <w:r w:rsidRPr="004105AC">
              <w:rPr>
                <w:b/>
                <w:sz w:val="20"/>
                <w:szCs w:val="22"/>
              </w:rPr>
              <w:t xml:space="preserve">OPAT </w:t>
            </w:r>
          </w:p>
          <w:p w14:paraId="62255FD4" w14:textId="77777777" w:rsidR="00B716D1" w:rsidRPr="004105AC" w:rsidRDefault="00B716D1" w:rsidP="00481E22">
            <w:pPr>
              <w:spacing w:before="2" w:after="2"/>
              <w:jc w:val="right"/>
              <w:rPr>
                <w:b/>
                <w:sz w:val="20"/>
                <w:szCs w:val="22"/>
              </w:rPr>
            </w:pPr>
            <w:r w:rsidRPr="004105AC">
              <w:rPr>
                <w:b/>
                <w:sz w:val="20"/>
                <w:szCs w:val="22"/>
              </w:rPr>
              <w:t>costs</w:t>
            </w:r>
          </w:p>
        </w:tc>
        <w:tc>
          <w:tcPr>
            <w:tcW w:w="1417" w:type="dxa"/>
            <w:shd w:val="clear" w:color="auto" w:fill="auto"/>
            <w:noWrap/>
            <w:vAlign w:val="bottom"/>
          </w:tcPr>
          <w:p w14:paraId="4EDA33E9" w14:textId="77777777" w:rsidR="00B716D1" w:rsidRPr="004105AC" w:rsidRDefault="00B716D1" w:rsidP="00481E22">
            <w:pPr>
              <w:jc w:val="right"/>
              <w:rPr>
                <w:b/>
                <w:sz w:val="20"/>
                <w:szCs w:val="22"/>
              </w:rPr>
            </w:pPr>
            <w:r w:rsidRPr="004105AC">
              <w:rPr>
                <w:b/>
                <w:sz w:val="20"/>
                <w:szCs w:val="22"/>
              </w:rPr>
              <w:t>Total costs</w:t>
            </w:r>
          </w:p>
          <w:p w14:paraId="24066111" w14:textId="77777777" w:rsidR="00B716D1" w:rsidRPr="004105AC" w:rsidRDefault="00B716D1" w:rsidP="00481E22">
            <w:pPr>
              <w:jc w:val="right"/>
              <w:rPr>
                <w:b/>
                <w:sz w:val="20"/>
                <w:szCs w:val="22"/>
              </w:rPr>
            </w:pPr>
          </w:p>
        </w:tc>
      </w:tr>
      <w:tr w:rsidR="00B716D1" w:rsidRPr="004105AC" w14:paraId="104F6330" w14:textId="77777777" w:rsidTr="00FA1FF1">
        <w:trPr>
          <w:trHeight w:val="300"/>
        </w:trPr>
        <w:tc>
          <w:tcPr>
            <w:tcW w:w="2410" w:type="dxa"/>
            <w:shd w:val="clear" w:color="auto" w:fill="auto"/>
            <w:noWrap/>
            <w:vAlign w:val="bottom"/>
          </w:tcPr>
          <w:p w14:paraId="113B7DBF" w14:textId="1EE29703" w:rsidR="00B716D1" w:rsidRPr="004105AC" w:rsidRDefault="00B716D1" w:rsidP="00481E22">
            <w:pPr>
              <w:rPr>
                <w:b/>
                <w:sz w:val="20"/>
                <w:szCs w:val="22"/>
              </w:rPr>
            </w:pPr>
            <w:r w:rsidRPr="004105AC">
              <w:rPr>
                <w:b/>
                <w:sz w:val="20"/>
                <w:szCs w:val="22"/>
              </w:rPr>
              <w:t>Tedizolid</w:t>
            </w:r>
            <w:r w:rsidR="00FA1FF1">
              <w:rPr>
                <w:b/>
                <w:sz w:val="20"/>
                <w:szCs w:val="22"/>
              </w:rPr>
              <w:t xml:space="preserve"> phosphate</w:t>
            </w:r>
          </w:p>
        </w:tc>
        <w:tc>
          <w:tcPr>
            <w:tcW w:w="1134" w:type="dxa"/>
            <w:shd w:val="clear" w:color="auto" w:fill="auto"/>
            <w:noWrap/>
            <w:vAlign w:val="bottom"/>
          </w:tcPr>
          <w:p w14:paraId="3253CF6B" w14:textId="77777777" w:rsidR="00B716D1" w:rsidRPr="004105AC" w:rsidRDefault="00B716D1" w:rsidP="00481E22">
            <w:pPr>
              <w:jc w:val="right"/>
              <w:rPr>
                <w:sz w:val="20"/>
              </w:rPr>
            </w:pPr>
            <w:r w:rsidRPr="004105AC">
              <w:rPr>
                <w:sz w:val="20"/>
              </w:rPr>
              <w:t>£900.00</w:t>
            </w:r>
          </w:p>
        </w:tc>
        <w:tc>
          <w:tcPr>
            <w:tcW w:w="1559" w:type="dxa"/>
            <w:shd w:val="clear" w:color="auto" w:fill="auto"/>
            <w:noWrap/>
            <w:vAlign w:val="bottom"/>
          </w:tcPr>
          <w:p w14:paraId="54491D34" w14:textId="77777777" w:rsidR="00B716D1" w:rsidRPr="004105AC" w:rsidRDefault="00B716D1" w:rsidP="00481E22">
            <w:pPr>
              <w:jc w:val="right"/>
              <w:rPr>
                <w:sz w:val="20"/>
              </w:rPr>
            </w:pPr>
            <w:r w:rsidRPr="004105AC">
              <w:rPr>
                <w:sz w:val="20"/>
              </w:rPr>
              <w:t>£198.82</w:t>
            </w:r>
          </w:p>
        </w:tc>
        <w:tc>
          <w:tcPr>
            <w:tcW w:w="1701" w:type="dxa"/>
            <w:vAlign w:val="bottom"/>
          </w:tcPr>
          <w:p w14:paraId="13F22BDC" w14:textId="77777777" w:rsidR="00B716D1" w:rsidRPr="004105AC" w:rsidRDefault="00B716D1" w:rsidP="00481E22">
            <w:pPr>
              <w:jc w:val="right"/>
              <w:rPr>
                <w:sz w:val="20"/>
              </w:rPr>
            </w:pPr>
            <w:r w:rsidRPr="004105AC">
              <w:rPr>
                <w:sz w:val="20"/>
              </w:rPr>
              <w:t>£0.00</w:t>
            </w:r>
          </w:p>
        </w:tc>
        <w:tc>
          <w:tcPr>
            <w:tcW w:w="993" w:type="dxa"/>
            <w:vAlign w:val="bottom"/>
          </w:tcPr>
          <w:p w14:paraId="4C8953D7" w14:textId="77777777" w:rsidR="00B716D1" w:rsidRPr="004105AC" w:rsidRDefault="00B716D1" w:rsidP="00481E22">
            <w:pPr>
              <w:jc w:val="right"/>
              <w:rPr>
                <w:sz w:val="20"/>
              </w:rPr>
            </w:pPr>
            <w:r w:rsidRPr="004105AC">
              <w:rPr>
                <w:sz w:val="20"/>
              </w:rPr>
              <w:t>£0.00</w:t>
            </w:r>
          </w:p>
        </w:tc>
        <w:tc>
          <w:tcPr>
            <w:tcW w:w="1417" w:type="dxa"/>
            <w:shd w:val="clear" w:color="auto" w:fill="auto"/>
            <w:noWrap/>
            <w:vAlign w:val="bottom"/>
          </w:tcPr>
          <w:p w14:paraId="4B622C6E" w14:textId="77777777" w:rsidR="00B716D1" w:rsidRPr="004105AC" w:rsidRDefault="00B716D1" w:rsidP="00481E22">
            <w:pPr>
              <w:jc w:val="right"/>
              <w:rPr>
                <w:sz w:val="20"/>
              </w:rPr>
            </w:pPr>
            <w:r w:rsidRPr="004105AC">
              <w:rPr>
                <w:sz w:val="20"/>
              </w:rPr>
              <w:t>£1,098.82</w:t>
            </w:r>
          </w:p>
        </w:tc>
      </w:tr>
      <w:tr w:rsidR="00B716D1" w:rsidRPr="004105AC" w14:paraId="6C64DC74" w14:textId="77777777" w:rsidTr="00FA1FF1">
        <w:trPr>
          <w:trHeight w:val="300"/>
        </w:trPr>
        <w:tc>
          <w:tcPr>
            <w:tcW w:w="2410" w:type="dxa"/>
            <w:shd w:val="clear" w:color="auto" w:fill="auto"/>
            <w:noWrap/>
            <w:vAlign w:val="bottom"/>
          </w:tcPr>
          <w:p w14:paraId="509CD924" w14:textId="77777777" w:rsidR="00B716D1" w:rsidRPr="004105AC" w:rsidRDefault="00B716D1" w:rsidP="00481E22">
            <w:pPr>
              <w:rPr>
                <w:b/>
                <w:sz w:val="20"/>
                <w:szCs w:val="22"/>
              </w:rPr>
            </w:pPr>
            <w:r w:rsidRPr="004105AC">
              <w:rPr>
                <w:b/>
                <w:sz w:val="20"/>
                <w:szCs w:val="22"/>
              </w:rPr>
              <w:t>Linezolid</w:t>
            </w:r>
          </w:p>
        </w:tc>
        <w:tc>
          <w:tcPr>
            <w:tcW w:w="1134" w:type="dxa"/>
            <w:shd w:val="clear" w:color="auto" w:fill="auto"/>
            <w:noWrap/>
            <w:vAlign w:val="bottom"/>
          </w:tcPr>
          <w:p w14:paraId="2C431677" w14:textId="77777777" w:rsidR="00B716D1" w:rsidRPr="004105AC" w:rsidRDefault="00B716D1" w:rsidP="00481E22">
            <w:pPr>
              <w:jc w:val="right"/>
              <w:rPr>
                <w:sz w:val="20"/>
              </w:rPr>
            </w:pPr>
            <w:r w:rsidRPr="004105AC">
              <w:rPr>
                <w:sz w:val="20"/>
              </w:rPr>
              <w:t>£1,246.00</w:t>
            </w:r>
          </w:p>
        </w:tc>
        <w:tc>
          <w:tcPr>
            <w:tcW w:w="1559" w:type="dxa"/>
            <w:shd w:val="clear" w:color="auto" w:fill="auto"/>
            <w:noWrap/>
            <w:vAlign w:val="bottom"/>
          </w:tcPr>
          <w:p w14:paraId="24C1ABA6" w14:textId="77777777" w:rsidR="00B716D1" w:rsidRPr="004105AC" w:rsidRDefault="00B716D1" w:rsidP="00481E22">
            <w:pPr>
              <w:jc w:val="right"/>
              <w:rPr>
                <w:sz w:val="20"/>
              </w:rPr>
            </w:pPr>
            <w:r w:rsidRPr="004105AC">
              <w:rPr>
                <w:sz w:val="20"/>
              </w:rPr>
              <w:t>£238.20</w:t>
            </w:r>
          </w:p>
        </w:tc>
        <w:tc>
          <w:tcPr>
            <w:tcW w:w="1701" w:type="dxa"/>
            <w:vAlign w:val="bottom"/>
          </w:tcPr>
          <w:p w14:paraId="34E2BFAB" w14:textId="4AD3097D" w:rsidR="00B716D1" w:rsidRPr="004105AC" w:rsidRDefault="00B716D1" w:rsidP="00481E22">
            <w:pPr>
              <w:jc w:val="right"/>
              <w:rPr>
                <w:sz w:val="20"/>
              </w:rPr>
            </w:pPr>
            <w:r>
              <w:rPr>
                <w:sz w:val="20"/>
              </w:rPr>
              <w:t>£</w:t>
            </w:r>
            <w:r w:rsidRPr="004105AC">
              <w:rPr>
                <w:sz w:val="20"/>
              </w:rPr>
              <w:t>50.91</w:t>
            </w:r>
          </w:p>
        </w:tc>
        <w:tc>
          <w:tcPr>
            <w:tcW w:w="993" w:type="dxa"/>
            <w:vAlign w:val="bottom"/>
          </w:tcPr>
          <w:p w14:paraId="79DFDE15" w14:textId="77777777" w:rsidR="00B716D1" w:rsidRPr="004105AC" w:rsidRDefault="00B716D1" w:rsidP="00481E22">
            <w:pPr>
              <w:jc w:val="right"/>
              <w:rPr>
                <w:sz w:val="20"/>
              </w:rPr>
            </w:pPr>
            <w:r w:rsidRPr="004105AC">
              <w:rPr>
                <w:sz w:val="20"/>
              </w:rPr>
              <w:t>£213.20</w:t>
            </w:r>
          </w:p>
        </w:tc>
        <w:tc>
          <w:tcPr>
            <w:tcW w:w="1417" w:type="dxa"/>
            <w:shd w:val="clear" w:color="auto" w:fill="auto"/>
            <w:noWrap/>
            <w:vAlign w:val="bottom"/>
          </w:tcPr>
          <w:p w14:paraId="1C57B91A" w14:textId="77777777" w:rsidR="00B716D1" w:rsidRPr="004105AC" w:rsidRDefault="00B716D1" w:rsidP="00481E22">
            <w:pPr>
              <w:jc w:val="right"/>
              <w:rPr>
                <w:sz w:val="20"/>
              </w:rPr>
            </w:pPr>
            <w:r w:rsidRPr="004105AC">
              <w:rPr>
                <w:sz w:val="20"/>
              </w:rPr>
              <w:t>£1,748.31</w:t>
            </w:r>
          </w:p>
        </w:tc>
      </w:tr>
      <w:tr w:rsidR="00B716D1" w:rsidRPr="004105AC" w14:paraId="60CF9C25" w14:textId="77777777" w:rsidTr="00FA1FF1">
        <w:trPr>
          <w:trHeight w:val="300"/>
        </w:trPr>
        <w:tc>
          <w:tcPr>
            <w:tcW w:w="2410" w:type="dxa"/>
            <w:shd w:val="clear" w:color="auto" w:fill="auto"/>
            <w:noWrap/>
            <w:vAlign w:val="bottom"/>
          </w:tcPr>
          <w:p w14:paraId="746A4F50" w14:textId="77777777" w:rsidR="00B716D1" w:rsidRPr="004105AC" w:rsidRDefault="00B716D1" w:rsidP="00481E22">
            <w:pPr>
              <w:rPr>
                <w:b/>
                <w:sz w:val="20"/>
                <w:szCs w:val="22"/>
              </w:rPr>
            </w:pPr>
          </w:p>
        </w:tc>
        <w:tc>
          <w:tcPr>
            <w:tcW w:w="1134" w:type="dxa"/>
            <w:shd w:val="clear" w:color="auto" w:fill="auto"/>
            <w:noWrap/>
            <w:vAlign w:val="bottom"/>
          </w:tcPr>
          <w:p w14:paraId="2D71B5F6" w14:textId="77777777" w:rsidR="00B716D1" w:rsidRPr="004105AC" w:rsidRDefault="00B716D1" w:rsidP="00481E22">
            <w:pPr>
              <w:rPr>
                <w:sz w:val="20"/>
              </w:rPr>
            </w:pPr>
          </w:p>
        </w:tc>
        <w:tc>
          <w:tcPr>
            <w:tcW w:w="1559" w:type="dxa"/>
            <w:shd w:val="clear" w:color="auto" w:fill="auto"/>
            <w:noWrap/>
            <w:vAlign w:val="bottom"/>
          </w:tcPr>
          <w:p w14:paraId="7E5E689E" w14:textId="77777777" w:rsidR="00B716D1" w:rsidRPr="004105AC" w:rsidRDefault="00B716D1" w:rsidP="00481E22">
            <w:pPr>
              <w:rPr>
                <w:sz w:val="20"/>
              </w:rPr>
            </w:pPr>
          </w:p>
        </w:tc>
        <w:tc>
          <w:tcPr>
            <w:tcW w:w="1701" w:type="dxa"/>
            <w:vAlign w:val="bottom"/>
          </w:tcPr>
          <w:p w14:paraId="06E075D4" w14:textId="77777777" w:rsidR="00B716D1" w:rsidRPr="004105AC" w:rsidRDefault="00B716D1" w:rsidP="00481E22">
            <w:pPr>
              <w:rPr>
                <w:sz w:val="20"/>
              </w:rPr>
            </w:pPr>
          </w:p>
        </w:tc>
        <w:tc>
          <w:tcPr>
            <w:tcW w:w="993" w:type="dxa"/>
            <w:vAlign w:val="bottom"/>
          </w:tcPr>
          <w:p w14:paraId="6C150660" w14:textId="77777777" w:rsidR="00B716D1" w:rsidRPr="004105AC" w:rsidRDefault="00B716D1" w:rsidP="00481E22">
            <w:pPr>
              <w:rPr>
                <w:sz w:val="20"/>
              </w:rPr>
            </w:pPr>
          </w:p>
        </w:tc>
        <w:tc>
          <w:tcPr>
            <w:tcW w:w="1417" w:type="dxa"/>
            <w:shd w:val="clear" w:color="auto" w:fill="auto"/>
            <w:noWrap/>
            <w:vAlign w:val="bottom"/>
          </w:tcPr>
          <w:p w14:paraId="7DA29233" w14:textId="77777777" w:rsidR="00B716D1" w:rsidRPr="004105AC" w:rsidRDefault="00B716D1" w:rsidP="00481E22">
            <w:pPr>
              <w:rPr>
                <w:sz w:val="20"/>
              </w:rPr>
            </w:pPr>
          </w:p>
        </w:tc>
      </w:tr>
      <w:tr w:rsidR="00B716D1" w:rsidRPr="004105AC" w14:paraId="764A72F8" w14:textId="77777777" w:rsidTr="00FA1FF1">
        <w:trPr>
          <w:trHeight w:val="300"/>
        </w:trPr>
        <w:tc>
          <w:tcPr>
            <w:tcW w:w="2410" w:type="dxa"/>
            <w:shd w:val="clear" w:color="auto" w:fill="auto"/>
            <w:noWrap/>
            <w:vAlign w:val="bottom"/>
          </w:tcPr>
          <w:p w14:paraId="17A62DC2" w14:textId="77777777" w:rsidR="00B716D1" w:rsidRPr="004105AC" w:rsidRDefault="00B716D1" w:rsidP="00481E22">
            <w:pPr>
              <w:rPr>
                <w:b/>
                <w:sz w:val="20"/>
                <w:szCs w:val="22"/>
              </w:rPr>
            </w:pPr>
            <w:r w:rsidRPr="004105AC">
              <w:rPr>
                <w:b/>
                <w:sz w:val="20"/>
                <w:szCs w:val="22"/>
              </w:rPr>
              <w:t>Difference</w:t>
            </w:r>
          </w:p>
        </w:tc>
        <w:tc>
          <w:tcPr>
            <w:tcW w:w="1134" w:type="dxa"/>
            <w:shd w:val="clear" w:color="auto" w:fill="auto"/>
            <w:noWrap/>
            <w:vAlign w:val="bottom"/>
          </w:tcPr>
          <w:p w14:paraId="5D3617AF" w14:textId="77777777" w:rsidR="00B716D1" w:rsidRPr="004105AC" w:rsidRDefault="00B716D1" w:rsidP="00481E22">
            <w:pPr>
              <w:jc w:val="right"/>
              <w:rPr>
                <w:sz w:val="20"/>
              </w:rPr>
            </w:pPr>
            <w:r w:rsidRPr="004105AC">
              <w:rPr>
                <w:sz w:val="20"/>
              </w:rPr>
              <w:t>-£346.00</w:t>
            </w:r>
          </w:p>
        </w:tc>
        <w:tc>
          <w:tcPr>
            <w:tcW w:w="1559" w:type="dxa"/>
            <w:shd w:val="clear" w:color="auto" w:fill="auto"/>
            <w:noWrap/>
            <w:vAlign w:val="bottom"/>
          </w:tcPr>
          <w:p w14:paraId="7F3774DB" w14:textId="77777777" w:rsidR="00B716D1" w:rsidRPr="004105AC" w:rsidRDefault="00B716D1" w:rsidP="00481E22">
            <w:pPr>
              <w:jc w:val="right"/>
              <w:rPr>
                <w:sz w:val="20"/>
              </w:rPr>
            </w:pPr>
            <w:r w:rsidRPr="004105AC">
              <w:rPr>
                <w:sz w:val="20"/>
              </w:rPr>
              <w:t>-£39.38</w:t>
            </w:r>
          </w:p>
        </w:tc>
        <w:tc>
          <w:tcPr>
            <w:tcW w:w="1701" w:type="dxa"/>
            <w:vAlign w:val="bottom"/>
          </w:tcPr>
          <w:p w14:paraId="0D8ADF10" w14:textId="77777777" w:rsidR="00B716D1" w:rsidRPr="004105AC" w:rsidRDefault="00B716D1" w:rsidP="00481E22">
            <w:pPr>
              <w:jc w:val="right"/>
              <w:rPr>
                <w:sz w:val="20"/>
              </w:rPr>
            </w:pPr>
            <w:r w:rsidRPr="004105AC">
              <w:rPr>
                <w:sz w:val="20"/>
              </w:rPr>
              <w:t>-£50.91</w:t>
            </w:r>
          </w:p>
        </w:tc>
        <w:tc>
          <w:tcPr>
            <w:tcW w:w="993" w:type="dxa"/>
            <w:vAlign w:val="bottom"/>
          </w:tcPr>
          <w:p w14:paraId="239C12B3" w14:textId="77777777" w:rsidR="00B716D1" w:rsidRPr="004105AC" w:rsidRDefault="00B716D1" w:rsidP="00481E22">
            <w:pPr>
              <w:jc w:val="right"/>
              <w:rPr>
                <w:sz w:val="20"/>
              </w:rPr>
            </w:pPr>
            <w:r w:rsidRPr="004105AC">
              <w:rPr>
                <w:sz w:val="20"/>
              </w:rPr>
              <w:t>-£213.20</w:t>
            </w:r>
          </w:p>
        </w:tc>
        <w:tc>
          <w:tcPr>
            <w:tcW w:w="1417" w:type="dxa"/>
            <w:shd w:val="clear" w:color="auto" w:fill="auto"/>
            <w:noWrap/>
            <w:vAlign w:val="bottom"/>
          </w:tcPr>
          <w:p w14:paraId="3586251C" w14:textId="77777777" w:rsidR="00B716D1" w:rsidRPr="004105AC" w:rsidRDefault="00B716D1" w:rsidP="00481E22">
            <w:pPr>
              <w:jc w:val="right"/>
              <w:rPr>
                <w:sz w:val="20"/>
              </w:rPr>
            </w:pPr>
            <w:r w:rsidRPr="004105AC">
              <w:rPr>
                <w:sz w:val="20"/>
              </w:rPr>
              <w:t>-£649.49</w:t>
            </w:r>
          </w:p>
        </w:tc>
      </w:tr>
    </w:tbl>
    <w:p w14:paraId="3EC8A267" w14:textId="77777777" w:rsidR="005D3CEB" w:rsidRDefault="005D3CEB" w:rsidP="00BE69CC">
      <w:pPr>
        <w:rPr>
          <w:b/>
          <w:sz w:val="22"/>
          <w:szCs w:val="22"/>
        </w:rPr>
      </w:pPr>
    </w:p>
    <w:p w14:paraId="6FED7327" w14:textId="71A1BFC2" w:rsidR="00BE69CC" w:rsidRPr="002A1891" w:rsidRDefault="00BE69CC" w:rsidP="00BE69CC">
      <w:pPr>
        <w:rPr>
          <w:b/>
          <w:sz w:val="22"/>
          <w:szCs w:val="22"/>
        </w:rPr>
      </w:pPr>
      <w:r w:rsidRPr="002A1891">
        <w:rPr>
          <w:b/>
          <w:sz w:val="22"/>
          <w:szCs w:val="22"/>
        </w:rPr>
        <w:t>S</w:t>
      </w:r>
      <w:r w:rsidRPr="005D3CEB">
        <w:rPr>
          <w:b/>
          <w:sz w:val="22"/>
          <w:szCs w:val="22"/>
        </w:rPr>
        <w:t>cenario</w:t>
      </w:r>
      <w:r w:rsidR="00683678" w:rsidRPr="005D3CEB">
        <w:rPr>
          <w:b/>
          <w:sz w:val="22"/>
          <w:szCs w:val="22"/>
        </w:rPr>
        <w:t>s 7 and 8:</w:t>
      </w:r>
      <w:r w:rsidRPr="005D3CEB">
        <w:rPr>
          <w:b/>
          <w:sz w:val="22"/>
          <w:szCs w:val="22"/>
        </w:rPr>
        <w:t xml:space="preserve"> Inclusion of </w:t>
      </w:r>
      <w:r w:rsidR="00683678" w:rsidRPr="005D3CEB">
        <w:rPr>
          <w:b/>
          <w:sz w:val="22"/>
          <w:szCs w:val="22"/>
        </w:rPr>
        <w:t xml:space="preserve">hospital </w:t>
      </w:r>
      <w:r w:rsidRPr="005D3CEB">
        <w:rPr>
          <w:b/>
          <w:sz w:val="22"/>
          <w:szCs w:val="22"/>
        </w:rPr>
        <w:t>length of stay and its associated costs</w:t>
      </w:r>
    </w:p>
    <w:p w14:paraId="036797BB" w14:textId="77777777" w:rsidR="00BE69CC" w:rsidRPr="002A1891" w:rsidRDefault="00BE69CC" w:rsidP="00BE69CC">
      <w:pPr>
        <w:rPr>
          <w:sz w:val="22"/>
          <w:szCs w:val="22"/>
        </w:rPr>
      </w:pPr>
    </w:p>
    <w:p w14:paraId="55AF807C" w14:textId="1432A504" w:rsidR="00BE69CC" w:rsidRPr="002A1891" w:rsidRDefault="00BE69CC" w:rsidP="00BE69CC">
      <w:pPr>
        <w:rPr>
          <w:sz w:val="22"/>
          <w:szCs w:val="22"/>
        </w:rPr>
      </w:pPr>
      <w:r w:rsidRPr="005D3CEB">
        <w:rPr>
          <w:sz w:val="22"/>
          <w:szCs w:val="22"/>
        </w:rPr>
        <w:lastRenderedPageBreak/>
        <w:t>In scen</w:t>
      </w:r>
      <w:r w:rsidR="00683678" w:rsidRPr="005D3CEB">
        <w:rPr>
          <w:sz w:val="22"/>
          <w:szCs w:val="22"/>
        </w:rPr>
        <w:t>ario 7</w:t>
      </w:r>
      <w:r w:rsidRPr="005D3CEB">
        <w:rPr>
          <w:sz w:val="22"/>
          <w:szCs w:val="22"/>
        </w:rPr>
        <w:t xml:space="preserve">, the hospital length of stay (LOS) is based on an average 5.75 days of LOS (based on the Delphi panel) for second-line treatment. </w:t>
      </w:r>
      <w:r w:rsidR="00683678" w:rsidRPr="005D3CEB">
        <w:rPr>
          <w:sz w:val="22"/>
          <w:szCs w:val="22"/>
        </w:rPr>
        <w:t xml:space="preserve">The use of tedizolid phosphate leads to </w:t>
      </w:r>
      <w:r w:rsidR="005D3CEB" w:rsidRPr="005D3CEB">
        <w:rPr>
          <w:sz w:val="22"/>
          <w:szCs w:val="22"/>
        </w:rPr>
        <w:t xml:space="preserve">costs of £4,454.80 and linezolid to costs £4,508.83, resulting in a cost saving of £54.03. </w:t>
      </w:r>
      <w:r w:rsidRPr="005D3CEB">
        <w:rPr>
          <w:sz w:val="22"/>
          <w:szCs w:val="22"/>
        </w:rPr>
        <w:t xml:space="preserve">This is similar to the base case analysis, because hospitalisation costs are assumed to be the same for both tedizolid </w:t>
      </w:r>
      <w:r w:rsidR="00FA1FF1">
        <w:rPr>
          <w:sz w:val="22"/>
          <w:szCs w:val="22"/>
        </w:rPr>
        <w:t xml:space="preserve">phosphate </w:t>
      </w:r>
      <w:r w:rsidRPr="005D3CEB">
        <w:rPr>
          <w:sz w:val="22"/>
          <w:szCs w:val="22"/>
        </w:rPr>
        <w:t>and linezolid</w:t>
      </w:r>
      <w:r w:rsidRPr="002A1891">
        <w:rPr>
          <w:sz w:val="22"/>
          <w:szCs w:val="22"/>
        </w:rPr>
        <w:t xml:space="preserve"> (</w:t>
      </w:r>
      <w:r w:rsidRPr="002A1891">
        <w:rPr>
          <w:sz w:val="22"/>
          <w:szCs w:val="22"/>
        </w:rPr>
        <w:fldChar w:fldCharType="begin"/>
      </w:r>
      <w:r w:rsidRPr="002A1891">
        <w:rPr>
          <w:sz w:val="22"/>
          <w:szCs w:val="22"/>
        </w:rPr>
        <w:instrText xml:space="preserve"> REF _Ref283065079 \h </w:instrText>
      </w:r>
      <w:r w:rsidRPr="002A1891">
        <w:rPr>
          <w:sz w:val="22"/>
          <w:szCs w:val="22"/>
        </w:rPr>
      </w:r>
      <w:r w:rsidRPr="002A1891">
        <w:rPr>
          <w:sz w:val="22"/>
          <w:szCs w:val="22"/>
        </w:rPr>
        <w:fldChar w:fldCharType="separate"/>
      </w:r>
      <w:r w:rsidR="00151A1C" w:rsidRPr="002A1891">
        <w:rPr>
          <w:sz w:val="22"/>
          <w:szCs w:val="22"/>
        </w:rPr>
        <w:t xml:space="preserve">Table </w:t>
      </w:r>
      <w:r w:rsidR="00151A1C">
        <w:rPr>
          <w:noProof/>
          <w:sz w:val="22"/>
          <w:szCs w:val="22"/>
        </w:rPr>
        <w:t>58</w:t>
      </w:r>
      <w:r w:rsidRPr="002A1891">
        <w:rPr>
          <w:sz w:val="22"/>
          <w:szCs w:val="22"/>
        </w:rPr>
        <w:fldChar w:fldCharType="end"/>
      </w:r>
      <w:r w:rsidRPr="002A1891">
        <w:rPr>
          <w:sz w:val="22"/>
          <w:szCs w:val="22"/>
        </w:rPr>
        <w:t>).</w:t>
      </w:r>
    </w:p>
    <w:p w14:paraId="48E105AA" w14:textId="795C1AB7" w:rsidR="00BE69CC" w:rsidRPr="00613B80" w:rsidRDefault="00BE69CC" w:rsidP="00BE69CC">
      <w:pPr>
        <w:pStyle w:val="Caption"/>
        <w:rPr>
          <w:rFonts w:ascii="Arial" w:hAnsi="Arial"/>
          <w:sz w:val="22"/>
          <w:szCs w:val="22"/>
        </w:rPr>
      </w:pPr>
      <w:bookmarkStart w:id="217" w:name="_Ref283065079"/>
      <w:r w:rsidRPr="002A1891">
        <w:rPr>
          <w:rFonts w:ascii="Arial" w:hAnsi="Arial"/>
          <w:sz w:val="22"/>
          <w:szCs w:val="22"/>
        </w:rPr>
        <w:t xml:space="preserve">Table </w:t>
      </w:r>
      <w:r w:rsidRPr="002A1891">
        <w:rPr>
          <w:rFonts w:ascii="Arial" w:hAnsi="Arial"/>
          <w:sz w:val="22"/>
          <w:szCs w:val="22"/>
        </w:rPr>
        <w:fldChar w:fldCharType="begin"/>
      </w:r>
      <w:r w:rsidRPr="002A1891">
        <w:rPr>
          <w:rFonts w:ascii="Arial" w:hAnsi="Arial"/>
          <w:sz w:val="22"/>
          <w:szCs w:val="22"/>
        </w:rPr>
        <w:instrText xml:space="preserve"> SEQ Table \* ARABIC </w:instrText>
      </w:r>
      <w:r w:rsidRPr="002A1891">
        <w:rPr>
          <w:rFonts w:ascii="Arial" w:hAnsi="Arial"/>
          <w:sz w:val="22"/>
          <w:szCs w:val="22"/>
        </w:rPr>
        <w:fldChar w:fldCharType="separate"/>
      </w:r>
      <w:r w:rsidR="00151A1C">
        <w:rPr>
          <w:rFonts w:ascii="Arial" w:hAnsi="Arial"/>
          <w:noProof/>
          <w:sz w:val="22"/>
          <w:szCs w:val="22"/>
        </w:rPr>
        <w:t>58</w:t>
      </w:r>
      <w:r w:rsidRPr="002A1891">
        <w:rPr>
          <w:rFonts w:ascii="Arial" w:hAnsi="Arial"/>
          <w:sz w:val="22"/>
          <w:szCs w:val="22"/>
        </w:rPr>
        <w:fldChar w:fldCharType="end"/>
      </w:r>
      <w:bookmarkEnd w:id="217"/>
      <w:r w:rsidR="00064DA8">
        <w:rPr>
          <w:rFonts w:ascii="Arial" w:hAnsi="Arial"/>
          <w:sz w:val="22"/>
          <w:szCs w:val="22"/>
        </w:rPr>
        <w:t>: Results – scenario</w:t>
      </w:r>
      <w:r w:rsidR="00064DA8" w:rsidRPr="00613B80">
        <w:rPr>
          <w:rFonts w:ascii="Arial" w:hAnsi="Arial"/>
          <w:sz w:val="22"/>
          <w:szCs w:val="22"/>
        </w:rPr>
        <w:t xml:space="preserve"> 7</w:t>
      </w:r>
    </w:p>
    <w:p w14:paraId="49B9556E" w14:textId="77777777" w:rsidR="00064DA8" w:rsidRPr="00613B80" w:rsidRDefault="00064DA8" w:rsidP="00064DA8">
      <w:pPr>
        <w:pStyle w:val="BodyText"/>
      </w:pP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701"/>
        <w:gridCol w:w="1276"/>
        <w:gridCol w:w="1842"/>
        <w:gridCol w:w="1276"/>
      </w:tblGrid>
      <w:tr w:rsidR="00FA1FF1" w:rsidRPr="009C6C37" w14:paraId="1CA1F9C3" w14:textId="77777777" w:rsidTr="00FA1FF1">
        <w:trPr>
          <w:trHeight w:val="300"/>
        </w:trPr>
        <w:tc>
          <w:tcPr>
            <w:tcW w:w="2268" w:type="dxa"/>
            <w:shd w:val="clear" w:color="auto" w:fill="auto"/>
            <w:noWrap/>
            <w:vAlign w:val="bottom"/>
          </w:tcPr>
          <w:p w14:paraId="26AE2862" w14:textId="77777777" w:rsidR="005D3CEB" w:rsidRPr="009C6C37" w:rsidRDefault="005D3CEB" w:rsidP="00481E22">
            <w:pPr>
              <w:rPr>
                <w:b/>
                <w:szCs w:val="22"/>
              </w:rPr>
            </w:pPr>
          </w:p>
        </w:tc>
        <w:tc>
          <w:tcPr>
            <w:tcW w:w="1134" w:type="dxa"/>
            <w:shd w:val="clear" w:color="auto" w:fill="auto"/>
            <w:noWrap/>
            <w:vAlign w:val="bottom"/>
          </w:tcPr>
          <w:p w14:paraId="02501112" w14:textId="77777777" w:rsidR="005D3CEB" w:rsidRPr="009C6C37" w:rsidRDefault="005D3CEB" w:rsidP="00481E22">
            <w:pPr>
              <w:spacing w:before="2" w:after="2"/>
              <w:jc w:val="right"/>
              <w:rPr>
                <w:b/>
                <w:szCs w:val="22"/>
              </w:rPr>
            </w:pPr>
            <w:r w:rsidRPr="009C6C37">
              <w:rPr>
                <w:b/>
                <w:sz w:val="22"/>
                <w:szCs w:val="22"/>
              </w:rPr>
              <w:t>Drug costs</w:t>
            </w:r>
          </w:p>
        </w:tc>
        <w:tc>
          <w:tcPr>
            <w:tcW w:w="1701" w:type="dxa"/>
            <w:shd w:val="clear" w:color="auto" w:fill="auto"/>
            <w:noWrap/>
            <w:vAlign w:val="bottom"/>
          </w:tcPr>
          <w:p w14:paraId="54AB8E5E" w14:textId="77777777" w:rsidR="005D3CEB" w:rsidRPr="009C6C37" w:rsidRDefault="005D3CEB" w:rsidP="00481E22">
            <w:pPr>
              <w:spacing w:before="2" w:after="2"/>
              <w:jc w:val="right"/>
              <w:rPr>
                <w:b/>
                <w:szCs w:val="22"/>
              </w:rPr>
            </w:pPr>
            <w:r w:rsidRPr="009C6C37">
              <w:rPr>
                <w:b/>
                <w:sz w:val="22"/>
                <w:szCs w:val="22"/>
              </w:rPr>
              <w:t xml:space="preserve">Administration costs </w:t>
            </w:r>
          </w:p>
        </w:tc>
        <w:tc>
          <w:tcPr>
            <w:tcW w:w="1276" w:type="dxa"/>
          </w:tcPr>
          <w:p w14:paraId="54819A25" w14:textId="77777777" w:rsidR="005D3CEB" w:rsidRPr="004D0DE0" w:rsidRDefault="005D3CEB" w:rsidP="00481E22">
            <w:pPr>
              <w:spacing w:before="2" w:after="2"/>
              <w:jc w:val="right"/>
              <w:rPr>
                <w:b/>
                <w:sz w:val="20"/>
                <w:szCs w:val="22"/>
              </w:rPr>
            </w:pPr>
            <w:r w:rsidRPr="004D0DE0">
              <w:rPr>
                <w:b/>
                <w:sz w:val="20"/>
                <w:szCs w:val="22"/>
              </w:rPr>
              <w:t xml:space="preserve">Monitoring </w:t>
            </w:r>
          </w:p>
          <w:p w14:paraId="0B0360CD" w14:textId="77777777" w:rsidR="005D3CEB" w:rsidRPr="004D0DE0" w:rsidRDefault="005D3CEB" w:rsidP="00481E22">
            <w:pPr>
              <w:spacing w:before="2" w:after="2"/>
              <w:jc w:val="right"/>
              <w:rPr>
                <w:b/>
                <w:sz w:val="20"/>
                <w:szCs w:val="22"/>
              </w:rPr>
            </w:pPr>
            <w:r w:rsidRPr="004D0DE0">
              <w:rPr>
                <w:b/>
                <w:sz w:val="20"/>
                <w:szCs w:val="22"/>
              </w:rPr>
              <w:t>costs</w:t>
            </w:r>
          </w:p>
        </w:tc>
        <w:tc>
          <w:tcPr>
            <w:tcW w:w="1842" w:type="dxa"/>
            <w:vAlign w:val="bottom"/>
          </w:tcPr>
          <w:p w14:paraId="1BA54668" w14:textId="77777777" w:rsidR="005D3CEB" w:rsidRPr="009C6C37" w:rsidRDefault="005D3CEB" w:rsidP="00481E22">
            <w:pPr>
              <w:jc w:val="right"/>
              <w:rPr>
                <w:b/>
                <w:szCs w:val="22"/>
              </w:rPr>
            </w:pPr>
            <w:r w:rsidRPr="009C6C37">
              <w:rPr>
                <w:b/>
                <w:sz w:val="22"/>
                <w:szCs w:val="22"/>
              </w:rPr>
              <w:t xml:space="preserve">Hospitalisation costs </w:t>
            </w:r>
          </w:p>
        </w:tc>
        <w:tc>
          <w:tcPr>
            <w:tcW w:w="1276" w:type="dxa"/>
            <w:shd w:val="clear" w:color="auto" w:fill="auto"/>
            <w:noWrap/>
            <w:vAlign w:val="bottom"/>
          </w:tcPr>
          <w:p w14:paraId="2E8AC485" w14:textId="77777777" w:rsidR="005D3CEB" w:rsidRPr="009C6C37" w:rsidRDefault="005D3CEB" w:rsidP="00481E22">
            <w:pPr>
              <w:jc w:val="right"/>
              <w:rPr>
                <w:b/>
                <w:szCs w:val="22"/>
              </w:rPr>
            </w:pPr>
            <w:r w:rsidRPr="009C6C37">
              <w:rPr>
                <w:b/>
                <w:sz w:val="22"/>
                <w:szCs w:val="22"/>
              </w:rPr>
              <w:t>Total costs</w:t>
            </w:r>
          </w:p>
        </w:tc>
      </w:tr>
      <w:tr w:rsidR="00FA1FF1" w:rsidRPr="009C6C37" w14:paraId="4A149726" w14:textId="77777777" w:rsidTr="00FA1FF1">
        <w:trPr>
          <w:trHeight w:val="300"/>
        </w:trPr>
        <w:tc>
          <w:tcPr>
            <w:tcW w:w="2268" w:type="dxa"/>
            <w:shd w:val="clear" w:color="auto" w:fill="auto"/>
            <w:noWrap/>
            <w:vAlign w:val="bottom"/>
          </w:tcPr>
          <w:p w14:paraId="0CF76058" w14:textId="75F139F4" w:rsidR="005D3CEB" w:rsidRPr="009C6C37" w:rsidRDefault="005D3CEB" w:rsidP="00481E22">
            <w:pPr>
              <w:rPr>
                <w:b/>
                <w:szCs w:val="22"/>
              </w:rPr>
            </w:pPr>
            <w:r w:rsidRPr="009C6C37">
              <w:rPr>
                <w:b/>
                <w:sz w:val="22"/>
                <w:szCs w:val="22"/>
              </w:rPr>
              <w:t>Tedizolid</w:t>
            </w:r>
            <w:r w:rsidR="00FA1FF1">
              <w:rPr>
                <w:b/>
                <w:sz w:val="22"/>
                <w:szCs w:val="22"/>
              </w:rPr>
              <w:t xml:space="preserve"> phosphate</w:t>
            </w:r>
          </w:p>
        </w:tc>
        <w:tc>
          <w:tcPr>
            <w:tcW w:w="1134" w:type="dxa"/>
            <w:shd w:val="clear" w:color="auto" w:fill="auto"/>
            <w:noWrap/>
            <w:vAlign w:val="bottom"/>
          </w:tcPr>
          <w:p w14:paraId="0937D3C8" w14:textId="77777777" w:rsidR="005D3CEB" w:rsidRPr="00C422D5" w:rsidRDefault="005D3CEB" w:rsidP="00481E22">
            <w:pPr>
              <w:jc w:val="right"/>
              <w:rPr>
                <w:sz w:val="20"/>
              </w:rPr>
            </w:pPr>
            <w:r w:rsidRPr="00C422D5">
              <w:rPr>
                <w:sz w:val="20"/>
              </w:rPr>
              <w:t>£900.00</w:t>
            </w:r>
          </w:p>
        </w:tc>
        <w:tc>
          <w:tcPr>
            <w:tcW w:w="1701" w:type="dxa"/>
            <w:shd w:val="clear" w:color="auto" w:fill="auto"/>
            <w:noWrap/>
            <w:vAlign w:val="bottom"/>
          </w:tcPr>
          <w:p w14:paraId="3DC461E5" w14:textId="77777777" w:rsidR="005D3CEB" w:rsidRPr="00C422D5" w:rsidRDefault="005D3CEB" w:rsidP="00481E22">
            <w:pPr>
              <w:jc w:val="right"/>
              <w:rPr>
                <w:sz w:val="20"/>
              </w:rPr>
            </w:pPr>
            <w:r w:rsidRPr="00C422D5">
              <w:rPr>
                <w:sz w:val="20"/>
              </w:rPr>
              <w:t>£66.27</w:t>
            </w:r>
          </w:p>
        </w:tc>
        <w:tc>
          <w:tcPr>
            <w:tcW w:w="1276" w:type="dxa"/>
            <w:vAlign w:val="bottom"/>
          </w:tcPr>
          <w:p w14:paraId="31EC578C" w14:textId="77777777" w:rsidR="005D3CEB" w:rsidRPr="00C422D5" w:rsidRDefault="005D3CEB" w:rsidP="00481E22">
            <w:pPr>
              <w:jc w:val="right"/>
              <w:rPr>
                <w:sz w:val="20"/>
              </w:rPr>
            </w:pPr>
            <w:r w:rsidRPr="00C422D5">
              <w:rPr>
                <w:sz w:val="20"/>
              </w:rPr>
              <w:t>£0.00</w:t>
            </w:r>
          </w:p>
        </w:tc>
        <w:tc>
          <w:tcPr>
            <w:tcW w:w="1842" w:type="dxa"/>
            <w:vAlign w:val="bottom"/>
          </w:tcPr>
          <w:p w14:paraId="52E76907" w14:textId="77777777" w:rsidR="005D3CEB" w:rsidRPr="00C422D5" w:rsidRDefault="005D3CEB" w:rsidP="00481E22">
            <w:pPr>
              <w:jc w:val="right"/>
              <w:rPr>
                <w:sz w:val="20"/>
              </w:rPr>
            </w:pPr>
            <w:r w:rsidRPr="00C422D5">
              <w:rPr>
                <w:sz w:val="20"/>
              </w:rPr>
              <w:t>£3,488.53</w:t>
            </w:r>
          </w:p>
        </w:tc>
        <w:tc>
          <w:tcPr>
            <w:tcW w:w="1276" w:type="dxa"/>
            <w:shd w:val="clear" w:color="auto" w:fill="auto"/>
            <w:noWrap/>
            <w:vAlign w:val="bottom"/>
          </w:tcPr>
          <w:p w14:paraId="12B52336" w14:textId="77777777" w:rsidR="005D3CEB" w:rsidRPr="00C422D5" w:rsidRDefault="005D3CEB" w:rsidP="00481E22">
            <w:pPr>
              <w:jc w:val="right"/>
              <w:rPr>
                <w:sz w:val="20"/>
              </w:rPr>
            </w:pPr>
            <w:r w:rsidRPr="00C422D5">
              <w:rPr>
                <w:sz w:val="20"/>
              </w:rPr>
              <w:t>£4,454.80</w:t>
            </w:r>
          </w:p>
        </w:tc>
      </w:tr>
      <w:tr w:rsidR="00FA1FF1" w:rsidRPr="009C6C37" w14:paraId="09F910EC" w14:textId="77777777" w:rsidTr="00FA1FF1">
        <w:trPr>
          <w:trHeight w:val="300"/>
        </w:trPr>
        <w:tc>
          <w:tcPr>
            <w:tcW w:w="2268" w:type="dxa"/>
            <w:shd w:val="clear" w:color="auto" w:fill="auto"/>
            <w:noWrap/>
            <w:vAlign w:val="bottom"/>
          </w:tcPr>
          <w:p w14:paraId="12F7600E" w14:textId="77777777" w:rsidR="005D3CEB" w:rsidRPr="009C6C37" w:rsidRDefault="005D3CEB" w:rsidP="00481E22">
            <w:pPr>
              <w:rPr>
                <w:b/>
                <w:szCs w:val="22"/>
              </w:rPr>
            </w:pPr>
            <w:r w:rsidRPr="009C6C37">
              <w:rPr>
                <w:b/>
                <w:sz w:val="22"/>
                <w:szCs w:val="22"/>
              </w:rPr>
              <w:t>Linezolid</w:t>
            </w:r>
          </w:p>
        </w:tc>
        <w:tc>
          <w:tcPr>
            <w:tcW w:w="1134" w:type="dxa"/>
            <w:shd w:val="clear" w:color="auto" w:fill="auto"/>
            <w:noWrap/>
            <w:vAlign w:val="bottom"/>
          </w:tcPr>
          <w:p w14:paraId="372CA4FF" w14:textId="77777777" w:rsidR="005D3CEB" w:rsidRPr="00C422D5" w:rsidRDefault="005D3CEB" w:rsidP="00481E22">
            <w:pPr>
              <w:jc w:val="right"/>
              <w:rPr>
                <w:sz w:val="20"/>
              </w:rPr>
            </w:pPr>
            <w:r w:rsidRPr="00C422D5">
              <w:rPr>
                <w:sz w:val="20"/>
              </w:rPr>
              <w:t>£890.00</w:t>
            </w:r>
          </w:p>
        </w:tc>
        <w:tc>
          <w:tcPr>
            <w:tcW w:w="1701" w:type="dxa"/>
            <w:shd w:val="clear" w:color="auto" w:fill="auto"/>
            <w:noWrap/>
            <w:vAlign w:val="bottom"/>
          </w:tcPr>
          <w:p w14:paraId="46C28F0C" w14:textId="77777777" w:rsidR="005D3CEB" w:rsidRPr="00C422D5" w:rsidRDefault="005D3CEB" w:rsidP="00481E22">
            <w:pPr>
              <w:jc w:val="right"/>
              <w:rPr>
                <w:sz w:val="20"/>
              </w:rPr>
            </w:pPr>
            <w:r w:rsidRPr="00C422D5">
              <w:rPr>
                <w:sz w:val="20"/>
              </w:rPr>
              <w:t>£79.40</w:t>
            </w:r>
          </w:p>
        </w:tc>
        <w:tc>
          <w:tcPr>
            <w:tcW w:w="1276" w:type="dxa"/>
            <w:vAlign w:val="bottom"/>
          </w:tcPr>
          <w:p w14:paraId="30F692FB" w14:textId="106DA830" w:rsidR="005D3CEB" w:rsidRPr="00C422D5" w:rsidRDefault="005D3CEB" w:rsidP="00481E22">
            <w:pPr>
              <w:jc w:val="right"/>
              <w:rPr>
                <w:sz w:val="20"/>
              </w:rPr>
            </w:pPr>
            <w:r>
              <w:rPr>
                <w:sz w:val="20"/>
              </w:rPr>
              <w:t>£</w:t>
            </w:r>
            <w:r w:rsidRPr="00C422D5">
              <w:rPr>
                <w:sz w:val="20"/>
              </w:rPr>
              <w:t>50.91</w:t>
            </w:r>
          </w:p>
        </w:tc>
        <w:tc>
          <w:tcPr>
            <w:tcW w:w="1842" w:type="dxa"/>
            <w:vAlign w:val="bottom"/>
          </w:tcPr>
          <w:p w14:paraId="7E7175EE" w14:textId="77777777" w:rsidR="005D3CEB" w:rsidRPr="00C422D5" w:rsidRDefault="005D3CEB" w:rsidP="00481E22">
            <w:pPr>
              <w:jc w:val="right"/>
              <w:rPr>
                <w:sz w:val="20"/>
              </w:rPr>
            </w:pPr>
            <w:r w:rsidRPr="00C422D5">
              <w:rPr>
                <w:sz w:val="20"/>
              </w:rPr>
              <w:t>£3,488.53</w:t>
            </w:r>
          </w:p>
        </w:tc>
        <w:tc>
          <w:tcPr>
            <w:tcW w:w="1276" w:type="dxa"/>
            <w:shd w:val="clear" w:color="auto" w:fill="auto"/>
            <w:noWrap/>
            <w:vAlign w:val="bottom"/>
          </w:tcPr>
          <w:p w14:paraId="61C627FD" w14:textId="77777777" w:rsidR="005D3CEB" w:rsidRPr="00C422D5" w:rsidRDefault="005D3CEB" w:rsidP="00481E22">
            <w:pPr>
              <w:jc w:val="right"/>
              <w:rPr>
                <w:sz w:val="20"/>
              </w:rPr>
            </w:pPr>
            <w:r w:rsidRPr="00C422D5">
              <w:rPr>
                <w:sz w:val="20"/>
              </w:rPr>
              <w:t>£4,508.83</w:t>
            </w:r>
          </w:p>
        </w:tc>
      </w:tr>
      <w:tr w:rsidR="00FA1FF1" w:rsidRPr="009C6C37" w14:paraId="50FAC7D5" w14:textId="77777777" w:rsidTr="00FA1FF1">
        <w:trPr>
          <w:trHeight w:val="300"/>
        </w:trPr>
        <w:tc>
          <w:tcPr>
            <w:tcW w:w="2268" w:type="dxa"/>
            <w:shd w:val="clear" w:color="auto" w:fill="auto"/>
            <w:noWrap/>
            <w:vAlign w:val="bottom"/>
          </w:tcPr>
          <w:p w14:paraId="330AD273" w14:textId="77777777" w:rsidR="005D3CEB" w:rsidRPr="009C6C37" w:rsidRDefault="005D3CEB" w:rsidP="00481E22">
            <w:pPr>
              <w:rPr>
                <w:b/>
                <w:szCs w:val="22"/>
              </w:rPr>
            </w:pPr>
          </w:p>
        </w:tc>
        <w:tc>
          <w:tcPr>
            <w:tcW w:w="1134" w:type="dxa"/>
            <w:shd w:val="clear" w:color="auto" w:fill="auto"/>
            <w:noWrap/>
            <w:vAlign w:val="bottom"/>
          </w:tcPr>
          <w:p w14:paraId="41385FC4" w14:textId="77777777" w:rsidR="005D3CEB" w:rsidRPr="00C422D5" w:rsidRDefault="005D3CEB" w:rsidP="00481E22">
            <w:pPr>
              <w:rPr>
                <w:sz w:val="20"/>
              </w:rPr>
            </w:pPr>
          </w:p>
        </w:tc>
        <w:tc>
          <w:tcPr>
            <w:tcW w:w="1701" w:type="dxa"/>
            <w:shd w:val="clear" w:color="auto" w:fill="auto"/>
            <w:noWrap/>
            <w:vAlign w:val="bottom"/>
          </w:tcPr>
          <w:p w14:paraId="2ABEC1D0" w14:textId="77777777" w:rsidR="005D3CEB" w:rsidRPr="00C422D5" w:rsidRDefault="005D3CEB" w:rsidP="00481E22">
            <w:pPr>
              <w:rPr>
                <w:sz w:val="20"/>
              </w:rPr>
            </w:pPr>
          </w:p>
        </w:tc>
        <w:tc>
          <w:tcPr>
            <w:tcW w:w="1276" w:type="dxa"/>
            <w:vAlign w:val="bottom"/>
          </w:tcPr>
          <w:p w14:paraId="731E19B5" w14:textId="77777777" w:rsidR="005D3CEB" w:rsidRPr="00C422D5" w:rsidRDefault="005D3CEB" w:rsidP="00481E22">
            <w:pPr>
              <w:rPr>
                <w:sz w:val="20"/>
              </w:rPr>
            </w:pPr>
          </w:p>
        </w:tc>
        <w:tc>
          <w:tcPr>
            <w:tcW w:w="1842" w:type="dxa"/>
            <w:vAlign w:val="bottom"/>
          </w:tcPr>
          <w:p w14:paraId="64CD2A17" w14:textId="77777777" w:rsidR="005D3CEB" w:rsidRPr="00C422D5" w:rsidRDefault="005D3CEB" w:rsidP="00481E22">
            <w:pPr>
              <w:rPr>
                <w:sz w:val="20"/>
              </w:rPr>
            </w:pPr>
          </w:p>
        </w:tc>
        <w:tc>
          <w:tcPr>
            <w:tcW w:w="1276" w:type="dxa"/>
            <w:shd w:val="clear" w:color="auto" w:fill="auto"/>
            <w:noWrap/>
            <w:vAlign w:val="bottom"/>
          </w:tcPr>
          <w:p w14:paraId="2DD49F94" w14:textId="77777777" w:rsidR="005D3CEB" w:rsidRPr="00C422D5" w:rsidRDefault="005D3CEB" w:rsidP="00481E22">
            <w:pPr>
              <w:rPr>
                <w:sz w:val="20"/>
              </w:rPr>
            </w:pPr>
          </w:p>
        </w:tc>
      </w:tr>
      <w:tr w:rsidR="00FA1FF1" w:rsidRPr="009C6C37" w14:paraId="2A44A2F8" w14:textId="77777777" w:rsidTr="00FA1FF1">
        <w:trPr>
          <w:trHeight w:val="300"/>
        </w:trPr>
        <w:tc>
          <w:tcPr>
            <w:tcW w:w="2268" w:type="dxa"/>
            <w:shd w:val="clear" w:color="auto" w:fill="auto"/>
            <w:noWrap/>
            <w:vAlign w:val="bottom"/>
          </w:tcPr>
          <w:p w14:paraId="3FD112C4" w14:textId="77777777" w:rsidR="005D3CEB" w:rsidRPr="009C6C37" w:rsidRDefault="005D3CEB" w:rsidP="00481E22">
            <w:pPr>
              <w:rPr>
                <w:b/>
                <w:szCs w:val="22"/>
              </w:rPr>
            </w:pPr>
            <w:r w:rsidRPr="009C6C37">
              <w:rPr>
                <w:b/>
                <w:sz w:val="22"/>
                <w:szCs w:val="22"/>
              </w:rPr>
              <w:t>Difference</w:t>
            </w:r>
          </w:p>
        </w:tc>
        <w:tc>
          <w:tcPr>
            <w:tcW w:w="1134" w:type="dxa"/>
            <w:shd w:val="clear" w:color="auto" w:fill="auto"/>
            <w:noWrap/>
            <w:vAlign w:val="bottom"/>
          </w:tcPr>
          <w:p w14:paraId="52C9C19E" w14:textId="77777777" w:rsidR="005D3CEB" w:rsidRPr="00C422D5" w:rsidRDefault="005D3CEB" w:rsidP="00481E22">
            <w:pPr>
              <w:jc w:val="right"/>
              <w:rPr>
                <w:sz w:val="20"/>
              </w:rPr>
            </w:pPr>
            <w:r w:rsidRPr="00C422D5">
              <w:rPr>
                <w:sz w:val="20"/>
              </w:rPr>
              <w:t>£10.00</w:t>
            </w:r>
          </w:p>
        </w:tc>
        <w:tc>
          <w:tcPr>
            <w:tcW w:w="1701" w:type="dxa"/>
            <w:shd w:val="clear" w:color="auto" w:fill="auto"/>
            <w:noWrap/>
            <w:vAlign w:val="bottom"/>
          </w:tcPr>
          <w:p w14:paraId="2115B121" w14:textId="77777777" w:rsidR="005D3CEB" w:rsidRPr="00C422D5" w:rsidRDefault="005D3CEB" w:rsidP="00481E22">
            <w:pPr>
              <w:jc w:val="right"/>
              <w:rPr>
                <w:sz w:val="20"/>
              </w:rPr>
            </w:pPr>
            <w:r w:rsidRPr="00C422D5">
              <w:rPr>
                <w:sz w:val="20"/>
              </w:rPr>
              <w:t>-£13.13</w:t>
            </w:r>
          </w:p>
        </w:tc>
        <w:tc>
          <w:tcPr>
            <w:tcW w:w="1276" w:type="dxa"/>
            <w:vAlign w:val="bottom"/>
          </w:tcPr>
          <w:p w14:paraId="5838F396" w14:textId="77777777" w:rsidR="005D3CEB" w:rsidRPr="00C422D5" w:rsidRDefault="005D3CEB" w:rsidP="00481E22">
            <w:pPr>
              <w:jc w:val="right"/>
              <w:rPr>
                <w:sz w:val="20"/>
              </w:rPr>
            </w:pPr>
            <w:r w:rsidRPr="00C422D5">
              <w:rPr>
                <w:sz w:val="20"/>
              </w:rPr>
              <w:t>-£50.91</w:t>
            </w:r>
          </w:p>
        </w:tc>
        <w:tc>
          <w:tcPr>
            <w:tcW w:w="1842" w:type="dxa"/>
            <w:vAlign w:val="bottom"/>
          </w:tcPr>
          <w:p w14:paraId="1BE5AEF7" w14:textId="77777777" w:rsidR="005D3CEB" w:rsidRPr="00C422D5" w:rsidRDefault="005D3CEB" w:rsidP="00481E22">
            <w:pPr>
              <w:jc w:val="right"/>
              <w:rPr>
                <w:sz w:val="20"/>
              </w:rPr>
            </w:pPr>
            <w:r w:rsidRPr="00C422D5">
              <w:rPr>
                <w:sz w:val="20"/>
              </w:rPr>
              <w:t>£0.00</w:t>
            </w:r>
          </w:p>
        </w:tc>
        <w:tc>
          <w:tcPr>
            <w:tcW w:w="1276" w:type="dxa"/>
            <w:shd w:val="clear" w:color="auto" w:fill="auto"/>
            <w:noWrap/>
            <w:vAlign w:val="bottom"/>
          </w:tcPr>
          <w:p w14:paraId="5575FBAB" w14:textId="77777777" w:rsidR="005D3CEB" w:rsidRPr="00C422D5" w:rsidRDefault="005D3CEB" w:rsidP="00481E22">
            <w:pPr>
              <w:jc w:val="right"/>
              <w:rPr>
                <w:sz w:val="20"/>
              </w:rPr>
            </w:pPr>
            <w:r w:rsidRPr="00C422D5">
              <w:rPr>
                <w:sz w:val="20"/>
              </w:rPr>
              <w:t>-£54.03</w:t>
            </w:r>
          </w:p>
        </w:tc>
      </w:tr>
    </w:tbl>
    <w:p w14:paraId="75BF3BB8" w14:textId="77777777" w:rsidR="005D3CEB" w:rsidRDefault="005D3CEB" w:rsidP="00BE69CC">
      <w:pPr>
        <w:rPr>
          <w:sz w:val="22"/>
          <w:szCs w:val="22"/>
        </w:rPr>
      </w:pPr>
    </w:p>
    <w:p w14:paraId="695E9EE0" w14:textId="59A48A17" w:rsidR="00064DA8" w:rsidRPr="00613B80" w:rsidRDefault="00064DA8" w:rsidP="00BE69CC">
      <w:pPr>
        <w:rPr>
          <w:sz w:val="22"/>
          <w:szCs w:val="22"/>
        </w:rPr>
      </w:pPr>
      <w:r w:rsidRPr="00613B80">
        <w:rPr>
          <w:sz w:val="22"/>
          <w:szCs w:val="22"/>
        </w:rPr>
        <w:t>In scenario 8</w:t>
      </w:r>
      <w:r w:rsidR="00BE69CC" w:rsidRPr="00613B80">
        <w:rPr>
          <w:sz w:val="22"/>
          <w:szCs w:val="22"/>
        </w:rPr>
        <w:t>, the LOS is based on a full course of treatment (6 days for tedizolid phosp</w:t>
      </w:r>
      <w:r w:rsidRPr="00613B80">
        <w:rPr>
          <w:sz w:val="22"/>
          <w:szCs w:val="22"/>
        </w:rPr>
        <w:t xml:space="preserve">hate and 10 days for linezolid); that is, it is assumed that the full course of treatment is administered in an inpatient setting, </w:t>
      </w:r>
      <w:r w:rsidR="00532C77" w:rsidRPr="00613B80">
        <w:rPr>
          <w:sz w:val="22"/>
          <w:szCs w:val="22"/>
        </w:rPr>
        <w:t xml:space="preserve">only </w:t>
      </w:r>
      <w:r w:rsidRPr="00613B80">
        <w:rPr>
          <w:sz w:val="22"/>
          <w:szCs w:val="22"/>
        </w:rPr>
        <w:t>following which the patient is discharged. This is a plausible clinical scenario according to the Eckmann paper (</w:t>
      </w:r>
      <w:r w:rsidR="00211BCD">
        <w:rPr>
          <w:sz w:val="22"/>
          <w:szCs w:val="22"/>
        </w:rPr>
        <w:fldChar w:fldCharType="begin"/>
      </w:r>
      <w:r w:rsidR="00211BCD">
        <w:rPr>
          <w:sz w:val="22"/>
          <w:szCs w:val="22"/>
        </w:rPr>
        <w:instrText xml:space="preserve"> REF _Ref284186748 \r \h </w:instrText>
      </w:r>
      <w:r w:rsidR="00211BCD">
        <w:rPr>
          <w:sz w:val="22"/>
          <w:szCs w:val="22"/>
        </w:rPr>
      </w:r>
      <w:r w:rsidR="00211BCD">
        <w:rPr>
          <w:sz w:val="22"/>
          <w:szCs w:val="22"/>
        </w:rPr>
        <w:fldChar w:fldCharType="separate"/>
      </w:r>
      <w:r w:rsidR="00151A1C">
        <w:rPr>
          <w:sz w:val="22"/>
          <w:szCs w:val="22"/>
        </w:rPr>
        <w:t>82</w:t>
      </w:r>
      <w:r w:rsidR="00211BCD">
        <w:rPr>
          <w:sz w:val="22"/>
          <w:szCs w:val="22"/>
        </w:rPr>
        <w:fldChar w:fldCharType="end"/>
      </w:r>
      <w:r w:rsidRPr="00613B80">
        <w:rPr>
          <w:sz w:val="22"/>
          <w:szCs w:val="22"/>
        </w:rPr>
        <w:t>).</w:t>
      </w:r>
      <w:r w:rsidR="00BE69CC" w:rsidRPr="00613B80">
        <w:rPr>
          <w:sz w:val="22"/>
          <w:szCs w:val="22"/>
        </w:rPr>
        <w:t xml:space="preserve"> </w:t>
      </w:r>
    </w:p>
    <w:p w14:paraId="5BC8F9D8" w14:textId="77777777" w:rsidR="00064DA8" w:rsidRDefault="00064DA8" w:rsidP="00BE69CC">
      <w:pPr>
        <w:rPr>
          <w:sz w:val="22"/>
          <w:szCs w:val="22"/>
        </w:rPr>
      </w:pPr>
    </w:p>
    <w:p w14:paraId="50CE06BF" w14:textId="6DCFE9BC" w:rsidR="00BE69CC" w:rsidRPr="002A1891" w:rsidRDefault="005D3CEB" w:rsidP="00BE69CC">
      <w:pPr>
        <w:rPr>
          <w:sz w:val="22"/>
          <w:szCs w:val="22"/>
        </w:rPr>
      </w:pPr>
      <w:r w:rsidRPr="009C6C37">
        <w:rPr>
          <w:sz w:val="22"/>
          <w:szCs w:val="22"/>
        </w:rPr>
        <w:t>The use of tedizolid phosphate leads to costs of £4,</w:t>
      </w:r>
      <w:r>
        <w:rPr>
          <w:sz w:val="22"/>
          <w:szCs w:val="22"/>
        </w:rPr>
        <w:t xml:space="preserve">739.02 </w:t>
      </w:r>
      <w:r w:rsidRPr="009C6C37">
        <w:rPr>
          <w:sz w:val="22"/>
          <w:szCs w:val="22"/>
        </w:rPr>
        <w:t>and linezolid to costs £</w:t>
      </w:r>
      <w:r>
        <w:rPr>
          <w:sz w:val="22"/>
          <w:szCs w:val="22"/>
        </w:rPr>
        <w:t>7</w:t>
      </w:r>
      <w:r w:rsidRPr="009C6C37">
        <w:rPr>
          <w:sz w:val="22"/>
          <w:szCs w:val="22"/>
        </w:rPr>
        <w:t>,</w:t>
      </w:r>
      <w:r>
        <w:rPr>
          <w:sz w:val="22"/>
          <w:szCs w:val="22"/>
        </w:rPr>
        <w:t>404.91</w:t>
      </w:r>
      <w:r w:rsidRPr="009C6C37">
        <w:rPr>
          <w:sz w:val="22"/>
          <w:szCs w:val="22"/>
        </w:rPr>
        <w:t xml:space="preserve">, resulting </w:t>
      </w:r>
      <w:r w:rsidRPr="005D3CEB">
        <w:rPr>
          <w:sz w:val="22"/>
          <w:szCs w:val="22"/>
        </w:rPr>
        <w:t xml:space="preserve">in cost savings of £2,665.89. This is because of the lower hospitalisation costs associated with </w:t>
      </w:r>
      <w:r w:rsidR="00064DA8" w:rsidRPr="005D3CEB">
        <w:rPr>
          <w:sz w:val="22"/>
          <w:szCs w:val="22"/>
        </w:rPr>
        <w:t xml:space="preserve">a shorter course of treatment with </w:t>
      </w:r>
      <w:r w:rsidR="00BE69CC" w:rsidRPr="005D3CEB">
        <w:rPr>
          <w:sz w:val="22"/>
          <w:szCs w:val="22"/>
        </w:rPr>
        <w:t>tedizolid</w:t>
      </w:r>
      <w:r w:rsidR="00BE69CC" w:rsidRPr="002A1891">
        <w:rPr>
          <w:sz w:val="22"/>
          <w:szCs w:val="22"/>
        </w:rPr>
        <w:t xml:space="preserve"> phosphate (</w:t>
      </w:r>
      <w:r w:rsidR="00BE69CC" w:rsidRPr="002A1891">
        <w:rPr>
          <w:sz w:val="22"/>
          <w:szCs w:val="22"/>
        </w:rPr>
        <w:fldChar w:fldCharType="begin"/>
      </w:r>
      <w:r w:rsidR="00BE69CC" w:rsidRPr="002A1891">
        <w:rPr>
          <w:sz w:val="22"/>
          <w:szCs w:val="22"/>
        </w:rPr>
        <w:instrText xml:space="preserve"> REF _Ref283065231 \h </w:instrText>
      </w:r>
      <w:r w:rsidR="00BE69CC" w:rsidRPr="002A1891">
        <w:rPr>
          <w:sz w:val="22"/>
          <w:szCs w:val="22"/>
        </w:rPr>
      </w:r>
      <w:r w:rsidR="00BE69CC" w:rsidRPr="002A1891">
        <w:rPr>
          <w:sz w:val="22"/>
          <w:szCs w:val="22"/>
        </w:rPr>
        <w:fldChar w:fldCharType="separate"/>
      </w:r>
      <w:r w:rsidR="00151A1C" w:rsidRPr="002A1891">
        <w:rPr>
          <w:sz w:val="22"/>
          <w:szCs w:val="22"/>
        </w:rPr>
        <w:t xml:space="preserve">Table </w:t>
      </w:r>
      <w:r w:rsidR="00151A1C">
        <w:rPr>
          <w:noProof/>
          <w:sz w:val="22"/>
          <w:szCs w:val="22"/>
        </w:rPr>
        <w:t>59</w:t>
      </w:r>
      <w:r w:rsidR="00BE69CC" w:rsidRPr="002A1891">
        <w:rPr>
          <w:sz w:val="22"/>
          <w:szCs w:val="22"/>
        </w:rPr>
        <w:fldChar w:fldCharType="end"/>
      </w:r>
      <w:r w:rsidR="00BE69CC" w:rsidRPr="002A1891">
        <w:rPr>
          <w:sz w:val="22"/>
          <w:szCs w:val="22"/>
        </w:rPr>
        <w:t>).</w:t>
      </w:r>
    </w:p>
    <w:p w14:paraId="0AE5B70A" w14:textId="1CB979CB" w:rsidR="00BE69CC" w:rsidRPr="002A1891" w:rsidRDefault="00BE69CC" w:rsidP="00BE69CC">
      <w:pPr>
        <w:pStyle w:val="Caption"/>
        <w:rPr>
          <w:rFonts w:ascii="Arial" w:hAnsi="Arial"/>
          <w:sz w:val="22"/>
          <w:szCs w:val="22"/>
        </w:rPr>
      </w:pPr>
      <w:bookmarkStart w:id="218" w:name="_Ref283065231"/>
      <w:r w:rsidRPr="002A1891">
        <w:rPr>
          <w:rFonts w:ascii="Arial" w:hAnsi="Arial"/>
          <w:sz w:val="22"/>
          <w:szCs w:val="22"/>
        </w:rPr>
        <w:t xml:space="preserve">Table </w:t>
      </w:r>
      <w:r w:rsidRPr="002A1891">
        <w:rPr>
          <w:rFonts w:ascii="Arial" w:hAnsi="Arial"/>
          <w:sz w:val="22"/>
          <w:szCs w:val="22"/>
        </w:rPr>
        <w:fldChar w:fldCharType="begin"/>
      </w:r>
      <w:r w:rsidRPr="002A1891">
        <w:rPr>
          <w:rFonts w:ascii="Arial" w:hAnsi="Arial"/>
          <w:sz w:val="22"/>
          <w:szCs w:val="22"/>
        </w:rPr>
        <w:instrText xml:space="preserve"> SEQ Table \* ARABIC </w:instrText>
      </w:r>
      <w:r w:rsidRPr="002A1891">
        <w:rPr>
          <w:rFonts w:ascii="Arial" w:hAnsi="Arial"/>
          <w:sz w:val="22"/>
          <w:szCs w:val="22"/>
        </w:rPr>
        <w:fldChar w:fldCharType="separate"/>
      </w:r>
      <w:r w:rsidR="00151A1C">
        <w:rPr>
          <w:rFonts w:ascii="Arial" w:hAnsi="Arial"/>
          <w:noProof/>
          <w:sz w:val="22"/>
          <w:szCs w:val="22"/>
        </w:rPr>
        <w:t>59</w:t>
      </w:r>
      <w:r w:rsidRPr="002A1891">
        <w:rPr>
          <w:rFonts w:ascii="Arial" w:hAnsi="Arial"/>
          <w:sz w:val="22"/>
          <w:szCs w:val="22"/>
        </w:rPr>
        <w:fldChar w:fldCharType="end"/>
      </w:r>
      <w:bookmarkEnd w:id="218"/>
      <w:r w:rsidRPr="002A1891">
        <w:rPr>
          <w:rFonts w:ascii="Arial" w:hAnsi="Arial"/>
          <w:sz w:val="22"/>
          <w:szCs w:val="22"/>
        </w:rPr>
        <w:t xml:space="preserve">: Results – </w:t>
      </w:r>
      <w:r w:rsidRPr="005D3CEB">
        <w:rPr>
          <w:rFonts w:ascii="Arial" w:hAnsi="Arial"/>
          <w:sz w:val="22"/>
          <w:szCs w:val="22"/>
        </w:rPr>
        <w:t xml:space="preserve">scenario </w:t>
      </w:r>
      <w:r w:rsidR="00064DA8" w:rsidRPr="005D3CEB">
        <w:rPr>
          <w:rFonts w:ascii="Arial" w:hAnsi="Arial"/>
          <w:sz w:val="22"/>
          <w:szCs w:val="22"/>
        </w:rPr>
        <w:t>8</w:t>
      </w: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701"/>
        <w:gridCol w:w="1276"/>
        <w:gridCol w:w="1842"/>
        <w:gridCol w:w="1276"/>
      </w:tblGrid>
      <w:tr w:rsidR="00FA1FF1" w:rsidRPr="009C6C37" w14:paraId="41EF5C19" w14:textId="77777777" w:rsidTr="00FA1FF1">
        <w:trPr>
          <w:trHeight w:val="300"/>
        </w:trPr>
        <w:tc>
          <w:tcPr>
            <w:tcW w:w="2268" w:type="dxa"/>
            <w:shd w:val="clear" w:color="auto" w:fill="auto"/>
            <w:noWrap/>
            <w:vAlign w:val="bottom"/>
          </w:tcPr>
          <w:p w14:paraId="0191A3DC" w14:textId="77777777" w:rsidR="005D3CEB" w:rsidRPr="009C6C37" w:rsidRDefault="005D3CEB" w:rsidP="00481E22">
            <w:pPr>
              <w:rPr>
                <w:b/>
                <w:szCs w:val="22"/>
              </w:rPr>
            </w:pPr>
          </w:p>
        </w:tc>
        <w:tc>
          <w:tcPr>
            <w:tcW w:w="1134" w:type="dxa"/>
            <w:shd w:val="clear" w:color="auto" w:fill="auto"/>
            <w:noWrap/>
            <w:vAlign w:val="bottom"/>
          </w:tcPr>
          <w:p w14:paraId="4B47F222" w14:textId="77777777" w:rsidR="005D3CEB" w:rsidRPr="009C6C37" w:rsidRDefault="005D3CEB" w:rsidP="00481E22">
            <w:pPr>
              <w:spacing w:before="2" w:after="2"/>
              <w:jc w:val="right"/>
              <w:rPr>
                <w:b/>
                <w:szCs w:val="22"/>
              </w:rPr>
            </w:pPr>
            <w:r w:rsidRPr="009C6C37">
              <w:rPr>
                <w:b/>
                <w:sz w:val="22"/>
                <w:szCs w:val="22"/>
              </w:rPr>
              <w:t>Drug costs</w:t>
            </w:r>
          </w:p>
        </w:tc>
        <w:tc>
          <w:tcPr>
            <w:tcW w:w="1701" w:type="dxa"/>
            <w:shd w:val="clear" w:color="auto" w:fill="auto"/>
            <w:noWrap/>
            <w:vAlign w:val="bottom"/>
          </w:tcPr>
          <w:p w14:paraId="2220D992" w14:textId="77777777" w:rsidR="005D3CEB" w:rsidRPr="009C6C37" w:rsidRDefault="005D3CEB" w:rsidP="00481E22">
            <w:pPr>
              <w:spacing w:before="2" w:after="2"/>
              <w:jc w:val="right"/>
              <w:rPr>
                <w:b/>
                <w:szCs w:val="22"/>
              </w:rPr>
            </w:pPr>
            <w:r w:rsidRPr="009C6C37">
              <w:rPr>
                <w:b/>
                <w:sz w:val="22"/>
                <w:szCs w:val="22"/>
              </w:rPr>
              <w:t xml:space="preserve">Administration costs </w:t>
            </w:r>
          </w:p>
        </w:tc>
        <w:tc>
          <w:tcPr>
            <w:tcW w:w="1276" w:type="dxa"/>
          </w:tcPr>
          <w:p w14:paraId="61478576" w14:textId="77777777" w:rsidR="005D3CEB" w:rsidRPr="004D0DE0" w:rsidRDefault="005D3CEB" w:rsidP="00481E22">
            <w:pPr>
              <w:spacing w:before="2" w:after="2"/>
              <w:jc w:val="right"/>
              <w:rPr>
                <w:b/>
                <w:sz w:val="20"/>
                <w:szCs w:val="22"/>
              </w:rPr>
            </w:pPr>
            <w:r w:rsidRPr="004D0DE0">
              <w:rPr>
                <w:b/>
                <w:sz w:val="20"/>
                <w:szCs w:val="22"/>
              </w:rPr>
              <w:t xml:space="preserve">Monitoring </w:t>
            </w:r>
          </w:p>
          <w:p w14:paraId="0FD7EE64" w14:textId="77777777" w:rsidR="005D3CEB" w:rsidRPr="004D0DE0" w:rsidRDefault="005D3CEB" w:rsidP="00481E22">
            <w:pPr>
              <w:spacing w:before="2" w:after="2"/>
              <w:jc w:val="right"/>
              <w:rPr>
                <w:b/>
                <w:sz w:val="20"/>
                <w:szCs w:val="22"/>
              </w:rPr>
            </w:pPr>
            <w:r w:rsidRPr="004D0DE0">
              <w:rPr>
                <w:b/>
                <w:sz w:val="20"/>
                <w:szCs w:val="22"/>
              </w:rPr>
              <w:t>costs</w:t>
            </w:r>
          </w:p>
        </w:tc>
        <w:tc>
          <w:tcPr>
            <w:tcW w:w="1842" w:type="dxa"/>
            <w:vAlign w:val="bottom"/>
          </w:tcPr>
          <w:p w14:paraId="69E122BB" w14:textId="77777777" w:rsidR="005D3CEB" w:rsidRPr="009C6C37" w:rsidRDefault="005D3CEB" w:rsidP="00481E22">
            <w:pPr>
              <w:jc w:val="right"/>
              <w:rPr>
                <w:b/>
                <w:szCs w:val="22"/>
              </w:rPr>
            </w:pPr>
            <w:r w:rsidRPr="009C6C37">
              <w:rPr>
                <w:b/>
                <w:sz w:val="22"/>
                <w:szCs w:val="22"/>
              </w:rPr>
              <w:t>Hospitalisation costs</w:t>
            </w:r>
          </w:p>
        </w:tc>
        <w:tc>
          <w:tcPr>
            <w:tcW w:w="1276" w:type="dxa"/>
            <w:shd w:val="clear" w:color="auto" w:fill="auto"/>
            <w:noWrap/>
            <w:vAlign w:val="bottom"/>
          </w:tcPr>
          <w:p w14:paraId="7CFE46CF" w14:textId="77777777" w:rsidR="005D3CEB" w:rsidRPr="009C6C37" w:rsidRDefault="005D3CEB" w:rsidP="00481E22">
            <w:pPr>
              <w:jc w:val="right"/>
              <w:rPr>
                <w:b/>
                <w:szCs w:val="22"/>
              </w:rPr>
            </w:pPr>
            <w:r w:rsidRPr="009C6C37">
              <w:rPr>
                <w:b/>
                <w:sz w:val="22"/>
                <w:szCs w:val="22"/>
              </w:rPr>
              <w:t>Total costs</w:t>
            </w:r>
          </w:p>
        </w:tc>
      </w:tr>
      <w:tr w:rsidR="00FA1FF1" w:rsidRPr="009C6C37" w14:paraId="29A65AC6" w14:textId="77777777" w:rsidTr="00FA1FF1">
        <w:trPr>
          <w:trHeight w:val="300"/>
        </w:trPr>
        <w:tc>
          <w:tcPr>
            <w:tcW w:w="2268" w:type="dxa"/>
            <w:shd w:val="clear" w:color="auto" w:fill="auto"/>
            <w:noWrap/>
            <w:vAlign w:val="bottom"/>
          </w:tcPr>
          <w:p w14:paraId="16AD1050" w14:textId="42494BFD" w:rsidR="005D3CEB" w:rsidRPr="009C6C37" w:rsidRDefault="005D3CEB" w:rsidP="00481E22">
            <w:pPr>
              <w:rPr>
                <w:b/>
                <w:szCs w:val="22"/>
              </w:rPr>
            </w:pPr>
            <w:r w:rsidRPr="009C6C37">
              <w:rPr>
                <w:b/>
                <w:sz w:val="22"/>
                <w:szCs w:val="22"/>
              </w:rPr>
              <w:t>Tedizolid</w:t>
            </w:r>
            <w:r w:rsidR="00FA1FF1">
              <w:rPr>
                <w:b/>
                <w:sz w:val="22"/>
                <w:szCs w:val="22"/>
              </w:rPr>
              <w:t xml:space="preserve"> phosphate</w:t>
            </w:r>
          </w:p>
        </w:tc>
        <w:tc>
          <w:tcPr>
            <w:tcW w:w="1134" w:type="dxa"/>
            <w:shd w:val="clear" w:color="auto" w:fill="auto"/>
            <w:noWrap/>
            <w:vAlign w:val="bottom"/>
          </w:tcPr>
          <w:p w14:paraId="08578FC1" w14:textId="77777777" w:rsidR="005D3CEB" w:rsidRPr="00565D82" w:rsidRDefault="005D3CEB" w:rsidP="00481E22">
            <w:pPr>
              <w:jc w:val="right"/>
              <w:rPr>
                <w:sz w:val="20"/>
              </w:rPr>
            </w:pPr>
            <w:r w:rsidRPr="00565D82">
              <w:rPr>
                <w:sz w:val="20"/>
              </w:rPr>
              <w:t>£900.00</w:t>
            </w:r>
          </w:p>
        </w:tc>
        <w:tc>
          <w:tcPr>
            <w:tcW w:w="1701" w:type="dxa"/>
            <w:shd w:val="clear" w:color="auto" w:fill="auto"/>
            <w:noWrap/>
            <w:vAlign w:val="bottom"/>
          </w:tcPr>
          <w:p w14:paraId="2232858E" w14:textId="77777777" w:rsidR="005D3CEB" w:rsidRPr="00565D82" w:rsidRDefault="005D3CEB" w:rsidP="00481E22">
            <w:pPr>
              <w:jc w:val="right"/>
              <w:rPr>
                <w:sz w:val="20"/>
              </w:rPr>
            </w:pPr>
            <w:r w:rsidRPr="00565D82">
              <w:rPr>
                <w:sz w:val="20"/>
              </w:rPr>
              <w:t>£198.82</w:t>
            </w:r>
          </w:p>
        </w:tc>
        <w:tc>
          <w:tcPr>
            <w:tcW w:w="1276" w:type="dxa"/>
            <w:vAlign w:val="bottom"/>
          </w:tcPr>
          <w:p w14:paraId="073A5309" w14:textId="77777777" w:rsidR="005D3CEB" w:rsidRPr="00565D82" w:rsidRDefault="005D3CEB" w:rsidP="00481E22">
            <w:pPr>
              <w:jc w:val="right"/>
              <w:rPr>
                <w:sz w:val="20"/>
              </w:rPr>
            </w:pPr>
            <w:r w:rsidRPr="00565D82">
              <w:rPr>
                <w:sz w:val="20"/>
              </w:rPr>
              <w:t>£0.00</w:t>
            </w:r>
          </w:p>
        </w:tc>
        <w:tc>
          <w:tcPr>
            <w:tcW w:w="1842" w:type="dxa"/>
            <w:vAlign w:val="bottom"/>
          </w:tcPr>
          <w:p w14:paraId="63902775" w14:textId="77777777" w:rsidR="005D3CEB" w:rsidRPr="00565D82" w:rsidRDefault="005D3CEB" w:rsidP="00481E22">
            <w:pPr>
              <w:jc w:val="right"/>
              <w:rPr>
                <w:sz w:val="20"/>
              </w:rPr>
            </w:pPr>
            <w:r w:rsidRPr="00565D82">
              <w:rPr>
                <w:sz w:val="20"/>
              </w:rPr>
              <w:t>£3,640.20</w:t>
            </w:r>
          </w:p>
        </w:tc>
        <w:tc>
          <w:tcPr>
            <w:tcW w:w="1276" w:type="dxa"/>
            <w:shd w:val="clear" w:color="auto" w:fill="auto"/>
            <w:noWrap/>
            <w:vAlign w:val="bottom"/>
          </w:tcPr>
          <w:p w14:paraId="2C468D45" w14:textId="77777777" w:rsidR="005D3CEB" w:rsidRPr="00565D82" w:rsidRDefault="005D3CEB" w:rsidP="00481E22">
            <w:pPr>
              <w:jc w:val="right"/>
              <w:rPr>
                <w:sz w:val="20"/>
              </w:rPr>
            </w:pPr>
            <w:r w:rsidRPr="00565D82">
              <w:rPr>
                <w:sz w:val="20"/>
              </w:rPr>
              <w:t>£4,739.02</w:t>
            </w:r>
          </w:p>
        </w:tc>
      </w:tr>
      <w:tr w:rsidR="00FA1FF1" w:rsidRPr="009C6C37" w14:paraId="0AD42A8C" w14:textId="77777777" w:rsidTr="00FA1FF1">
        <w:trPr>
          <w:trHeight w:val="300"/>
        </w:trPr>
        <w:tc>
          <w:tcPr>
            <w:tcW w:w="2268" w:type="dxa"/>
            <w:shd w:val="clear" w:color="auto" w:fill="auto"/>
            <w:noWrap/>
            <w:vAlign w:val="bottom"/>
          </w:tcPr>
          <w:p w14:paraId="6DF51513" w14:textId="77777777" w:rsidR="005D3CEB" w:rsidRPr="009C6C37" w:rsidRDefault="005D3CEB" w:rsidP="00481E22">
            <w:pPr>
              <w:rPr>
                <w:b/>
                <w:szCs w:val="22"/>
              </w:rPr>
            </w:pPr>
            <w:r w:rsidRPr="009C6C37">
              <w:rPr>
                <w:b/>
                <w:sz w:val="22"/>
                <w:szCs w:val="22"/>
              </w:rPr>
              <w:t>Linezolid</w:t>
            </w:r>
          </w:p>
        </w:tc>
        <w:tc>
          <w:tcPr>
            <w:tcW w:w="1134" w:type="dxa"/>
            <w:shd w:val="clear" w:color="auto" w:fill="auto"/>
            <w:noWrap/>
            <w:vAlign w:val="bottom"/>
          </w:tcPr>
          <w:p w14:paraId="6E366E1D" w14:textId="77777777" w:rsidR="005D3CEB" w:rsidRPr="00565D82" w:rsidRDefault="005D3CEB" w:rsidP="00481E22">
            <w:pPr>
              <w:jc w:val="right"/>
              <w:rPr>
                <w:sz w:val="20"/>
              </w:rPr>
            </w:pPr>
            <w:r w:rsidRPr="00565D82">
              <w:rPr>
                <w:sz w:val="20"/>
              </w:rPr>
              <w:t>£890.00</w:t>
            </w:r>
          </w:p>
        </w:tc>
        <w:tc>
          <w:tcPr>
            <w:tcW w:w="1701" w:type="dxa"/>
            <w:shd w:val="clear" w:color="auto" w:fill="auto"/>
            <w:noWrap/>
            <w:vAlign w:val="bottom"/>
          </w:tcPr>
          <w:p w14:paraId="392B4440" w14:textId="77777777" w:rsidR="005D3CEB" w:rsidRPr="00565D82" w:rsidRDefault="005D3CEB" w:rsidP="00481E22">
            <w:pPr>
              <w:jc w:val="right"/>
              <w:rPr>
                <w:sz w:val="20"/>
              </w:rPr>
            </w:pPr>
            <w:r w:rsidRPr="00565D82">
              <w:rPr>
                <w:sz w:val="20"/>
              </w:rPr>
              <w:t>£397.00</w:t>
            </w:r>
          </w:p>
        </w:tc>
        <w:tc>
          <w:tcPr>
            <w:tcW w:w="1276" w:type="dxa"/>
            <w:vAlign w:val="bottom"/>
          </w:tcPr>
          <w:p w14:paraId="4BE60C83" w14:textId="671F642E" w:rsidR="005D3CEB" w:rsidRPr="00565D82" w:rsidRDefault="005D3CEB" w:rsidP="00481E22">
            <w:pPr>
              <w:jc w:val="right"/>
              <w:rPr>
                <w:sz w:val="20"/>
              </w:rPr>
            </w:pPr>
            <w:r>
              <w:rPr>
                <w:sz w:val="20"/>
              </w:rPr>
              <w:t>£</w:t>
            </w:r>
            <w:r w:rsidRPr="00565D82">
              <w:rPr>
                <w:sz w:val="20"/>
              </w:rPr>
              <w:t>50.91</w:t>
            </w:r>
          </w:p>
        </w:tc>
        <w:tc>
          <w:tcPr>
            <w:tcW w:w="1842" w:type="dxa"/>
            <w:vAlign w:val="bottom"/>
          </w:tcPr>
          <w:p w14:paraId="537ADF72" w14:textId="77777777" w:rsidR="005D3CEB" w:rsidRPr="00565D82" w:rsidRDefault="005D3CEB" w:rsidP="00481E22">
            <w:pPr>
              <w:jc w:val="right"/>
              <w:rPr>
                <w:sz w:val="20"/>
              </w:rPr>
            </w:pPr>
            <w:r w:rsidRPr="00565D82">
              <w:rPr>
                <w:sz w:val="20"/>
              </w:rPr>
              <w:t>£6,067.00</w:t>
            </w:r>
          </w:p>
        </w:tc>
        <w:tc>
          <w:tcPr>
            <w:tcW w:w="1276" w:type="dxa"/>
            <w:shd w:val="clear" w:color="auto" w:fill="auto"/>
            <w:noWrap/>
            <w:vAlign w:val="bottom"/>
          </w:tcPr>
          <w:p w14:paraId="2BDAFACC" w14:textId="77777777" w:rsidR="005D3CEB" w:rsidRPr="00565D82" w:rsidRDefault="005D3CEB" w:rsidP="00481E22">
            <w:pPr>
              <w:jc w:val="right"/>
              <w:rPr>
                <w:sz w:val="20"/>
              </w:rPr>
            </w:pPr>
            <w:r w:rsidRPr="00565D82">
              <w:rPr>
                <w:sz w:val="20"/>
              </w:rPr>
              <w:t>£7,404.91</w:t>
            </w:r>
          </w:p>
        </w:tc>
      </w:tr>
      <w:tr w:rsidR="00FA1FF1" w:rsidRPr="009C6C37" w14:paraId="21AE065A" w14:textId="77777777" w:rsidTr="00FA1FF1">
        <w:trPr>
          <w:trHeight w:val="300"/>
        </w:trPr>
        <w:tc>
          <w:tcPr>
            <w:tcW w:w="2268" w:type="dxa"/>
            <w:shd w:val="clear" w:color="auto" w:fill="auto"/>
            <w:noWrap/>
            <w:vAlign w:val="bottom"/>
          </w:tcPr>
          <w:p w14:paraId="0870E673" w14:textId="77777777" w:rsidR="005D3CEB" w:rsidRPr="009C6C37" w:rsidRDefault="005D3CEB" w:rsidP="00481E22">
            <w:pPr>
              <w:rPr>
                <w:b/>
                <w:szCs w:val="22"/>
              </w:rPr>
            </w:pPr>
          </w:p>
        </w:tc>
        <w:tc>
          <w:tcPr>
            <w:tcW w:w="1134" w:type="dxa"/>
            <w:shd w:val="clear" w:color="auto" w:fill="auto"/>
            <w:noWrap/>
            <w:vAlign w:val="bottom"/>
          </w:tcPr>
          <w:p w14:paraId="6E4575FC" w14:textId="77777777" w:rsidR="005D3CEB" w:rsidRPr="00565D82" w:rsidRDefault="005D3CEB" w:rsidP="00481E22">
            <w:pPr>
              <w:rPr>
                <w:sz w:val="20"/>
              </w:rPr>
            </w:pPr>
          </w:p>
        </w:tc>
        <w:tc>
          <w:tcPr>
            <w:tcW w:w="1701" w:type="dxa"/>
            <w:shd w:val="clear" w:color="auto" w:fill="auto"/>
            <w:noWrap/>
            <w:vAlign w:val="bottom"/>
          </w:tcPr>
          <w:p w14:paraId="79CC24D4" w14:textId="77777777" w:rsidR="005D3CEB" w:rsidRPr="00565D82" w:rsidRDefault="005D3CEB" w:rsidP="00481E22">
            <w:pPr>
              <w:rPr>
                <w:sz w:val="20"/>
              </w:rPr>
            </w:pPr>
          </w:p>
        </w:tc>
        <w:tc>
          <w:tcPr>
            <w:tcW w:w="1276" w:type="dxa"/>
            <w:vAlign w:val="bottom"/>
          </w:tcPr>
          <w:p w14:paraId="27ADC297" w14:textId="77777777" w:rsidR="005D3CEB" w:rsidRPr="00565D82" w:rsidRDefault="005D3CEB" w:rsidP="00481E22">
            <w:pPr>
              <w:rPr>
                <w:sz w:val="20"/>
              </w:rPr>
            </w:pPr>
          </w:p>
        </w:tc>
        <w:tc>
          <w:tcPr>
            <w:tcW w:w="1842" w:type="dxa"/>
            <w:vAlign w:val="bottom"/>
          </w:tcPr>
          <w:p w14:paraId="500EF225" w14:textId="77777777" w:rsidR="005D3CEB" w:rsidRPr="00565D82" w:rsidRDefault="005D3CEB" w:rsidP="00481E22">
            <w:pPr>
              <w:rPr>
                <w:sz w:val="20"/>
              </w:rPr>
            </w:pPr>
          </w:p>
        </w:tc>
        <w:tc>
          <w:tcPr>
            <w:tcW w:w="1276" w:type="dxa"/>
            <w:shd w:val="clear" w:color="auto" w:fill="auto"/>
            <w:noWrap/>
            <w:vAlign w:val="bottom"/>
          </w:tcPr>
          <w:p w14:paraId="686C66BB" w14:textId="77777777" w:rsidR="005D3CEB" w:rsidRPr="00565D82" w:rsidRDefault="005D3CEB" w:rsidP="00481E22">
            <w:pPr>
              <w:rPr>
                <w:sz w:val="20"/>
              </w:rPr>
            </w:pPr>
          </w:p>
        </w:tc>
      </w:tr>
      <w:tr w:rsidR="00FA1FF1" w:rsidRPr="009C6C37" w14:paraId="0EAA5781" w14:textId="77777777" w:rsidTr="00FA1FF1">
        <w:trPr>
          <w:trHeight w:val="300"/>
        </w:trPr>
        <w:tc>
          <w:tcPr>
            <w:tcW w:w="2268" w:type="dxa"/>
            <w:shd w:val="clear" w:color="auto" w:fill="auto"/>
            <w:noWrap/>
            <w:vAlign w:val="bottom"/>
          </w:tcPr>
          <w:p w14:paraId="2C366C2F" w14:textId="77777777" w:rsidR="005D3CEB" w:rsidRPr="009C6C37" w:rsidRDefault="005D3CEB" w:rsidP="00481E22">
            <w:pPr>
              <w:rPr>
                <w:b/>
                <w:szCs w:val="22"/>
              </w:rPr>
            </w:pPr>
            <w:r w:rsidRPr="009C6C37">
              <w:rPr>
                <w:b/>
                <w:sz w:val="22"/>
                <w:szCs w:val="22"/>
              </w:rPr>
              <w:t>Difference</w:t>
            </w:r>
          </w:p>
        </w:tc>
        <w:tc>
          <w:tcPr>
            <w:tcW w:w="1134" w:type="dxa"/>
            <w:shd w:val="clear" w:color="auto" w:fill="auto"/>
            <w:noWrap/>
            <w:vAlign w:val="bottom"/>
          </w:tcPr>
          <w:p w14:paraId="3EE11779" w14:textId="77777777" w:rsidR="005D3CEB" w:rsidRPr="00565D82" w:rsidRDefault="005D3CEB" w:rsidP="00481E22">
            <w:pPr>
              <w:jc w:val="right"/>
              <w:rPr>
                <w:sz w:val="20"/>
              </w:rPr>
            </w:pPr>
            <w:r w:rsidRPr="00565D82">
              <w:rPr>
                <w:sz w:val="20"/>
              </w:rPr>
              <w:t>£10.00</w:t>
            </w:r>
          </w:p>
        </w:tc>
        <w:tc>
          <w:tcPr>
            <w:tcW w:w="1701" w:type="dxa"/>
            <w:shd w:val="clear" w:color="auto" w:fill="auto"/>
            <w:noWrap/>
            <w:vAlign w:val="bottom"/>
          </w:tcPr>
          <w:p w14:paraId="5C4E52F9" w14:textId="77777777" w:rsidR="005D3CEB" w:rsidRPr="00565D82" w:rsidRDefault="005D3CEB" w:rsidP="00481E22">
            <w:pPr>
              <w:jc w:val="right"/>
              <w:rPr>
                <w:sz w:val="20"/>
              </w:rPr>
            </w:pPr>
            <w:r w:rsidRPr="00565D82">
              <w:rPr>
                <w:sz w:val="20"/>
              </w:rPr>
              <w:t>-£198.18</w:t>
            </w:r>
          </w:p>
        </w:tc>
        <w:tc>
          <w:tcPr>
            <w:tcW w:w="1276" w:type="dxa"/>
            <w:vAlign w:val="bottom"/>
          </w:tcPr>
          <w:p w14:paraId="43D20860" w14:textId="77777777" w:rsidR="005D3CEB" w:rsidRPr="00565D82" w:rsidRDefault="005D3CEB" w:rsidP="00481E22">
            <w:pPr>
              <w:jc w:val="right"/>
              <w:rPr>
                <w:sz w:val="20"/>
              </w:rPr>
            </w:pPr>
            <w:r w:rsidRPr="00565D82">
              <w:rPr>
                <w:sz w:val="20"/>
              </w:rPr>
              <w:t>-£50.91</w:t>
            </w:r>
          </w:p>
        </w:tc>
        <w:tc>
          <w:tcPr>
            <w:tcW w:w="1842" w:type="dxa"/>
            <w:vAlign w:val="bottom"/>
          </w:tcPr>
          <w:p w14:paraId="6B98369F" w14:textId="77777777" w:rsidR="005D3CEB" w:rsidRPr="00565D82" w:rsidRDefault="005D3CEB" w:rsidP="00481E22">
            <w:pPr>
              <w:jc w:val="right"/>
              <w:rPr>
                <w:sz w:val="20"/>
              </w:rPr>
            </w:pPr>
            <w:r w:rsidRPr="00565D82">
              <w:rPr>
                <w:sz w:val="20"/>
              </w:rPr>
              <w:t>-£2,426.80</w:t>
            </w:r>
          </w:p>
        </w:tc>
        <w:tc>
          <w:tcPr>
            <w:tcW w:w="1276" w:type="dxa"/>
            <w:shd w:val="clear" w:color="auto" w:fill="auto"/>
            <w:noWrap/>
            <w:vAlign w:val="bottom"/>
          </w:tcPr>
          <w:p w14:paraId="4974533E" w14:textId="77777777" w:rsidR="005D3CEB" w:rsidRPr="00565D82" w:rsidRDefault="005D3CEB" w:rsidP="00481E22">
            <w:pPr>
              <w:jc w:val="right"/>
              <w:rPr>
                <w:sz w:val="20"/>
              </w:rPr>
            </w:pPr>
            <w:r w:rsidRPr="00565D82">
              <w:rPr>
                <w:sz w:val="20"/>
              </w:rPr>
              <w:t>-£2,665.89</w:t>
            </w:r>
          </w:p>
        </w:tc>
      </w:tr>
    </w:tbl>
    <w:p w14:paraId="2BB0F011" w14:textId="77777777" w:rsidR="00532C77" w:rsidRPr="002A1891" w:rsidRDefault="00532C77" w:rsidP="00BE69CC">
      <w:pPr>
        <w:rPr>
          <w:rFonts w:eastAsia="Tahoma"/>
          <w:sz w:val="22"/>
          <w:szCs w:val="22"/>
        </w:rPr>
      </w:pPr>
    </w:p>
    <w:p w14:paraId="2C839A62" w14:textId="77777777" w:rsidR="00BE69CC" w:rsidRPr="002A1891" w:rsidRDefault="00BE69CC" w:rsidP="00BE69CC">
      <w:pPr>
        <w:pStyle w:val="NormalWeb"/>
        <w:spacing w:before="0" w:after="0"/>
        <w:rPr>
          <w:rFonts w:ascii="Arial" w:hAnsi="Arial" w:cs="Arial"/>
          <w:b/>
          <w:sz w:val="22"/>
          <w:szCs w:val="22"/>
        </w:rPr>
      </w:pPr>
    </w:p>
    <w:p w14:paraId="4FC65EF8" w14:textId="77777777" w:rsidR="00BE69CC" w:rsidRPr="002A1891" w:rsidRDefault="00BE69CC" w:rsidP="00BE69CC">
      <w:pPr>
        <w:pStyle w:val="NormalWeb"/>
        <w:spacing w:before="0" w:after="0"/>
        <w:ind w:left="709" w:hanging="709"/>
        <w:rPr>
          <w:rFonts w:ascii="Arial" w:hAnsi="Arial" w:cs="Arial"/>
          <w:b/>
          <w:sz w:val="22"/>
          <w:szCs w:val="22"/>
        </w:rPr>
      </w:pPr>
      <w:r w:rsidRPr="002A1891">
        <w:rPr>
          <w:rFonts w:ascii="Arial" w:hAnsi="Arial" w:cs="Arial"/>
          <w:b/>
          <w:sz w:val="22"/>
          <w:szCs w:val="22"/>
        </w:rPr>
        <w:t>6.8</w:t>
      </w:r>
      <w:r w:rsidRPr="002A1891">
        <w:rPr>
          <w:rFonts w:ascii="Arial" w:hAnsi="Arial" w:cs="Arial"/>
          <w:b/>
          <w:sz w:val="22"/>
          <w:szCs w:val="22"/>
        </w:rPr>
        <w:tab/>
        <w:t>Discussion and conclusions</w:t>
      </w:r>
    </w:p>
    <w:p w14:paraId="083620DF" w14:textId="77777777" w:rsidR="00BE69CC" w:rsidRPr="002A1891" w:rsidRDefault="00BE69CC" w:rsidP="00BE69CC">
      <w:pPr>
        <w:jc w:val="both"/>
        <w:rPr>
          <w:sz w:val="22"/>
          <w:szCs w:val="22"/>
          <w:lang w:val="en-US"/>
        </w:rPr>
      </w:pPr>
    </w:p>
    <w:p w14:paraId="1F97B726" w14:textId="748C0BC9" w:rsidR="00BE69CC" w:rsidRPr="002A1891" w:rsidRDefault="00BE69CC" w:rsidP="00BE69CC">
      <w:pPr>
        <w:rPr>
          <w:sz w:val="22"/>
          <w:szCs w:val="22"/>
          <w:lang w:val="en-US"/>
        </w:rPr>
      </w:pPr>
      <w:r w:rsidRPr="002A1891">
        <w:rPr>
          <w:sz w:val="22"/>
          <w:szCs w:val="22"/>
          <w:lang w:val="en-US"/>
        </w:rPr>
        <w:t>In this economic evaluation, a decision analytic model is used to estimate the cost-effectiveness of tedizolid</w:t>
      </w:r>
      <w:r w:rsidR="005867EA">
        <w:rPr>
          <w:sz w:val="22"/>
          <w:szCs w:val="22"/>
          <w:lang w:val="en-US"/>
        </w:rPr>
        <w:t xml:space="preserve"> phosphate</w:t>
      </w:r>
      <w:r w:rsidRPr="002A1891">
        <w:rPr>
          <w:sz w:val="22"/>
          <w:szCs w:val="22"/>
          <w:lang w:val="en-US"/>
        </w:rPr>
        <w:t xml:space="preserve"> in the Scottish health care setting in 2014. The analysis is performed for a cohort of patients with MRSA-caused ABSSSI. A cost-minimisation analysis was deemed appropriate for this health economic analysis due to the tedizolid </w:t>
      </w:r>
      <w:r w:rsidR="005867EA">
        <w:rPr>
          <w:sz w:val="22"/>
          <w:szCs w:val="22"/>
          <w:lang w:val="en-US"/>
        </w:rPr>
        <w:t xml:space="preserve">phosphate </w:t>
      </w:r>
      <w:r w:rsidRPr="002A1891">
        <w:rPr>
          <w:sz w:val="22"/>
          <w:szCs w:val="22"/>
          <w:lang w:val="en-US"/>
        </w:rPr>
        <w:t>clinical studies being of a non-inferiority design. In both Phase 3 studies, 6 days of tedizolid phosphate was non-inferior to 10 days of linezolid. In addition, a network analysis showed that there was no evidence of a difference between any of the treatments licensed for use in Scotland to treat cSSTIs/ ABSSSIs for clinical response (efficacy) or discontinuation due to adverse events.</w:t>
      </w:r>
    </w:p>
    <w:p w14:paraId="1A59DFC2" w14:textId="77777777" w:rsidR="00BE69CC" w:rsidRPr="002A1891" w:rsidRDefault="00BE69CC" w:rsidP="00BE69CC">
      <w:pPr>
        <w:rPr>
          <w:sz w:val="22"/>
          <w:szCs w:val="22"/>
          <w:lang w:val="en-US"/>
        </w:rPr>
      </w:pPr>
    </w:p>
    <w:p w14:paraId="04E9DCBD" w14:textId="14713596" w:rsidR="00BE69CC" w:rsidRPr="002A1891" w:rsidRDefault="00BE69CC" w:rsidP="00BE69CC">
      <w:pPr>
        <w:rPr>
          <w:rFonts w:cs="Calibri"/>
          <w:sz w:val="22"/>
          <w:szCs w:val="22"/>
          <w:lang w:val="en-US"/>
        </w:rPr>
      </w:pPr>
      <w:r w:rsidRPr="002A1891">
        <w:rPr>
          <w:rFonts w:cs="Calibri"/>
          <w:sz w:val="22"/>
          <w:szCs w:val="22"/>
          <w:lang w:val="en-US"/>
        </w:rPr>
        <w:t xml:space="preserve">The base case CMA assumed the following days of treatment with tedizolid </w:t>
      </w:r>
      <w:r w:rsidR="005867EA">
        <w:rPr>
          <w:rFonts w:cs="Calibri"/>
          <w:sz w:val="22"/>
          <w:szCs w:val="22"/>
          <w:lang w:val="en-US"/>
        </w:rPr>
        <w:t xml:space="preserve">phosphate </w:t>
      </w:r>
      <w:r w:rsidRPr="002A1891">
        <w:rPr>
          <w:rFonts w:cs="Calibri"/>
          <w:sz w:val="22"/>
          <w:szCs w:val="22"/>
          <w:lang w:val="en-US"/>
        </w:rPr>
        <w:t>and linezolid, as per clinical trials and as per recommended in the advisory board:</w:t>
      </w:r>
    </w:p>
    <w:p w14:paraId="1AC5E82C" w14:textId="56216EAB" w:rsidR="00BE69CC" w:rsidRPr="002A1891" w:rsidRDefault="00BE69CC" w:rsidP="00C35C1F">
      <w:pPr>
        <w:widowControl w:val="0"/>
        <w:numPr>
          <w:ilvl w:val="1"/>
          <w:numId w:val="49"/>
        </w:numPr>
        <w:autoSpaceDE w:val="0"/>
        <w:autoSpaceDN w:val="0"/>
        <w:adjustRightInd w:val="0"/>
        <w:rPr>
          <w:rFonts w:cs="Calibri"/>
          <w:sz w:val="22"/>
          <w:szCs w:val="22"/>
          <w:lang w:val="en-US"/>
        </w:rPr>
      </w:pPr>
      <w:r w:rsidRPr="002A1891">
        <w:rPr>
          <w:rFonts w:cs="Calibri"/>
          <w:sz w:val="22"/>
          <w:szCs w:val="22"/>
          <w:lang w:val="en-US"/>
        </w:rPr>
        <w:t xml:space="preserve">Tedizolid </w:t>
      </w:r>
      <w:r w:rsidR="005867EA">
        <w:rPr>
          <w:rFonts w:cs="Calibri"/>
          <w:sz w:val="22"/>
          <w:szCs w:val="22"/>
          <w:lang w:val="en-US"/>
        </w:rPr>
        <w:t xml:space="preserve">phosphate </w:t>
      </w:r>
      <w:r w:rsidRPr="002A1891">
        <w:rPr>
          <w:rFonts w:cs="Calibri"/>
          <w:sz w:val="22"/>
          <w:szCs w:val="22"/>
          <w:lang w:val="en-US"/>
        </w:rPr>
        <w:t>– 2 days IV; 4 days oral</w:t>
      </w:r>
    </w:p>
    <w:p w14:paraId="0B8B7DE6" w14:textId="50A09EC6" w:rsidR="00BE69CC" w:rsidRPr="0091684C" w:rsidRDefault="00BE69CC" w:rsidP="00C35C1F">
      <w:pPr>
        <w:widowControl w:val="0"/>
        <w:numPr>
          <w:ilvl w:val="1"/>
          <w:numId w:val="49"/>
        </w:numPr>
        <w:autoSpaceDE w:val="0"/>
        <w:autoSpaceDN w:val="0"/>
        <w:adjustRightInd w:val="0"/>
        <w:rPr>
          <w:rFonts w:cs="Calibri"/>
          <w:sz w:val="22"/>
          <w:szCs w:val="22"/>
          <w:lang w:val="en-US"/>
        </w:rPr>
      </w:pPr>
      <w:r w:rsidRPr="002A1891">
        <w:rPr>
          <w:rFonts w:cs="Calibri"/>
          <w:sz w:val="22"/>
          <w:szCs w:val="22"/>
          <w:lang w:val="en-US"/>
        </w:rPr>
        <w:t>Lin</w:t>
      </w:r>
      <w:r w:rsidR="0091684C">
        <w:rPr>
          <w:rFonts w:cs="Calibri"/>
          <w:sz w:val="22"/>
          <w:szCs w:val="22"/>
          <w:lang w:val="en-US"/>
        </w:rPr>
        <w:t>ezolid – 2 days IV; 8 days oral</w:t>
      </w:r>
    </w:p>
    <w:p w14:paraId="0169A352" w14:textId="32FDCB6B" w:rsidR="00BE69CC" w:rsidRPr="00613B80" w:rsidRDefault="00BE69CC" w:rsidP="0091684C">
      <w:pPr>
        <w:widowControl w:val="0"/>
        <w:autoSpaceDE w:val="0"/>
        <w:autoSpaceDN w:val="0"/>
        <w:adjustRightInd w:val="0"/>
        <w:spacing w:before="100" w:beforeAutospacing="1"/>
        <w:rPr>
          <w:sz w:val="22"/>
          <w:szCs w:val="22"/>
        </w:rPr>
      </w:pPr>
      <w:r w:rsidRPr="00613B80">
        <w:rPr>
          <w:rFonts w:cs="Calibri"/>
          <w:sz w:val="22"/>
          <w:szCs w:val="22"/>
          <w:lang w:val="en-US"/>
        </w:rPr>
        <w:t xml:space="preserve">The base case includes </w:t>
      </w:r>
      <w:r w:rsidR="00460B3B" w:rsidRPr="00613B80">
        <w:rPr>
          <w:rFonts w:cs="Calibri"/>
          <w:sz w:val="22"/>
          <w:szCs w:val="22"/>
          <w:lang w:val="en-US"/>
        </w:rPr>
        <w:t>medicine</w:t>
      </w:r>
      <w:r w:rsidRPr="00613B80">
        <w:rPr>
          <w:rFonts w:cs="Calibri"/>
          <w:sz w:val="22"/>
          <w:szCs w:val="22"/>
          <w:lang w:val="en-US"/>
        </w:rPr>
        <w:t xml:space="preserve"> acquisition </w:t>
      </w:r>
      <w:r w:rsidR="00195E5E" w:rsidRPr="00613B80">
        <w:rPr>
          <w:rFonts w:cs="Calibri"/>
          <w:sz w:val="22"/>
          <w:szCs w:val="22"/>
          <w:lang w:val="en-US"/>
        </w:rPr>
        <w:t xml:space="preserve">costs, as well as associated applicable </w:t>
      </w:r>
      <w:r w:rsidRPr="00613B80">
        <w:rPr>
          <w:rFonts w:cs="Calibri"/>
          <w:sz w:val="22"/>
          <w:szCs w:val="22"/>
          <w:lang w:val="en-US"/>
        </w:rPr>
        <w:t xml:space="preserve">administration </w:t>
      </w:r>
      <w:r w:rsidR="00195E5E" w:rsidRPr="00613B80">
        <w:rPr>
          <w:rFonts w:cs="Calibri"/>
          <w:sz w:val="22"/>
          <w:szCs w:val="22"/>
          <w:lang w:val="en-US"/>
        </w:rPr>
        <w:t>and monitoring costs,</w:t>
      </w:r>
      <w:r w:rsidRPr="00613B80">
        <w:rPr>
          <w:rFonts w:cs="Calibri"/>
          <w:sz w:val="22"/>
          <w:szCs w:val="22"/>
          <w:lang w:val="en-US"/>
        </w:rPr>
        <w:t xml:space="preserve"> and assumes a full course of treatment. A number of scenario analyses consider the impact of OPAT services, length of stay in hospital, the relative costs of varying the proportion of IV and oral treatment, </w:t>
      </w:r>
      <w:r w:rsidR="00F00BD3" w:rsidRPr="00613B80">
        <w:rPr>
          <w:rFonts w:cs="Calibri"/>
          <w:sz w:val="22"/>
          <w:szCs w:val="22"/>
          <w:lang w:val="en-US"/>
        </w:rPr>
        <w:t xml:space="preserve">and the proportion of patients being monitored in accordance with the linezolid marketing authorisation. </w:t>
      </w:r>
    </w:p>
    <w:p w14:paraId="5C4B5495" w14:textId="55D9C430" w:rsidR="00BE69CC" w:rsidRPr="00613B80" w:rsidRDefault="00BE69CC" w:rsidP="0091684C">
      <w:pPr>
        <w:widowControl w:val="0"/>
        <w:autoSpaceDE w:val="0"/>
        <w:autoSpaceDN w:val="0"/>
        <w:adjustRightInd w:val="0"/>
        <w:spacing w:before="100" w:beforeAutospacing="1"/>
        <w:rPr>
          <w:sz w:val="22"/>
          <w:szCs w:val="22"/>
          <w:lang w:val="en-US"/>
        </w:rPr>
      </w:pPr>
      <w:r w:rsidRPr="00D81CDA">
        <w:rPr>
          <w:sz w:val="22"/>
          <w:szCs w:val="22"/>
        </w:rPr>
        <w:t xml:space="preserve">Treatment with tedizolid phosphate results in a </w:t>
      </w:r>
      <w:r w:rsidR="00F00BD3" w:rsidRPr="00D81CDA">
        <w:rPr>
          <w:sz w:val="22"/>
          <w:szCs w:val="22"/>
        </w:rPr>
        <w:t xml:space="preserve">decrease </w:t>
      </w:r>
      <w:r w:rsidRPr="00D81CDA">
        <w:rPr>
          <w:sz w:val="22"/>
          <w:szCs w:val="22"/>
        </w:rPr>
        <w:t>in costs over linezolid in the base case,</w:t>
      </w:r>
      <w:r w:rsidRPr="00D81CDA">
        <w:rPr>
          <w:sz w:val="22"/>
          <w:szCs w:val="22"/>
          <w:lang w:val="en-US"/>
        </w:rPr>
        <w:t xml:space="preserve"> </w:t>
      </w:r>
      <w:r w:rsidR="00F00BD3" w:rsidRPr="00D81CDA">
        <w:rPr>
          <w:sz w:val="22"/>
          <w:szCs w:val="22"/>
          <w:lang w:val="en-US"/>
        </w:rPr>
        <w:t>of £</w:t>
      </w:r>
      <w:r w:rsidR="00D81CDA" w:rsidRPr="00D81CDA">
        <w:rPr>
          <w:sz w:val="22"/>
          <w:szCs w:val="22"/>
          <w:lang w:val="en-US"/>
        </w:rPr>
        <w:t>54.03 per course of treatment</w:t>
      </w:r>
      <w:r w:rsidR="00F00BD3" w:rsidRPr="00613B80">
        <w:rPr>
          <w:sz w:val="22"/>
          <w:szCs w:val="22"/>
          <w:lang w:val="en-US"/>
        </w:rPr>
        <w:t xml:space="preserve"> (that is, tedizolid phosphate is cost saving compared to linezolid)</w:t>
      </w:r>
      <w:r w:rsidRPr="00613B80">
        <w:rPr>
          <w:sz w:val="22"/>
          <w:szCs w:val="22"/>
        </w:rPr>
        <w:t xml:space="preserve">. </w:t>
      </w:r>
      <w:r w:rsidR="00F00BD3" w:rsidRPr="00613B80">
        <w:rPr>
          <w:sz w:val="22"/>
          <w:szCs w:val="22"/>
        </w:rPr>
        <w:t>Although this represents a modest cost saving, the base case</w:t>
      </w:r>
      <w:r w:rsidRPr="00613B80">
        <w:rPr>
          <w:sz w:val="22"/>
          <w:szCs w:val="22"/>
        </w:rPr>
        <w:t xml:space="preserve"> is based on the conservative assumption that the duration of the linezolid course of treatment would be only 10 days in total (as per the Phase 3 clinical studies), whereas the recommended treatment duration according to the linezolid SmPC is 10-14 days (i.e. the </w:t>
      </w:r>
      <w:r w:rsidRPr="00613B80">
        <w:rPr>
          <w:sz w:val="22"/>
          <w:szCs w:val="22"/>
        </w:rPr>
        <w:lastRenderedPageBreak/>
        <w:t xml:space="preserve">base case assumes the shortest duration of linezolid treatment permitted under its marketing authorisation). This assumption is explored further in sensitivity analyses, where tedizolid phosphate was </w:t>
      </w:r>
      <w:r w:rsidR="00F00BD3" w:rsidRPr="00613B80">
        <w:rPr>
          <w:sz w:val="22"/>
          <w:szCs w:val="22"/>
        </w:rPr>
        <w:t xml:space="preserve">also </w:t>
      </w:r>
      <w:r w:rsidRPr="00613B80">
        <w:rPr>
          <w:sz w:val="22"/>
          <w:szCs w:val="22"/>
        </w:rPr>
        <w:t xml:space="preserve">found to be a cost-saving treatment strategy. </w:t>
      </w:r>
    </w:p>
    <w:p w14:paraId="73D27A98" w14:textId="1780714D" w:rsidR="00BE69CC" w:rsidRPr="00613B80" w:rsidRDefault="00BE69CC" w:rsidP="0091684C">
      <w:pPr>
        <w:widowControl w:val="0"/>
        <w:autoSpaceDE w:val="0"/>
        <w:autoSpaceDN w:val="0"/>
        <w:adjustRightInd w:val="0"/>
        <w:spacing w:before="100" w:beforeAutospacing="1"/>
        <w:rPr>
          <w:sz w:val="22"/>
          <w:szCs w:val="22"/>
          <w:lang w:val="en-US"/>
        </w:rPr>
      </w:pPr>
      <w:r w:rsidRPr="00613B80">
        <w:rPr>
          <w:sz w:val="22"/>
          <w:szCs w:val="22"/>
          <w:lang w:val="en-US"/>
        </w:rPr>
        <w:t xml:space="preserve">Scenario analyses included various treatment strategies for the use of tedizolid </w:t>
      </w:r>
      <w:r w:rsidR="00987D72">
        <w:rPr>
          <w:sz w:val="22"/>
          <w:szCs w:val="22"/>
          <w:lang w:val="en-US"/>
        </w:rPr>
        <w:t xml:space="preserve">phosphate </w:t>
      </w:r>
      <w:r w:rsidRPr="00613B80">
        <w:rPr>
          <w:sz w:val="22"/>
          <w:szCs w:val="22"/>
          <w:lang w:val="en-US"/>
        </w:rPr>
        <w:t xml:space="preserve">and linezolid (duration of days and split between IV and oral treatment days). </w:t>
      </w:r>
      <w:r w:rsidR="00F00BD3" w:rsidRPr="00613B80">
        <w:rPr>
          <w:sz w:val="22"/>
          <w:szCs w:val="22"/>
          <w:lang w:val="en-US"/>
        </w:rPr>
        <w:t>Tedizolid phosphate wa</w:t>
      </w:r>
      <w:r w:rsidR="00AF3B3C" w:rsidRPr="00613B80">
        <w:rPr>
          <w:sz w:val="22"/>
          <w:szCs w:val="22"/>
          <w:lang w:val="en-US"/>
        </w:rPr>
        <w:t>s cost saving in all scenarios; the magnitude of the cost saving increased the longer the duration of linezolid treatment and the greater the proportion of days on IV vs. oral therapy (the former being associated with lon</w:t>
      </w:r>
      <w:r w:rsidR="00987D72">
        <w:rPr>
          <w:sz w:val="22"/>
          <w:szCs w:val="22"/>
          <w:lang w:val="en-US"/>
        </w:rPr>
        <w:t>ger periods of hospitalisa</w:t>
      </w:r>
      <w:r w:rsidR="00613B80">
        <w:rPr>
          <w:sz w:val="22"/>
          <w:szCs w:val="22"/>
          <w:lang w:val="en-US"/>
        </w:rPr>
        <w:t>t</w:t>
      </w:r>
      <w:r w:rsidR="00987D72">
        <w:rPr>
          <w:sz w:val="22"/>
          <w:szCs w:val="22"/>
          <w:lang w:val="en-US"/>
        </w:rPr>
        <w:t>i</w:t>
      </w:r>
      <w:r w:rsidR="00613B80">
        <w:rPr>
          <w:sz w:val="22"/>
          <w:szCs w:val="22"/>
          <w:lang w:val="en-US"/>
        </w:rPr>
        <w:t>on)</w:t>
      </w:r>
      <w:r w:rsidR="00AF3B3C" w:rsidRPr="00613B80">
        <w:rPr>
          <w:sz w:val="22"/>
          <w:szCs w:val="22"/>
          <w:lang w:val="en-US"/>
        </w:rPr>
        <w:t xml:space="preserve">. </w:t>
      </w:r>
    </w:p>
    <w:p w14:paraId="044A78B8" w14:textId="2CBCE5A2" w:rsidR="00BE69CC" w:rsidRPr="0091684C" w:rsidRDefault="00BE69CC" w:rsidP="0091684C">
      <w:pPr>
        <w:pStyle w:val="Heading1"/>
        <w:spacing w:before="100" w:beforeAutospacing="1"/>
        <w:rPr>
          <w:rFonts w:ascii="Arial" w:eastAsia="Tahoma" w:hAnsi="Arial"/>
          <w:b w:val="0"/>
          <w:color w:val="auto"/>
          <w:sz w:val="22"/>
          <w:szCs w:val="22"/>
          <w:lang w:val="en-US"/>
        </w:rPr>
      </w:pPr>
      <w:r w:rsidRPr="0091684C">
        <w:rPr>
          <w:rFonts w:ascii="Arial" w:hAnsi="Arial"/>
          <w:b w:val="0"/>
          <w:color w:val="auto"/>
          <w:sz w:val="22"/>
          <w:szCs w:val="22"/>
        </w:rPr>
        <w:t>Because the CMA is based on the results of non-inferiority studies, the manufacturer assumed no difference between tedizolid phosphate and linezolid in terms of any of the following variables: safety and adverse events; tolerability; d</w:t>
      </w:r>
      <w:r w:rsidR="003D6B26">
        <w:rPr>
          <w:rFonts w:ascii="Arial" w:hAnsi="Arial"/>
          <w:b w:val="0"/>
          <w:color w:val="auto"/>
          <w:sz w:val="22"/>
          <w:szCs w:val="22"/>
        </w:rPr>
        <w:t>rug-to-drug interactions (DDIs)</w:t>
      </w:r>
      <w:r w:rsidRPr="0091684C">
        <w:rPr>
          <w:rFonts w:ascii="Arial" w:hAnsi="Arial"/>
          <w:b w:val="0"/>
          <w:color w:val="auto"/>
          <w:sz w:val="22"/>
          <w:szCs w:val="22"/>
        </w:rPr>
        <w:t xml:space="preserve">.  As described in sections 4 and 5, although the safety profile was comparable between the two agents, treatment with tedizolid </w:t>
      </w:r>
      <w:r w:rsidR="005867EA">
        <w:rPr>
          <w:rFonts w:ascii="Arial" w:hAnsi="Arial"/>
          <w:b w:val="0"/>
          <w:color w:val="auto"/>
          <w:sz w:val="22"/>
          <w:szCs w:val="22"/>
        </w:rPr>
        <w:t xml:space="preserve">phosphate </w:t>
      </w:r>
      <w:r w:rsidRPr="0091684C">
        <w:rPr>
          <w:rFonts w:ascii="Arial" w:hAnsi="Arial"/>
          <w:b w:val="0"/>
          <w:color w:val="auto"/>
          <w:sz w:val="22"/>
          <w:szCs w:val="22"/>
        </w:rPr>
        <w:t xml:space="preserve">was associated with numerically fewer gastrointestinal adverse events than linezolid, does not require additional monitoring for nephrotoxicity (unlike linezolid) and is not associated with myelosuppression or common DDIs over a 6 day course of treatment. If the costs of any one of these variables had been taken into account in the economic evaluation, tedizolid phosphate would be expected to be more cost-effective and, in most cases, cost saving compared to linezolid. </w:t>
      </w:r>
    </w:p>
    <w:p w14:paraId="3805D8DA" w14:textId="77777777" w:rsidR="00BE69CC" w:rsidRPr="002A1891" w:rsidRDefault="00BE69CC" w:rsidP="00BE69CC"/>
    <w:p w14:paraId="535CEAE7" w14:textId="77777777" w:rsidR="00BE69CC" w:rsidRPr="002A1891" w:rsidRDefault="00BE69CC" w:rsidP="00BE69CC">
      <w:pPr>
        <w:rPr>
          <w:rFonts w:cs="Arial"/>
          <w:sz w:val="22"/>
        </w:rPr>
      </w:pPr>
      <w:r w:rsidRPr="002A1891">
        <w:rPr>
          <w:rFonts w:cs="Arial"/>
          <w:sz w:val="22"/>
        </w:rPr>
        <w:t>The expected length of stay in a hospital setting (as opposed to the length of the treatment course)</w:t>
      </w:r>
      <w:r w:rsidRPr="002A1891">
        <w:rPr>
          <w:rFonts w:cs="Arial"/>
          <w:b/>
          <w:sz w:val="22"/>
        </w:rPr>
        <w:t xml:space="preserve"> </w:t>
      </w:r>
      <w:r w:rsidRPr="002A1891">
        <w:rPr>
          <w:rFonts w:cs="Arial"/>
          <w:sz w:val="22"/>
        </w:rPr>
        <w:t>has been excluded from the CMA, although it was explored in a scenario analysis. Although there is some emerging data to suggest that the shorter duration treatment course associated with tedizolid phosphate could lead to reductions in the length of time in hospital, this cannot be quantified at the present time, and so was not included in the base case.</w:t>
      </w:r>
    </w:p>
    <w:p w14:paraId="2EAC733D" w14:textId="77777777" w:rsidR="00BE69CC" w:rsidRPr="002A1891" w:rsidRDefault="00BE69CC" w:rsidP="00BE69CC">
      <w:pPr>
        <w:rPr>
          <w:rFonts w:cs="Arial"/>
          <w:sz w:val="22"/>
        </w:rPr>
      </w:pPr>
    </w:p>
    <w:p w14:paraId="28CDC467" w14:textId="11BD1400" w:rsidR="00BE69CC" w:rsidRPr="002A1891" w:rsidRDefault="00BE69CC" w:rsidP="00BE69CC">
      <w:pPr>
        <w:rPr>
          <w:rFonts w:cs="Arial"/>
          <w:sz w:val="22"/>
        </w:rPr>
      </w:pPr>
      <w:r w:rsidRPr="002A1891">
        <w:rPr>
          <w:rFonts w:cs="Arial"/>
          <w:sz w:val="22"/>
        </w:rPr>
        <w:t xml:space="preserve">The results of the CMA and the additional analyses are believed to be representative of clinical practice in NHS Scotland. The manufacturer has used Scottish statistics wherever possible and appropriate, and drew on the analysis of treatment patterns in the </w:t>
      </w:r>
      <w:r w:rsidRPr="002A1891">
        <w:rPr>
          <w:rFonts w:cs="Arial"/>
          <w:sz w:val="22"/>
        </w:rPr>
        <w:lastRenderedPageBreak/>
        <w:t>Greater Glasgow and Clyde area described in the paper by Seaton et al (</w:t>
      </w:r>
      <w:r w:rsidR="00211BCD">
        <w:rPr>
          <w:rFonts w:cs="Arial"/>
          <w:sz w:val="22"/>
        </w:rPr>
        <w:fldChar w:fldCharType="begin"/>
      </w:r>
      <w:r w:rsidR="00211BCD">
        <w:rPr>
          <w:rFonts w:cs="Arial"/>
          <w:sz w:val="22"/>
        </w:rPr>
        <w:instrText xml:space="preserve"> REF _Ref284169362 \r \h </w:instrText>
      </w:r>
      <w:r w:rsidR="00211BCD">
        <w:rPr>
          <w:rFonts w:cs="Arial"/>
          <w:sz w:val="22"/>
        </w:rPr>
      </w:r>
      <w:r w:rsidR="00211BCD">
        <w:rPr>
          <w:rFonts w:cs="Arial"/>
          <w:sz w:val="22"/>
        </w:rPr>
        <w:fldChar w:fldCharType="separate"/>
      </w:r>
      <w:r w:rsidR="00151A1C">
        <w:rPr>
          <w:rFonts w:cs="Arial"/>
          <w:sz w:val="22"/>
        </w:rPr>
        <w:t>20</w:t>
      </w:r>
      <w:r w:rsidR="00211BCD">
        <w:rPr>
          <w:rFonts w:cs="Arial"/>
          <w:sz w:val="22"/>
        </w:rPr>
        <w:fldChar w:fldCharType="end"/>
      </w:r>
      <w:r w:rsidRPr="002A1891">
        <w:rPr>
          <w:rFonts w:cs="Arial"/>
          <w:sz w:val="22"/>
        </w:rPr>
        <w:t>). Any variables that could not be deter</w:t>
      </w:r>
      <w:r w:rsidR="003F4D5A">
        <w:rPr>
          <w:rFonts w:cs="Arial"/>
          <w:sz w:val="22"/>
        </w:rPr>
        <w:t xml:space="preserve">mined from the Phase 3 studies </w:t>
      </w:r>
      <w:r w:rsidRPr="002A1891">
        <w:rPr>
          <w:rFonts w:cs="Arial"/>
          <w:sz w:val="22"/>
        </w:rPr>
        <w:t xml:space="preserve">or the published </w:t>
      </w:r>
      <w:r w:rsidR="003F4D5A">
        <w:rPr>
          <w:rFonts w:cs="Arial"/>
          <w:sz w:val="22"/>
        </w:rPr>
        <w:t>l</w:t>
      </w:r>
      <w:r w:rsidRPr="002A1891">
        <w:rPr>
          <w:rFonts w:cs="Arial"/>
          <w:sz w:val="22"/>
        </w:rPr>
        <w:t xml:space="preserve">iterature, were discussed and validated by Scottish clinical experts, either through the Delphi panel, an advisory board or via the validation meeting held with Professor Ian Gould of Aberdeen. </w:t>
      </w:r>
    </w:p>
    <w:p w14:paraId="78F463B4" w14:textId="77777777" w:rsidR="00BE69CC" w:rsidRPr="002A1891" w:rsidRDefault="00BE69CC" w:rsidP="00BE69CC">
      <w:pPr>
        <w:rPr>
          <w:highlight w:val="yellow"/>
        </w:rPr>
      </w:pPr>
    </w:p>
    <w:p w14:paraId="2A06BE36" w14:textId="77777777" w:rsidR="00BE69CC" w:rsidRPr="008E4E92" w:rsidRDefault="00BE69CC" w:rsidP="008E4E92">
      <w:pPr>
        <w:pStyle w:val="NormalWeb"/>
        <w:spacing w:before="0" w:after="0"/>
        <w:rPr>
          <w:rFonts w:ascii="Arial" w:hAnsi="Arial" w:cs="Arial"/>
          <w:sz w:val="22"/>
          <w:szCs w:val="22"/>
        </w:rPr>
      </w:pPr>
    </w:p>
    <w:p w14:paraId="5377C5B6" w14:textId="77777777" w:rsidR="008E4E92" w:rsidRPr="001E0E91" w:rsidRDefault="008E4E92" w:rsidP="008E4E92">
      <w:pPr>
        <w:pBdr>
          <w:top w:val="single" w:sz="4" w:space="0" w:color="auto"/>
          <w:bottom w:val="single" w:sz="4" w:space="1" w:color="auto"/>
        </w:pBdr>
        <w:tabs>
          <w:tab w:val="left" w:pos="567"/>
        </w:tabs>
        <w:spacing w:line="360" w:lineRule="auto"/>
        <w:rPr>
          <w:rFonts w:cs="Arial"/>
          <w:b/>
          <w:sz w:val="28"/>
          <w:szCs w:val="28"/>
        </w:rPr>
      </w:pPr>
      <w:r w:rsidRPr="008E4E92">
        <w:rPr>
          <w:rFonts w:cs="Arial"/>
          <w:b/>
          <w:sz w:val="22"/>
          <w:szCs w:val="22"/>
        </w:rPr>
        <w:br w:type="page"/>
      </w:r>
      <w:r w:rsidRPr="001E0E91">
        <w:rPr>
          <w:rFonts w:cs="Arial"/>
          <w:b/>
          <w:sz w:val="28"/>
          <w:szCs w:val="28"/>
        </w:rPr>
        <w:lastRenderedPageBreak/>
        <w:t>7.</w:t>
      </w:r>
      <w:r w:rsidRPr="001E0E91">
        <w:rPr>
          <w:rFonts w:cs="Arial"/>
          <w:b/>
          <w:sz w:val="28"/>
          <w:szCs w:val="28"/>
        </w:rPr>
        <w:tab/>
      </w:r>
      <w:bookmarkStart w:id="219" w:name="Resource_Implications"/>
      <w:r w:rsidRPr="001E0E91">
        <w:rPr>
          <w:rFonts w:cs="Arial"/>
          <w:b/>
          <w:sz w:val="28"/>
          <w:szCs w:val="28"/>
        </w:rPr>
        <w:t>Resource implications</w:t>
      </w:r>
      <w:bookmarkEnd w:id="219"/>
      <w:r w:rsidRPr="001E0E91">
        <w:rPr>
          <w:rFonts w:cs="Arial"/>
          <w:b/>
          <w:sz w:val="28"/>
          <w:szCs w:val="28"/>
        </w:rPr>
        <w:t xml:space="preserve"> </w:t>
      </w:r>
    </w:p>
    <w:p w14:paraId="7F18E4D8" w14:textId="77777777" w:rsidR="00335B33" w:rsidRDefault="00335B33" w:rsidP="008E4E92">
      <w:pPr>
        <w:jc w:val="both"/>
        <w:rPr>
          <w:rFonts w:cs="Arial"/>
          <w:sz w:val="22"/>
          <w:szCs w:val="22"/>
        </w:rPr>
      </w:pPr>
    </w:p>
    <w:p w14:paraId="605D5BB5" w14:textId="77777777" w:rsidR="008E4E92" w:rsidRPr="002B2E4F" w:rsidRDefault="008E4E92" w:rsidP="008E4E92">
      <w:pPr>
        <w:jc w:val="both"/>
        <w:rPr>
          <w:rFonts w:cs="Arial"/>
          <w:i/>
          <w:sz w:val="22"/>
          <w:szCs w:val="22"/>
        </w:rPr>
      </w:pPr>
      <w:r w:rsidRPr="002B2E4F">
        <w:rPr>
          <w:rFonts w:cs="Arial"/>
          <w:i/>
          <w:sz w:val="22"/>
          <w:szCs w:val="22"/>
        </w:rPr>
        <w:t xml:space="preserve">As part of SMC process, you are required to complete a standardised Excel template to show an estimate of the budget impact associated with introduction of your product. The budget impact template must also be completed for medicines meeting the ultra-orphan definition. In the event of an accepted or restricted accepted decision being made by SMC, the completed template will be shared in confidence with NHS Boards. </w:t>
      </w:r>
    </w:p>
    <w:p w14:paraId="789405BE" w14:textId="77777777" w:rsidR="008E4E92" w:rsidRPr="002B2E4F" w:rsidRDefault="008E4E92" w:rsidP="008E4E92">
      <w:pPr>
        <w:jc w:val="both"/>
        <w:rPr>
          <w:rFonts w:cs="Arial"/>
          <w:i/>
          <w:sz w:val="22"/>
          <w:szCs w:val="22"/>
        </w:rPr>
      </w:pPr>
    </w:p>
    <w:p w14:paraId="61AD45CE" w14:textId="77777777" w:rsidR="008E4E92" w:rsidRPr="002B2E4F" w:rsidRDefault="008E4E92" w:rsidP="008E4E92">
      <w:pPr>
        <w:rPr>
          <w:rFonts w:cs="Arial"/>
          <w:i/>
          <w:sz w:val="22"/>
          <w:szCs w:val="22"/>
          <w:lang w:eastAsia="ja-JP"/>
        </w:rPr>
      </w:pPr>
      <w:r w:rsidRPr="002B2E4F">
        <w:rPr>
          <w:rFonts w:cs="Arial"/>
          <w:i/>
          <w:sz w:val="22"/>
          <w:szCs w:val="22"/>
        </w:rPr>
        <w:t xml:space="preserve">The current version of the budget impact template can be downloaded from the SMC website using the following link: </w:t>
      </w:r>
      <w:hyperlink r:id="rId40" w:history="1">
        <w:r w:rsidRPr="002B2E4F">
          <w:rPr>
            <w:rStyle w:val="Hyperlink"/>
            <w:rFonts w:cs="Arial"/>
            <w:i/>
            <w:sz w:val="22"/>
            <w:szCs w:val="22"/>
          </w:rPr>
          <w:t>Budget Impact Template</w:t>
        </w:r>
      </w:hyperlink>
    </w:p>
    <w:p w14:paraId="4F5BCC5F" w14:textId="77777777" w:rsidR="008E4E92" w:rsidRPr="002B2E4F" w:rsidRDefault="008E4E92" w:rsidP="008E4E92">
      <w:pPr>
        <w:rPr>
          <w:rFonts w:cs="Arial"/>
          <w:i/>
          <w:sz w:val="22"/>
          <w:szCs w:val="22"/>
        </w:rPr>
      </w:pPr>
      <w:r w:rsidRPr="002B2E4F">
        <w:rPr>
          <w:rFonts w:cs="Arial"/>
          <w:i/>
          <w:sz w:val="22"/>
          <w:szCs w:val="22"/>
        </w:rPr>
        <w:br/>
        <w:t>The Excel workbook contains full guidance notes for completion. On completion, the results should be copied into the appropriate sections below and the completed Excel workbook must be</w:t>
      </w:r>
      <w:r w:rsidRPr="002B2E4F">
        <w:rPr>
          <w:rFonts w:cs="Arial"/>
          <w:b/>
          <w:i/>
          <w:sz w:val="22"/>
          <w:szCs w:val="22"/>
        </w:rPr>
        <w:t xml:space="preserve"> </w:t>
      </w:r>
      <w:r w:rsidRPr="002B2E4F">
        <w:rPr>
          <w:rFonts w:cs="Arial"/>
          <w:i/>
          <w:sz w:val="22"/>
          <w:szCs w:val="22"/>
        </w:rPr>
        <w:t>returned to the SMC Secretariat alongside the completed NPAF</w:t>
      </w:r>
      <w:r w:rsidRPr="002B2E4F">
        <w:rPr>
          <w:rFonts w:cs="Arial"/>
          <w:b/>
          <w:i/>
          <w:sz w:val="22"/>
          <w:szCs w:val="22"/>
        </w:rPr>
        <w:t xml:space="preserve"> </w:t>
      </w:r>
      <w:r w:rsidRPr="002B2E4F">
        <w:rPr>
          <w:rFonts w:cs="Arial"/>
          <w:i/>
          <w:sz w:val="22"/>
          <w:szCs w:val="22"/>
        </w:rPr>
        <w:t>at the same time as the submission is made. Failure to do so may result in a delay to the scheduling of the submission through the SMC process.</w:t>
      </w:r>
      <w:r w:rsidRPr="002B2E4F">
        <w:rPr>
          <w:rFonts w:cs="Arial"/>
          <w:b/>
          <w:i/>
          <w:sz w:val="22"/>
          <w:szCs w:val="22"/>
        </w:rPr>
        <w:t xml:space="preserve"> </w:t>
      </w:r>
      <w:r w:rsidRPr="002B2E4F">
        <w:rPr>
          <w:rFonts w:cs="Arial"/>
          <w:i/>
          <w:sz w:val="22"/>
          <w:szCs w:val="22"/>
        </w:rPr>
        <w:t xml:space="preserve">Please ensure you return the template as a separate Excel file; do not embed the completed budget impact template within the completed NPAF. </w:t>
      </w:r>
    </w:p>
    <w:p w14:paraId="0FBC3EDE" w14:textId="77777777" w:rsidR="008E4E92" w:rsidRPr="002B2E4F" w:rsidRDefault="008E4E92" w:rsidP="008E4E92">
      <w:pPr>
        <w:jc w:val="both"/>
        <w:rPr>
          <w:rFonts w:cs="Arial"/>
          <w:i/>
          <w:sz w:val="22"/>
          <w:szCs w:val="22"/>
        </w:rPr>
      </w:pPr>
    </w:p>
    <w:p w14:paraId="43C482C5" w14:textId="77777777" w:rsidR="008E4E92" w:rsidRPr="002B2E4F" w:rsidRDefault="008E4E92" w:rsidP="008E4E92">
      <w:pPr>
        <w:numPr>
          <w:ilvl w:val="0"/>
          <w:numId w:val="6"/>
        </w:numPr>
        <w:tabs>
          <w:tab w:val="clear" w:pos="720"/>
          <w:tab w:val="num" w:pos="567"/>
        </w:tabs>
        <w:ind w:left="567" w:hanging="567"/>
        <w:jc w:val="both"/>
        <w:rPr>
          <w:rFonts w:cs="Arial"/>
          <w:i/>
          <w:sz w:val="22"/>
          <w:szCs w:val="22"/>
        </w:rPr>
      </w:pPr>
      <w:r w:rsidRPr="002B2E4F">
        <w:rPr>
          <w:rFonts w:cs="Arial"/>
          <w:i/>
          <w:sz w:val="22"/>
          <w:szCs w:val="22"/>
        </w:rPr>
        <w:t xml:space="preserve">Copy and paste the net budget impact result table from the “Summary” spreadsheet within the SMC budget impact template. Where a Patient Access Scheme (PAS) has been proposed, results tables should be provided separately for with- PAS and without- PAS scenarios. </w:t>
      </w:r>
    </w:p>
    <w:p w14:paraId="64D99B47" w14:textId="77777777" w:rsidR="008E4E92" w:rsidRDefault="008E4E92" w:rsidP="008E4E92">
      <w:pPr>
        <w:tabs>
          <w:tab w:val="num" w:pos="567"/>
        </w:tabs>
        <w:ind w:left="567" w:hanging="567"/>
        <w:jc w:val="both"/>
        <w:rPr>
          <w:rFonts w:cs="Arial"/>
          <w:sz w:val="22"/>
          <w:szCs w:val="22"/>
        </w:rPr>
      </w:pPr>
    </w:p>
    <w:p w14:paraId="68D416AF" w14:textId="77777777" w:rsidR="005766C0" w:rsidRPr="002A1891" w:rsidRDefault="005766C0" w:rsidP="005766C0">
      <w:pPr>
        <w:tabs>
          <w:tab w:val="num" w:pos="0"/>
        </w:tabs>
        <w:rPr>
          <w:rFonts w:cs="Arial"/>
          <w:sz w:val="22"/>
          <w:szCs w:val="22"/>
        </w:rPr>
      </w:pPr>
      <w:r w:rsidRPr="002A1891">
        <w:rPr>
          <w:rFonts w:cs="Arial"/>
          <w:sz w:val="22"/>
          <w:szCs w:val="22"/>
        </w:rPr>
        <w:t>The manufacturer has prepared two versions of the budget impact analysis, the difference between the two being the basis of the calculation for the estimated number of patients expected to be eligible for treatment with linezolid (sic). Because tedizolid phosphate is expected to replace the use of linezolid in patients in NHS Scotland with MRSA-caused ABSSSIs, the estimated “linezolid population”</w:t>
      </w:r>
      <w:r w:rsidRPr="002A1891">
        <w:rPr>
          <w:rFonts w:cs="Arial"/>
          <w:bCs/>
          <w:sz w:val="22"/>
          <w:szCs w:val="22"/>
          <w:lang w:val="en-US"/>
        </w:rPr>
        <w:t xml:space="preserve"> (that is, the percentage of patients who are being prescribed linezolid for MRSA-caused ABSSSI)</w:t>
      </w:r>
      <w:r w:rsidRPr="002A1891">
        <w:rPr>
          <w:rFonts w:cs="Arial"/>
          <w:sz w:val="22"/>
          <w:szCs w:val="22"/>
          <w:lang w:val="en-US"/>
        </w:rPr>
        <w:t xml:space="preserve"> is the same </w:t>
      </w:r>
      <w:r w:rsidRPr="002A1891">
        <w:rPr>
          <w:rFonts w:cs="Arial"/>
          <w:sz w:val="22"/>
          <w:szCs w:val="22"/>
        </w:rPr>
        <w:t>population who would be eligible for treatment with tedizolid phosphate.</w:t>
      </w:r>
    </w:p>
    <w:p w14:paraId="2B771383" w14:textId="77777777" w:rsidR="005766C0" w:rsidRPr="002A1891" w:rsidRDefault="005766C0" w:rsidP="005766C0">
      <w:pPr>
        <w:tabs>
          <w:tab w:val="num" w:pos="0"/>
        </w:tabs>
        <w:rPr>
          <w:rFonts w:cs="Arial"/>
          <w:sz w:val="22"/>
          <w:szCs w:val="22"/>
        </w:rPr>
      </w:pPr>
    </w:p>
    <w:p w14:paraId="64F27881" w14:textId="2347D113" w:rsidR="0034461B" w:rsidRDefault="005766C0" w:rsidP="005766C0">
      <w:pPr>
        <w:widowControl w:val="0"/>
        <w:autoSpaceDE w:val="0"/>
        <w:autoSpaceDN w:val="0"/>
        <w:adjustRightInd w:val="0"/>
        <w:rPr>
          <w:rFonts w:cs="Arial"/>
          <w:sz w:val="22"/>
          <w:szCs w:val="22"/>
          <w:lang w:val="en-US"/>
        </w:rPr>
      </w:pPr>
      <w:r w:rsidRPr="002A1891">
        <w:rPr>
          <w:rFonts w:cs="Arial"/>
          <w:sz w:val="22"/>
          <w:szCs w:val="22"/>
        </w:rPr>
        <w:t xml:space="preserve">In the base case budget impact analysis, the manufacturer has assumed that 10% of </w:t>
      </w:r>
      <w:r w:rsidRPr="002A1891">
        <w:rPr>
          <w:rFonts w:cs="Arial"/>
          <w:sz w:val="22"/>
          <w:szCs w:val="22"/>
        </w:rPr>
        <w:lastRenderedPageBreak/>
        <w:t>patients in Scotland with MRSA-caused ABSSSI would be eligible for treatment with tedizolid phosphate.</w:t>
      </w:r>
      <w:r w:rsidRPr="002A1891">
        <w:rPr>
          <w:rFonts w:cs="Arial"/>
          <w:sz w:val="22"/>
          <w:szCs w:val="22"/>
          <w:lang w:val="en-US"/>
        </w:rPr>
        <w:t xml:space="preserve"> In the economic evaluation undertaken by Seaton et al., 9.2% of patients in the Greater Glasgow and Clyde area with MRSA-caused infections were prescribed oral linezolid (see Table 3, Seaton 2013</w:t>
      </w:r>
      <w:r w:rsidR="00211BCD">
        <w:rPr>
          <w:rFonts w:cs="Arial"/>
          <w:sz w:val="22"/>
          <w:szCs w:val="22"/>
          <w:lang w:val="en-US"/>
        </w:rPr>
        <w:t xml:space="preserve"> </w:t>
      </w:r>
      <w:r w:rsidR="00211BCD">
        <w:rPr>
          <w:rFonts w:cs="Arial"/>
          <w:sz w:val="22"/>
          <w:szCs w:val="22"/>
          <w:lang w:val="en-US"/>
        </w:rPr>
        <w:fldChar w:fldCharType="begin"/>
      </w:r>
      <w:r w:rsidR="00211BCD">
        <w:rPr>
          <w:rFonts w:cs="Arial"/>
          <w:sz w:val="22"/>
          <w:szCs w:val="22"/>
          <w:lang w:val="en-US"/>
        </w:rPr>
        <w:instrText xml:space="preserve"> REF _Ref284169362 \r \h </w:instrText>
      </w:r>
      <w:r w:rsidR="00211BCD">
        <w:rPr>
          <w:rFonts w:cs="Arial"/>
          <w:sz w:val="22"/>
          <w:szCs w:val="22"/>
          <w:lang w:val="en-US"/>
        </w:rPr>
      </w:r>
      <w:r w:rsidR="00211BCD">
        <w:rPr>
          <w:rFonts w:cs="Arial"/>
          <w:sz w:val="22"/>
          <w:szCs w:val="22"/>
          <w:lang w:val="en-US"/>
        </w:rPr>
        <w:fldChar w:fldCharType="separate"/>
      </w:r>
      <w:r w:rsidR="00151A1C">
        <w:rPr>
          <w:rFonts w:cs="Arial"/>
          <w:sz w:val="22"/>
          <w:szCs w:val="22"/>
          <w:lang w:val="en-US"/>
        </w:rPr>
        <w:t>20</w:t>
      </w:r>
      <w:r w:rsidR="00211BCD">
        <w:rPr>
          <w:rFonts w:cs="Arial"/>
          <w:sz w:val="22"/>
          <w:szCs w:val="22"/>
          <w:lang w:val="en-US"/>
        </w:rPr>
        <w:fldChar w:fldCharType="end"/>
      </w:r>
      <w:r w:rsidRPr="002A1891">
        <w:rPr>
          <w:rFonts w:cs="Arial"/>
          <w:sz w:val="22"/>
          <w:szCs w:val="22"/>
          <w:lang w:val="en-US"/>
        </w:rPr>
        <w:t xml:space="preserve">). This could be an underestimate of the potential for linezolid as this percentage excludes IV linezolid; however, the manufacturer has potentially over-estimated the generalisability of Greater Glasgow and Clyde prescribing practices to Scotland as a whole. </w:t>
      </w:r>
    </w:p>
    <w:p w14:paraId="0A09548A" w14:textId="77777777" w:rsidR="0034461B" w:rsidRDefault="0034461B" w:rsidP="005766C0">
      <w:pPr>
        <w:widowControl w:val="0"/>
        <w:autoSpaceDE w:val="0"/>
        <w:autoSpaceDN w:val="0"/>
        <w:adjustRightInd w:val="0"/>
        <w:rPr>
          <w:rFonts w:cs="Arial"/>
          <w:sz w:val="22"/>
          <w:szCs w:val="22"/>
          <w:lang w:val="en-US"/>
        </w:rPr>
      </w:pPr>
    </w:p>
    <w:p w14:paraId="12345D90" w14:textId="178F5C9D" w:rsidR="005766C0" w:rsidRPr="0034461B" w:rsidRDefault="0034461B" w:rsidP="005766C0">
      <w:pPr>
        <w:widowControl w:val="0"/>
        <w:autoSpaceDE w:val="0"/>
        <w:autoSpaceDN w:val="0"/>
        <w:adjustRightInd w:val="0"/>
        <w:rPr>
          <w:rFonts w:cs="Arial"/>
          <w:sz w:val="22"/>
          <w:szCs w:val="22"/>
          <w:lang w:val="en-US"/>
        </w:rPr>
      </w:pPr>
      <w:r w:rsidRPr="0034461B">
        <w:rPr>
          <w:rFonts w:cs="Arial"/>
          <w:sz w:val="22"/>
          <w:szCs w:val="22"/>
          <w:lang w:val="en-US"/>
        </w:rPr>
        <w:t>It should also be noted that the patient population evaluated in the Seaton paper was a population with cSSTIs, rather than ABSSSI. Patients with infected ulcers were removed from the manufacturer’s budget impact calculation, as these are expressly excluded from the current definition of ABSSSI (</w:t>
      </w:r>
      <w:r w:rsidR="00211BCD">
        <w:rPr>
          <w:rFonts w:cs="Arial"/>
          <w:sz w:val="22"/>
          <w:szCs w:val="22"/>
          <w:lang w:val="en-US"/>
        </w:rPr>
        <w:fldChar w:fldCharType="begin"/>
      </w:r>
      <w:r w:rsidR="00211BCD">
        <w:rPr>
          <w:rFonts w:cs="Arial"/>
          <w:sz w:val="22"/>
          <w:szCs w:val="22"/>
          <w:lang w:val="en-US"/>
        </w:rPr>
        <w:instrText xml:space="preserve"> REF _Ref284168857 \r \h </w:instrText>
      </w:r>
      <w:r w:rsidR="00211BCD">
        <w:rPr>
          <w:rFonts w:cs="Arial"/>
          <w:sz w:val="22"/>
          <w:szCs w:val="22"/>
          <w:lang w:val="en-US"/>
        </w:rPr>
      </w:r>
      <w:r w:rsidR="00211BCD">
        <w:rPr>
          <w:rFonts w:cs="Arial"/>
          <w:sz w:val="22"/>
          <w:szCs w:val="22"/>
          <w:lang w:val="en-US"/>
        </w:rPr>
        <w:fldChar w:fldCharType="separate"/>
      </w:r>
      <w:r w:rsidR="00151A1C">
        <w:rPr>
          <w:rFonts w:cs="Arial"/>
          <w:sz w:val="22"/>
          <w:szCs w:val="22"/>
          <w:lang w:val="en-US"/>
        </w:rPr>
        <w:t>7</w:t>
      </w:r>
      <w:r w:rsidR="00211BCD">
        <w:rPr>
          <w:rFonts w:cs="Arial"/>
          <w:sz w:val="22"/>
          <w:szCs w:val="22"/>
          <w:lang w:val="en-US"/>
        </w:rPr>
        <w:fldChar w:fldCharType="end"/>
      </w:r>
      <w:r w:rsidRPr="0034461B">
        <w:rPr>
          <w:rFonts w:cs="Arial"/>
          <w:sz w:val="22"/>
          <w:szCs w:val="22"/>
          <w:lang w:val="en-US"/>
        </w:rPr>
        <w:t>). Secondly, the time period in the Seaton study was 16 months; the manufacturer has, therefore, applied a factor to calculate the annual number of patients.</w:t>
      </w:r>
    </w:p>
    <w:p w14:paraId="7DF61009" w14:textId="77777777" w:rsidR="005766C0" w:rsidRPr="002A1891" w:rsidRDefault="005766C0" w:rsidP="005766C0">
      <w:pPr>
        <w:widowControl w:val="0"/>
        <w:autoSpaceDE w:val="0"/>
        <w:autoSpaceDN w:val="0"/>
        <w:adjustRightInd w:val="0"/>
        <w:jc w:val="both"/>
        <w:rPr>
          <w:rFonts w:cs="Arial"/>
          <w:sz w:val="22"/>
          <w:szCs w:val="22"/>
          <w:lang w:val="en-US"/>
        </w:rPr>
      </w:pPr>
    </w:p>
    <w:p w14:paraId="63D22859" w14:textId="77777777" w:rsidR="005766C0" w:rsidRPr="002A1891" w:rsidRDefault="005766C0" w:rsidP="005766C0">
      <w:pPr>
        <w:widowControl w:val="0"/>
        <w:autoSpaceDE w:val="0"/>
        <w:autoSpaceDN w:val="0"/>
        <w:adjustRightInd w:val="0"/>
        <w:jc w:val="both"/>
        <w:rPr>
          <w:rFonts w:cs="Arial"/>
          <w:sz w:val="22"/>
          <w:szCs w:val="22"/>
          <w:lang w:val="en-US"/>
        </w:rPr>
      </w:pPr>
      <w:r w:rsidRPr="002A1891">
        <w:rPr>
          <w:rFonts w:cs="Arial"/>
          <w:sz w:val="22"/>
          <w:szCs w:val="22"/>
          <w:lang w:val="en-US"/>
        </w:rPr>
        <w:t xml:space="preserve">Therefore, the manufacturer used 10% as an appropriate percentage (rounding up the 9.2%), which gives ~43 patients in year 1 who would be eligible for tedizolid phosphate (or ~39 patients once mortality has been taken into account). </w:t>
      </w:r>
    </w:p>
    <w:p w14:paraId="1062BA92" w14:textId="77777777" w:rsidR="005766C0" w:rsidRPr="002A1891" w:rsidRDefault="005766C0" w:rsidP="005766C0">
      <w:pPr>
        <w:widowControl w:val="0"/>
        <w:autoSpaceDE w:val="0"/>
        <w:autoSpaceDN w:val="0"/>
        <w:adjustRightInd w:val="0"/>
        <w:jc w:val="both"/>
        <w:rPr>
          <w:rFonts w:cs="Arial"/>
          <w:sz w:val="22"/>
          <w:szCs w:val="22"/>
          <w:lang w:val="en-US"/>
        </w:rPr>
      </w:pPr>
    </w:p>
    <w:p w14:paraId="0A077FA4" w14:textId="058057B2" w:rsidR="004A7E99" w:rsidRPr="00B733E7" w:rsidRDefault="005766C0" w:rsidP="000E5F24">
      <w:pPr>
        <w:rPr>
          <w:rFonts w:ascii="Times New Roman" w:hAnsi="Times New Roman"/>
        </w:rPr>
      </w:pPr>
      <w:r w:rsidRPr="00CF14E8">
        <w:rPr>
          <w:rFonts w:cs="Arial"/>
          <w:sz w:val="22"/>
          <w:szCs w:val="22"/>
        </w:rPr>
        <w:t xml:space="preserve">The base case analysis leads to a negative net budgetary impact (that is, cost savings) ranging from </w:t>
      </w:r>
      <w:r w:rsidR="00CF14E8" w:rsidRPr="00CF14E8">
        <w:rPr>
          <w:rFonts w:cs="Arial"/>
          <w:bCs/>
          <w:sz w:val="22"/>
          <w:szCs w:val="22"/>
          <w:lang w:val="en-US"/>
        </w:rPr>
        <w:t>£109</w:t>
      </w:r>
      <w:r w:rsidRPr="00CF14E8">
        <w:rPr>
          <w:rFonts w:cs="Arial"/>
          <w:bCs/>
          <w:sz w:val="22"/>
          <w:szCs w:val="22"/>
          <w:lang w:val="en-US"/>
        </w:rPr>
        <w:t xml:space="preserve"> in year 1 to </w:t>
      </w:r>
      <w:r w:rsidR="00CF14E8" w:rsidRPr="00CF14E8">
        <w:rPr>
          <w:rFonts w:cs="Arial"/>
          <w:sz w:val="22"/>
          <w:szCs w:val="22"/>
        </w:rPr>
        <w:t>£900</w:t>
      </w:r>
      <w:r w:rsidRPr="00CF14E8">
        <w:rPr>
          <w:rFonts w:cs="Arial"/>
          <w:sz w:val="22"/>
          <w:szCs w:val="22"/>
        </w:rPr>
        <w:t xml:space="preserve"> in year 5.</w:t>
      </w:r>
      <w:r w:rsidRPr="00CF14E8">
        <w:rPr>
          <w:rFonts w:cs="Arial"/>
          <w:sz w:val="22"/>
          <w:szCs w:val="22"/>
          <w:lang w:val="en-US"/>
        </w:rPr>
        <w:t xml:space="preserve">The estimated net budget impact for the base case is presented below as </w:t>
      </w:r>
      <w:bookmarkStart w:id="220" w:name="_Ref283044623"/>
      <w:bookmarkStart w:id="221" w:name="_Ref283067859"/>
      <w:r w:rsidR="000E5F24">
        <w:rPr>
          <w:rFonts w:cs="Arial"/>
          <w:sz w:val="22"/>
          <w:szCs w:val="22"/>
          <w:lang w:val="en-US"/>
        </w:rPr>
        <w:t>Table 60.</w:t>
      </w:r>
    </w:p>
    <w:p w14:paraId="74332746" w14:textId="77777777" w:rsidR="007F5E3F" w:rsidRPr="00CF14E8" w:rsidRDefault="007F5E3F">
      <w:pPr>
        <w:ind w:left="357" w:hanging="357"/>
        <w:jc w:val="both"/>
        <w:rPr>
          <w:rFonts w:eastAsia="Times New Roman" w:cs="Arial"/>
          <w:b/>
          <w:bCs/>
          <w:sz w:val="22"/>
          <w:szCs w:val="22"/>
        </w:rPr>
      </w:pPr>
      <w:r w:rsidRPr="00CF14E8">
        <w:rPr>
          <w:rFonts w:cs="Arial"/>
          <w:sz w:val="22"/>
          <w:szCs w:val="22"/>
        </w:rPr>
        <w:br w:type="page"/>
      </w:r>
    </w:p>
    <w:p w14:paraId="48A14A6D" w14:textId="082E5302" w:rsidR="005766C0" w:rsidRDefault="005766C0" w:rsidP="005766C0">
      <w:pPr>
        <w:pStyle w:val="Caption"/>
        <w:rPr>
          <w:rFonts w:ascii="Arial" w:hAnsi="Arial" w:cs="Arial"/>
          <w:sz w:val="22"/>
          <w:szCs w:val="22"/>
        </w:rPr>
      </w:pPr>
      <w:r w:rsidRPr="00CF14E8">
        <w:rPr>
          <w:rFonts w:ascii="Arial" w:hAnsi="Arial" w:cs="Arial"/>
          <w:sz w:val="22"/>
          <w:szCs w:val="22"/>
        </w:rPr>
        <w:lastRenderedPageBreak/>
        <w:t xml:space="preserve">Table </w:t>
      </w:r>
      <w:r w:rsidRPr="00CF14E8">
        <w:rPr>
          <w:rFonts w:ascii="Arial" w:hAnsi="Arial" w:cs="Arial"/>
          <w:sz w:val="22"/>
          <w:szCs w:val="22"/>
        </w:rPr>
        <w:fldChar w:fldCharType="begin"/>
      </w:r>
      <w:r w:rsidRPr="00CF14E8">
        <w:rPr>
          <w:rFonts w:ascii="Arial" w:hAnsi="Arial" w:cs="Arial"/>
          <w:sz w:val="22"/>
          <w:szCs w:val="22"/>
        </w:rPr>
        <w:instrText xml:space="preserve"> SEQ Table \* ARABIC </w:instrText>
      </w:r>
      <w:r w:rsidRPr="00CF14E8">
        <w:rPr>
          <w:rFonts w:ascii="Arial" w:hAnsi="Arial" w:cs="Arial"/>
          <w:sz w:val="22"/>
          <w:szCs w:val="22"/>
        </w:rPr>
        <w:fldChar w:fldCharType="separate"/>
      </w:r>
      <w:r w:rsidR="00151A1C">
        <w:rPr>
          <w:rFonts w:ascii="Arial" w:hAnsi="Arial" w:cs="Arial"/>
          <w:noProof/>
          <w:sz w:val="22"/>
          <w:szCs w:val="22"/>
        </w:rPr>
        <w:t>60</w:t>
      </w:r>
      <w:r w:rsidRPr="00CF14E8">
        <w:rPr>
          <w:rFonts w:ascii="Arial" w:hAnsi="Arial" w:cs="Arial"/>
          <w:sz w:val="22"/>
          <w:szCs w:val="22"/>
        </w:rPr>
        <w:fldChar w:fldCharType="end"/>
      </w:r>
      <w:bookmarkEnd w:id="220"/>
      <w:bookmarkEnd w:id="221"/>
      <w:r w:rsidRPr="00CF14E8">
        <w:rPr>
          <w:rFonts w:ascii="Arial" w:hAnsi="Arial" w:cs="Arial"/>
          <w:sz w:val="22"/>
          <w:szCs w:val="22"/>
        </w:rPr>
        <w:t>: Base case – estimated net budget impact</w:t>
      </w:r>
    </w:p>
    <w:p w14:paraId="0CC44543" w14:textId="77777777" w:rsidR="007039D3" w:rsidRDefault="007039D3" w:rsidP="004A7E99">
      <w:pPr>
        <w:widowControl w:val="0"/>
        <w:autoSpaceDE w:val="0"/>
        <w:autoSpaceDN w:val="0"/>
        <w:adjustRightInd w:val="0"/>
        <w:rPr>
          <w:rFonts w:cs="Arial"/>
          <w:sz w:val="22"/>
          <w:szCs w:val="22"/>
          <w:lang w:val="en-US"/>
        </w:rPr>
      </w:pPr>
    </w:p>
    <w:tbl>
      <w:tblPr>
        <w:tblW w:w="8931" w:type="dxa"/>
        <w:tblInd w:w="-34" w:type="dxa"/>
        <w:tblLayout w:type="fixed"/>
        <w:tblLook w:val="04A0" w:firstRow="1" w:lastRow="0" w:firstColumn="1" w:lastColumn="0" w:noHBand="0" w:noVBand="1"/>
      </w:tblPr>
      <w:tblGrid>
        <w:gridCol w:w="3509"/>
        <w:gridCol w:w="1128"/>
        <w:gridCol w:w="1060"/>
        <w:gridCol w:w="1078"/>
        <w:gridCol w:w="1078"/>
        <w:gridCol w:w="1078"/>
      </w:tblGrid>
      <w:tr w:rsidR="00CF14E8" w:rsidRPr="00CF14E8" w14:paraId="09F79D0A" w14:textId="77777777" w:rsidTr="00CF14E8">
        <w:trPr>
          <w:trHeight w:val="252"/>
        </w:trPr>
        <w:tc>
          <w:tcPr>
            <w:tcW w:w="3509" w:type="dxa"/>
            <w:tcBorders>
              <w:top w:val="single" w:sz="8" w:space="0" w:color="auto"/>
              <w:left w:val="single" w:sz="8" w:space="0" w:color="auto"/>
              <w:bottom w:val="nil"/>
              <w:right w:val="single" w:sz="4" w:space="0" w:color="auto"/>
            </w:tcBorders>
            <w:shd w:val="clear" w:color="000000" w:fill="FFFFFF"/>
            <w:vAlign w:val="bottom"/>
            <w:hideMark/>
          </w:tcPr>
          <w:p w14:paraId="436908D5" w14:textId="77777777" w:rsidR="00CF14E8" w:rsidRPr="00CF14E8" w:rsidRDefault="00CF14E8" w:rsidP="00CF14E8">
            <w:pPr>
              <w:rPr>
                <w:rFonts w:eastAsia="Times New Roman" w:cs="Arial"/>
                <w:b/>
                <w:bCs/>
                <w:color w:val="FFFFFF"/>
                <w:sz w:val="28"/>
                <w:szCs w:val="28"/>
              </w:rPr>
            </w:pPr>
            <w:r w:rsidRPr="00CF14E8">
              <w:rPr>
                <w:rFonts w:eastAsia="Times New Roman" w:cs="Arial"/>
                <w:b/>
                <w:bCs/>
                <w:color w:val="FFFFFF"/>
                <w:sz w:val="28"/>
                <w:szCs w:val="28"/>
              </w:rPr>
              <w:t> </w:t>
            </w:r>
          </w:p>
        </w:tc>
        <w:tc>
          <w:tcPr>
            <w:tcW w:w="1128" w:type="dxa"/>
            <w:tcBorders>
              <w:top w:val="single" w:sz="8" w:space="0" w:color="auto"/>
              <w:left w:val="nil"/>
              <w:bottom w:val="nil"/>
              <w:right w:val="nil"/>
            </w:tcBorders>
            <w:shd w:val="clear" w:color="000000" w:fill="FFFFFF"/>
            <w:noWrap/>
            <w:vAlign w:val="center"/>
            <w:hideMark/>
          </w:tcPr>
          <w:p w14:paraId="2F84B9E2" w14:textId="77777777" w:rsidR="00CF14E8" w:rsidRPr="00CF14E8" w:rsidRDefault="00CF14E8" w:rsidP="00CF14E8">
            <w:pPr>
              <w:jc w:val="center"/>
              <w:rPr>
                <w:rFonts w:eastAsia="Times New Roman" w:cs="Arial"/>
                <w:b/>
                <w:bCs/>
                <w:sz w:val="20"/>
              </w:rPr>
            </w:pPr>
            <w:r w:rsidRPr="00CF14E8">
              <w:rPr>
                <w:rFonts w:eastAsia="Times New Roman" w:cs="Arial"/>
                <w:b/>
                <w:bCs/>
                <w:sz w:val="20"/>
              </w:rPr>
              <w:t>Year 1</w:t>
            </w:r>
          </w:p>
        </w:tc>
        <w:tc>
          <w:tcPr>
            <w:tcW w:w="1060" w:type="dxa"/>
            <w:tcBorders>
              <w:top w:val="single" w:sz="8" w:space="0" w:color="auto"/>
              <w:left w:val="nil"/>
              <w:bottom w:val="nil"/>
              <w:right w:val="nil"/>
            </w:tcBorders>
            <w:shd w:val="clear" w:color="000000" w:fill="FFFFFF"/>
            <w:noWrap/>
            <w:vAlign w:val="center"/>
            <w:hideMark/>
          </w:tcPr>
          <w:p w14:paraId="11DBD92A" w14:textId="77777777" w:rsidR="00CF14E8" w:rsidRPr="00CF14E8" w:rsidRDefault="00CF14E8" w:rsidP="00CF14E8">
            <w:pPr>
              <w:jc w:val="center"/>
              <w:rPr>
                <w:rFonts w:eastAsia="Times New Roman" w:cs="Arial"/>
                <w:b/>
                <w:bCs/>
                <w:sz w:val="20"/>
              </w:rPr>
            </w:pPr>
            <w:r w:rsidRPr="00CF14E8">
              <w:rPr>
                <w:rFonts w:eastAsia="Times New Roman" w:cs="Arial"/>
                <w:b/>
                <w:bCs/>
                <w:sz w:val="20"/>
              </w:rPr>
              <w:t>Year 2</w:t>
            </w:r>
          </w:p>
        </w:tc>
        <w:tc>
          <w:tcPr>
            <w:tcW w:w="1078" w:type="dxa"/>
            <w:tcBorders>
              <w:top w:val="single" w:sz="8" w:space="0" w:color="auto"/>
              <w:left w:val="nil"/>
              <w:bottom w:val="nil"/>
              <w:right w:val="nil"/>
            </w:tcBorders>
            <w:shd w:val="clear" w:color="000000" w:fill="FFFFFF"/>
            <w:noWrap/>
            <w:vAlign w:val="center"/>
            <w:hideMark/>
          </w:tcPr>
          <w:p w14:paraId="3A26CD5E" w14:textId="77777777" w:rsidR="00CF14E8" w:rsidRPr="00CF14E8" w:rsidRDefault="00CF14E8" w:rsidP="00CF14E8">
            <w:pPr>
              <w:jc w:val="center"/>
              <w:rPr>
                <w:rFonts w:eastAsia="Times New Roman" w:cs="Arial"/>
                <w:b/>
                <w:bCs/>
                <w:sz w:val="20"/>
              </w:rPr>
            </w:pPr>
            <w:r w:rsidRPr="00CF14E8">
              <w:rPr>
                <w:rFonts w:eastAsia="Times New Roman" w:cs="Arial"/>
                <w:b/>
                <w:bCs/>
                <w:sz w:val="20"/>
              </w:rPr>
              <w:t>Year 3</w:t>
            </w:r>
          </w:p>
        </w:tc>
        <w:tc>
          <w:tcPr>
            <w:tcW w:w="1078" w:type="dxa"/>
            <w:tcBorders>
              <w:top w:val="single" w:sz="8" w:space="0" w:color="auto"/>
              <w:left w:val="nil"/>
              <w:bottom w:val="nil"/>
              <w:right w:val="nil"/>
            </w:tcBorders>
            <w:shd w:val="clear" w:color="000000" w:fill="FFFFFF"/>
            <w:noWrap/>
            <w:vAlign w:val="center"/>
            <w:hideMark/>
          </w:tcPr>
          <w:p w14:paraId="7DA14FF5" w14:textId="77777777" w:rsidR="00CF14E8" w:rsidRPr="00CF14E8" w:rsidRDefault="00CF14E8" w:rsidP="00CF14E8">
            <w:pPr>
              <w:jc w:val="center"/>
              <w:rPr>
                <w:rFonts w:eastAsia="Times New Roman" w:cs="Arial"/>
                <w:b/>
                <w:bCs/>
                <w:sz w:val="20"/>
              </w:rPr>
            </w:pPr>
            <w:r w:rsidRPr="00CF14E8">
              <w:rPr>
                <w:rFonts w:eastAsia="Times New Roman" w:cs="Arial"/>
                <w:b/>
                <w:bCs/>
                <w:sz w:val="20"/>
              </w:rPr>
              <w:t>Year 4</w:t>
            </w:r>
          </w:p>
        </w:tc>
        <w:tc>
          <w:tcPr>
            <w:tcW w:w="1078" w:type="dxa"/>
            <w:tcBorders>
              <w:top w:val="single" w:sz="8" w:space="0" w:color="auto"/>
              <w:left w:val="nil"/>
              <w:bottom w:val="nil"/>
              <w:right w:val="single" w:sz="8" w:space="0" w:color="auto"/>
            </w:tcBorders>
            <w:shd w:val="clear" w:color="000000" w:fill="FFFFFF"/>
            <w:noWrap/>
            <w:vAlign w:val="center"/>
            <w:hideMark/>
          </w:tcPr>
          <w:p w14:paraId="30856EC7" w14:textId="77777777" w:rsidR="00CF14E8" w:rsidRPr="00CF14E8" w:rsidRDefault="00CF14E8" w:rsidP="00CF14E8">
            <w:pPr>
              <w:jc w:val="center"/>
              <w:rPr>
                <w:rFonts w:eastAsia="Times New Roman" w:cs="Arial"/>
                <w:b/>
                <w:bCs/>
                <w:sz w:val="20"/>
              </w:rPr>
            </w:pPr>
            <w:r w:rsidRPr="00CF14E8">
              <w:rPr>
                <w:rFonts w:eastAsia="Times New Roman" w:cs="Arial"/>
                <w:b/>
                <w:bCs/>
                <w:sz w:val="20"/>
              </w:rPr>
              <w:t>Year 5</w:t>
            </w:r>
          </w:p>
        </w:tc>
      </w:tr>
      <w:tr w:rsidR="00CF14E8" w:rsidRPr="00CF14E8" w14:paraId="2FBFE0F2" w14:textId="77777777" w:rsidTr="00CF14E8">
        <w:trPr>
          <w:trHeight w:val="181"/>
        </w:trPr>
        <w:tc>
          <w:tcPr>
            <w:tcW w:w="3509" w:type="dxa"/>
            <w:tcBorders>
              <w:top w:val="nil"/>
              <w:left w:val="single" w:sz="8" w:space="0" w:color="auto"/>
              <w:bottom w:val="nil"/>
              <w:right w:val="single" w:sz="4" w:space="0" w:color="auto"/>
            </w:tcBorders>
            <w:shd w:val="clear" w:color="000000" w:fill="FFFFFF"/>
            <w:vAlign w:val="center"/>
            <w:hideMark/>
          </w:tcPr>
          <w:p w14:paraId="7B504CD0" w14:textId="77777777" w:rsidR="00CF14E8" w:rsidRPr="00CF14E8" w:rsidRDefault="00CF14E8" w:rsidP="00CF14E8">
            <w:pPr>
              <w:rPr>
                <w:rFonts w:eastAsia="Times New Roman" w:cs="Arial"/>
                <w:sz w:val="20"/>
              </w:rPr>
            </w:pPr>
            <w:r w:rsidRPr="00CF14E8">
              <w:rPr>
                <w:rFonts w:eastAsia="Times New Roman" w:cs="Arial"/>
                <w:sz w:val="20"/>
              </w:rPr>
              <w:t>Medicine acquisition cost per patient per annum</w:t>
            </w:r>
          </w:p>
        </w:tc>
        <w:tc>
          <w:tcPr>
            <w:tcW w:w="1128" w:type="dxa"/>
            <w:tcBorders>
              <w:top w:val="nil"/>
              <w:left w:val="nil"/>
              <w:bottom w:val="nil"/>
              <w:right w:val="nil"/>
            </w:tcBorders>
            <w:shd w:val="clear" w:color="000000" w:fill="FFFFFF"/>
            <w:noWrap/>
            <w:vAlign w:val="center"/>
            <w:hideMark/>
          </w:tcPr>
          <w:p w14:paraId="529FD301" w14:textId="77777777" w:rsidR="00CF14E8" w:rsidRPr="00CF14E8" w:rsidRDefault="00CF14E8" w:rsidP="00CF14E8">
            <w:pPr>
              <w:jc w:val="center"/>
              <w:rPr>
                <w:rFonts w:eastAsia="Times New Roman" w:cs="Arial"/>
                <w:sz w:val="20"/>
              </w:rPr>
            </w:pPr>
            <w:r w:rsidRPr="00CF14E8">
              <w:rPr>
                <w:rFonts w:eastAsia="Times New Roman" w:cs="Arial"/>
                <w:sz w:val="20"/>
              </w:rPr>
              <w:t>£900</w:t>
            </w:r>
          </w:p>
        </w:tc>
        <w:tc>
          <w:tcPr>
            <w:tcW w:w="1060" w:type="dxa"/>
            <w:tcBorders>
              <w:top w:val="nil"/>
              <w:left w:val="nil"/>
              <w:bottom w:val="nil"/>
              <w:right w:val="nil"/>
            </w:tcBorders>
            <w:shd w:val="clear" w:color="000000" w:fill="FFFFFF"/>
            <w:noWrap/>
            <w:vAlign w:val="center"/>
            <w:hideMark/>
          </w:tcPr>
          <w:p w14:paraId="586EA88D" w14:textId="77777777" w:rsidR="00CF14E8" w:rsidRPr="00CF14E8" w:rsidRDefault="00CF14E8" w:rsidP="00CF14E8">
            <w:pPr>
              <w:jc w:val="center"/>
              <w:rPr>
                <w:rFonts w:eastAsia="Times New Roman" w:cs="Arial"/>
                <w:sz w:val="20"/>
              </w:rPr>
            </w:pPr>
            <w:r w:rsidRPr="00CF14E8">
              <w:rPr>
                <w:rFonts w:eastAsia="Times New Roman" w:cs="Arial"/>
                <w:sz w:val="20"/>
              </w:rPr>
              <w:t>£900</w:t>
            </w:r>
          </w:p>
        </w:tc>
        <w:tc>
          <w:tcPr>
            <w:tcW w:w="1078" w:type="dxa"/>
            <w:tcBorders>
              <w:top w:val="nil"/>
              <w:left w:val="nil"/>
              <w:bottom w:val="nil"/>
              <w:right w:val="nil"/>
            </w:tcBorders>
            <w:shd w:val="clear" w:color="000000" w:fill="FFFFFF"/>
            <w:noWrap/>
            <w:vAlign w:val="center"/>
            <w:hideMark/>
          </w:tcPr>
          <w:p w14:paraId="2845053D" w14:textId="77777777" w:rsidR="00CF14E8" w:rsidRPr="00CF14E8" w:rsidRDefault="00CF14E8" w:rsidP="00CF14E8">
            <w:pPr>
              <w:jc w:val="center"/>
              <w:rPr>
                <w:rFonts w:eastAsia="Times New Roman" w:cs="Arial"/>
                <w:sz w:val="20"/>
              </w:rPr>
            </w:pPr>
            <w:r w:rsidRPr="00CF14E8">
              <w:rPr>
                <w:rFonts w:eastAsia="Times New Roman" w:cs="Arial"/>
                <w:sz w:val="20"/>
              </w:rPr>
              <w:t>£900</w:t>
            </w:r>
          </w:p>
        </w:tc>
        <w:tc>
          <w:tcPr>
            <w:tcW w:w="1078" w:type="dxa"/>
            <w:tcBorders>
              <w:top w:val="nil"/>
              <w:left w:val="nil"/>
              <w:bottom w:val="nil"/>
              <w:right w:val="nil"/>
            </w:tcBorders>
            <w:shd w:val="clear" w:color="000000" w:fill="FFFFFF"/>
            <w:noWrap/>
            <w:vAlign w:val="center"/>
            <w:hideMark/>
          </w:tcPr>
          <w:p w14:paraId="7AE6AABB" w14:textId="77777777" w:rsidR="00CF14E8" w:rsidRPr="00CF14E8" w:rsidRDefault="00CF14E8" w:rsidP="00CF14E8">
            <w:pPr>
              <w:jc w:val="center"/>
              <w:rPr>
                <w:rFonts w:eastAsia="Times New Roman" w:cs="Arial"/>
                <w:sz w:val="20"/>
              </w:rPr>
            </w:pPr>
            <w:r w:rsidRPr="00CF14E8">
              <w:rPr>
                <w:rFonts w:eastAsia="Times New Roman" w:cs="Arial"/>
                <w:sz w:val="20"/>
              </w:rPr>
              <w:t>£900</w:t>
            </w:r>
          </w:p>
        </w:tc>
        <w:tc>
          <w:tcPr>
            <w:tcW w:w="1078" w:type="dxa"/>
            <w:tcBorders>
              <w:top w:val="nil"/>
              <w:left w:val="nil"/>
              <w:bottom w:val="nil"/>
              <w:right w:val="single" w:sz="8" w:space="0" w:color="auto"/>
            </w:tcBorders>
            <w:shd w:val="clear" w:color="000000" w:fill="FFFFFF"/>
            <w:noWrap/>
            <w:vAlign w:val="center"/>
            <w:hideMark/>
          </w:tcPr>
          <w:p w14:paraId="7E30C343" w14:textId="77777777" w:rsidR="00CF14E8" w:rsidRPr="00CF14E8" w:rsidRDefault="00CF14E8" w:rsidP="00CF14E8">
            <w:pPr>
              <w:jc w:val="center"/>
              <w:rPr>
                <w:rFonts w:eastAsia="Times New Roman" w:cs="Arial"/>
                <w:sz w:val="20"/>
              </w:rPr>
            </w:pPr>
            <w:r w:rsidRPr="00CF14E8">
              <w:rPr>
                <w:rFonts w:eastAsia="Times New Roman" w:cs="Arial"/>
                <w:sz w:val="20"/>
              </w:rPr>
              <w:t>£900</w:t>
            </w:r>
          </w:p>
        </w:tc>
      </w:tr>
      <w:tr w:rsidR="00CF14E8" w:rsidRPr="00CF14E8" w14:paraId="33A09A51" w14:textId="77777777" w:rsidTr="00CF14E8">
        <w:trPr>
          <w:trHeight w:val="383"/>
        </w:trPr>
        <w:tc>
          <w:tcPr>
            <w:tcW w:w="3509" w:type="dxa"/>
            <w:tcBorders>
              <w:top w:val="nil"/>
              <w:left w:val="single" w:sz="8" w:space="0" w:color="auto"/>
              <w:bottom w:val="nil"/>
              <w:right w:val="single" w:sz="4" w:space="0" w:color="auto"/>
            </w:tcBorders>
            <w:shd w:val="clear" w:color="000000" w:fill="FFFFFF"/>
            <w:vAlign w:val="center"/>
            <w:hideMark/>
          </w:tcPr>
          <w:p w14:paraId="6F256446" w14:textId="77777777" w:rsidR="00CF14E8" w:rsidRPr="00CF14E8" w:rsidRDefault="00CF14E8" w:rsidP="00CF14E8">
            <w:pPr>
              <w:rPr>
                <w:rFonts w:eastAsia="Times New Roman" w:cs="Arial"/>
                <w:sz w:val="20"/>
              </w:rPr>
            </w:pPr>
            <w:r w:rsidRPr="00CF14E8">
              <w:rPr>
                <w:rFonts w:eastAsia="Times New Roman" w:cs="Arial"/>
                <w:sz w:val="20"/>
              </w:rPr>
              <w:t>ADD: Supportive medicines cost per patient per annum</w:t>
            </w:r>
          </w:p>
        </w:tc>
        <w:tc>
          <w:tcPr>
            <w:tcW w:w="1128" w:type="dxa"/>
            <w:tcBorders>
              <w:top w:val="nil"/>
              <w:left w:val="nil"/>
              <w:bottom w:val="nil"/>
              <w:right w:val="nil"/>
            </w:tcBorders>
            <w:shd w:val="clear" w:color="000000" w:fill="FFFFFF"/>
            <w:noWrap/>
            <w:vAlign w:val="center"/>
            <w:hideMark/>
          </w:tcPr>
          <w:p w14:paraId="0884D2C2" w14:textId="77777777" w:rsidR="00CF14E8" w:rsidRPr="00CF14E8" w:rsidRDefault="00CF14E8" w:rsidP="00CF14E8">
            <w:pPr>
              <w:jc w:val="center"/>
              <w:rPr>
                <w:rFonts w:eastAsia="Times New Roman" w:cs="Arial"/>
                <w:sz w:val="20"/>
              </w:rPr>
            </w:pPr>
            <w:r w:rsidRPr="00CF14E8">
              <w:rPr>
                <w:rFonts w:eastAsia="Times New Roman" w:cs="Arial"/>
                <w:sz w:val="20"/>
              </w:rPr>
              <w:t>£0</w:t>
            </w:r>
          </w:p>
        </w:tc>
        <w:tc>
          <w:tcPr>
            <w:tcW w:w="1060" w:type="dxa"/>
            <w:tcBorders>
              <w:top w:val="nil"/>
              <w:left w:val="nil"/>
              <w:bottom w:val="nil"/>
              <w:right w:val="nil"/>
            </w:tcBorders>
            <w:shd w:val="clear" w:color="000000" w:fill="FFFFFF"/>
            <w:noWrap/>
            <w:vAlign w:val="center"/>
            <w:hideMark/>
          </w:tcPr>
          <w:p w14:paraId="6A9623BB" w14:textId="77777777" w:rsidR="00CF14E8" w:rsidRPr="00CF14E8" w:rsidRDefault="00CF14E8" w:rsidP="00CF14E8">
            <w:pPr>
              <w:jc w:val="center"/>
              <w:rPr>
                <w:rFonts w:eastAsia="Times New Roman" w:cs="Arial"/>
                <w:sz w:val="20"/>
              </w:rPr>
            </w:pPr>
            <w:r w:rsidRPr="00CF14E8">
              <w:rPr>
                <w:rFonts w:eastAsia="Times New Roman" w:cs="Arial"/>
                <w:sz w:val="20"/>
              </w:rPr>
              <w:t>£0</w:t>
            </w:r>
          </w:p>
        </w:tc>
        <w:tc>
          <w:tcPr>
            <w:tcW w:w="1078" w:type="dxa"/>
            <w:tcBorders>
              <w:top w:val="nil"/>
              <w:left w:val="nil"/>
              <w:bottom w:val="nil"/>
              <w:right w:val="nil"/>
            </w:tcBorders>
            <w:shd w:val="clear" w:color="000000" w:fill="FFFFFF"/>
            <w:noWrap/>
            <w:vAlign w:val="center"/>
            <w:hideMark/>
          </w:tcPr>
          <w:p w14:paraId="1CE5B32C" w14:textId="77777777" w:rsidR="00CF14E8" w:rsidRPr="00CF14E8" w:rsidRDefault="00CF14E8" w:rsidP="00CF14E8">
            <w:pPr>
              <w:jc w:val="center"/>
              <w:rPr>
                <w:rFonts w:eastAsia="Times New Roman" w:cs="Arial"/>
                <w:sz w:val="20"/>
              </w:rPr>
            </w:pPr>
            <w:r w:rsidRPr="00CF14E8">
              <w:rPr>
                <w:rFonts w:eastAsia="Times New Roman" w:cs="Arial"/>
                <w:sz w:val="20"/>
              </w:rPr>
              <w:t>£0</w:t>
            </w:r>
          </w:p>
        </w:tc>
        <w:tc>
          <w:tcPr>
            <w:tcW w:w="1078" w:type="dxa"/>
            <w:tcBorders>
              <w:top w:val="nil"/>
              <w:left w:val="nil"/>
              <w:bottom w:val="nil"/>
              <w:right w:val="nil"/>
            </w:tcBorders>
            <w:shd w:val="clear" w:color="000000" w:fill="FFFFFF"/>
            <w:noWrap/>
            <w:vAlign w:val="center"/>
            <w:hideMark/>
          </w:tcPr>
          <w:p w14:paraId="33176A97" w14:textId="77777777" w:rsidR="00CF14E8" w:rsidRPr="00CF14E8" w:rsidRDefault="00CF14E8" w:rsidP="00CF14E8">
            <w:pPr>
              <w:jc w:val="center"/>
              <w:rPr>
                <w:rFonts w:eastAsia="Times New Roman" w:cs="Arial"/>
                <w:sz w:val="20"/>
              </w:rPr>
            </w:pPr>
            <w:r w:rsidRPr="00CF14E8">
              <w:rPr>
                <w:rFonts w:eastAsia="Times New Roman" w:cs="Arial"/>
                <w:sz w:val="20"/>
              </w:rPr>
              <w:t>£0</w:t>
            </w:r>
          </w:p>
        </w:tc>
        <w:tc>
          <w:tcPr>
            <w:tcW w:w="1078" w:type="dxa"/>
            <w:tcBorders>
              <w:top w:val="nil"/>
              <w:left w:val="nil"/>
              <w:bottom w:val="nil"/>
              <w:right w:val="single" w:sz="8" w:space="0" w:color="auto"/>
            </w:tcBorders>
            <w:shd w:val="clear" w:color="000000" w:fill="FFFFFF"/>
            <w:noWrap/>
            <w:vAlign w:val="center"/>
            <w:hideMark/>
          </w:tcPr>
          <w:p w14:paraId="2460E0E6" w14:textId="77777777" w:rsidR="00CF14E8" w:rsidRPr="00CF14E8" w:rsidRDefault="00CF14E8" w:rsidP="00CF14E8">
            <w:pPr>
              <w:jc w:val="center"/>
              <w:rPr>
                <w:rFonts w:eastAsia="Times New Roman" w:cs="Arial"/>
                <w:sz w:val="20"/>
              </w:rPr>
            </w:pPr>
            <w:r w:rsidRPr="00CF14E8">
              <w:rPr>
                <w:rFonts w:eastAsia="Times New Roman" w:cs="Arial"/>
                <w:sz w:val="20"/>
              </w:rPr>
              <w:t>£0</w:t>
            </w:r>
          </w:p>
        </w:tc>
      </w:tr>
      <w:tr w:rsidR="00CF14E8" w:rsidRPr="00CF14E8" w14:paraId="3D80D960" w14:textId="77777777" w:rsidTr="00CF14E8">
        <w:trPr>
          <w:trHeight w:val="470"/>
        </w:trPr>
        <w:tc>
          <w:tcPr>
            <w:tcW w:w="3509" w:type="dxa"/>
            <w:tcBorders>
              <w:top w:val="nil"/>
              <w:left w:val="single" w:sz="8" w:space="0" w:color="auto"/>
              <w:bottom w:val="nil"/>
              <w:right w:val="single" w:sz="4" w:space="0" w:color="auto"/>
            </w:tcBorders>
            <w:shd w:val="clear" w:color="000000" w:fill="FFFFFF"/>
            <w:vAlign w:val="center"/>
            <w:hideMark/>
          </w:tcPr>
          <w:p w14:paraId="334CE932" w14:textId="77777777" w:rsidR="00CF14E8" w:rsidRPr="00CF14E8" w:rsidRDefault="00CF14E8" w:rsidP="00CF14E8">
            <w:pPr>
              <w:rPr>
                <w:rFonts w:eastAsia="Times New Roman" w:cs="Arial"/>
                <w:b/>
                <w:bCs/>
                <w:sz w:val="20"/>
              </w:rPr>
            </w:pPr>
            <w:r w:rsidRPr="00CF14E8">
              <w:rPr>
                <w:rFonts w:eastAsia="Times New Roman" w:cs="Arial"/>
                <w:b/>
                <w:bCs/>
                <w:sz w:val="20"/>
              </w:rPr>
              <w:t>GROSS ADDITIONAL MEDICINES COSTS PER PATIENT PER ANNUM</w:t>
            </w:r>
          </w:p>
        </w:tc>
        <w:tc>
          <w:tcPr>
            <w:tcW w:w="1128" w:type="dxa"/>
            <w:tcBorders>
              <w:top w:val="nil"/>
              <w:left w:val="nil"/>
              <w:bottom w:val="nil"/>
              <w:right w:val="nil"/>
            </w:tcBorders>
            <w:shd w:val="clear" w:color="000000" w:fill="FFFFFF"/>
            <w:noWrap/>
            <w:vAlign w:val="center"/>
            <w:hideMark/>
          </w:tcPr>
          <w:p w14:paraId="289AFFDA" w14:textId="77777777" w:rsidR="00CF14E8" w:rsidRPr="00CF14E8" w:rsidRDefault="00CF14E8" w:rsidP="00CF14E8">
            <w:pPr>
              <w:jc w:val="center"/>
              <w:rPr>
                <w:rFonts w:eastAsia="Times New Roman" w:cs="Arial"/>
                <w:b/>
                <w:bCs/>
                <w:sz w:val="20"/>
              </w:rPr>
            </w:pPr>
            <w:r w:rsidRPr="00CF14E8">
              <w:rPr>
                <w:rFonts w:eastAsia="Times New Roman" w:cs="Arial"/>
                <w:b/>
                <w:bCs/>
                <w:sz w:val="20"/>
              </w:rPr>
              <w:t>£900</w:t>
            </w:r>
          </w:p>
        </w:tc>
        <w:tc>
          <w:tcPr>
            <w:tcW w:w="1060" w:type="dxa"/>
            <w:tcBorders>
              <w:top w:val="nil"/>
              <w:left w:val="nil"/>
              <w:bottom w:val="nil"/>
              <w:right w:val="nil"/>
            </w:tcBorders>
            <w:shd w:val="clear" w:color="000000" w:fill="FFFFFF"/>
            <w:noWrap/>
            <w:vAlign w:val="center"/>
            <w:hideMark/>
          </w:tcPr>
          <w:p w14:paraId="5D561C1F" w14:textId="77777777" w:rsidR="00CF14E8" w:rsidRPr="00CF14E8" w:rsidRDefault="00CF14E8" w:rsidP="00CF14E8">
            <w:pPr>
              <w:jc w:val="center"/>
              <w:rPr>
                <w:rFonts w:eastAsia="Times New Roman" w:cs="Arial"/>
                <w:b/>
                <w:bCs/>
                <w:sz w:val="20"/>
              </w:rPr>
            </w:pPr>
            <w:r w:rsidRPr="00CF14E8">
              <w:rPr>
                <w:rFonts w:eastAsia="Times New Roman" w:cs="Arial"/>
                <w:b/>
                <w:bCs/>
                <w:sz w:val="20"/>
              </w:rPr>
              <w:t>£900</w:t>
            </w:r>
          </w:p>
        </w:tc>
        <w:tc>
          <w:tcPr>
            <w:tcW w:w="1078" w:type="dxa"/>
            <w:tcBorders>
              <w:top w:val="nil"/>
              <w:left w:val="nil"/>
              <w:bottom w:val="nil"/>
              <w:right w:val="nil"/>
            </w:tcBorders>
            <w:shd w:val="clear" w:color="000000" w:fill="FFFFFF"/>
            <w:noWrap/>
            <w:vAlign w:val="center"/>
            <w:hideMark/>
          </w:tcPr>
          <w:p w14:paraId="4B81A781" w14:textId="77777777" w:rsidR="00CF14E8" w:rsidRPr="00CF14E8" w:rsidRDefault="00CF14E8" w:rsidP="00CF14E8">
            <w:pPr>
              <w:jc w:val="center"/>
              <w:rPr>
                <w:rFonts w:eastAsia="Times New Roman" w:cs="Arial"/>
                <w:b/>
                <w:bCs/>
                <w:sz w:val="20"/>
              </w:rPr>
            </w:pPr>
            <w:r w:rsidRPr="00CF14E8">
              <w:rPr>
                <w:rFonts w:eastAsia="Times New Roman" w:cs="Arial"/>
                <w:b/>
                <w:bCs/>
                <w:sz w:val="20"/>
              </w:rPr>
              <w:t>£900</w:t>
            </w:r>
          </w:p>
        </w:tc>
        <w:tc>
          <w:tcPr>
            <w:tcW w:w="1078" w:type="dxa"/>
            <w:tcBorders>
              <w:top w:val="nil"/>
              <w:left w:val="nil"/>
              <w:bottom w:val="nil"/>
              <w:right w:val="nil"/>
            </w:tcBorders>
            <w:shd w:val="clear" w:color="000000" w:fill="FFFFFF"/>
            <w:noWrap/>
            <w:vAlign w:val="center"/>
            <w:hideMark/>
          </w:tcPr>
          <w:p w14:paraId="4803DC53" w14:textId="77777777" w:rsidR="00CF14E8" w:rsidRPr="00CF14E8" w:rsidRDefault="00CF14E8" w:rsidP="00CF14E8">
            <w:pPr>
              <w:jc w:val="center"/>
              <w:rPr>
                <w:rFonts w:eastAsia="Times New Roman" w:cs="Arial"/>
                <w:b/>
                <w:bCs/>
                <w:sz w:val="20"/>
              </w:rPr>
            </w:pPr>
            <w:r w:rsidRPr="00CF14E8">
              <w:rPr>
                <w:rFonts w:eastAsia="Times New Roman" w:cs="Arial"/>
                <w:b/>
                <w:bCs/>
                <w:sz w:val="20"/>
              </w:rPr>
              <w:t>£900</w:t>
            </w:r>
          </w:p>
        </w:tc>
        <w:tc>
          <w:tcPr>
            <w:tcW w:w="1078" w:type="dxa"/>
            <w:tcBorders>
              <w:top w:val="nil"/>
              <w:left w:val="nil"/>
              <w:bottom w:val="nil"/>
              <w:right w:val="single" w:sz="8" w:space="0" w:color="auto"/>
            </w:tcBorders>
            <w:shd w:val="clear" w:color="000000" w:fill="FFFFFF"/>
            <w:noWrap/>
            <w:vAlign w:val="center"/>
            <w:hideMark/>
          </w:tcPr>
          <w:p w14:paraId="57283B89" w14:textId="77777777" w:rsidR="00CF14E8" w:rsidRPr="00CF14E8" w:rsidRDefault="00CF14E8" w:rsidP="00CF14E8">
            <w:pPr>
              <w:jc w:val="center"/>
              <w:rPr>
                <w:rFonts w:eastAsia="Times New Roman" w:cs="Arial"/>
                <w:b/>
                <w:bCs/>
                <w:sz w:val="20"/>
              </w:rPr>
            </w:pPr>
            <w:r w:rsidRPr="00CF14E8">
              <w:rPr>
                <w:rFonts w:eastAsia="Times New Roman" w:cs="Arial"/>
                <w:b/>
                <w:bCs/>
                <w:sz w:val="20"/>
              </w:rPr>
              <w:t>£900</w:t>
            </w:r>
          </w:p>
        </w:tc>
      </w:tr>
      <w:tr w:rsidR="00CF14E8" w:rsidRPr="00CF14E8" w14:paraId="3E0B7635" w14:textId="77777777" w:rsidTr="00CF14E8">
        <w:trPr>
          <w:trHeight w:val="356"/>
        </w:trPr>
        <w:tc>
          <w:tcPr>
            <w:tcW w:w="3509" w:type="dxa"/>
            <w:tcBorders>
              <w:top w:val="nil"/>
              <w:left w:val="single" w:sz="8" w:space="0" w:color="auto"/>
              <w:bottom w:val="nil"/>
              <w:right w:val="single" w:sz="4" w:space="0" w:color="auto"/>
            </w:tcBorders>
            <w:shd w:val="clear" w:color="000000" w:fill="FFFFFF"/>
            <w:vAlign w:val="center"/>
            <w:hideMark/>
          </w:tcPr>
          <w:p w14:paraId="13201337" w14:textId="77777777" w:rsidR="00CF14E8" w:rsidRPr="00CF14E8" w:rsidRDefault="00CF14E8" w:rsidP="00CF14E8">
            <w:pPr>
              <w:rPr>
                <w:rFonts w:eastAsia="Times New Roman" w:cs="Arial"/>
                <w:sz w:val="20"/>
              </w:rPr>
            </w:pPr>
            <w:r w:rsidRPr="00CF14E8">
              <w:rPr>
                <w:rFonts w:eastAsia="Times New Roman" w:cs="Arial"/>
                <w:sz w:val="20"/>
              </w:rPr>
              <w:t>LESS: Displaced medicines cost per patient per annum</w:t>
            </w:r>
          </w:p>
        </w:tc>
        <w:tc>
          <w:tcPr>
            <w:tcW w:w="1128" w:type="dxa"/>
            <w:tcBorders>
              <w:top w:val="nil"/>
              <w:left w:val="nil"/>
              <w:bottom w:val="nil"/>
              <w:right w:val="nil"/>
            </w:tcBorders>
            <w:shd w:val="clear" w:color="000000" w:fill="FFFFFF"/>
            <w:noWrap/>
            <w:vAlign w:val="center"/>
            <w:hideMark/>
          </w:tcPr>
          <w:p w14:paraId="508DE891" w14:textId="77777777" w:rsidR="00CF14E8" w:rsidRPr="00CF14E8" w:rsidRDefault="00CF14E8" w:rsidP="00CF14E8">
            <w:pPr>
              <w:jc w:val="center"/>
              <w:rPr>
                <w:rFonts w:eastAsia="Times New Roman" w:cs="Arial"/>
                <w:sz w:val="20"/>
              </w:rPr>
            </w:pPr>
            <w:r w:rsidRPr="00CF14E8">
              <w:rPr>
                <w:rFonts w:eastAsia="Times New Roman" w:cs="Arial"/>
                <w:sz w:val="20"/>
              </w:rPr>
              <w:t>(890)</w:t>
            </w:r>
          </w:p>
        </w:tc>
        <w:tc>
          <w:tcPr>
            <w:tcW w:w="1060" w:type="dxa"/>
            <w:tcBorders>
              <w:top w:val="nil"/>
              <w:left w:val="nil"/>
              <w:bottom w:val="nil"/>
              <w:right w:val="nil"/>
            </w:tcBorders>
            <w:shd w:val="clear" w:color="000000" w:fill="FFFFFF"/>
            <w:noWrap/>
            <w:vAlign w:val="center"/>
            <w:hideMark/>
          </w:tcPr>
          <w:p w14:paraId="6F1FD65E" w14:textId="77777777" w:rsidR="00CF14E8" w:rsidRPr="00CF14E8" w:rsidRDefault="00CF14E8" w:rsidP="00CF14E8">
            <w:pPr>
              <w:jc w:val="center"/>
              <w:rPr>
                <w:rFonts w:eastAsia="Times New Roman" w:cs="Arial"/>
                <w:sz w:val="20"/>
              </w:rPr>
            </w:pPr>
            <w:r w:rsidRPr="00CF14E8">
              <w:rPr>
                <w:rFonts w:eastAsia="Times New Roman" w:cs="Arial"/>
                <w:sz w:val="20"/>
              </w:rPr>
              <w:t>(890)</w:t>
            </w:r>
          </w:p>
        </w:tc>
        <w:tc>
          <w:tcPr>
            <w:tcW w:w="1078" w:type="dxa"/>
            <w:tcBorders>
              <w:top w:val="nil"/>
              <w:left w:val="nil"/>
              <w:bottom w:val="nil"/>
              <w:right w:val="nil"/>
            </w:tcBorders>
            <w:shd w:val="clear" w:color="000000" w:fill="FFFFFF"/>
            <w:noWrap/>
            <w:vAlign w:val="center"/>
            <w:hideMark/>
          </w:tcPr>
          <w:p w14:paraId="336FD03B" w14:textId="77777777" w:rsidR="00CF14E8" w:rsidRPr="00CF14E8" w:rsidRDefault="00CF14E8" w:rsidP="00CF14E8">
            <w:pPr>
              <w:jc w:val="center"/>
              <w:rPr>
                <w:rFonts w:eastAsia="Times New Roman" w:cs="Arial"/>
                <w:sz w:val="20"/>
              </w:rPr>
            </w:pPr>
            <w:r w:rsidRPr="00CF14E8">
              <w:rPr>
                <w:rFonts w:eastAsia="Times New Roman" w:cs="Arial"/>
                <w:sz w:val="20"/>
              </w:rPr>
              <w:t>(890)</w:t>
            </w:r>
          </w:p>
        </w:tc>
        <w:tc>
          <w:tcPr>
            <w:tcW w:w="1078" w:type="dxa"/>
            <w:tcBorders>
              <w:top w:val="nil"/>
              <w:left w:val="nil"/>
              <w:bottom w:val="nil"/>
              <w:right w:val="nil"/>
            </w:tcBorders>
            <w:shd w:val="clear" w:color="000000" w:fill="FFFFFF"/>
            <w:noWrap/>
            <w:vAlign w:val="center"/>
            <w:hideMark/>
          </w:tcPr>
          <w:p w14:paraId="6394397A" w14:textId="77777777" w:rsidR="00CF14E8" w:rsidRPr="00CF14E8" w:rsidRDefault="00CF14E8" w:rsidP="00CF14E8">
            <w:pPr>
              <w:jc w:val="center"/>
              <w:rPr>
                <w:rFonts w:eastAsia="Times New Roman" w:cs="Arial"/>
                <w:sz w:val="20"/>
              </w:rPr>
            </w:pPr>
            <w:r w:rsidRPr="00CF14E8">
              <w:rPr>
                <w:rFonts w:eastAsia="Times New Roman" w:cs="Arial"/>
                <w:sz w:val="20"/>
              </w:rPr>
              <w:t>(890)</w:t>
            </w:r>
          </w:p>
        </w:tc>
        <w:tc>
          <w:tcPr>
            <w:tcW w:w="1078" w:type="dxa"/>
            <w:tcBorders>
              <w:top w:val="nil"/>
              <w:left w:val="nil"/>
              <w:bottom w:val="nil"/>
              <w:right w:val="single" w:sz="8" w:space="0" w:color="auto"/>
            </w:tcBorders>
            <w:shd w:val="clear" w:color="000000" w:fill="FFFFFF"/>
            <w:noWrap/>
            <w:vAlign w:val="center"/>
            <w:hideMark/>
          </w:tcPr>
          <w:p w14:paraId="486DF98D" w14:textId="77777777" w:rsidR="00CF14E8" w:rsidRPr="00CF14E8" w:rsidRDefault="00CF14E8" w:rsidP="00CF14E8">
            <w:pPr>
              <w:jc w:val="center"/>
              <w:rPr>
                <w:rFonts w:eastAsia="Times New Roman" w:cs="Arial"/>
                <w:sz w:val="20"/>
              </w:rPr>
            </w:pPr>
            <w:r w:rsidRPr="00CF14E8">
              <w:rPr>
                <w:rFonts w:eastAsia="Times New Roman" w:cs="Arial"/>
                <w:sz w:val="20"/>
              </w:rPr>
              <w:t>(890)</w:t>
            </w:r>
          </w:p>
        </w:tc>
      </w:tr>
      <w:tr w:rsidR="00CF14E8" w:rsidRPr="00CF14E8" w14:paraId="1B7AB26A" w14:textId="77777777" w:rsidTr="00CF14E8">
        <w:trPr>
          <w:trHeight w:val="439"/>
        </w:trPr>
        <w:tc>
          <w:tcPr>
            <w:tcW w:w="3509" w:type="dxa"/>
            <w:tcBorders>
              <w:top w:val="nil"/>
              <w:left w:val="single" w:sz="8" w:space="0" w:color="auto"/>
              <w:bottom w:val="single" w:sz="8" w:space="0" w:color="auto"/>
              <w:right w:val="single" w:sz="4" w:space="0" w:color="auto"/>
            </w:tcBorders>
            <w:shd w:val="clear" w:color="000000" w:fill="FFFFFF"/>
            <w:vAlign w:val="center"/>
            <w:hideMark/>
          </w:tcPr>
          <w:p w14:paraId="58C29CE1" w14:textId="77777777" w:rsidR="00CF14E8" w:rsidRPr="00CF14E8" w:rsidRDefault="00CF14E8" w:rsidP="00CF14E8">
            <w:pPr>
              <w:rPr>
                <w:rFonts w:eastAsia="Times New Roman" w:cs="Arial"/>
                <w:b/>
                <w:bCs/>
                <w:sz w:val="20"/>
              </w:rPr>
            </w:pPr>
            <w:r w:rsidRPr="00CF14E8">
              <w:rPr>
                <w:rFonts w:eastAsia="Times New Roman" w:cs="Arial"/>
                <w:b/>
                <w:bCs/>
                <w:sz w:val="20"/>
              </w:rPr>
              <w:t>NET ADDITIONAL MEDICINES (SAVINGS)/COSTS</w:t>
            </w:r>
          </w:p>
        </w:tc>
        <w:tc>
          <w:tcPr>
            <w:tcW w:w="1128" w:type="dxa"/>
            <w:tcBorders>
              <w:top w:val="nil"/>
              <w:left w:val="nil"/>
              <w:bottom w:val="single" w:sz="8" w:space="0" w:color="auto"/>
              <w:right w:val="nil"/>
            </w:tcBorders>
            <w:shd w:val="clear" w:color="000000" w:fill="FFFFFF"/>
            <w:noWrap/>
            <w:vAlign w:val="center"/>
            <w:hideMark/>
          </w:tcPr>
          <w:p w14:paraId="3D094479" w14:textId="77777777" w:rsidR="00CF14E8" w:rsidRPr="00CF14E8" w:rsidRDefault="00CF14E8" w:rsidP="00CF14E8">
            <w:pPr>
              <w:jc w:val="center"/>
              <w:rPr>
                <w:rFonts w:eastAsia="Times New Roman" w:cs="Arial"/>
                <w:b/>
                <w:bCs/>
                <w:sz w:val="20"/>
              </w:rPr>
            </w:pPr>
            <w:r w:rsidRPr="00CF14E8">
              <w:rPr>
                <w:rFonts w:eastAsia="Times New Roman" w:cs="Arial"/>
                <w:b/>
                <w:bCs/>
                <w:sz w:val="20"/>
              </w:rPr>
              <w:t>£10.00</w:t>
            </w:r>
          </w:p>
        </w:tc>
        <w:tc>
          <w:tcPr>
            <w:tcW w:w="1060" w:type="dxa"/>
            <w:tcBorders>
              <w:top w:val="nil"/>
              <w:left w:val="nil"/>
              <w:bottom w:val="single" w:sz="8" w:space="0" w:color="auto"/>
              <w:right w:val="nil"/>
            </w:tcBorders>
            <w:shd w:val="clear" w:color="000000" w:fill="FFFFFF"/>
            <w:noWrap/>
            <w:vAlign w:val="center"/>
            <w:hideMark/>
          </w:tcPr>
          <w:p w14:paraId="27949C8B" w14:textId="77777777" w:rsidR="00CF14E8" w:rsidRPr="00CF14E8" w:rsidRDefault="00CF14E8" w:rsidP="00CF14E8">
            <w:pPr>
              <w:jc w:val="center"/>
              <w:rPr>
                <w:rFonts w:eastAsia="Times New Roman" w:cs="Arial"/>
                <w:b/>
                <w:bCs/>
                <w:sz w:val="20"/>
              </w:rPr>
            </w:pPr>
            <w:r w:rsidRPr="00CF14E8">
              <w:rPr>
                <w:rFonts w:eastAsia="Times New Roman" w:cs="Arial"/>
                <w:b/>
                <w:bCs/>
                <w:sz w:val="20"/>
              </w:rPr>
              <w:t>£10.00</w:t>
            </w:r>
          </w:p>
        </w:tc>
        <w:tc>
          <w:tcPr>
            <w:tcW w:w="1078" w:type="dxa"/>
            <w:tcBorders>
              <w:top w:val="nil"/>
              <w:left w:val="nil"/>
              <w:bottom w:val="single" w:sz="8" w:space="0" w:color="auto"/>
              <w:right w:val="nil"/>
            </w:tcBorders>
            <w:shd w:val="clear" w:color="000000" w:fill="FFFFFF"/>
            <w:noWrap/>
            <w:vAlign w:val="center"/>
            <w:hideMark/>
          </w:tcPr>
          <w:p w14:paraId="0B463806" w14:textId="77777777" w:rsidR="00CF14E8" w:rsidRPr="00CF14E8" w:rsidRDefault="00CF14E8" w:rsidP="00CF14E8">
            <w:pPr>
              <w:jc w:val="center"/>
              <w:rPr>
                <w:rFonts w:eastAsia="Times New Roman" w:cs="Arial"/>
                <w:b/>
                <w:bCs/>
                <w:sz w:val="20"/>
              </w:rPr>
            </w:pPr>
            <w:r w:rsidRPr="00CF14E8">
              <w:rPr>
                <w:rFonts w:eastAsia="Times New Roman" w:cs="Arial"/>
                <w:b/>
                <w:bCs/>
                <w:sz w:val="20"/>
              </w:rPr>
              <w:t>£10.00</w:t>
            </w:r>
          </w:p>
        </w:tc>
        <w:tc>
          <w:tcPr>
            <w:tcW w:w="1078" w:type="dxa"/>
            <w:tcBorders>
              <w:top w:val="nil"/>
              <w:left w:val="nil"/>
              <w:bottom w:val="single" w:sz="8" w:space="0" w:color="auto"/>
              <w:right w:val="nil"/>
            </w:tcBorders>
            <w:shd w:val="clear" w:color="000000" w:fill="FFFFFF"/>
            <w:noWrap/>
            <w:vAlign w:val="center"/>
            <w:hideMark/>
          </w:tcPr>
          <w:p w14:paraId="1FDFE226" w14:textId="77777777" w:rsidR="00CF14E8" w:rsidRPr="00CF14E8" w:rsidRDefault="00CF14E8" w:rsidP="00CF14E8">
            <w:pPr>
              <w:jc w:val="center"/>
              <w:rPr>
                <w:rFonts w:eastAsia="Times New Roman" w:cs="Arial"/>
                <w:b/>
                <w:bCs/>
                <w:sz w:val="20"/>
              </w:rPr>
            </w:pPr>
            <w:r w:rsidRPr="00CF14E8">
              <w:rPr>
                <w:rFonts w:eastAsia="Times New Roman" w:cs="Arial"/>
                <w:b/>
                <w:bCs/>
                <w:sz w:val="20"/>
              </w:rPr>
              <w:t>£10.00</w:t>
            </w:r>
          </w:p>
        </w:tc>
        <w:tc>
          <w:tcPr>
            <w:tcW w:w="1078" w:type="dxa"/>
            <w:tcBorders>
              <w:top w:val="nil"/>
              <w:left w:val="nil"/>
              <w:bottom w:val="single" w:sz="8" w:space="0" w:color="auto"/>
              <w:right w:val="single" w:sz="8" w:space="0" w:color="auto"/>
            </w:tcBorders>
            <w:shd w:val="clear" w:color="000000" w:fill="FFFFFF"/>
            <w:noWrap/>
            <w:vAlign w:val="center"/>
            <w:hideMark/>
          </w:tcPr>
          <w:p w14:paraId="6AF38679" w14:textId="77777777" w:rsidR="00CF14E8" w:rsidRPr="00CF14E8" w:rsidRDefault="00CF14E8" w:rsidP="00CF14E8">
            <w:pPr>
              <w:jc w:val="center"/>
              <w:rPr>
                <w:rFonts w:eastAsia="Times New Roman" w:cs="Arial"/>
                <w:b/>
                <w:bCs/>
                <w:sz w:val="20"/>
              </w:rPr>
            </w:pPr>
            <w:r w:rsidRPr="00CF14E8">
              <w:rPr>
                <w:rFonts w:eastAsia="Times New Roman" w:cs="Arial"/>
                <w:b/>
                <w:bCs/>
                <w:sz w:val="20"/>
              </w:rPr>
              <w:t>£10.00</w:t>
            </w:r>
          </w:p>
        </w:tc>
      </w:tr>
      <w:tr w:rsidR="00CF14E8" w:rsidRPr="00CF14E8" w14:paraId="359A3D9B" w14:textId="77777777" w:rsidTr="00CF14E8">
        <w:trPr>
          <w:trHeight w:val="192"/>
        </w:trPr>
        <w:tc>
          <w:tcPr>
            <w:tcW w:w="3509" w:type="dxa"/>
            <w:tcBorders>
              <w:top w:val="nil"/>
              <w:left w:val="nil"/>
              <w:bottom w:val="nil"/>
              <w:right w:val="nil"/>
            </w:tcBorders>
            <w:shd w:val="clear" w:color="000000" w:fill="FFFFFF"/>
            <w:vAlign w:val="bottom"/>
            <w:hideMark/>
          </w:tcPr>
          <w:p w14:paraId="4D1B5A0F" w14:textId="77777777" w:rsidR="00CF14E8" w:rsidRPr="00CF14E8" w:rsidRDefault="00CF14E8" w:rsidP="00CF14E8">
            <w:pPr>
              <w:rPr>
                <w:rFonts w:eastAsia="Times New Roman" w:cs="Arial"/>
                <w:b/>
                <w:bCs/>
                <w:sz w:val="20"/>
              </w:rPr>
            </w:pPr>
            <w:r w:rsidRPr="00CF14E8">
              <w:rPr>
                <w:rFonts w:eastAsia="Times New Roman" w:cs="Arial"/>
                <w:b/>
                <w:bCs/>
                <w:sz w:val="20"/>
              </w:rPr>
              <w:t> </w:t>
            </w:r>
          </w:p>
        </w:tc>
        <w:tc>
          <w:tcPr>
            <w:tcW w:w="1128" w:type="dxa"/>
            <w:tcBorders>
              <w:top w:val="nil"/>
              <w:left w:val="nil"/>
              <w:bottom w:val="nil"/>
              <w:right w:val="nil"/>
            </w:tcBorders>
            <w:shd w:val="clear" w:color="000000" w:fill="FFFFFF"/>
            <w:noWrap/>
            <w:vAlign w:val="center"/>
            <w:hideMark/>
          </w:tcPr>
          <w:p w14:paraId="2D5ACB37" w14:textId="77777777" w:rsidR="00CF14E8" w:rsidRPr="00CF14E8" w:rsidRDefault="00CF14E8" w:rsidP="00CF14E8">
            <w:pPr>
              <w:rPr>
                <w:rFonts w:eastAsia="Times New Roman" w:cs="Arial"/>
                <w:sz w:val="20"/>
              </w:rPr>
            </w:pPr>
            <w:r w:rsidRPr="00CF14E8">
              <w:rPr>
                <w:rFonts w:eastAsia="Times New Roman" w:cs="Arial"/>
                <w:sz w:val="20"/>
              </w:rPr>
              <w:t> </w:t>
            </w:r>
          </w:p>
        </w:tc>
        <w:tc>
          <w:tcPr>
            <w:tcW w:w="1060" w:type="dxa"/>
            <w:tcBorders>
              <w:top w:val="nil"/>
              <w:left w:val="nil"/>
              <w:bottom w:val="nil"/>
              <w:right w:val="nil"/>
            </w:tcBorders>
            <w:shd w:val="clear" w:color="000000" w:fill="FFFFFF"/>
            <w:noWrap/>
            <w:vAlign w:val="center"/>
            <w:hideMark/>
          </w:tcPr>
          <w:p w14:paraId="0F32C7B0"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2A236216"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2A76B3D8"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26DE34BF" w14:textId="77777777" w:rsidR="00CF14E8" w:rsidRPr="00CF14E8" w:rsidRDefault="00CF14E8" w:rsidP="00CF14E8">
            <w:pPr>
              <w:rPr>
                <w:rFonts w:eastAsia="Times New Roman" w:cs="Arial"/>
                <w:sz w:val="20"/>
              </w:rPr>
            </w:pPr>
            <w:r w:rsidRPr="00CF14E8">
              <w:rPr>
                <w:rFonts w:eastAsia="Times New Roman" w:cs="Arial"/>
                <w:sz w:val="20"/>
              </w:rPr>
              <w:t> </w:t>
            </w:r>
          </w:p>
        </w:tc>
      </w:tr>
      <w:tr w:rsidR="00CF14E8" w:rsidRPr="00CF14E8" w14:paraId="142882FC" w14:textId="77777777" w:rsidTr="00CF14E8">
        <w:trPr>
          <w:trHeight w:val="181"/>
        </w:trPr>
        <w:tc>
          <w:tcPr>
            <w:tcW w:w="3509" w:type="dxa"/>
            <w:tcBorders>
              <w:top w:val="single" w:sz="8" w:space="0" w:color="auto"/>
              <w:left w:val="single" w:sz="8" w:space="0" w:color="auto"/>
              <w:bottom w:val="nil"/>
              <w:right w:val="single" w:sz="4" w:space="0" w:color="auto"/>
            </w:tcBorders>
            <w:shd w:val="clear" w:color="000000" w:fill="FFFFFF"/>
            <w:vAlign w:val="bottom"/>
            <w:hideMark/>
          </w:tcPr>
          <w:p w14:paraId="793A4251" w14:textId="77777777" w:rsidR="00CF14E8" w:rsidRPr="00CF14E8" w:rsidRDefault="00CF14E8" w:rsidP="00CF14E8">
            <w:pPr>
              <w:rPr>
                <w:rFonts w:eastAsia="Times New Roman" w:cs="Arial"/>
                <w:sz w:val="20"/>
              </w:rPr>
            </w:pPr>
            <w:r w:rsidRPr="00CF14E8">
              <w:rPr>
                <w:rFonts w:eastAsia="Times New Roman" w:cs="Arial"/>
                <w:sz w:val="20"/>
              </w:rPr>
              <w:t>Number of patients treated in each year</w:t>
            </w:r>
          </w:p>
        </w:tc>
        <w:tc>
          <w:tcPr>
            <w:tcW w:w="1128" w:type="dxa"/>
            <w:tcBorders>
              <w:top w:val="single" w:sz="8" w:space="0" w:color="auto"/>
              <w:left w:val="nil"/>
              <w:bottom w:val="nil"/>
              <w:right w:val="nil"/>
            </w:tcBorders>
            <w:shd w:val="clear" w:color="000000" w:fill="FFFFFF"/>
            <w:noWrap/>
            <w:vAlign w:val="center"/>
            <w:hideMark/>
          </w:tcPr>
          <w:p w14:paraId="4B0F038D" w14:textId="77777777" w:rsidR="00CF14E8" w:rsidRPr="00CF14E8" w:rsidRDefault="00CF14E8" w:rsidP="00CF14E8">
            <w:pPr>
              <w:jc w:val="center"/>
              <w:rPr>
                <w:rFonts w:eastAsia="Times New Roman" w:cs="Arial"/>
                <w:sz w:val="20"/>
              </w:rPr>
            </w:pPr>
            <w:r w:rsidRPr="00CF14E8">
              <w:rPr>
                <w:rFonts w:eastAsia="Times New Roman" w:cs="Arial"/>
                <w:sz w:val="20"/>
              </w:rPr>
              <w:t>2</w:t>
            </w:r>
          </w:p>
        </w:tc>
        <w:tc>
          <w:tcPr>
            <w:tcW w:w="1060" w:type="dxa"/>
            <w:tcBorders>
              <w:top w:val="single" w:sz="8" w:space="0" w:color="auto"/>
              <w:left w:val="nil"/>
              <w:bottom w:val="nil"/>
              <w:right w:val="nil"/>
            </w:tcBorders>
            <w:shd w:val="clear" w:color="000000" w:fill="FFFFFF"/>
            <w:noWrap/>
            <w:vAlign w:val="center"/>
            <w:hideMark/>
          </w:tcPr>
          <w:p w14:paraId="1A08283E" w14:textId="77777777" w:rsidR="00CF14E8" w:rsidRPr="00CF14E8" w:rsidRDefault="00CF14E8" w:rsidP="00CF14E8">
            <w:pPr>
              <w:jc w:val="center"/>
              <w:rPr>
                <w:rFonts w:eastAsia="Times New Roman" w:cs="Arial"/>
                <w:sz w:val="20"/>
              </w:rPr>
            </w:pPr>
            <w:r w:rsidRPr="00CF14E8">
              <w:rPr>
                <w:rFonts w:eastAsia="Times New Roman" w:cs="Arial"/>
                <w:sz w:val="20"/>
              </w:rPr>
              <w:t>6</w:t>
            </w:r>
          </w:p>
        </w:tc>
        <w:tc>
          <w:tcPr>
            <w:tcW w:w="1078" w:type="dxa"/>
            <w:tcBorders>
              <w:top w:val="single" w:sz="8" w:space="0" w:color="auto"/>
              <w:left w:val="nil"/>
              <w:bottom w:val="nil"/>
              <w:right w:val="nil"/>
            </w:tcBorders>
            <w:shd w:val="clear" w:color="000000" w:fill="FFFFFF"/>
            <w:noWrap/>
            <w:vAlign w:val="center"/>
            <w:hideMark/>
          </w:tcPr>
          <w:p w14:paraId="45FC9B34" w14:textId="77777777" w:rsidR="00CF14E8" w:rsidRPr="00CF14E8" w:rsidRDefault="00CF14E8" w:rsidP="00CF14E8">
            <w:pPr>
              <w:jc w:val="center"/>
              <w:rPr>
                <w:rFonts w:eastAsia="Times New Roman" w:cs="Arial"/>
                <w:sz w:val="20"/>
              </w:rPr>
            </w:pPr>
            <w:r w:rsidRPr="00CF14E8">
              <w:rPr>
                <w:rFonts w:eastAsia="Times New Roman" w:cs="Arial"/>
                <w:sz w:val="20"/>
              </w:rPr>
              <w:t>10</w:t>
            </w:r>
          </w:p>
        </w:tc>
        <w:tc>
          <w:tcPr>
            <w:tcW w:w="1078" w:type="dxa"/>
            <w:tcBorders>
              <w:top w:val="single" w:sz="8" w:space="0" w:color="auto"/>
              <w:left w:val="nil"/>
              <w:bottom w:val="nil"/>
              <w:right w:val="nil"/>
            </w:tcBorders>
            <w:shd w:val="clear" w:color="000000" w:fill="FFFFFF"/>
            <w:noWrap/>
            <w:vAlign w:val="center"/>
            <w:hideMark/>
          </w:tcPr>
          <w:p w14:paraId="06DAFB14" w14:textId="77777777" w:rsidR="00CF14E8" w:rsidRPr="00CF14E8" w:rsidRDefault="00CF14E8" w:rsidP="00CF14E8">
            <w:pPr>
              <w:jc w:val="center"/>
              <w:rPr>
                <w:rFonts w:eastAsia="Times New Roman" w:cs="Arial"/>
                <w:sz w:val="20"/>
              </w:rPr>
            </w:pPr>
            <w:r w:rsidRPr="00CF14E8">
              <w:rPr>
                <w:rFonts w:eastAsia="Times New Roman" w:cs="Arial"/>
                <w:sz w:val="20"/>
              </w:rPr>
              <w:t>14</w:t>
            </w:r>
          </w:p>
        </w:tc>
        <w:tc>
          <w:tcPr>
            <w:tcW w:w="1078" w:type="dxa"/>
            <w:tcBorders>
              <w:top w:val="single" w:sz="8" w:space="0" w:color="auto"/>
              <w:left w:val="nil"/>
              <w:bottom w:val="nil"/>
              <w:right w:val="single" w:sz="8" w:space="0" w:color="auto"/>
            </w:tcBorders>
            <w:shd w:val="clear" w:color="000000" w:fill="FFFFFF"/>
            <w:noWrap/>
            <w:vAlign w:val="center"/>
            <w:hideMark/>
          </w:tcPr>
          <w:p w14:paraId="19DED1EF" w14:textId="77777777" w:rsidR="00CF14E8" w:rsidRPr="00CF14E8" w:rsidRDefault="00CF14E8" w:rsidP="00CF14E8">
            <w:pPr>
              <w:jc w:val="center"/>
              <w:rPr>
                <w:rFonts w:eastAsia="Times New Roman" w:cs="Arial"/>
                <w:sz w:val="20"/>
              </w:rPr>
            </w:pPr>
            <w:r w:rsidRPr="00CF14E8">
              <w:rPr>
                <w:rFonts w:eastAsia="Times New Roman" w:cs="Arial"/>
                <w:sz w:val="20"/>
              </w:rPr>
              <w:t>18</w:t>
            </w:r>
          </w:p>
        </w:tc>
      </w:tr>
      <w:tr w:rsidR="00CF14E8" w:rsidRPr="00CF14E8" w14:paraId="30CF5CE4" w14:textId="77777777" w:rsidTr="00CF14E8">
        <w:trPr>
          <w:trHeight w:val="356"/>
        </w:trPr>
        <w:tc>
          <w:tcPr>
            <w:tcW w:w="3509" w:type="dxa"/>
            <w:tcBorders>
              <w:top w:val="nil"/>
              <w:left w:val="single" w:sz="8" w:space="0" w:color="auto"/>
              <w:bottom w:val="nil"/>
              <w:right w:val="single" w:sz="4" w:space="0" w:color="auto"/>
            </w:tcBorders>
            <w:shd w:val="clear" w:color="000000" w:fill="FFFFFF"/>
            <w:vAlign w:val="bottom"/>
            <w:hideMark/>
          </w:tcPr>
          <w:p w14:paraId="7135CA1F" w14:textId="77777777" w:rsidR="00CF14E8" w:rsidRPr="00CF14E8" w:rsidRDefault="00CF14E8" w:rsidP="00CF14E8">
            <w:pPr>
              <w:rPr>
                <w:rFonts w:eastAsia="Times New Roman" w:cs="Arial"/>
                <w:b/>
                <w:bCs/>
                <w:sz w:val="20"/>
              </w:rPr>
            </w:pPr>
            <w:r w:rsidRPr="00CF14E8">
              <w:rPr>
                <w:rFonts w:eastAsia="Times New Roman" w:cs="Arial"/>
                <w:b/>
                <w:bCs/>
                <w:sz w:val="20"/>
              </w:rPr>
              <w:t>BUDGET IMPACT (new medicine and supportive medicine costs only)</w:t>
            </w:r>
          </w:p>
        </w:tc>
        <w:tc>
          <w:tcPr>
            <w:tcW w:w="1128" w:type="dxa"/>
            <w:tcBorders>
              <w:top w:val="nil"/>
              <w:left w:val="nil"/>
              <w:bottom w:val="nil"/>
              <w:right w:val="nil"/>
            </w:tcBorders>
            <w:shd w:val="clear" w:color="000000" w:fill="FFFFFF"/>
            <w:noWrap/>
            <w:vAlign w:val="center"/>
            <w:hideMark/>
          </w:tcPr>
          <w:p w14:paraId="3797F987" w14:textId="77777777" w:rsidR="00CF14E8" w:rsidRPr="00CF14E8" w:rsidRDefault="00CF14E8" w:rsidP="00CF14E8">
            <w:pPr>
              <w:jc w:val="center"/>
              <w:rPr>
                <w:rFonts w:eastAsia="Times New Roman" w:cs="Arial"/>
                <w:b/>
                <w:bCs/>
                <w:sz w:val="20"/>
              </w:rPr>
            </w:pPr>
            <w:r w:rsidRPr="00CF14E8">
              <w:rPr>
                <w:rFonts w:eastAsia="Times New Roman" w:cs="Arial"/>
                <w:b/>
                <w:bCs/>
                <w:sz w:val="20"/>
              </w:rPr>
              <w:t>£1,814</w:t>
            </w:r>
          </w:p>
        </w:tc>
        <w:tc>
          <w:tcPr>
            <w:tcW w:w="1060" w:type="dxa"/>
            <w:tcBorders>
              <w:top w:val="nil"/>
              <w:left w:val="nil"/>
              <w:bottom w:val="nil"/>
              <w:right w:val="nil"/>
            </w:tcBorders>
            <w:shd w:val="clear" w:color="000000" w:fill="FFFFFF"/>
            <w:noWrap/>
            <w:vAlign w:val="center"/>
            <w:hideMark/>
          </w:tcPr>
          <w:p w14:paraId="5C4C8A08" w14:textId="77777777" w:rsidR="00CF14E8" w:rsidRPr="00CF14E8" w:rsidRDefault="00CF14E8" w:rsidP="00CF14E8">
            <w:pPr>
              <w:jc w:val="center"/>
              <w:rPr>
                <w:rFonts w:eastAsia="Times New Roman" w:cs="Arial"/>
                <w:b/>
                <w:bCs/>
                <w:sz w:val="20"/>
              </w:rPr>
            </w:pPr>
            <w:r w:rsidRPr="00CF14E8">
              <w:rPr>
                <w:rFonts w:eastAsia="Times New Roman" w:cs="Arial"/>
                <w:b/>
                <w:bCs/>
                <w:sz w:val="20"/>
              </w:rPr>
              <w:t>£5,441</w:t>
            </w:r>
          </w:p>
        </w:tc>
        <w:tc>
          <w:tcPr>
            <w:tcW w:w="1078" w:type="dxa"/>
            <w:tcBorders>
              <w:top w:val="nil"/>
              <w:left w:val="nil"/>
              <w:bottom w:val="nil"/>
              <w:right w:val="nil"/>
            </w:tcBorders>
            <w:shd w:val="clear" w:color="000000" w:fill="FFFFFF"/>
            <w:noWrap/>
            <w:vAlign w:val="center"/>
            <w:hideMark/>
          </w:tcPr>
          <w:p w14:paraId="7F583483" w14:textId="77777777" w:rsidR="00CF14E8" w:rsidRPr="00CF14E8" w:rsidRDefault="00CF14E8" w:rsidP="00CF14E8">
            <w:pPr>
              <w:jc w:val="center"/>
              <w:rPr>
                <w:rFonts w:eastAsia="Times New Roman" w:cs="Arial"/>
                <w:b/>
                <w:bCs/>
                <w:sz w:val="20"/>
              </w:rPr>
            </w:pPr>
            <w:r w:rsidRPr="00CF14E8">
              <w:rPr>
                <w:rFonts w:eastAsia="Times New Roman" w:cs="Arial"/>
                <w:b/>
                <w:bCs/>
                <w:sz w:val="20"/>
              </w:rPr>
              <w:t>£9,068</w:t>
            </w:r>
          </w:p>
        </w:tc>
        <w:tc>
          <w:tcPr>
            <w:tcW w:w="1078" w:type="dxa"/>
            <w:tcBorders>
              <w:top w:val="nil"/>
              <w:left w:val="nil"/>
              <w:bottom w:val="nil"/>
              <w:right w:val="nil"/>
            </w:tcBorders>
            <w:shd w:val="clear" w:color="000000" w:fill="FFFFFF"/>
            <w:noWrap/>
            <w:vAlign w:val="center"/>
            <w:hideMark/>
          </w:tcPr>
          <w:p w14:paraId="75E37D19" w14:textId="77777777" w:rsidR="00CF14E8" w:rsidRPr="00CF14E8" w:rsidRDefault="00CF14E8" w:rsidP="00CF14E8">
            <w:pPr>
              <w:jc w:val="center"/>
              <w:rPr>
                <w:rFonts w:eastAsia="Times New Roman" w:cs="Arial"/>
                <w:b/>
                <w:bCs/>
                <w:sz w:val="20"/>
              </w:rPr>
            </w:pPr>
            <w:r w:rsidRPr="00CF14E8">
              <w:rPr>
                <w:rFonts w:eastAsia="Times New Roman" w:cs="Arial"/>
                <w:b/>
                <w:bCs/>
                <w:sz w:val="20"/>
              </w:rPr>
              <w:t>£12,696</w:t>
            </w:r>
          </w:p>
        </w:tc>
        <w:tc>
          <w:tcPr>
            <w:tcW w:w="1078" w:type="dxa"/>
            <w:tcBorders>
              <w:top w:val="nil"/>
              <w:left w:val="nil"/>
              <w:bottom w:val="nil"/>
              <w:right w:val="single" w:sz="8" w:space="0" w:color="auto"/>
            </w:tcBorders>
            <w:shd w:val="clear" w:color="000000" w:fill="FFFFFF"/>
            <w:noWrap/>
            <w:vAlign w:val="center"/>
            <w:hideMark/>
          </w:tcPr>
          <w:p w14:paraId="33431D7F" w14:textId="77777777" w:rsidR="00CF14E8" w:rsidRPr="00CF14E8" w:rsidRDefault="00CF14E8" w:rsidP="00CF14E8">
            <w:pPr>
              <w:jc w:val="center"/>
              <w:rPr>
                <w:rFonts w:eastAsia="Times New Roman" w:cs="Arial"/>
                <w:b/>
                <w:bCs/>
                <w:sz w:val="20"/>
              </w:rPr>
            </w:pPr>
            <w:r w:rsidRPr="00CF14E8">
              <w:rPr>
                <w:rFonts w:eastAsia="Times New Roman" w:cs="Arial"/>
                <w:b/>
                <w:bCs/>
                <w:sz w:val="20"/>
              </w:rPr>
              <w:t>£16,323</w:t>
            </w:r>
          </w:p>
        </w:tc>
      </w:tr>
      <w:tr w:rsidR="00CF14E8" w:rsidRPr="00CF14E8" w14:paraId="2C8965A5" w14:textId="77777777" w:rsidTr="00CF14E8">
        <w:trPr>
          <w:trHeight w:val="192"/>
        </w:trPr>
        <w:tc>
          <w:tcPr>
            <w:tcW w:w="3509" w:type="dxa"/>
            <w:tcBorders>
              <w:top w:val="nil"/>
              <w:left w:val="single" w:sz="8" w:space="0" w:color="auto"/>
              <w:bottom w:val="single" w:sz="8" w:space="0" w:color="auto"/>
              <w:right w:val="single" w:sz="4" w:space="0" w:color="auto"/>
            </w:tcBorders>
            <w:shd w:val="clear" w:color="000000" w:fill="FFFFFF"/>
            <w:vAlign w:val="bottom"/>
            <w:hideMark/>
          </w:tcPr>
          <w:p w14:paraId="1E2B62CF" w14:textId="77777777" w:rsidR="00CF14E8" w:rsidRPr="00CF14E8" w:rsidRDefault="00CF14E8" w:rsidP="00CF14E8">
            <w:pPr>
              <w:rPr>
                <w:rFonts w:eastAsia="Times New Roman" w:cs="Arial"/>
                <w:b/>
                <w:bCs/>
                <w:sz w:val="20"/>
              </w:rPr>
            </w:pPr>
            <w:r w:rsidRPr="00CF14E8">
              <w:rPr>
                <w:rFonts w:eastAsia="Times New Roman" w:cs="Arial"/>
                <w:b/>
                <w:bCs/>
                <w:sz w:val="20"/>
              </w:rPr>
              <w:t>BUDGET IMPACT - NET MEDICINE COSTS</w:t>
            </w:r>
          </w:p>
        </w:tc>
        <w:tc>
          <w:tcPr>
            <w:tcW w:w="1128" w:type="dxa"/>
            <w:tcBorders>
              <w:top w:val="nil"/>
              <w:left w:val="nil"/>
              <w:bottom w:val="single" w:sz="8" w:space="0" w:color="auto"/>
              <w:right w:val="nil"/>
            </w:tcBorders>
            <w:shd w:val="clear" w:color="000000" w:fill="FFFFFF"/>
            <w:noWrap/>
            <w:vAlign w:val="center"/>
            <w:hideMark/>
          </w:tcPr>
          <w:p w14:paraId="017A59B9" w14:textId="77777777" w:rsidR="00CF14E8" w:rsidRPr="00CF14E8" w:rsidRDefault="00CF14E8" w:rsidP="00CF14E8">
            <w:pPr>
              <w:jc w:val="center"/>
              <w:rPr>
                <w:rFonts w:eastAsia="Times New Roman" w:cs="Arial"/>
                <w:b/>
                <w:bCs/>
                <w:sz w:val="20"/>
              </w:rPr>
            </w:pPr>
            <w:r w:rsidRPr="00CF14E8">
              <w:rPr>
                <w:rFonts w:eastAsia="Times New Roman" w:cs="Arial"/>
                <w:b/>
                <w:bCs/>
                <w:sz w:val="20"/>
              </w:rPr>
              <w:t>£20</w:t>
            </w:r>
          </w:p>
        </w:tc>
        <w:tc>
          <w:tcPr>
            <w:tcW w:w="1060" w:type="dxa"/>
            <w:tcBorders>
              <w:top w:val="nil"/>
              <w:left w:val="nil"/>
              <w:bottom w:val="single" w:sz="8" w:space="0" w:color="auto"/>
              <w:right w:val="nil"/>
            </w:tcBorders>
            <w:shd w:val="clear" w:color="000000" w:fill="FFFFFF"/>
            <w:noWrap/>
            <w:vAlign w:val="center"/>
            <w:hideMark/>
          </w:tcPr>
          <w:p w14:paraId="4DD0BC5D" w14:textId="77777777" w:rsidR="00CF14E8" w:rsidRPr="00CF14E8" w:rsidRDefault="00CF14E8" w:rsidP="00CF14E8">
            <w:pPr>
              <w:jc w:val="center"/>
              <w:rPr>
                <w:rFonts w:eastAsia="Times New Roman" w:cs="Arial"/>
                <w:b/>
                <w:bCs/>
                <w:sz w:val="20"/>
              </w:rPr>
            </w:pPr>
            <w:r w:rsidRPr="00CF14E8">
              <w:rPr>
                <w:rFonts w:eastAsia="Times New Roman" w:cs="Arial"/>
                <w:b/>
                <w:bCs/>
                <w:sz w:val="20"/>
              </w:rPr>
              <w:t>£60</w:t>
            </w:r>
          </w:p>
        </w:tc>
        <w:tc>
          <w:tcPr>
            <w:tcW w:w="1078" w:type="dxa"/>
            <w:tcBorders>
              <w:top w:val="nil"/>
              <w:left w:val="nil"/>
              <w:bottom w:val="single" w:sz="8" w:space="0" w:color="auto"/>
              <w:right w:val="nil"/>
            </w:tcBorders>
            <w:shd w:val="clear" w:color="000000" w:fill="FFFFFF"/>
            <w:noWrap/>
            <w:vAlign w:val="center"/>
            <w:hideMark/>
          </w:tcPr>
          <w:p w14:paraId="5BD7116E" w14:textId="77777777" w:rsidR="00CF14E8" w:rsidRPr="00CF14E8" w:rsidRDefault="00CF14E8" w:rsidP="00CF14E8">
            <w:pPr>
              <w:jc w:val="center"/>
              <w:rPr>
                <w:rFonts w:eastAsia="Times New Roman" w:cs="Arial"/>
                <w:b/>
                <w:bCs/>
                <w:sz w:val="20"/>
              </w:rPr>
            </w:pPr>
            <w:r w:rsidRPr="00CF14E8">
              <w:rPr>
                <w:rFonts w:eastAsia="Times New Roman" w:cs="Arial"/>
                <w:b/>
                <w:bCs/>
                <w:sz w:val="20"/>
              </w:rPr>
              <w:t>£101</w:t>
            </w:r>
          </w:p>
        </w:tc>
        <w:tc>
          <w:tcPr>
            <w:tcW w:w="1078" w:type="dxa"/>
            <w:tcBorders>
              <w:top w:val="nil"/>
              <w:left w:val="nil"/>
              <w:bottom w:val="single" w:sz="8" w:space="0" w:color="auto"/>
              <w:right w:val="nil"/>
            </w:tcBorders>
            <w:shd w:val="clear" w:color="000000" w:fill="FFFFFF"/>
            <w:noWrap/>
            <w:vAlign w:val="center"/>
            <w:hideMark/>
          </w:tcPr>
          <w:p w14:paraId="64C47F80" w14:textId="77777777" w:rsidR="00CF14E8" w:rsidRPr="00CF14E8" w:rsidRDefault="00CF14E8" w:rsidP="00CF14E8">
            <w:pPr>
              <w:jc w:val="center"/>
              <w:rPr>
                <w:rFonts w:eastAsia="Times New Roman" w:cs="Arial"/>
                <w:b/>
                <w:bCs/>
                <w:sz w:val="20"/>
              </w:rPr>
            </w:pPr>
            <w:r w:rsidRPr="00CF14E8">
              <w:rPr>
                <w:rFonts w:eastAsia="Times New Roman" w:cs="Arial"/>
                <w:b/>
                <w:bCs/>
                <w:sz w:val="20"/>
              </w:rPr>
              <w:t>£141</w:t>
            </w:r>
          </w:p>
        </w:tc>
        <w:tc>
          <w:tcPr>
            <w:tcW w:w="1078" w:type="dxa"/>
            <w:tcBorders>
              <w:top w:val="nil"/>
              <w:left w:val="nil"/>
              <w:bottom w:val="single" w:sz="8" w:space="0" w:color="auto"/>
              <w:right w:val="single" w:sz="8" w:space="0" w:color="auto"/>
            </w:tcBorders>
            <w:shd w:val="clear" w:color="000000" w:fill="FFFFFF"/>
            <w:noWrap/>
            <w:vAlign w:val="center"/>
            <w:hideMark/>
          </w:tcPr>
          <w:p w14:paraId="615C49D5" w14:textId="77777777" w:rsidR="00CF14E8" w:rsidRPr="00CF14E8" w:rsidRDefault="00CF14E8" w:rsidP="00CF14E8">
            <w:pPr>
              <w:jc w:val="center"/>
              <w:rPr>
                <w:rFonts w:eastAsia="Times New Roman" w:cs="Arial"/>
                <w:b/>
                <w:bCs/>
                <w:sz w:val="20"/>
              </w:rPr>
            </w:pPr>
            <w:r w:rsidRPr="00CF14E8">
              <w:rPr>
                <w:rFonts w:eastAsia="Times New Roman" w:cs="Arial"/>
                <w:b/>
                <w:bCs/>
                <w:sz w:val="20"/>
              </w:rPr>
              <w:t>£181</w:t>
            </w:r>
          </w:p>
        </w:tc>
      </w:tr>
      <w:tr w:rsidR="00CF14E8" w:rsidRPr="00CF14E8" w14:paraId="31CA2FBF" w14:textId="77777777" w:rsidTr="00CF14E8">
        <w:trPr>
          <w:trHeight w:val="192"/>
        </w:trPr>
        <w:tc>
          <w:tcPr>
            <w:tcW w:w="3509" w:type="dxa"/>
            <w:tcBorders>
              <w:top w:val="nil"/>
              <w:left w:val="nil"/>
              <w:bottom w:val="nil"/>
              <w:right w:val="nil"/>
            </w:tcBorders>
            <w:shd w:val="clear" w:color="000000" w:fill="FFFFFF"/>
            <w:vAlign w:val="bottom"/>
            <w:hideMark/>
          </w:tcPr>
          <w:p w14:paraId="2E0D28AF" w14:textId="77777777" w:rsidR="00CF14E8" w:rsidRPr="00CF14E8" w:rsidRDefault="00CF14E8" w:rsidP="00CF14E8">
            <w:pPr>
              <w:rPr>
                <w:rFonts w:eastAsia="Times New Roman" w:cs="Arial"/>
                <w:sz w:val="20"/>
              </w:rPr>
            </w:pPr>
            <w:r w:rsidRPr="00CF14E8">
              <w:rPr>
                <w:rFonts w:eastAsia="Times New Roman" w:cs="Arial"/>
                <w:sz w:val="20"/>
              </w:rPr>
              <w:t> </w:t>
            </w:r>
          </w:p>
        </w:tc>
        <w:tc>
          <w:tcPr>
            <w:tcW w:w="1128" w:type="dxa"/>
            <w:tcBorders>
              <w:top w:val="nil"/>
              <w:left w:val="nil"/>
              <w:bottom w:val="nil"/>
              <w:right w:val="nil"/>
            </w:tcBorders>
            <w:shd w:val="clear" w:color="000000" w:fill="FFFFFF"/>
            <w:noWrap/>
            <w:vAlign w:val="center"/>
            <w:hideMark/>
          </w:tcPr>
          <w:p w14:paraId="49DE8ED3" w14:textId="77777777" w:rsidR="00CF14E8" w:rsidRPr="00CF14E8" w:rsidRDefault="00CF14E8" w:rsidP="00CF14E8">
            <w:pPr>
              <w:rPr>
                <w:rFonts w:eastAsia="Times New Roman" w:cs="Arial"/>
                <w:sz w:val="20"/>
              </w:rPr>
            </w:pPr>
            <w:r w:rsidRPr="00CF14E8">
              <w:rPr>
                <w:rFonts w:eastAsia="Times New Roman" w:cs="Arial"/>
                <w:sz w:val="20"/>
              </w:rPr>
              <w:t> </w:t>
            </w:r>
          </w:p>
        </w:tc>
        <w:tc>
          <w:tcPr>
            <w:tcW w:w="1060" w:type="dxa"/>
            <w:tcBorders>
              <w:top w:val="nil"/>
              <w:left w:val="nil"/>
              <w:bottom w:val="nil"/>
              <w:right w:val="nil"/>
            </w:tcBorders>
            <w:shd w:val="clear" w:color="000000" w:fill="FFFFFF"/>
            <w:noWrap/>
            <w:vAlign w:val="center"/>
            <w:hideMark/>
          </w:tcPr>
          <w:p w14:paraId="7A1A18E7"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563A5778"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173A72AF"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384E601E" w14:textId="77777777" w:rsidR="00CF14E8" w:rsidRPr="00CF14E8" w:rsidRDefault="00CF14E8" w:rsidP="00CF14E8">
            <w:pPr>
              <w:rPr>
                <w:rFonts w:eastAsia="Times New Roman" w:cs="Arial"/>
                <w:sz w:val="20"/>
              </w:rPr>
            </w:pPr>
            <w:r w:rsidRPr="00CF14E8">
              <w:rPr>
                <w:rFonts w:eastAsia="Times New Roman" w:cs="Arial"/>
                <w:sz w:val="20"/>
              </w:rPr>
              <w:t> </w:t>
            </w:r>
          </w:p>
        </w:tc>
      </w:tr>
      <w:tr w:rsidR="00CF14E8" w:rsidRPr="00CF14E8" w14:paraId="5F7566F5" w14:textId="77777777" w:rsidTr="00CF14E8">
        <w:trPr>
          <w:trHeight w:val="252"/>
        </w:trPr>
        <w:tc>
          <w:tcPr>
            <w:tcW w:w="3509" w:type="dxa"/>
            <w:tcBorders>
              <w:top w:val="single" w:sz="8" w:space="0" w:color="auto"/>
              <w:left w:val="single" w:sz="8" w:space="0" w:color="auto"/>
              <w:bottom w:val="nil"/>
              <w:right w:val="single" w:sz="4" w:space="0" w:color="auto"/>
            </w:tcBorders>
            <w:shd w:val="clear" w:color="000000" w:fill="FFFFFF"/>
            <w:vAlign w:val="bottom"/>
            <w:hideMark/>
          </w:tcPr>
          <w:p w14:paraId="34968BDA" w14:textId="77777777" w:rsidR="00CF14E8" w:rsidRPr="00CF14E8" w:rsidRDefault="00CF14E8" w:rsidP="00CF14E8">
            <w:pPr>
              <w:rPr>
                <w:rFonts w:eastAsia="Times New Roman" w:cs="Arial"/>
                <w:b/>
                <w:bCs/>
                <w:sz w:val="20"/>
              </w:rPr>
            </w:pPr>
            <w:r w:rsidRPr="00CF14E8">
              <w:rPr>
                <w:rFonts w:eastAsia="Times New Roman" w:cs="Arial"/>
                <w:b/>
                <w:bCs/>
                <w:sz w:val="20"/>
              </w:rPr>
              <w:t>OTHER (SAVINGS)/COSTS</w:t>
            </w:r>
          </w:p>
        </w:tc>
        <w:tc>
          <w:tcPr>
            <w:tcW w:w="5422" w:type="dxa"/>
            <w:gridSpan w:val="5"/>
            <w:tcBorders>
              <w:top w:val="single" w:sz="8" w:space="0" w:color="auto"/>
              <w:left w:val="nil"/>
              <w:bottom w:val="nil"/>
              <w:right w:val="single" w:sz="8" w:space="0" w:color="000000"/>
            </w:tcBorders>
            <w:shd w:val="clear" w:color="000000" w:fill="FFFFFF"/>
            <w:noWrap/>
            <w:vAlign w:val="center"/>
            <w:hideMark/>
          </w:tcPr>
          <w:p w14:paraId="0E7FFF64" w14:textId="77777777" w:rsidR="00CF14E8" w:rsidRPr="00CF14E8" w:rsidRDefault="00CF14E8" w:rsidP="00CF14E8">
            <w:pPr>
              <w:jc w:val="center"/>
              <w:rPr>
                <w:rFonts w:eastAsia="Times New Roman" w:cs="Arial"/>
                <w:b/>
                <w:bCs/>
                <w:color w:val="FFFFFF"/>
                <w:sz w:val="28"/>
                <w:szCs w:val="28"/>
              </w:rPr>
            </w:pPr>
            <w:r w:rsidRPr="00CF14E8">
              <w:rPr>
                <w:rFonts w:eastAsia="Times New Roman" w:cs="Arial"/>
                <w:b/>
                <w:bCs/>
                <w:color w:val="FFFFFF"/>
                <w:sz w:val="28"/>
                <w:szCs w:val="28"/>
              </w:rPr>
              <w:t> </w:t>
            </w:r>
          </w:p>
        </w:tc>
      </w:tr>
      <w:tr w:rsidR="00CF14E8" w:rsidRPr="00CF14E8" w14:paraId="27963E9F" w14:textId="77777777" w:rsidTr="00CF14E8">
        <w:trPr>
          <w:trHeight w:val="181"/>
        </w:trPr>
        <w:tc>
          <w:tcPr>
            <w:tcW w:w="3509" w:type="dxa"/>
            <w:tcBorders>
              <w:top w:val="nil"/>
              <w:left w:val="single" w:sz="8" w:space="0" w:color="auto"/>
              <w:bottom w:val="nil"/>
              <w:right w:val="single" w:sz="4" w:space="0" w:color="auto"/>
            </w:tcBorders>
            <w:shd w:val="clear" w:color="000000" w:fill="FFFFFF"/>
            <w:vAlign w:val="bottom"/>
            <w:hideMark/>
          </w:tcPr>
          <w:p w14:paraId="35FBB7B8" w14:textId="77777777" w:rsidR="00CF14E8" w:rsidRPr="00CF14E8" w:rsidRDefault="00CF14E8" w:rsidP="00CF14E8">
            <w:pPr>
              <w:rPr>
                <w:rFonts w:eastAsia="Times New Roman" w:cs="Arial"/>
                <w:sz w:val="20"/>
              </w:rPr>
            </w:pPr>
            <w:r w:rsidRPr="00CF14E8">
              <w:rPr>
                <w:rFonts w:eastAsia="Times New Roman" w:cs="Arial"/>
                <w:sz w:val="20"/>
              </w:rPr>
              <w:t>(Savings)</w:t>
            </w:r>
          </w:p>
        </w:tc>
        <w:tc>
          <w:tcPr>
            <w:tcW w:w="1128" w:type="dxa"/>
            <w:tcBorders>
              <w:top w:val="nil"/>
              <w:left w:val="nil"/>
              <w:bottom w:val="nil"/>
              <w:right w:val="nil"/>
            </w:tcBorders>
            <w:shd w:val="clear" w:color="000000" w:fill="FFFFFF"/>
            <w:noWrap/>
            <w:vAlign w:val="center"/>
            <w:hideMark/>
          </w:tcPr>
          <w:p w14:paraId="14C3EB35" w14:textId="77777777" w:rsidR="00CF14E8" w:rsidRPr="00CF14E8" w:rsidRDefault="00CF14E8" w:rsidP="00CF14E8">
            <w:pPr>
              <w:jc w:val="center"/>
              <w:rPr>
                <w:rFonts w:eastAsia="Times New Roman" w:cs="Arial"/>
                <w:sz w:val="20"/>
              </w:rPr>
            </w:pPr>
            <w:r w:rsidRPr="00CF14E8">
              <w:rPr>
                <w:rFonts w:eastAsia="Times New Roman" w:cs="Arial"/>
                <w:sz w:val="20"/>
              </w:rPr>
              <w:t>(103)</w:t>
            </w:r>
          </w:p>
        </w:tc>
        <w:tc>
          <w:tcPr>
            <w:tcW w:w="1060" w:type="dxa"/>
            <w:tcBorders>
              <w:top w:val="nil"/>
              <w:left w:val="nil"/>
              <w:bottom w:val="nil"/>
              <w:right w:val="nil"/>
            </w:tcBorders>
            <w:shd w:val="clear" w:color="000000" w:fill="FFFFFF"/>
            <w:noWrap/>
            <w:vAlign w:val="center"/>
            <w:hideMark/>
          </w:tcPr>
          <w:p w14:paraId="3B23102B" w14:textId="77777777" w:rsidR="00CF14E8" w:rsidRPr="00CF14E8" w:rsidRDefault="00CF14E8" w:rsidP="00CF14E8">
            <w:pPr>
              <w:jc w:val="center"/>
              <w:rPr>
                <w:rFonts w:eastAsia="Times New Roman" w:cs="Arial"/>
                <w:sz w:val="20"/>
              </w:rPr>
            </w:pPr>
            <w:r w:rsidRPr="00CF14E8">
              <w:rPr>
                <w:rFonts w:eastAsia="Times New Roman" w:cs="Arial"/>
                <w:sz w:val="20"/>
              </w:rPr>
              <w:t>(308)</w:t>
            </w:r>
          </w:p>
        </w:tc>
        <w:tc>
          <w:tcPr>
            <w:tcW w:w="1078" w:type="dxa"/>
            <w:tcBorders>
              <w:top w:val="nil"/>
              <w:left w:val="nil"/>
              <w:bottom w:val="nil"/>
              <w:right w:val="nil"/>
            </w:tcBorders>
            <w:shd w:val="clear" w:color="000000" w:fill="FFFFFF"/>
            <w:noWrap/>
            <w:vAlign w:val="center"/>
            <w:hideMark/>
          </w:tcPr>
          <w:p w14:paraId="4B301923" w14:textId="77777777" w:rsidR="00CF14E8" w:rsidRPr="00CF14E8" w:rsidRDefault="00CF14E8" w:rsidP="00CF14E8">
            <w:pPr>
              <w:jc w:val="center"/>
              <w:rPr>
                <w:rFonts w:eastAsia="Times New Roman" w:cs="Arial"/>
                <w:sz w:val="20"/>
              </w:rPr>
            </w:pPr>
            <w:r w:rsidRPr="00CF14E8">
              <w:rPr>
                <w:rFonts w:eastAsia="Times New Roman" w:cs="Arial"/>
                <w:sz w:val="20"/>
              </w:rPr>
              <w:t>(513)</w:t>
            </w:r>
          </w:p>
        </w:tc>
        <w:tc>
          <w:tcPr>
            <w:tcW w:w="1078" w:type="dxa"/>
            <w:tcBorders>
              <w:top w:val="nil"/>
              <w:left w:val="nil"/>
              <w:bottom w:val="nil"/>
              <w:right w:val="nil"/>
            </w:tcBorders>
            <w:shd w:val="clear" w:color="000000" w:fill="FFFFFF"/>
            <w:noWrap/>
            <w:vAlign w:val="center"/>
            <w:hideMark/>
          </w:tcPr>
          <w:p w14:paraId="0F41338D" w14:textId="77777777" w:rsidR="00CF14E8" w:rsidRPr="00CF14E8" w:rsidRDefault="00CF14E8" w:rsidP="00CF14E8">
            <w:pPr>
              <w:jc w:val="center"/>
              <w:rPr>
                <w:rFonts w:eastAsia="Times New Roman" w:cs="Arial"/>
                <w:sz w:val="20"/>
              </w:rPr>
            </w:pPr>
            <w:r w:rsidRPr="00CF14E8">
              <w:rPr>
                <w:rFonts w:eastAsia="Times New Roman" w:cs="Arial"/>
                <w:sz w:val="20"/>
              </w:rPr>
              <w:t>(718)</w:t>
            </w:r>
          </w:p>
        </w:tc>
        <w:tc>
          <w:tcPr>
            <w:tcW w:w="1078" w:type="dxa"/>
            <w:tcBorders>
              <w:top w:val="nil"/>
              <w:left w:val="nil"/>
              <w:bottom w:val="nil"/>
              <w:right w:val="single" w:sz="8" w:space="0" w:color="auto"/>
            </w:tcBorders>
            <w:shd w:val="clear" w:color="000000" w:fill="FFFFFF"/>
            <w:noWrap/>
            <w:vAlign w:val="center"/>
            <w:hideMark/>
          </w:tcPr>
          <w:p w14:paraId="536367E9" w14:textId="77777777" w:rsidR="00CF14E8" w:rsidRPr="00CF14E8" w:rsidRDefault="00CF14E8" w:rsidP="00CF14E8">
            <w:pPr>
              <w:jc w:val="center"/>
              <w:rPr>
                <w:rFonts w:eastAsia="Times New Roman" w:cs="Arial"/>
                <w:sz w:val="20"/>
              </w:rPr>
            </w:pPr>
            <w:r w:rsidRPr="00CF14E8">
              <w:rPr>
                <w:rFonts w:eastAsia="Times New Roman" w:cs="Arial"/>
                <w:sz w:val="20"/>
              </w:rPr>
              <w:t>(923)</w:t>
            </w:r>
          </w:p>
        </w:tc>
      </w:tr>
      <w:tr w:rsidR="00CF14E8" w:rsidRPr="00CF14E8" w14:paraId="348E32F0" w14:textId="77777777" w:rsidTr="00CF14E8">
        <w:trPr>
          <w:trHeight w:val="181"/>
        </w:trPr>
        <w:tc>
          <w:tcPr>
            <w:tcW w:w="3509" w:type="dxa"/>
            <w:tcBorders>
              <w:top w:val="nil"/>
              <w:left w:val="single" w:sz="8" w:space="0" w:color="auto"/>
              <w:bottom w:val="nil"/>
              <w:right w:val="single" w:sz="4" w:space="0" w:color="auto"/>
            </w:tcBorders>
            <w:shd w:val="clear" w:color="000000" w:fill="FFFFFF"/>
            <w:vAlign w:val="bottom"/>
            <w:hideMark/>
          </w:tcPr>
          <w:p w14:paraId="49ED1F98" w14:textId="77777777" w:rsidR="00CF14E8" w:rsidRPr="00CF14E8" w:rsidRDefault="00CF14E8" w:rsidP="00CF14E8">
            <w:pPr>
              <w:rPr>
                <w:rFonts w:eastAsia="Times New Roman" w:cs="Arial"/>
                <w:sz w:val="20"/>
              </w:rPr>
            </w:pPr>
            <w:r w:rsidRPr="00CF14E8">
              <w:rPr>
                <w:rFonts w:eastAsia="Times New Roman" w:cs="Arial"/>
                <w:sz w:val="20"/>
              </w:rPr>
              <w:t>Costs</w:t>
            </w:r>
          </w:p>
        </w:tc>
        <w:tc>
          <w:tcPr>
            <w:tcW w:w="1128" w:type="dxa"/>
            <w:tcBorders>
              <w:top w:val="nil"/>
              <w:left w:val="nil"/>
              <w:bottom w:val="nil"/>
              <w:right w:val="nil"/>
            </w:tcBorders>
            <w:shd w:val="clear" w:color="000000" w:fill="FFFFFF"/>
            <w:noWrap/>
            <w:vAlign w:val="center"/>
            <w:hideMark/>
          </w:tcPr>
          <w:p w14:paraId="28E1EF26" w14:textId="77777777" w:rsidR="00CF14E8" w:rsidRPr="00CF14E8" w:rsidRDefault="00CF14E8" w:rsidP="00CF14E8">
            <w:pPr>
              <w:jc w:val="center"/>
              <w:rPr>
                <w:rFonts w:eastAsia="Times New Roman" w:cs="Arial"/>
                <w:sz w:val="20"/>
              </w:rPr>
            </w:pPr>
            <w:r w:rsidRPr="00CF14E8">
              <w:rPr>
                <w:rFonts w:eastAsia="Times New Roman" w:cs="Arial"/>
                <w:sz w:val="20"/>
              </w:rPr>
              <w:t>-£26</w:t>
            </w:r>
          </w:p>
        </w:tc>
        <w:tc>
          <w:tcPr>
            <w:tcW w:w="1060" w:type="dxa"/>
            <w:tcBorders>
              <w:top w:val="nil"/>
              <w:left w:val="nil"/>
              <w:bottom w:val="nil"/>
              <w:right w:val="nil"/>
            </w:tcBorders>
            <w:shd w:val="clear" w:color="000000" w:fill="FFFFFF"/>
            <w:noWrap/>
            <w:vAlign w:val="center"/>
            <w:hideMark/>
          </w:tcPr>
          <w:p w14:paraId="7EA051FA" w14:textId="77777777" w:rsidR="00CF14E8" w:rsidRPr="00CF14E8" w:rsidRDefault="00CF14E8" w:rsidP="00CF14E8">
            <w:pPr>
              <w:jc w:val="center"/>
              <w:rPr>
                <w:rFonts w:eastAsia="Times New Roman" w:cs="Arial"/>
                <w:sz w:val="20"/>
              </w:rPr>
            </w:pPr>
            <w:r w:rsidRPr="00CF14E8">
              <w:rPr>
                <w:rFonts w:eastAsia="Times New Roman" w:cs="Arial"/>
                <w:sz w:val="20"/>
              </w:rPr>
              <w:t>-£79</w:t>
            </w:r>
          </w:p>
        </w:tc>
        <w:tc>
          <w:tcPr>
            <w:tcW w:w="1078" w:type="dxa"/>
            <w:tcBorders>
              <w:top w:val="nil"/>
              <w:left w:val="nil"/>
              <w:bottom w:val="nil"/>
              <w:right w:val="nil"/>
            </w:tcBorders>
            <w:shd w:val="clear" w:color="000000" w:fill="FFFFFF"/>
            <w:noWrap/>
            <w:vAlign w:val="center"/>
            <w:hideMark/>
          </w:tcPr>
          <w:p w14:paraId="6775E778" w14:textId="77777777" w:rsidR="00CF14E8" w:rsidRPr="00CF14E8" w:rsidRDefault="00CF14E8" w:rsidP="00CF14E8">
            <w:pPr>
              <w:jc w:val="center"/>
              <w:rPr>
                <w:rFonts w:eastAsia="Times New Roman" w:cs="Arial"/>
                <w:sz w:val="20"/>
              </w:rPr>
            </w:pPr>
            <w:r w:rsidRPr="00CF14E8">
              <w:rPr>
                <w:rFonts w:eastAsia="Times New Roman" w:cs="Arial"/>
                <w:sz w:val="20"/>
              </w:rPr>
              <w:t>-£132</w:t>
            </w:r>
          </w:p>
        </w:tc>
        <w:tc>
          <w:tcPr>
            <w:tcW w:w="1078" w:type="dxa"/>
            <w:tcBorders>
              <w:top w:val="nil"/>
              <w:left w:val="nil"/>
              <w:bottom w:val="nil"/>
              <w:right w:val="nil"/>
            </w:tcBorders>
            <w:shd w:val="clear" w:color="000000" w:fill="FFFFFF"/>
            <w:noWrap/>
            <w:vAlign w:val="center"/>
            <w:hideMark/>
          </w:tcPr>
          <w:p w14:paraId="313DC5FB" w14:textId="77777777" w:rsidR="00CF14E8" w:rsidRPr="00CF14E8" w:rsidRDefault="00CF14E8" w:rsidP="00CF14E8">
            <w:pPr>
              <w:jc w:val="center"/>
              <w:rPr>
                <w:rFonts w:eastAsia="Times New Roman" w:cs="Arial"/>
                <w:sz w:val="20"/>
              </w:rPr>
            </w:pPr>
            <w:r w:rsidRPr="00CF14E8">
              <w:rPr>
                <w:rFonts w:eastAsia="Times New Roman" w:cs="Arial"/>
                <w:sz w:val="20"/>
              </w:rPr>
              <w:t>-£185</w:t>
            </w:r>
          </w:p>
        </w:tc>
        <w:tc>
          <w:tcPr>
            <w:tcW w:w="1078" w:type="dxa"/>
            <w:tcBorders>
              <w:top w:val="nil"/>
              <w:left w:val="nil"/>
              <w:bottom w:val="nil"/>
              <w:right w:val="single" w:sz="8" w:space="0" w:color="auto"/>
            </w:tcBorders>
            <w:shd w:val="clear" w:color="000000" w:fill="FFFFFF"/>
            <w:noWrap/>
            <w:vAlign w:val="center"/>
            <w:hideMark/>
          </w:tcPr>
          <w:p w14:paraId="29E0EA6D" w14:textId="77777777" w:rsidR="00CF14E8" w:rsidRPr="00CF14E8" w:rsidRDefault="00CF14E8" w:rsidP="00CF14E8">
            <w:pPr>
              <w:jc w:val="center"/>
              <w:rPr>
                <w:rFonts w:eastAsia="Times New Roman" w:cs="Arial"/>
                <w:sz w:val="20"/>
              </w:rPr>
            </w:pPr>
            <w:r w:rsidRPr="00CF14E8">
              <w:rPr>
                <w:rFonts w:eastAsia="Times New Roman" w:cs="Arial"/>
                <w:sz w:val="20"/>
              </w:rPr>
              <w:t>-£238</w:t>
            </w:r>
          </w:p>
        </w:tc>
      </w:tr>
      <w:tr w:rsidR="00CF14E8" w:rsidRPr="00CF14E8" w14:paraId="10154E0F" w14:textId="77777777" w:rsidTr="00CF14E8">
        <w:trPr>
          <w:trHeight w:val="192"/>
        </w:trPr>
        <w:tc>
          <w:tcPr>
            <w:tcW w:w="3509" w:type="dxa"/>
            <w:tcBorders>
              <w:top w:val="nil"/>
              <w:left w:val="single" w:sz="8" w:space="0" w:color="auto"/>
              <w:bottom w:val="single" w:sz="8" w:space="0" w:color="auto"/>
              <w:right w:val="single" w:sz="4" w:space="0" w:color="auto"/>
            </w:tcBorders>
            <w:shd w:val="clear" w:color="000000" w:fill="FFFFFF"/>
            <w:vAlign w:val="bottom"/>
            <w:hideMark/>
          </w:tcPr>
          <w:p w14:paraId="4E44E4C6" w14:textId="77777777" w:rsidR="00CF14E8" w:rsidRPr="00CF14E8" w:rsidRDefault="00CF14E8" w:rsidP="00CF14E8">
            <w:pPr>
              <w:rPr>
                <w:rFonts w:eastAsia="Times New Roman" w:cs="Arial"/>
                <w:sz w:val="20"/>
              </w:rPr>
            </w:pPr>
            <w:r w:rsidRPr="00CF14E8">
              <w:rPr>
                <w:rFonts w:eastAsia="Times New Roman" w:cs="Arial"/>
                <w:sz w:val="20"/>
              </w:rPr>
              <w:t>Total other (savings)/costs</w:t>
            </w:r>
          </w:p>
        </w:tc>
        <w:tc>
          <w:tcPr>
            <w:tcW w:w="1128" w:type="dxa"/>
            <w:tcBorders>
              <w:top w:val="nil"/>
              <w:left w:val="nil"/>
              <w:bottom w:val="single" w:sz="8" w:space="0" w:color="auto"/>
              <w:right w:val="nil"/>
            </w:tcBorders>
            <w:shd w:val="clear" w:color="000000" w:fill="FFFFFF"/>
            <w:noWrap/>
            <w:vAlign w:val="center"/>
            <w:hideMark/>
          </w:tcPr>
          <w:p w14:paraId="440953A0" w14:textId="77777777" w:rsidR="00CF14E8" w:rsidRPr="00CF14E8" w:rsidRDefault="00CF14E8" w:rsidP="00CF14E8">
            <w:pPr>
              <w:jc w:val="center"/>
              <w:rPr>
                <w:rFonts w:eastAsia="Times New Roman" w:cs="Arial"/>
                <w:sz w:val="20"/>
              </w:rPr>
            </w:pPr>
            <w:r w:rsidRPr="00CF14E8">
              <w:rPr>
                <w:rFonts w:eastAsia="Times New Roman" w:cs="Arial"/>
                <w:sz w:val="20"/>
              </w:rPr>
              <w:t>-£129</w:t>
            </w:r>
          </w:p>
        </w:tc>
        <w:tc>
          <w:tcPr>
            <w:tcW w:w="1060" w:type="dxa"/>
            <w:tcBorders>
              <w:top w:val="nil"/>
              <w:left w:val="nil"/>
              <w:bottom w:val="single" w:sz="8" w:space="0" w:color="auto"/>
              <w:right w:val="nil"/>
            </w:tcBorders>
            <w:shd w:val="clear" w:color="000000" w:fill="FFFFFF"/>
            <w:noWrap/>
            <w:vAlign w:val="center"/>
            <w:hideMark/>
          </w:tcPr>
          <w:p w14:paraId="34D9F6D8" w14:textId="77777777" w:rsidR="00CF14E8" w:rsidRPr="00CF14E8" w:rsidRDefault="00CF14E8" w:rsidP="00CF14E8">
            <w:pPr>
              <w:jc w:val="center"/>
              <w:rPr>
                <w:rFonts w:eastAsia="Times New Roman" w:cs="Arial"/>
                <w:sz w:val="20"/>
              </w:rPr>
            </w:pPr>
            <w:r w:rsidRPr="00CF14E8">
              <w:rPr>
                <w:rFonts w:eastAsia="Times New Roman" w:cs="Arial"/>
                <w:sz w:val="20"/>
              </w:rPr>
              <w:t>-£387</w:t>
            </w:r>
          </w:p>
        </w:tc>
        <w:tc>
          <w:tcPr>
            <w:tcW w:w="1078" w:type="dxa"/>
            <w:tcBorders>
              <w:top w:val="nil"/>
              <w:left w:val="nil"/>
              <w:bottom w:val="single" w:sz="8" w:space="0" w:color="auto"/>
              <w:right w:val="nil"/>
            </w:tcBorders>
            <w:shd w:val="clear" w:color="000000" w:fill="FFFFFF"/>
            <w:noWrap/>
            <w:vAlign w:val="center"/>
            <w:hideMark/>
          </w:tcPr>
          <w:p w14:paraId="28DF8E84" w14:textId="77777777" w:rsidR="00CF14E8" w:rsidRPr="00CF14E8" w:rsidRDefault="00CF14E8" w:rsidP="00CF14E8">
            <w:pPr>
              <w:jc w:val="center"/>
              <w:rPr>
                <w:rFonts w:eastAsia="Times New Roman" w:cs="Arial"/>
                <w:sz w:val="20"/>
              </w:rPr>
            </w:pPr>
            <w:r w:rsidRPr="00CF14E8">
              <w:rPr>
                <w:rFonts w:eastAsia="Times New Roman" w:cs="Arial"/>
                <w:sz w:val="20"/>
              </w:rPr>
              <w:t>-£645</w:t>
            </w:r>
          </w:p>
        </w:tc>
        <w:tc>
          <w:tcPr>
            <w:tcW w:w="1078" w:type="dxa"/>
            <w:tcBorders>
              <w:top w:val="nil"/>
              <w:left w:val="nil"/>
              <w:bottom w:val="single" w:sz="8" w:space="0" w:color="auto"/>
              <w:right w:val="nil"/>
            </w:tcBorders>
            <w:shd w:val="clear" w:color="000000" w:fill="FFFFFF"/>
            <w:noWrap/>
            <w:vAlign w:val="center"/>
            <w:hideMark/>
          </w:tcPr>
          <w:p w14:paraId="236B33D3" w14:textId="77777777" w:rsidR="00CF14E8" w:rsidRPr="00CF14E8" w:rsidRDefault="00CF14E8" w:rsidP="00CF14E8">
            <w:pPr>
              <w:jc w:val="center"/>
              <w:rPr>
                <w:rFonts w:eastAsia="Times New Roman" w:cs="Arial"/>
                <w:sz w:val="20"/>
              </w:rPr>
            </w:pPr>
            <w:r w:rsidRPr="00CF14E8">
              <w:rPr>
                <w:rFonts w:eastAsia="Times New Roman" w:cs="Arial"/>
                <w:sz w:val="20"/>
              </w:rPr>
              <w:t>-£903</w:t>
            </w:r>
          </w:p>
        </w:tc>
        <w:tc>
          <w:tcPr>
            <w:tcW w:w="1078" w:type="dxa"/>
            <w:tcBorders>
              <w:top w:val="nil"/>
              <w:left w:val="nil"/>
              <w:bottom w:val="single" w:sz="8" w:space="0" w:color="auto"/>
              <w:right w:val="single" w:sz="8" w:space="0" w:color="auto"/>
            </w:tcBorders>
            <w:shd w:val="clear" w:color="000000" w:fill="FFFFFF"/>
            <w:noWrap/>
            <w:vAlign w:val="center"/>
            <w:hideMark/>
          </w:tcPr>
          <w:p w14:paraId="62AFDF45" w14:textId="77777777" w:rsidR="00CF14E8" w:rsidRPr="00CF14E8" w:rsidRDefault="00CF14E8" w:rsidP="00CF14E8">
            <w:pPr>
              <w:jc w:val="center"/>
              <w:rPr>
                <w:rFonts w:eastAsia="Times New Roman" w:cs="Arial"/>
                <w:sz w:val="20"/>
              </w:rPr>
            </w:pPr>
            <w:r w:rsidRPr="00CF14E8">
              <w:rPr>
                <w:rFonts w:eastAsia="Times New Roman" w:cs="Arial"/>
                <w:sz w:val="20"/>
              </w:rPr>
              <w:t>-£1,161</w:t>
            </w:r>
          </w:p>
        </w:tc>
      </w:tr>
      <w:tr w:rsidR="00CF14E8" w:rsidRPr="00CF14E8" w14:paraId="2710C59A" w14:textId="77777777" w:rsidTr="00CF14E8">
        <w:trPr>
          <w:trHeight w:val="192"/>
        </w:trPr>
        <w:tc>
          <w:tcPr>
            <w:tcW w:w="3509" w:type="dxa"/>
            <w:tcBorders>
              <w:top w:val="nil"/>
              <w:left w:val="nil"/>
              <w:bottom w:val="nil"/>
              <w:right w:val="nil"/>
            </w:tcBorders>
            <w:shd w:val="clear" w:color="000000" w:fill="FFFFFF"/>
            <w:vAlign w:val="bottom"/>
            <w:hideMark/>
          </w:tcPr>
          <w:p w14:paraId="1C604FD2" w14:textId="77777777" w:rsidR="00CF14E8" w:rsidRPr="00CF14E8" w:rsidRDefault="00CF14E8" w:rsidP="00CF14E8">
            <w:pPr>
              <w:rPr>
                <w:rFonts w:eastAsia="Times New Roman" w:cs="Arial"/>
                <w:sz w:val="20"/>
              </w:rPr>
            </w:pPr>
            <w:r w:rsidRPr="00CF14E8">
              <w:rPr>
                <w:rFonts w:eastAsia="Times New Roman" w:cs="Arial"/>
                <w:sz w:val="20"/>
              </w:rPr>
              <w:t> </w:t>
            </w:r>
          </w:p>
        </w:tc>
        <w:tc>
          <w:tcPr>
            <w:tcW w:w="1128" w:type="dxa"/>
            <w:tcBorders>
              <w:top w:val="nil"/>
              <w:left w:val="nil"/>
              <w:bottom w:val="nil"/>
              <w:right w:val="nil"/>
            </w:tcBorders>
            <w:shd w:val="clear" w:color="000000" w:fill="FFFFFF"/>
            <w:noWrap/>
            <w:vAlign w:val="center"/>
            <w:hideMark/>
          </w:tcPr>
          <w:p w14:paraId="35E2F1DF" w14:textId="77777777" w:rsidR="00CF14E8" w:rsidRPr="00CF14E8" w:rsidRDefault="00CF14E8" w:rsidP="00CF14E8">
            <w:pPr>
              <w:rPr>
                <w:rFonts w:eastAsia="Times New Roman" w:cs="Arial"/>
                <w:sz w:val="20"/>
              </w:rPr>
            </w:pPr>
            <w:r w:rsidRPr="00CF14E8">
              <w:rPr>
                <w:rFonts w:eastAsia="Times New Roman" w:cs="Arial"/>
                <w:sz w:val="20"/>
              </w:rPr>
              <w:t> </w:t>
            </w:r>
          </w:p>
        </w:tc>
        <w:tc>
          <w:tcPr>
            <w:tcW w:w="1060" w:type="dxa"/>
            <w:tcBorders>
              <w:top w:val="nil"/>
              <w:left w:val="nil"/>
              <w:bottom w:val="nil"/>
              <w:right w:val="nil"/>
            </w:tcBorders>
            <w:shd w:val="clear" w:color="000000" w:fill="FFFFFF"/>
            <w:noWrap/>
            <w:vAlign w:val="center"/>
            <w:hideMark/>
          </w:tcPr>
          <w:p w14:paraId="5E65D5E5"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03CBA2E3"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36349922" w14:textId="77777777" w:rsidR="00CF14E8" w:rsidRPr="00CF14E8" w:rsidRDefault="00CF14E8" w:rsidP="00CF14E8">
            <w:pPr>
              <w:rPr>
                <w:rFonts w:eastAsia="Times New Roman" w:cs="Arial"/>
                <w:sz w:val="20"/>
              </w:rPr>
            </w:pPr>
            <w:r w:rsidRPr="00CF14E8">
              <w:rPr>
                <w:rFonts w:eastAsia="Times New Roman" w:cs="Arial"/>
                <w:sz w:val="20"/>
              </w:rPr>
              <w:t> </w:t>
            </w:r>
          </w:p>
        </w:tc>
        <w:tc>
          <w:tcPr>
            <w:tcW w:w="1078" w:type="dxa"/>
            <w:tcBorders>
              <w:top w:val="nil"/>
              <w:left w:val="nil"/>
              <w:bottom w:val="nil"/>
              <w:right w:val="nil"/>
            </w:tcBorders>
            <w:shd w:val="clear" w:color="000000" w:fill="FFFFFF"/>
            <w:noWrap/>
            <w:vAlign w:val="center"/>
            <w:hideMark/>
          </w:tcPr>
          <w:p w14:paraId="1AE38FCF" w14:textId="77777777" w:rsidR="00CF14E8" w:rsidRPr="00CF14E8" w:rsidRDefault="00CF14E8" w:rsidP="00CF14E8">
            <w:pPr>
              <w:rPr>
                <w:rFonts w:eastAsia="Times New Roman" w:cs="Arial"/>
                <w:sz w:val="20"/>
              </w:rPr>
            </w:pPr>
            <w:r w:rsidRPr="00CF14E8">
              <w:rPr>
                <w:rFonts w:eastAsia="Times New Roman" w:cs="Arial"/>
                <w:sz w:val="20"/>
              </w:rPr>
              <w:t> </w:t>
            </w:r>
          </w:p>
        </w:tc>
      </w:tr>
      <w:tr w:rsidR="00CF14E8" w:rsidRPr="00CF14E8" w14:paraId="31F85CFE" w14:textId="77777777" w:rsidTr="00CF14E8">
        <w:trPr>
          <w:trHeight w:val="252"/>
        </w:trPr>
        <w:tc>
          <w:tcPr>
            <w:tcW w:w="3509" w:type="dxa"/>
            <w:tcBorders>
              <w:top w:val="single" w:sz="12" w:space="0" w:color="auto"/>
              <w:left w:val="single" w:sz="12" w:space="0" w:color="auto"/>
              <w:bottom w:val="single" w:sz="12" w:space="0" w:color="auto"/>
              <w:right w:val="nil"/>
            </w:tcBorders>
            <w:shd w:val="clear" w:color="000000" w:fill="FFFFFF"/>
            <w:vAlign w:val="bottom"/>
            <w:hideMark/>
          </w:tcPr>
          <w:p w14:paraId="497970C6" w14:textId="77777777" w:rsidR="00CF14E8" w:rsidRPr="00CF14E8" w:rsidRDefault="00CF14E8" w:rsidP="00CF14E8">
            <w:pPr>
              <w:rPr>
                <w:rFonts w:eastAsia="Times New Roman" w:cs="Arial"/>
                <w:b/>
                <w:bCs/>
                <w:szCs w:val="24"/>
              </w:rPr>
            </w:pPr>
            <w:r w:rsidRPr="00CF14E8">
              <w:rPr>
                <w:rFonts w:eastAsia="Times New Roman" w:cs="Arial"/>
                <w:b/>
                <w:bCs/>
                <w:szCs w:val="24"/>
              </w:rPr>
              <w:t>NET TOTAL BUDGET IMPACT</w:t>
            </w:r>
          </w:p>
        </w:tc>
        <w:tc>
          <w:tcPr>
            <w:tcW w:w="1128" w:type="dxa"/>
            <w:tcBorders>
              <w:top w:val="single" w:sz="12" w:space="0" w:color="auto"/>
              <w:left w:val="nil"/>
              <w:bottom w:val="single" w:sz="12" w:space="0" w:color="auto"/>
              <w:right w:val="nil"/>
            </w:tcBorders>
            <w:shd w:val="clear" w:color="000000" w:fill="FFFFFF"/>
            <w:noWrap/>
            <w:vAlign w:val="center"/>
            <w:hideMark/>
          </w:tcPr>
          <w:p w14:paraId="52E82EE0" w14:textId="77777777" w:rsidR="00CF14E8" w:rsidRPr="00CF14E8" w:rsidRDefault="00CF14E8" w:rsidP="00CF14E8">
            <w:pPr>
              <w:jc w:val="center"/>
              <w:rPr>
                <w:rFonts w:eastAsia="Times New Roman" w:cs="Arial"/>
                <w:b/>
                <w:bCs/>
                <w:szCs w:val="24"/>
              </w:rPr>
            </w:pPr>
            <w:r w:rsidRPr="00CF14E8">
              <w:rPr>
                <w:rFonts w:eastAsia="Times New Roman" w:cs="Arial"/>
                <w:b/>
                <w:bCs/>
                <w:szCs w:val="24"/>
              </w:rPr>
              <w:t>-£109</w:t>
            </w:r>
          </w:p>
        </w:tc>
        <w:tc>
          <w:tcPr>
            <w:tcW w:w="1060" w:type="dxa"/>
            <w:tcBorders>
              <w:top w:val="single" w:sz="12" w:space="0" w:color="auto"/>
              <w:left w:val="nil"/>
              <w:bottom w:val="single" w:sz="12" w:space="0" w:color="auto"/>
              <w:right w:val="nil"/>
            </w:tcBorders>
            <w:shd w:val="clear" w:color="000000" w:fill="FFFFFF"/>
            <w:noWrap/>
            <w:vAlign w:val="center"/>
            <w:hideMark/>
          </w:tcPr>
          <w:p w14:paraId="305B2423" w14:textId="77777777" w:rsidR="00CF14E8" w:rsidRPr="00CF14E8" w:rsidRDefault="00CF14E8" w:rsidP="00CF14E8">
            <w:pPr>
              <w:jc w:val="center"/>
              <w:rPr>
                <w:rFonts w:eastAsia="Times New Roman" w:cs="Arial"/>
                <w:b/>
                <w:bCs/>
                <w:szCs w:val="24"/>
              </w:rPr>
            </w:pPr>
            <w:r w:rsidRPr="00CF14E8">
              <w:rPr>
                <w:rFonts w:eastAsia="Times New Roman" w:cs="Arial"/>
                <w:b/>
                <w:bCs/>
                <w:szCs w:val="24"/>
              </w:rPr>
              <w:t>-£327</w:t>
            </w:r>
          </w:p>
        </w:tc>
        <w:tc>
          <w:tcPr>
            <w:tcW w:w="1078" w:type="dxa"/>
            <w:tcBorders>
              <w:top w:val="single" w:sz="12" w:space="0" w:color="auto"/>
              <w:left w:val="nil"/>
              <w:bottom w:val="single" w:sz="12" w:space="0" w:color="auto"/>
              <w:right w:val="nil"/>
            </w:tcBorders>
            <w:shd w:val="clear" w:color="000000" w:fill="FFFFFF"/>
            <w:noWrap/>
            <w:vAlign w:val="center"/>
            <w:hideMark/>
          </w:tcPr>
          <w:p w14:paraId="3386279C" w14:textId="77777777" w:rsidR="00CF14E8" w:rsidRPr="00CF14E8" w:rsidRDefault="00CF14E8" w:rsidP="00CF14E8">
            <w:pPr>
              <w:jc w:val="center"/>
              <w:rPr>
                <w:rFonts w:eastAsia="Times New Roman" w:cs="Arial"/>
                <w:b/>
                <w:bCs/>
                <w:szCs w:val="24"/>
              </w:rPr>
            </w:pPr>
            <w:r w:rsidRPr="00CF14E8">
              <w:rPr>
                <w:rFonts w:eastAsia="Times New Roman" w:cs="Arial"/>
                <w:b/>
                <w:bCs/>
                <w:szCs w:val="24"/>
              </w:rPr>
              <w:t>-£544</w:t>
            </w:r>
          </w:p>
        </w:tc>
        <w:tc>
          <w:tcPr>
            <w:tcW w:w="1078" w:type="dxa"/>
            <w:tcBorders>
              <w:top w:val="single" w:sz="12" w:space="0" w:color="auto"/>
              <w:left w:val="nil"/>
              <w:bottom w:val="single" w:sz="12" w:space="0" w:color="auto"/>
              <w:right w:val="nil"/>
            </w:tcBorders>
            <w:shd w:val="clear" w:color="000000" w:fill="FFFFFF"/>
            <w:noWrap/>
            <w:vAlign w:val="center"/>
            <w:hideMark/>
          </w:tcPr>
          <w:p w14:paraId="3CAA5DCB" w14:textId="77777777" w:rsidR="00CF14E8" w:rsidRPr="00CF14E8" w:rsidRDefault="00CF14E8" w:rsidP="00CF14E8">
            <w:pPr>
              <w:jc w:val="center"/>
              <w:rPr>
                <w:rFonts w:eastAsia="Times New Roman" w:cs="Arial"/>
                <w:b/>
                <w:bCs/>
                <w:szCs w:val="24"/>
              </w:rPr>
            </w:pPr>
            <w:r w:rsidRPr="00CF14E8">
              <w:rPr>
                <w:rFonts w:eastAsia="Times New Roman" w:cs="Arial"/>
                <w:b/>
                <w:bCs/>
                <w:szCs w:val="24"/>
              </w:rPr>
              <w:t>-£762</w:t>
            </w:r>
          </w:p>
        </w:tc>
        <w:tc>
          <w:tcPr>
            <w:tcW w:w="1078" w:type="dxa"/>
            <w:tcBorders>
              <w:top w:val="single" w:sz="12" w:space="0" w:color="auto"/>
              <w:left w:val="nil"/>
              <w:bottom w:val="single" w:sz="12" w:space="0" w:color="auto"/>
              <w:right w:val="single" w:sz="12" w:space="0" w:color="auto"/>
            </w:tcBorders>
            <w:shd w:val="clear" w:color="000000" w:fill="FFFFFF"/>
            <w:noWrap/>
            <w:vAlign w:val="center"/>
            <w:hideMark/>
          </w:tcPr>
          <w:p w14:paraId="6EDD1194" w14:textId="77777777" w:rsidR="00CF14E8" w:rsidRPr="00CF14E8" w:rsidRDefault="00CF14E8" w:rsidP="00CF14E8">
            <w:pPr>
              <w:jc w:val="center"/>
              <w:rPr>
                <w:rFonts w:eastAsia="Times New Roman" w:cs="Arial"/>
                <w:b/>
                <w:bCs/>
                <w:szCs w:val="24"/>
              </w:rPr>
            </w:pPr>
            <w:r w:rsidRPr="00CF14E8">
              <w:rPr>
                <w:rFonts w:eastAsia="Times New Roman" w:cs="Arial"/>
                <w:b/>
                <w:bCs/>
                <w:szCs w:val="24"/>
              </w:rPr>
              <w:t>-£980</w:t>
            </w:r>
          </w:p>
        </w:tc>
      </w:tr>
    </w:tbl>
    <w:p w14:paraId="60A1E524" w14:textId="77777777" w:rsidR="007039D3" w:rsidRDefault="007039D3" w:rsidP="004A7E99">
      <w:pPr>
        <w:widowControl w:val="0"/>
        <w:autoSpaceDE w:val="0"/>
        <w:autoSpaceDN w:val="0"/>
        <w:adjustRightInd w:val="0"/>
        <w:rPr>
          <w:rFonts w:cs="Arial"/>
          <w:sz w:val="22"/>
          <w:szCs w:val="22"/>
          <w:lang w:val="en-US"/>
        </w:rPr>
      </w:pPr>
    </w:p>
    <w:p w14:paraId="1934471C" w14:textId="77777777" w:rsidR="005766C0" w:rsidRPr="002A1891" w:rsidRDefault="005766C0" w:rsidP="004A7E99">
      <w:pPr>
        <w:widowControl w:val="0"/>
        <w:autoSpaceDE w:val="0"/>
        <w:autoSpaceDN w:val="0"/>
        <w:adjustRightInd w:val="0"/>
        <w:rPr>
          <w:rFonts w:cs="Arial"/>
          <w:sz w:val="22"/>
          <w:szCs w:val="22"/>
          <w:lang w:val="en-US"/>
        </w:rPr>
      </w:pPr>
      <w:r w:rsidRPr="002A1891">
        <w:rPr>
          <w:rFonts w:cs="Arial"/>
          <w:sz w:val="22"/>
          <w:szCs w:val="22"/>
          <w:lang w:val="en-US"/>
        </w:rPr>
        <w:t xml:space="preserve">In the scenario analysis described in sub-section 7 c) below, the number of patients eligible for treatment is based on the number of patients receiving linezolid who had confirmed MRSA infections.  </w:t>
      </w:r>
    </w:p>
    <w:p w14:paraId="0598B1A0" w14:textId="77777777" w:rsidR="005766C0" w:rsidRPr="002A1891" w:rsidRDefault="005766C0" w:rsidP="005766C0">
      <w:pPr>
        <w:tabs>
          <w:tab w:val="num" w:pos="0"/>
        </w:tabs>
        <w:rPr>
          <w:rFonts w:cs="Arial"/>
          <w:sz w:val="22"/>
          <w:szCs w:val="22"/>
        </w:rPr>
      </w:pPr>
    </w:p>
    <w:p w14:paraId="4DE3004B" w14:textId="77777777" w:rsidR="005766C0" w:rsidRPr="00FE164B" w:rsidRDefault="005766C0" w:rsidP="00FE164B">
      <w:pPr>
        <w:tabs>
          <w:tab w:val="num" w:pos="567"/>
        </w:tabs>
        <w:spacing w:after="120"/>
        <w:ind w:left="567" w:hanging="567"/>
        <w:rPr>
          <w:rFonts w:cs="Arial"/>
          <w:sz w:val="22"/>
          <w:szCs w:val="22"/>
        </w:rPr>
      </w:pPr>
      <w:r w:rsidRPr="00FE164B">
        <w:rPr>
          <w:rFonts w:cs="Arial"/>
          <w:sz w:val="22"/>
          <w:szCs w:val="22"/>
        </w:rPr>
        <w:t>The budget impact analysis also makes the following key assumptions:</w:t>
      </w:r>
    </w:p>
    <w:p w14:paraId="188F2DCB" w14:textId="77777777" w:rsidR="005766C0" w:rsidRPr="00FE164B" w:rsidRDefault="005766C0" w:rsidP="00FE164B">
      <w:pPr>
        <w:tabs>
          <w:tab w:val="num" w:pos="567"/>
        </w:tabs>
        <w:spacing w:after="120"/>
        <w:ind w:left="567" w:hanging="567"/>
        <w:rPr>
          <w:rFonts w:cs="Arial"/>
          <w:sz w:val="22"/>
          <w:szCs w:val="22"/>
        </w:rPr>
      </w:pPr>
    </w:p>
    <w:p w14:paraId="47DC717A" w14:textId="7D5EC50C" w:rsidR="005766C0" w:rsidRPr="00FE164B" w:rsidRDefault="000339DD" w:rsidP="00FE164B">
      <w:pPr>
        <w:pStyle w:val="ListParagraph"/>
        <w:numPr>
          <w:ilvl w:val="0"/>
          <w:numId w:val="64"/>
        </w:numPr>
        <w:tabs>
          <w:tab w:val="num" w:pos="567"/>
        </w:tabs>
        <w:spacing w:after="120"/>
        <w:contextualSpacing w:val="0"/>
        <w:rPr>
          <w:rFonts w:cs="Arial"/>
          <w:b/>
          <w:sz w:val="22"/>
          <w:szCs w:val="22"/>
        </w:rPr>
      </w:pPr>
      <w:r w:rsidRPr="00FE164B">
        <w:rPr>
          <w:rFonts w:cs="Arial"/>
          <w:b/>
          <w:sz w:val="22"/>
          <w:szCs w:val="22"/>
        </w:rPr>
        <w:t>10</w:t>
      </w:r>
      <w:r w:rsidR="005766C0" w:rsidRPr="00FE164B">
        <w:rPr>
          <w:rFonts w:cs="Arial"/>
          <w:b/>
          <w:sz w:val="22"/>
          <w:szCs w:val="22"/>
        </w:rPr>
        <w:t xml:space="preserve"> days treatment duration for linezolid. </w:t>
      </w:r>
      <w:r w:rsidR="005766C0" w:rsidRPr="00FE164B">
        <w:rPr>
          <w:rFonts w:cs="Arial"/>
          <w:sz w:val="22"/>
          <w:szCs w:val="22"/>
        </w:rPr>
        <w:t>The recommended course of treatment with linezolid for a cSSTI is 10-14 consecutive days (</w:t>
      </w:r>
      <w:r w:rsidR="003E470C">
        <w:rPr>
          <w:rFonts w:cs="Arial"/>
          <w:sz w:val="22"/>
          <w:szCs w:val="22"/>
        </w:rPr>
        <w:fldChar w:fldCharType="begin"/>
      </w:r>
      <w:r w:rsidR="003E470C">
        <w:rPr>
          <w:rFonts w:cs="Arial"/>
          <w:sz w:val="22"/>
          <w:szCs w:val="22"/>
        </w:rPr>
        <w:instrText xml:space="preserve"> REF _Ref284439522 \r \h </w:instrText>
      </w:r>
      <w:r w:rsidR="003E470C">
        <w:rPr>
          <w:rFonts w:cs="Arial"/>
          <w:sz w:val="22"/>
          <w:szCs w:val="22"/>
        </w:rPr>
      </w:r>
      <w:r w:rsidR="003E470C">
        <w:rPr>
          <w:rFonts w:cs="Arial"/>
          <w:sz w:val="22"/>
          <w:szCs w:val="22"/>
        </w:rPr>
        <w:fldChar w:fldCharType="separate"/>
      </w:r>
      <w:r w:rsidR="00151A1C">
        <w:rPr>
          <w:rFonts w:cs="Arial"/>
          <w:sz w:val="22"/>
          <w:szCs w:val="22"/>
        </w:rPr>
        <w:t>74</w:t>
      </w:r>
      <w:r w:rsidR="003E470C">
        <w:rPr>
          <w:rFonts w:cs="Arial"/>
          <w:sz w:val="22"/>
          <w:szCs w:val="22"/>
        </w:rPr>
        <w:fldChar w:fldCharType="end"/>
      </w:r>
      <w:r w:rsidR="005766C0" w:rsidRPr="00FE164B">
        <w:rPr>
          <w:rFonts w:cs="Arial"/>
          <w:sz w:val="22"/>
          <w:szCs w:val="22"/>
        </w:rPr>
        <w:t xml:space="preserve">). In the Phase 3 clinical studies, </w:t>
      </w:r>
      <w:r w:rsidR="009C6B9E" w:rsidRPr="00FE164B">
        <w:rPr>
          <w:rFonts w:cs="Arial"/>
          <w:sz w:val="22"/>
          <w:szCs w:val="22"/>
        </w:rPr>
        <w:t xml:space="preserve">however, </w:t>
      </w:r>
      <w:r w:rsidR="005766C0" w:rsidRPr="00FE164B">
        <w:rPr>
          <w:rFonts w:cs="Arial"/>
          <w:sz w:val="22"/>
          <w:szCs w:val="22"/>
        </w:rPr>
        <w:t xml:space="preserve">6 days of tedizolid phosphate was compared to a 10-day course of linezolid. For the purposes of this budget impact analysis, </w:t>
      </w:r>
      <w:r w:rsidR="009C6B9E" w:rsidRPr="00FE164B">
        <w:rPr>
          <w:rFonts w:cs="Arial"/>
          <w:sz w:val="22"/>
          <w:szCs w:val="22"/>
        </w:rPr>
        <w:t>therefo</w:t>
      </w:r>
      <w:r w:rsidR="005766C0" w:rsidRPr="00FE164B">
        <w:rPr>
          <w:rFonts w:cs="Arial"/>
          <w:sz w:val="22"/>
          <w:szCs w:val="22"/>
        </w:rPr>
        <w:t>r</w:t>
      </w:r>
      <w:r w:rsidR="009C6B9E" w:rsidRPr="00FE164B">
        <w:rPr>
          <w:rFonts w:cs="Arial"/>
          <w:sz w:val="22"/>
          <w:szCs w:val="22"/>
        </w:rPr>
        <w:t>e</w:t>
      </w:r>
      <w:r w:rsidR="005766C0" w:rsidRPr="00FE164B">
        <w:rPr>
          <w:rFonts w:cs="Arial"/>
          <w:sz w:val="22"/>
          <w:szCs w:val="22"/>
        </w:rPr>
        <w:t xml:space="preserve">, the manufacturer has assumed that a course of treatment with linezolid would last </w:t>
      </w:r>
      <w:r w:rsidRPr="00FE164B">
        <w:rPr>
          <w:rFonts w:cs="Arial"/>
          <w:sz w:val="22"/>
          <w:szCs w:val="22"/>
        </w:rPr>
        <w:t xml:space="preserve">10 </w:t>
      </w:r>
      <w:r w:rsidR="005766C0" w:rsidRPr="00FE164B">
        <w:rPr>
          <w:rFonts w:cs="Arial"/>
          <w:sz w:val="22"/>
          <w:szCs w:val="22"/>
        </w:rPr>
        <w:t>days</w:t>
      </w:r>
      <w:r w:rsidR="009C6B9E" w:rsidRPr="00FE164B">
        <w:rPr>
          <w:rFonts w:cs="Arial"/>
          <w:sz w:val="22"/>
          <w:szCs w:val="22"/>
        </w:rPr>
        <w:t xml:space="preserve"> only</w:t>
      </w:r>
      <w:r w:rsidR="005766C0" w:rsidRPr="00FE164B">
        <w:rPr>
          <w:rFonts w:cs="Arial"/>
          <w:sz w:val="22"/>
          <w:szCs w:val="22"/>
        </w:rPr>
        <w:t xml:space="preserve">, </w:t>
      </w:r>
      <w:r w:rsidRPr="00FE164B">
        <w:rPr>
          <w:rFonts w:cs="Arial"/>
          <w:sz w:val="22"/>
          <w:szCs w:val="22"/>
        </w:rPr>
        <w:t xml:space="preserve">as per the </w:t>
      </w:r>
      <w:r w:rsidR="009C6B9E" w:rsidRPr="00FE164B">
        <w:rPr>
          <w:rFonts w:cs="Arial"/>
          <w:sz w:val="22"/>
          <w:szCs w:val="22"/>
        </w:rPr>
        <w:t xml:space="preserve">clinical </w:t>
      </w:r>
      <w:r w:rsidRPr="00FE164B">
        <w:rPr>
          <w:rFonts w:cs="Arial"/>
          <w:sz w:val="22"/>
          <w:szCs w:val="22"/>
        </w:rPr>
        <w:t>trials</w:t>
      </w:r>
      <w:r w:rsidR="009C6B9E" w:rsidRPr="00FE164B">
        <w:rPr>
          <w:rFonts w:cs="Arial"/>
          <w:sz w:val="22"/>
          <w:szCs w:val="22"/>
        </w:rPr>
        <w:t xml:space="preserve"> and in accordance with the CMA base case described in section 6.</w:t>
      </w:r>
      <w:r w:rsidRPr="00FE164B">
        <w:rPr>
          <w:rFonts w:cs="Arial"/>
          <w:sz w:val="22"/>
          <w:szCs w:val="22"/>
        </w:rPr>
        <w:t xml:space="preserve"> </w:t>
      </w:r>
      <w:r w:rsidR="009C6B9E" w:rsidRPr="00FE164B">
        <w:rPr>
          <w:rFonts w:cs="Arial"/>
          <w:sz w:val="22"/>
          <w:szCs w:val="22"/>
        </w:rPr>
        <w:t>In practice, the treatment course of linezolid could be longer than 10 days.</w:t>
      </w:r>
    </w:p>
    <w:p w14:paraId="6EFA4004" w14:textId="0B616011" w:rsidR="005766C0" w:rsidRPr="00FE164B" w:rsidRDefault="005766C0" w:rsidP="00FE164B">
      <w:pPr>
        <w:pStyle w:val="ListParagraph"/>
        <w:numPr>
          <w:ilvl w:val="0"/>
          <w:numId w:val="64"/>
        </w:numPr>
        <w:tabs>
          <w:tab w:val="num" w:pos="567"/>
        </w:tabs>
        <w:spacing w:after="120"/>
        <w:contextualSpacing w:val="0"/>
        <w:rPr>
          <w:rFonts w:cs="Arial"/>
          <w:b/>
          <w:sz w:val="22"/>
          <w:szCs w:val="22"/>
        </w:rPr>
      </w:pPr>
      <w:r w:rsidRPr="00FE164B">
        <w:rPr>
          <w:rFonts w:cs="Arial"/>
          <w:b/>
          <w:sz w:val="22"/>
          <w:szCs w:val="22"/>
        </w:rPr>
        <w:t xml:space="preserve">Incidence of MRSA-caused ABSSSIs remains constant. </w:t>
      </w:r>
      <w:r w:rsidRPr="00FE164B">
        <w:rPr>
          <w:rFonts w:cs="Arial"/>
          <w:sz w:val="22"/>
          <w:szCs w:val="22"/>
        </w:rPr>
        <w:t xml:space="preserve">The number of MRSA bacteraemias has fallen in recent years, due in large part to the successful implementation of strategies to prevent and treat MRSA infections. The annual incidence of </w:t>
      </w:r>
      <w:r w:rsidRPr="00FE164B">
        <w:rPr>
          <w:rFonts w:cs="Arial"/>
          <w:iCs/>
          <w:sz w:val="22"/>
          <w:szCs w:val="22"/>
        </w:rPr>
        <w:t>SAB</w:t>
      </w:r>
      <w:r w:rsidRPr="00FE164B">
        <w:rPr>
          <w:rFonts w:cs="Arial"/>
          <w:sz w:val="22"/>
          <w:szCs w:val="22"/>
        </w:rPr>
        <w:t xml:space="preserve"> for Scotland in 2013 was 31.1 per 100 000 AOBDs</w:t>
      </w:r>
      <w:r w:rsidR="003E020D" w:rsidRPr="00FE164B">
        <w:rPr>
          <w:rFonts w:cs="Arial"/>
          <w:sz w:val="22"/>
          <w:szCs w:val="22"/>
        </w:rPr>
        <w:t xml:space="preserve"> (</w:t>
      </w:r>
      <w:r w:rsidR="00211BCD">
        <w:rPr>
          <w:rFonts w:cs="Arial"/>
          <w:sz w:val="22"/>
          <w:szCs w:val="22"/>
          <w:highlight w:val="yellow"/>
        </w:rPr>
        <w:fldChar w:fldCharType="begin"/>
      </w:r>
      <w:r w:rsidR="00211BCD">
        <w:rPr>
          <w:rFonts w:cs="Arial"/>
          <w:sz w:val="22"/>
          <w:szCs w:val="22"/>
        </w:rPr>
        <w:instrText xml:space="preserve"> REF _Ref284187917 \r \h </w:instrText>
      </w:r>
      <w:r w:rsidR="00211BCD">
        <w:rPr>
          <w:rFonts w:cs="Arial"/>
          <w:sz w:val="22"/>
          <w:szCs w:val="22"/>
          <w:highlight w:val="yellow"/>
        </w:rPr>
      </w:r>
      <w:r w:rsidR="00211BCD">
        <w:rPr>
          <w:rFonts w:cs="Arial"/>
          <w:sz w:val="22"/>
          <w:szCs w:val="22"/>
          <w:highlight w:val="yellow"/>
        </w:rPr>
        <w:fldChar w:fldCharType="separate"/>
      </w:r>
      <w:r w:rsidR="00151A1C">
        <w:rPr>
          <w:rFonts w:cs="Arial"/>
          <w:sz w:val="22"/>
          <w:szCs w:val="22"/>
        </w:rPr>
        <w:t>25</w:t>
      </w:r>
      <w:r w:rsidR="00211BCD">
        <w:rPr>
          <w:rFonts w:cs="Arial"/>
          <w:sz w:val="22"/>
          <w:szCs w:val="22"/>
          <w:highlight w:val="yellow"/>
        </w:rPr>
        <w:fldChar w:fldCharType="end"/>
      </w:r>
      <w:r w:rsidR="003E020D" w:rsidRPr="00FE164B">
        <w:rPr>
          <w:rFonts w:cs="Arial"/>
          <w:sz w:val="22"/>
          <w:szCs w:val="22"/>
        </w:rPr>
        <w:t>)</w:t>
      </w:r>
      <w:r w:rsidRPr="00FE164B">
        <w:rPr>
          <w:rFonts w:cs="Arial"/>
          <w:sz w:val="22"/>
          <w:szCs w:val="22"/>
        </w:rPr>
        <w:t xml:space="preserve">. This was not significantly different compared to the previous year (p=0.25). </w:t>
      </w:r>
      <w:r w:rsidR="004E56EB" w:rsidRPr="00FE164B">
        <w:rPr>
          <w:rFonts w:cs="Arial"/>
          <w:sz w:val="22"/>
          <w:szCs w:val="22"/>
        </w:rPr>
        <w:t xml:space="preserve">In its most recent update, </w:t>
      </w:r>
      <w:r w:rsidR="00423982" w:rsidRPr="00FE164B">
        <w:rPr>
          <w:rFonts w:cs="Arial"/>
          <w:sz w:val="22"/>
          <w:szCs w:val="22"/>
        </w:rPr>
        <w:t>HPS confirmed that SAB and MRSA/MSSA i</w:t>
      </w:r>
      <w:r w:rsidR="004E56EB" w:rsidRPr="00FE164B">
        <w:rPr>
          <w:rFonts w:cs="Arial"/>
          <w:sz w:val="22"/>
          <w:szCs w:val="22"/>
        </w:rPr>
        <w:t xml:space="preserve">ncidence rates </w:t>
      </w:r>
      <w:r w:rsidR="003E020D" w:rsidRPr="00FE164B">
        <w:rPr>
          <w:rFonts w:cs="Arial"/>
          <w:sz w:val="22"/>
          <w:szCs w:val="22"/>
        </w:rPr>
        <w:t>continue to plateau (</w:t>
      </w:r>
      <w:r w:rsidR="00211BCD">
        <w:rPr>
          <w:rFonts w:cs="Arial"/>
          <w:sz w:val="22"/>
          <w:szCs w:val="22"/>
        </w:rPr>
        <w:fldChar w:fldCharType="begin"/>
      </w:r>
      <w:r w:rsidR="00211BCD">
        <w:rPr>
          <w:rFonts w:cs="Arial"/>
          <w:sz w:val="22"/>
          <w:szCs w:val="22"/>
        </w:rPr>
        <w:instrText xml:space="preserve"> REF _Ref284187917 \r \h </w:instrText>
      </w:r>
      <w:r w:rsidR="00211BCD">
        <w:rPr>
          <w:rFonts w:cs="Arial"/>
          <w:sz w:val="22"/>
          <w:szCs w:val="22"/>
        </w:rPr>
      </w:r>
      <w:r w:rsidR="00211BCD">
        <w:rPr>
          <w:rFonts w:cs="Arial"/>
          <w:sz w:val="22"/>
          <w:szCs w:val="22"/>
        </w:rPr>
        <w:fldChar w:fldCharType="separate"/>
      </w:r>
      <w:r w:rsidR="00151A1C">
        <w:rPr>
          <w:rFonts w:cs="Arial"/>
          <w:sz w:val="22"/>
          <w:szCs w:val="22"/>
        </w:rPr>
        <w:t>25</w:t>
      </w:r>
      <w:r w:rsidR="00211BCD">
        <w:rPr>
          <w:rFonts w:cs="Arial"/>
          <w:sz w:val="22"/>
          <w:szCs w:val="22"/>
        </w:rPr>
        <w:fldChar w:fldCharType="end"/>
      </w:r>
      <w:r w:rsidR="00211BCD">
        <w:rPr>
          <w:rFonts w:cs="Arial"/>
          <w:sz w:val="22"/>
          <w:szCs w:val="22"/>
          <w:lang w:val="en-US" w:eastAsia="ja-JP"/>
        </w:rPr>
        <w:t>)</w:t>
      </w:r>
      <w:r w:rsidR="003E020D" w:rsidRPr="00FE164B">
        <w:rPr>
          <w:rFonts w:cs="Arial"/>
          <w:sz w:val="22"/>
          <w:szCs w:val="22"/>
          <w:lang w:val="en-US" w:eastAsia="ja-JP"/>
        </w:rPr>
        <w:t xml:space="preserve">. </w:t>
      </w:r>
      <w:r w:rsidRPr="00FE164B">
        <w:rPr>
          <w:rFonts w:cs="Arial"/>
          <w:sz w:val="22"/>
          <w:szCs w:val="22"/>
        </w:rPr>
        <w:t>The manufacturer has assumed, therefore, that the number of MRSA infections in Scotland would remain broadly constant over the five-year term of the budget impact analysis.</w:t>
      </w:r>
    </w:p>
    <w:p w14:paraId="1176CC79" w14:textId="5743F301" w:rsidR="005766C0" w:rsidRPr="00FE164B" w:rsidRDefault="005766C0" w:rsidP="00FE164B">
      <w:pPr>
        <w:pStyle w:val="ListParagraph"/>
        <w:numPr>
          <w:ilvl w:val="0"/>
          <w:numId w:val="64"/>
        </w:numPr>
        <w:tabs>
          <w:tab w:val="num" w:pos="567"/>
        </w:tabs>
        <w:spacing w:after="120"/>
        <w:contextualSpacing w:val="0"/>
        <w:rPr>
          <w:rFonts w:cs="Arial"/>
          <w:b/>
          <w:sz w:val="22"/>
        </w:rPr>
      </w:pPr>
      <w:r w:rsidRPr="00FE164B">
        <w:rPr>
          <w:rFonts w:cs="Arial"/>
          <w:b/>
          <w:sz w:val="22"/>
        </w:rPr>
        <w:t xml:space="preserve">Price of linezolid remains constant. </w:t>
      </w:r>
      <w:r w:rsidRPr="00FE164B">
        <w:rPr>
          <w:rFonts w:cs="Arial"/>
          <w:sz w:val="22"/>
        </w:rPr>
        <w:t xml:space="preserve">Linezolid is expected to become a generic treatment </w:t>
      </w:r>
      <w:r w:rsidR="00F367DD" w:rsidRPr="00FE164B">
        <w:rPr>
          <w:rFonts w:cs="Arial"/>
          <w:sz w:val="22"/>
        </w:rPr>
        <w:t>in 2016</w:t>
      </w:r>
      <w:r w:rsidRPr="00FE164B">
        <w:rPr>
          <w:rFonts w:cs="Arial"/>
          <w:sz w:val="22"/>
        </w:rPr>
        <w:t>, which would ordinarily result in a reduction in its NHS list price</w:t>
      </w:r>
      <w:r w:rsidR="003E020D" w:rsidRPr="00FE164B">
        <w:rPr>
          <w:rFonts w:cs="Arial"/>
          <w:sz w:val="22"/>
        </w:rPr>
        <w:t xml:space="preserve"> and/or an increase in </w:t>
      </w:r>
      <w:r w:rsidR="00FE164B" w:rsidRPr="00FE164B">
        <w:rPr>
          <w:rFonts w:cs="Arial"/>
          <w:sz w:val="22"/>
        </w:rPr>
        <w:t xml:space="preserve">the level of discount offered to </w:t>
      </w:r>
      <w:r w:rsidR="003E020D" w:rsidRPr="00FE164B">
        <w:rPr>
          <w:rFonts w:cs="Arial"/>
          <w:sz w:val="22"/>
        </w:rPr>
        <w:t>hospital</w:t>
      </w:r>
      <w:r w:rsidRPr="00FE164B">
        <w:rPr>
          <w:rFonts w:cs="Arial"/>
          <w:sz w:val="22"/>
        </w:rPr>
        <w:t>. As neither the timing nor the size/amount of any price reduction are known, this has not been taken into account in the budget impact analysis.</w:t>
      </w:r>
      <w:r w:rsidR="003E020D" w:rsidRPr="00FE164B">
        <w:rPr>
          <w:rFonts w:cs="Arial"/>
          <w:sz w:val="22"/>
        </w:rPr>
        <w:t xml:space="preserve"> </w:t>
      </w:r>
      <w:r w:rsidR="00FE164B" w:rsidRPr="00FE164B">
        <w:rPr>
          <w:rFonts w:cs="Arial"/>
          <w:sz w:val="22"/>
        </w:rPr>
        <w:t>Similarly, no account has been taken of possible future price reductions for either product under the Pharmaceuti</w:t>
      </w:r>
      <w:r w:rsidR="00542F56">
        <w:rPr>
          <w:rFonts w:cs="Arial"/>
          <w:sz w:val="22"/>
        </w:rPr>
        <w:t>cal Price Regulation Scheme</w:t>
      </w:r>
      <w:r w:rsidR="00FE164B" w:rsidRPr="00FE164B">
        <w:rPr>
          <w:rFonts w:cs="Arial"/>
          <w:sz w:val="22"/>
        </w:rPr>
        <w:t>.</w:t>
      </w:r>
    </w:p>
    <w:p w14:paraId="158EEA8B" w14:textId="77777777" w:rsidR="005766C0" w:rsidRPr="00FE164B" w:rsidRDefault="005766C0" w:rsidP="00FE164B">
      <w:pPr>
        <w:pStyle w:val="ListParagraph"/>
        <w:numPr>
          <w:ilvl w:val="0"/>
          <w:numId w:val="64"/>
        </w:numPr>
        <w:tabs>
          <w:tab w:val="num" w:pos="567"/>
        </w:tabs>
        <w:spacing w:after="120"/>
        <w:contextualSpacing w:val="0"/>
        <w:rPr>
          <w:rFonts w:cs="Arial"/>
          <w:sz w:val="22"/>
        </w:rPr>
      </w:pPr>
      <w:r w:rsidRPr="00FE164B">
        <w:rPr>
          <w:rFonts w:cs="Arial"/>
          <w:b/>
          <w:sz w:val="22"/>
        </w:rPr>
        <w:t>Rate of uptake in first year of 5%.</w:t>
      </w:r>
      <w:r w:rsidRPr="00FE164B">
        <w:rPr>
          <w:rFonts w:cs="Arial"/>
          <w:sz w:val="22"/>
        </w:rPr>
        <w:t xml:space="preserve"> The manufacturer has assumed that tedizolid phosphate would replace only 5% of linezolid prescriptions in Scotland during the first year, rising to a 45% share of the linezolid-eligible population in year 5. This is based on feedback from Scottish clinical experts involved in the Delphi Panel and the advisory board that the pattern of adoption of new antimicrobials is slow.</w:t>
      </w:r>
    </w:p>
    <w:p w14:paraId="20F30E3F" w14:textId="7A4323EF" w:rsidR="001E0E5A" w:rsidRPr="00FE164B" w:rsidRDefault="001E0E5A" w:rsidP="00FE164B">
      <w:pPr>
        <w:pStyle w:val="ListParagraph"/>
        <w:numPr>
          <w:ilvl w:val="0"/>
          <w:numId w:val="64"/>
        </w:numPr>
        <w:tabs>
          <w:tab w:val="num" w:pos="567"/>
        </w:tabs>
        <w:spacing w:after="120"/>
        <w:contextualSpacing w:val="0"/>
        <w:rPr>
          <w:rFonts w:cs="Arial"/>
          <w:sz w:val="22"/>
        </w:rPr>
      </w:pPr>
      <w:r w:rsidRPr="00FE164B">
        <w:rPr>
          <w:rFonts w:cs="Arial"/>
          <w:b/>
          <w:sz w:val="22"/>
        </w:rPr>
        <w:lastRenderedPageBreak/>
        <w:t>Admin</w:t>
      </w:r>
      <w:r w:rsidR="00FE164B" w:rsidRPr="00FE164B">
        <w:rPr>
          <w:rFonts w:cs="Arial"/>
          <w:b/>
          <w:sz w:val="22"/>
        </w:rPr>
        <w:t>istration</w:t>
      </w:r>
      <w:r w:rsidRPr="00FE164B">
        <w:rPr>
          <w:rFonts w:cs="Arial"/>
          <w:b/>
          <w:sz w:val="22"/>
        </w:rPr>
        <w:t xml:space="preserve"> and monitoring costs.</w:t>
      </w:r>
      <w:r w:rsidRPr="00FE164B">
        <w:rPr>
          <w:rFonts w:cs="Arial"/>
          <w:sz w:val="22"/>
        </w:rPr>
        <w:t xml:space="preserve"> </w:t>
      </w:r>
      <w:r w:rsidR="00FE164B" w:rsidRPr="00FE164B">
        <w:rPr>
          <w:rFonts w:cs="Arial"/>
          <w:sz w:val="22"/>
        </w:rPr>
        <w:t>The administration and monitoring costs for both tedizolid phosphate and linezolid are assumed to be the same as in the CMA base case presented in section 6.</w:t>
      </w:r>
    </w:p>
    <w:p w14:paraId="427DA29C" w14:textId="372775DB" w:rsidR="005766C0" w:rsidRPr="00FE164B" w:rsidRDefault="005766C0" w:rsidP="00FE164B">
      <w:pPr>
        <w:pStyle w:val="ListParagraph"/>
        <w:numPr>
          <w:ilvl w:val="0"/>
          <w:numId w:val="64"/>
        </w:numPr>
        <w:tabs>
          <w:tab w:val="num" w:pos="567"/>
        </w:tabs>
        <w:spacing w:after="120"/>
        <w:contextualSpacing w:val="0"/>
        <w:rPr>
          <w:rFonts w:cs="Arial"/>
          <w:sz w:val="22"/>
        </w:rPr>
      </w:pPr>
      <w:r w:rsidRPr="00FE164B">
        <w:rPr>
          <w:rFonts w:cs="Arial"/>
          <w:b/>
          <w:sz w:val="22"/>
        </w:rPr>
        <w:t xml:space="preserve">Hospital inpatient costs are excluded. </w:t>
      </w:r>
      <w:r w:rsidRPr="00FE164B">
        <w:rPr>
          <w:rFonts w:cs="Arial"/>
          <w:sz w:val="22"/>
        </w:rPr>
        <w:t>The expected length of stay in a hospital setting (as opposed to the length of the treatment course)</w:t>
      </w:r>
      <w:r w:rsidRPr="00FE164B">
        <w:rPr>
          <w:rFonts w:cs="Arial"/>
          <w:b/>
          <w:sz w:val="22"/>
        </w:rPr>
        <w:t xml:space="preserve"> </w:t>
      </w:r>
      <w:r w:rsidRPr="00FE164B">
        <w:rPr>
          <w:rFonts w:cs="Arial"/>
          <w:sz w:val="22"/>
        </w:rPr>
        <w:t xml:space="preserve">has been </w:t>
      </w:r>
      <w:r w:rsidR="007F5E3F" w:rsidRPr="00FE164B">
        <w:rPr>
          <w:rFonts w:cs="Arial"/>
          <w:sz w:val="22"/>
        </w:rPr>
        <w:t xml:space="preserve">quantitatively </w:t>
      </w:r>
      <w:r w:rsidRPr="00FE164B">
        <w:rPr>
          <w:rFonts w:cs="Arial"/>
          <w:sz w:val="22"/>
        </w:rPr>
        <w:t xml:space="preserve">excluded from both the CMA and the budget impact analysis. Although there is some emerging data to suggest that the shorter duration treatment course associated with tedizolid phosphate could lead to reductions in the length of time in hospital, this cannot be quantified at the present time. </w:t>
      </w:r>
    </w:p>
    <w:p w14:paraId="0B26D939" w14:textId="77777777" w:rsidR="008E4E92" w:rsidRPr="004559D3" w:rsidRDefault="008E4E92" w:rsidP="008E4E92">
      <w:pPr>
        <w:numPr>
          <w:ilvl w:val="0"/>
          <w:numId w:val="6"/>
        </w:numPr>
        <w:tabs>
          <w:tab w:val="clear" w:pos="720"/>
          <w:tab w:val="num" w:pos="567"/>
        </w:tabs>
        <w:ind w:left="567" w:hanging="567"/>
        <w:jc w:val="both"/>
        <w:rPr>
          <w:rFonts w:cs="Arial"/>
          <w:i/>
          <w:sz w:val="22"/>
          <w:szCs w:val="22"/>
        </w:rPr>
      </w:pPr>
      <w:r w:rsidRPr="004559D3">
        <w:rPr>
          <w:rFonts w:cs="Arial"/>
          <w:i/>
          <w:sz w:val="22"/>
          <w:szCs w:val="22"/>
        </w:rPr>
        <w:t xml:space="preserve">Copy and paste the service implications table from the “Summary” spreadsheet within the SMC budget impact template. If there are no service implications, please state nil. </w:t>
      </w:r>
    </w:p>
    <w:p w14:paraId="6C681ECB" w14:textId="77777777" w:rsidR="008E4E92" w:rsidRDefault="008E4E92" w:rsidP="008E4E92">
      <w:pPr>
        <w:tabs>
          <w:tab w:val="num" w:pos="567"/>
        </w:tabs>
        <w:ind w:left="567" w:hanging="567"/>
        <w:jc w:val="both"/>
        <w:rPr>
          <w:rFonts w:cs="Arial"/>
          <w:sz w:val="22"/>
          <w:szCs w:val="22"/>
        </w:rPr>
      </w:pPr>
    </w:p>
    <w:p w14:paraId="6434A003" w14:textId="77777777" w:rsidR="004559D3" w:rsidRDefault="004559D3" w:rsidP="004559D3">
      <w:pPr>
        <w:tabs>
          <w:tab w:val="num" w:pos="0"/>
        </w:tabs>
        <w:jc w:val="both"/>
        <w:rPr>
          <w:rFonts w:cs="Arial"/>
          <w:sz w:val="22"/>
          <w:szCs w:val="22"/>
        </w:rPr>
      </w:pPr>
      <w:r>
        <w:rPr>
          <w:rFonts w:cs="Arial"/>
          <w:sz w:val="22"/>
          <w:szCs w:val="22"/>
        </w:rPr>
        <w:t>There are no additional service implications, over and above the monitoring and administration costs which have been captured in “Other (Savings)/Costs”.</w:t>
      </w:r>
    </w:p>
    <w:p w14:paraId="1C82B9D6" w14:textId="77777777" w:rsidR="004A7E99" w:rsidRPr="008E4E92" w:rsidRDefault="004A7E99" w:rsidP="008E4E92">
      <w:pPr>
        <w:tabs>
          <w:tab w:val="num" w:pos="567"/>
        </w:tabs>
        <w:ind w:left="567" w:hanging="567"/>
        <w:jc w:val="both"/>
        <w:rPr>
          <w:rFonts w:cs="Arial"/>
          <w:sz w:val="22"/>
          <w:szCs w:val="22"/>
        </w:rPr>
      </w:pPr>
    </w:p>
    <w:p w14:paraId="71724FB3" w14:textId="77777777" w:rsidR="008E4E92" w:rsidRPr="004559D3" w:rsidRDefault="008E4E92" w:rsidP="008E4E92">
      <w:pPr>
        <w:numPr>
          <w:ilvl w:val="0"/>
          <w:numId w:val="6"/>
        </w:numPr>
        <w:tabs>
          <w:tab w:val="clear" w:pos="720"/>
          <w:tab w:val="num" w:pos="567"/>
        </w:tabs>
        <w:ind w:left="567" w:hanging="567"/>
        <w:jc w:val="both"/>
        <w:rPr>
          <w:rFonts w:cs="Arial"/>
          <w:i/>
          <w:sz w:val="22"/>
          <w:szCs w:val="22"/>
        </w:rPr>
      </w:pPr>
      <w:r w:rsidRPr="004559D3">
        <w:rPr>
          <w:rFonts w:cs="Arial"/>
          <w:i/>
          <w:sz w:val="22"/>
          <w:szCs w:val="22"/>
        </w:rPr>
        <w:t xml:space="preserve">If any alternative budget impact estimates have been made in addition to the base case estimate above, copy and paste the net budget impact result table(s) below. Please state the rationale and justification for any additional budget impact estimates that you provide. </w:t>
      </w:r>
    </w:p>
    <w:p w14:paraId="2629397D" w14:textId="77777777" w:rsidR="00EE03DD" w:rsidRDefault="00EE03DD" w:rsidP="00EE03DD">
      <w:pPr>
        <w:jc w:val="both"/>
        <w:rPr>
          <w:rFonts w:cs="Arial"/>
          <w:sz w:val="22"/>
          <w:szCs w:val="22"/>
        </w:rPr>
      </w:pPr>
    </w:p>
    <w:p w14:paraId="0C778C1B" w14:textId="2AEDE9DE" w:rsidR="00EE03DD" w:rsidRPr="00CA4530" w:rsidRDefault="00EE03DD" w:rsidP="00EE03DD">
      <w:pPr>
        <w:widowControl w:val="0"/>
        <w:autoSpaceDE w:val="0"/>
        <w:autoSpaceDN w:val="0"/>
        <w:adjustRightInd w:val="0"/>
        <w:rPr>
          <w:rFonts w:cs="Arial"/>
          <w:sz w:val="22"/>
          <w:szCs w:val="22"/>
          <w:lang w:val="en-US"/>
        </w:rPr>
      </w:pPr>
      <w:r w:rsidRPr="002A1891">
        <w:rPr>
          <w:rFonts w:cs="Arial"/>
          <w:sz w:val="22"/>
          <w:szCs w:val="22"/>
          <w:lang w:val="en-US"/>
        </w:rPr>
        <w:t xml:space="preserve">In the alternative scenario analysis presented, the number of patients eligible for treatment with tedizolid </w:t>
      </w:r>
      <w:r w:rsidRPr="00CA4530">
        <w:rPr>
          <w:rFonts w:cs="Arial"/>
          <w:sz w:val="22"/>
          <w:szCs w:val="22"/>
          <w:lang w:val="en-US"/>
        </w:rPr>
        <w:t xml:space="preserve">phosphate is based on the number of UK patients receiving linezolid who had confirmed MRSA infections.  </w:t>
      </w:r>
      <w:r w:rsidR="000559D4" w:rsidRPr="00CA4530">
        <w:rPr>
          <w:rFonts w:cs="Arial"/>
          <w:sz w:val="22"/>
          <w:szCs w:val="22"/>
          <w:lang w:val="en-US"/>
        </w:rPr>
        <w:t>Rather than being taken from the published literature, t</w:t>
      </w:r>
      <w:r w:rsidR="00CA4530" w:rsidRPr="00CA4530">
        <w:rPr>
          <w:rFonts w:cs="Arial"/>
          <w:sz w:val="22"/>
          <w:szCs w:val="22"/>
          <w:lang w:val="en-US"/>
        </w:rPr>
        <w:t>he</w:t>
      </w:r>
      <w:r w:rsidR="000559D4" w:rsidRPr="00CA4530">
        <w:rPr>
          <w:rFonts w:cs="Arial"/>
          <w:sz w:val="22"/>
          <w:szCs w:val="22"/>
          <w:lang w:val="en-US"/>
        </w:rPr>
        <w:t xml:space="preserve"> data </w:t>
      </w:r>
      <w:r w:rsidR="00CA4530" w:rsidRPr="00CA4530">
        <w:rPr>
          <w:rFonts w:cs="Arial"/>
          <w:sz w:val="22"/>
          <w:szCs w:val="22"/>
          <w:lang w:val="en-US"/>
        </w:rPr>
        <w:t xml:space="preserve">for this alternative scenario </w:t>
      </w:r>
      <w:r w:rsidR="000559D4" w:rsidRPr="00CA4530">
        <w:rPr>
          <w:rFonts w:cs="Arial"/>
          <w:sz w:val="22"/>
          <w:szCs w:val="22"/>
          <w:lang w:val="en-US"/>
        </w:rPr>
        <w:t>is taken from market research.</w:t>
      </w:r>
    </w:p>
    <w:p w14:paraId="6146A03A" w14:textId="77777777" w:rsidR="00EE03DD" w:rsidRPr="002A1891" w:rsidRDefault="00EE03DD" w:rsidP="00EE03DD">
      <w:pPr>
        <w:tabs>
          <w:tab w:val="num" w:pos="567"/>
        </w:tabs>
        <w:ind w:left="567" w:hanging="567"/>
        <w:rPr>
          <w:rFonts w:cs="Arial"/>
          <w:sz w:val="22"/>
          <w:szCs w:val="22"/>
        </w:rPr>
      </w:pPr>
    </w:p>
    <w:p w14:paraId="6D7DC8A7" w14:textId="75ADCB7D" w:rsidR="00EE03DD" w:rsidRPr="002A1891" w:rsidRDefault="00EE03DD" w:rsidP="00EE03DD">
      <w:pPr>
        <w:rPr>
          <w:rFonts w:cs="Arial"/>
          <w:sz w:val="22"/>
          <w:szCs w:val="22"/>
          <w:lang w:val="en-US"/>
        </w:rPr>
      </w:pPr>
      <w:r w:rsidRPr="002A1891">
        <w:rPr>
          <w:rFonts w:cs="Arial"/>
          <w:sz w:val="22"/>
          <w:szCs w:val="22"/>
          <w:lang w:val="en-US"/>
        </w:rPr>
        <w:t>In 2011 hospital research conducted by Arlington Medical Resources (</w:t>
      </w:r>
      <w:r w:rsidRPr="002A1891">
        <w:rPr>
          <w:rFonts w:cs="Arial"/>
          <w:sz w:val="22"/>
          <w:szCs w:val="22"/>
          <w:u w:val="single"/>
          <w:lang w:val="en-US"/>
        </w:rPr>
        <w:t>Confidential data.</w:t>
      </w:r>
      <w:r w:rsidRPr="002A1891">
        <w:rPr>
          <w:rFonts w:cs="Arial"/>
          <w:sz w:val="22"/>
          <w:szCs w:val="22"/>
          <w:lang w:val="en-US"/>
        </w:rPr>
        <w:t xml:space="preserve"> </w:t>
      </w:r>
      <w:r w:rsidRPr="002A1891">
        <w:rPr>
          <w:rFonts w:cs="Arial"/>
          <w:sz w:val="22"/>
          <w:szCs w:val="22"/>
          <w:u w:val="single"/>
          <w:lang w:val="en-US"/>
        </w:rPr>
        <w:t>AMR Hospital Insight Series MRSA Infections Europe December 2011, Data on File</w:t>
      </w:r>
      <w:r w:rsidR="00211BCD">
        <w:rPr>
          <w:rFonts w:cs="Arial"/>
          <w:sz w:val="22"/>
          <w:szCs w:val="22"/>
          <w:u w:val="single"/>
          <w:lang w:val="en-US"/>
        </w:rPr>
        <w:t xml:space="preserve"> </w:t>
      </w:r>
      <w:r w:rsidR="00211BCD">
        <w:rPr>
          <w:rFonts w:cs="Arial"/>
          <w:sz w:val="22"/>
          <w:szCs w:val="22"/>
          <w:u w:val="single"/>
          <w:lang w:val="en-US"/>
        </w:rPr>
        <w:fldChar w:fldCharType="begin"/>
      </w:r>
      <w:r w:rsidR="00211BCD">
        <w:rPr>
          <w:rFonts w:cs="Arial"/>
          <w:sz w:val="22"/>
          <w:szCs w:val="22"/>
          <w:u w:val="single"/>
          <w:lang w:val="en-US"/>
        </w:rPr>
        <w:instrText xml:space="preserve"> REF _Ref284187181 \r \h </w:instrText>
      </w:r>
      <w:r w:rsidR="00211BCD">
        <w:rPr>
          <w:rFonts w:cs="Arial"/>
          <w:sz w:val="22"/>
          <w:szCs w:val="22"/>
          <w:u w:val="single"/>
          <w:lang w:val="en-US"/>
        </w:rPr>
      </w:r>
      <w:r w:rsidR="00211BCD">
        <w:rPr>
          <w:rFonts w:cs="Arial"/>
          <w:sz w:val="22"/>
          <w:szCs w:val="22"/>
          <w:u w:val="single"/>
          <w:lang w:val="en-US"/>
        </w:rPr>
        <w:fldChar w:fldCharType="separate"/>
      </w:r>
      <w:r w:rsidR="00151A1C">
        <w:rPr>
          <w:rFonts w:cs="Arial"/>
          <w:sz w:val="22"/>
          <w:szCs w:val="22"/>
          <w:u w:val="single"/>
          <w:lang w:val="en-US"/>
        </w:rPr>
        <w:t>88</w:t>
      </w:r>
      <w:r w:rsidR="00211BCD">
        <w:rPr>
          <w:rFonts w:cs="Arial"/>
          <w:sz w:val="22"/>
          <w:szCs w:val="22"/>
          <w:u w:val="single"/>
          <w:lang w:val="en-US"/>
        </w:rPr>
        <w:fldChar w:fldCharType="end"/>
      </w:r>
      <w:r w:rsidR="00E64C9D">
        <w:rPr>
          <w:rFonts w:cs="Arial"/>
          <w:sz w:val="22"/>
          <w:szCs w:val="22"/>
          <w:lang w:val="en-US"/>
        </w:rPr>
        <w:t xml:space="preserve">), </w:t>
      </w:r>
      <w:r w:rsidRPr="002A1891">
        <w:rPr>
          <w:rFonts w:cs="Arial"/>
          <w:sz w:val="22"/>
          <w:szCs w:val="22"/>
          <w:lang w:val="en-US"/>
        </w:rPr>
        <w:t xml:space="preserve">13,179 patients in the UK had confirmed MRSA infections, of which 57% were cSSTIs/ABSSSIs. 24%, or 1,803, of those patients were treated with linezolid. According to the UK National Statistics Office mid-year population figures for 2013, the total UK population was 64,100,000 and the total population for Scotland was 5,295,000 (or 8.26% of the total UK population). Assuming an equal distribution of patients across the </w:t>
      </w:r>
      <w:r w:rsidRPr="002A1891">
        <w:rPr>
          <w:rFonts w:cs="Arial"/>
          <w:sz w:val="22"/>
          <w:szCs w:val="22"/>
          <w:lang w:val="en-US"/>
        </w:rPr>
        <w:lastRenderedPageBreak/>
        <w:t>UK, this would give rise to a total of 149 patients in Scotland (1,803 UK patients x 8.26%) with confirmed MRSA infections who were treated with linezolid (or 137 when mortality is taken into account).</w:t>
      </w:r>
    </w:p>
    <w:p w14:paraId="0D87AAFA" w14:textId="77777777" w:rsidR="00EE03DD" w:rsidRPr="002A1891" w:rsidRDefault="00EE03DD" w:rsidP="00EE03DD">
      <w:pPr>
        <w:widowControl w:val="0"/>
        <w:autoSpaceDE w:val="0"/>
        <w:autoSpaceDN w:val="0"/>
        <w:adjustRightInd w:val="0"/>
        <w:rPr>
          <w:rFonts w:cs="Arial"/>
          <w:b/>
          <w:sz w:val="22"/>
          <w:szCs w:val="22"/>
          <w:lang w:val="en-US"/>
        </w:rPr>
      </w:pPr>
    </w:p>
    <w:p w14:paraId="191AA3B9" w14:textId="77777777" w:rsidR="000559D4" w:rsidRDefault="00EE03DD" w:rsidP="000559D4">
      <w:pPr>
        <w:tabs>
          <w:tab w:val="num" w:pos="0"/>
        </w:tabs>
        <w:rPr>
          <w:rFonts w:cs="Arial"/>
          <w:sz w:val="22"/>
          <w:szCs w:val="22"/>
        </w:rPr>
      </w:pPr>
      <w:r w:rsidRPr="002A1891">
        <w:rPr>
          <w:rFonts w:cs="Arial"/>
          <w:sz w:val="22"/>
          <w:szCs w:val="22"/>
        </w:rPr>
        <w:t>For the purposes of this alternative budget impact scenario, therefore, the total number of patients in Scotland eligible for linezolid (and, therefore, by extension, for tedizolid phosphate) is 137.</w:t>
      </w:r>
    </w:p>
    <w:p w14:paraId="7935BEAE" w14:textId="77777777" w:rsidR="000559D4" w:rsidRDefault="000559D4" w:rsidP="000559D4">
      <w:pPr>
        <w:tabs>
          <w:tab w:val="num" w:pos="0"/>
        </w:tabs>
        <w:rPr>
          <w:rFonts w:cs="Arial"/>
          <w:sz w:val="22"/>
          <w:szCs w:val="22"/>
        </w:rPr>
      </w:pPr>
    </w:p>
    <w:p w14:paraId="10A3E61C" w14:textId="4CB91913" w:rsidR="00EE03DD" w:rsidRPr="00B91811" w:rsidRDefault="00EE03DD" w:rsidP="000E5F24">
      <w:pPr>
        <w:tabs>
          <w:tab w:val="num" w:pos="0"/>
        </w:tabs>
        <w:rPr>
          <w:rFonts w:eastAsia="Times New Roman" w:cs="Arial"/>
          <w:b/>
          <w:bCs/>
          <w:sz w:val="22"/>
          <w:szCs w:val="22"/>
        </w:rPr>
      </w:pPr>
      <w:r w:rsidRPr="000559D4">
        <w:rPr>
          <w:rFonts w:cs="Arial"/>
          <w:sz w:val="22"/>
          <w:szCs w:val="22"/>
        </w:rPr>
        <w:t xml:space="preserve">The alternative scenario analysis leads to a negative net budgetary impact (that is, cost </w:t>
      </w:r>
      <w:r w:rsidRPr="00E64C9D">
        <w:rPr>
          <w:rFonts w:cs="Arial"/>
          <w:sz w:val="22"/>
          <w:szCs w:val="22"/>
        </w:rPr>
        <w:t xml:space="preserve">savings) ranging from </w:t>
      </w:r>
      <w:r w:rsidR="00E64C9D" w:rsidRPr="00E64C9D">
        <w:rPr>
          <w:rFonts w:cs="Arial"/>
          <w:bCs/>
          <w:sz w:val="22"/>
          <w:szCs w:val="22"/>
          <w:lang w:val="en-US"/>
        </w:rPr>
        <w:t>£371</w:t>
      </w:r>
      <w:r w:rsidRPr="00E64C9D">
        <w:rPr>
          <w:rFonts w:cs="Arial"/>
          <w:bCs/>
          <w:sz w:val="22"/>
          <w:szCs w:val="22"/>
          <w:lang w:val="en-US"/>
        </w:rPr>
        <w:t xml:space="preserve"> in year 1 to </w:t>
      </w:r>
      <w:r w:rsidRPr="00E64C9D">
        <w:rPr>
          <w:rFonts w:cs="Arial"/>
          <w:sz w:val="22"/>
          <w:szCs w:val="22"/>
        </w:rPr>
        <w:t>£</w:t>
      </w:r>
      <w:r w:rsidR="00E64C9D" w:rsidRPr="00E64C9D">
        <w:rPr>
          <w:rFonts w:cs="Arial"/>
          <w:sz w:val="22"/>
          <w:szCs w:val="22"/>
        </w:rPr>
        <w:t>3,341</w:t>
      </w:r>
      <w:r w:rsidRPr="00E64C9D">
        <w:rPr>
          <w:rFonts w:cs="Arial"/>
          <w:sz w:val="22"/>
          <w:szCs w:val="22"/>
        </w:rPr>
        <w:t xml:space="preserve"> in year 5.</w:t>
      </w:r>
      <w:r w:rsidR="00DB661B" w:rsidRPr="00E64C9D">
        <w:rPr>
          <w:rFonts w:cs="Arial"/>
          <w:sz w:val="22"/>
          <w:szCs w:val="22"/>
        </w:rPr>
        <w:t xml:space="preserve"> </w:t>
      </w:r>
      <w:r w:rsidRPr="00E64C9D">
        <w:rPr>
          <w:rFonts w:cs="Arial"/>
          <w:sz w:val="22"/>
          <w:szCs w:val="22"/>
          <w:lang w:val="en-US"/>
        </w:rPr>
        <w:t xml:space="preserve">The estimated net budget impact for this scenario is presented below as </w:t>
      </w:r>
      <w:r w:rsidR="000E5F24">
        <w:rPr>
          <w:rFonts w:cs="Arial"/>
          <w:sz w:val="22"/>
          <w:szCs w:val="22"/>
          <w:lang w:val="en-US"/>
        </w:rPr>
        <w:t>Table 61.</w:t>
      </w:r>
      <w:bookmarkStart w:id="222" w:name="_Ref283046780"/>
    </w:p>
    <w:p w14:paraId="45C46428" w14:textId="77777777" w:rsidR="00D21E81" w:rsidRPr="00E64C9D" w:rsidRDefault="00D21E81">
      <w:pPr>
        <w:ind w:left="357" w:hanging="357"/>
        <w:jc w:val="both"/>
        <w:rPr>
          <w:rFonts w:eastAsia="Times New Roman" w:cs="Arial"/>
          <w:b/>
          <w:bCs/>
          <w:sz w:val="22"/>
          <w:szCs w:val="22"/>
        </w:rPr>
      </w:pPr>
      <w:r w:rsidRPr="00E64C9D">
        <w:rPr>
          <w:rFonts w:cs="Arial"/>
          <w:sz w:val="22"/>
          <w:szCs w:val="22"/>
        </w:rPr>
        <w:br w:type="page"/>
      </w:r>
    </w:p>
    <w:p w14:paraId="7ABF7CA3" w14:textId="31EBFFE3" w:rsidR="00EE03DD" w:rsidRPr="002A1891" w:rsidRDefault="00EE03DD" w:rsidP="00EE03DD">
      <w:pPr>
        <w:pStyle w:val="Caption"/>
        <w:rPr>
          <w:rFonts w:ascii="Arial" w:hAnsi="Arial" w:cs="Arial"/>
          <w:sz w:val="22"/>
          <w:szCs w:val="22"/>
          <w:lang w:val="en-US"/>
        </w:rPr>
      </w:pPr>
      <w:r w:rsidRPr="00E64C9D">
        <w:rPr>
          <w:rFonts w:ascii="Arial" w:hAnsi="Arial" w:cs="Arial"/>
          <w:sz w:val="22"/>
          <w:szCs w:val="22"/>
        </w:rPr>
        <w:lastRenderedPageBreak/>
        <w:t xml:space="preserve">Table </w:t>
      </w:r>
      <w:r w:rsidRPr="00E64C9D">
        <w:rPr>
          <w:rFonts w:ascii="Arial" w:hAnsi="Arial" w:cs="Arial"/>
          <w:sz w:val="22"/>
          <w:szCs w:val="22"/>
        </w:rPr>
        <w:fldChar w:fldCharType="begin"/>
      </w:r>
      <w:r w:rsidRPr="00E64C9D">
        <w:rPr>
          <w:rFonts w:ascii="Arial" w:hAnsi="Arial" w:cs="Arial"/>
          <w:sz w:val="22"/>
          <w:szCs w:val="22"/>
        </w:rPr>
        <w:instrText xml:space="preserve"> SEQ Table \* ARABIC </w:instrText>
      </w:r>
      <w:r w:rsidRPr="00E64C9D">
        <w:rPr>
          <w:rFonts w:ascii="Arial" w:hAnsi="Arial" w:cs="Arial"/>
          <w:sz w:val="22"/>
          <w:szCs w:val="22"/>
        </w:rPr>
        <w:fldChar w:fldCharType="separate"/>
      </w:r>
      <w:r w:rsidR="00151A1C">
        <w:rPr>
          <w:rFonts w:ascii="Arial" w:hAnsi="Arial" w:cs="Arial"/>
          <w:noProof/>
          <w:sz w:val="22"/>
          <w:szCs w:val="22"/>
        </w:rPr>
        <w:t>61</w:t>
      </w:r>
      <w:r w:rsidRPr="00E64C9D">
        <w:rPr>
          <w:rFonts w:ascii="Arial" w:hAnsi="Arial" w:cs="Arial"/>
          <w:sz w:val="22"/>
          <w:szCs w:val="22"/>
        </w:rPr>
        <w:fldChar w:fldCharType="end"/>
      </w:r>
      <w:bookmarkEnd w:id="222"/>
      <w:r w:rsidRPr="00E64C9D">
        <w:rPr>
          <w:rFonts w:ascii="Arial" w:hAnsi="Arial" w:cs="Arial"/>
          <w:sz w:val="22"/>
          <w:szCs w:val="22"/>
        </w:rPr>
        <w:t>: Scenario analysis – estimated net budget impact</w:t>
      </w:r>
    </w:p>
    <w:p w14:paraId="09F6218A" w14:textId="77777777" w:rsidR="00EE03DD" w:rsidRDefault="00EE03DD" w:rsidP="00EE03DD">
      <w:pPr>
        <w:tabs>
          <w:tab w:val="num" w:pos="567"/>
        </w:tabs>
        <w:jc w:val="both"/>
        <w:rPr>
          <w:rFonts w:cs="Arial"/>
          <w:sz w:val="22"/>
          <w:szCs w:val="22"/>
        </w:rPr>
      </w:pPr>
    </w:p>
    <w:tbl>
      <w:tblPr>
        <w:tblW w:w="8922" w:type="dxa"/>
        <w:tblInd w:w="93" w:type="dxa"/>
        <w:tblLayout w:type="fixed"/>
        <w:tblLook w:val="04A0" w:firstRow="1" w:lastRow="0" w:firstColumn="1" w:lastColumn="0" w:noHBand="0" w:noVBand="1"/>
      </w:tblPr>
      <w:tblGrid>
        <w:gridCol w:w="3338"/>
        <w:gridCol w:w="926"/>
        <w:gridCol w:w="1138"/>
        <w:gridCol w:w="1134"/>
        <w:gridCol w:w="1134"/>
        <w:gridCol w:w="1252"/>
      </w:tblGrid>
      <w:tr w:rsidR="00E64C9D" w:rsidRPr="00E64C9D" w14:paraId="63BA2A92" w14:textId="77777777" w:rsidTr="00E64C9D">
        <w:trPr>
          <w:trHeight w:val="303"/>
        </w:trPr>
        <w:tc>
          <w:tcPr>
            <w:tcW w:w="3338" w:type="dxa"/>
            <w:tcBorders>
              <w:top w:val="single" w:sz="8" w:space="0" w:color="auto"/>
              <w:left w:val="single" w:sz="8" w:space="0" w:color="auto"/>
              <w:bottom w:val="nil"/>
              <w:right w:val="single" w:sz="4" w:space="0" w:color="auto"/>
            </w:tcBorders>
            <w:shd w:val="clear" w:color="000000" w:fill="FFFFFF"/>
            <w:vAlign w:val="bottom"/>
            <w:hideMark/>
          </w:tcPr>
          <w:p w14:paraId="51701CC2" w14:textId="77777777" w:rsidR="00E64C9D" w:rsidRPr="00E64C9D" w:rsidRDefault="00E64C9D" w:rsidP="00E64C9D">
            <w:pPr>
              <w:rPr>
                <w:rFonts w:eastAsia="Times New Roman" w:cs="Arial"/>
                <w:b/>
                <w:bCs/>
                <w:color w:val="FFFFFF"/>
                <w:sz w:val="28"/>
                <w:szCs w:val="28"/>
              </w:rPr>
            </w:pPr>
            <w:r w:rsidRPr="00E64C9D">
              <w:rPr>
                <w:rFonts w:eastAsia="Times New Roman" w:cs="Arial"/>
                <w:b/>
                <w:bCs/>
                <w:color w:val="FFFFFF"/>
                <w:sz w:val="28"/>
                <w:szCs w:val="28"/>
              </w:rPr>
              <w:t> </w:t>
            </w:r>
          </w:p>
        </w:tc>
        <w:tc>
          <w:tcPr>
            <w:tcW w:w="926" w:type="dxa"/>
            <w:tcBorders>
              <w:top w:val="single" w:sz="8" w:space="0" w:color="auto"/>
              <w:left w:val="nil"/>
              <w:bottom w:val="nil"/>
              <w:right w:val="nil"/>
            </w:tcBorders>
            <w:shd w:val="clear" w:color="000000" w:fill="FFFFFF"/>
            <w:noWrap/>
            <w:vAlign w:val="center"/>
            <w:hideMark/>
          </w:tcPr>
          <w:p w14:paraId="550C2BDF" w14:textId="77777777" w:rsidR="00E64C9D" w:rsidRPr="00E64C9D" w:rsidRDefault="00E64C9D" w:rsidP="00E64C9D">
            <w:pPr>
              <w:jc w:val="center"/>
              <w:rPr>
                <w:rFonts w:eastAsia="Times New Roman" w:cs="Arial"/>
                <w:b/>
                <w:bCs/>
                <w:sz w:val="20"/>
              </w:rPr>
            </w:pPr>
            <w:r w:rsidRPr="00E64C9D">
              <w:rPr>
                <w:rFonts w:eastAsia="Times New Roman" w:cs="Arial"/>
                <w:b/>
                <w:bCs/>
                <w:sz w:val="20"/>
              </w:rPr>
              <w:t>Year 1</w:t>
            </w:r>
          </w:p>
        </w:tc>
        <w:tc>
          <w:tcPr>
            <w:tcW w:w="1138" w:type="dxa"/>
            <w:tcBorders>
              <w:top w:val="single" w:sz="8" w:space="0" w:color="auto"/>
              <w:left w:val="nil"/>
              <w:bottom w:val="nil"/>
              <w:right w:val="nil"/>
            </w:tcBorders>
            <w:shd w:val="clear" w:color="000000" w:fill="FFFFFF"/>
            <w:noWrap/>
            <w:vAlign w:val="center"/>
            <w:hideMark/>
          </w:tcPr>
          <w:p w14:paraId="4EFBEB58" w14:textId="77777777" w:rsidR="00E64C9D" w:rsidRPr="00E64C9D" w:rsidRDefault="00E64C9D" w:rsidP="00E64C9D">
            <w:pPr>
              <w:jc w:val="center"/>
              <w:rPr>
                <w:rFonts w:eastAsia="Times New Roman" w:cs="Arial"/>
                <w:b/>
                <w:bCs/>
                <w:sz w:val="20"/>
              </w:rPr>
            </w:pPr>
            <w:r w:rsidRPr="00E64C9D">
              <w:rPr>
                <w:rFonts w:eastAsia="Times New Roman" w:cs="Arial"/>
                <w:b/>
                <w:bCs/>
                <w:sz w:val="20"/>
              </w:rPr>
              <w:t>Year 2</w:t>
            </w:r>
          </w:p>
        </w:tc>
        <w:tc>
          <w:tcPr>
            <w:tcW w:w="1134" w:type="dxa"/>
            <w:tcBorders>
              <w:top w:val="single" w:sz="8" w:space="0" w:color="auto"/>
              <w:left w:val="nil"/>
              <w:bottom w:val="nil"/>
              <w:right w:val="nil"/>
            </w:tcBorders>
            <w:shd w:val="clear" w:color="000000" w:fill="FFFFFF"/>
            <w:noWrap/>
            <w:vAlign w:val="center"/>
            <w:hideMark/>
          </w:tcPr>
          <w:p w14:paraId="318066F0" w14:textId="77777777" w:rsidR="00E64C9D" w:rsidRPr="00E64C9D" w:rsidRDefault="00E64C9D" w:rsidP="00E64C9D">
            <w:pPr>
              <w:jc w:val="center"/>
              <w:rPr>
                <w:rFonts w:eastAsia="Times New Roman" w:cs="Arial"/>
                <w:b/>
                <w:bCs/>
                <w:sz w:val="20"/>
              </w:rPr>
            </w:pPr>
            <w:r w:rsidRPr="00E64C9D">
              <w:rPr>
                <w:rFonts w:eastAsia="Times New Roman" w:cs="Arial"/>
                <w:b/>
                <w:bCs/>
                <w:sz w:val="20"/>
              </w:rPr>
              <w:t>Year 3</w:t>
            </w:r>
          </w:p>
        </w:tc>
        <w:tc>
          <w:tcPr>
            <w:tcW w:w="1134" w:type="dxa"/>
            <w:tcBorders>
              <w:top w:val="single" w:sz="8" w:space="0" w:color="auto"/>
              <w:left w:val="nil"/>
              <w:bottom w:val="nil"/>
              <w:right w:val="nil"/>
            </w:tcBorders>
            <w:shd w:val="clear" w:color="000000" w:fill="FFFFFF"/>
            <w:noWrap/>
            <w:vAlign w:val="center"/>
            <w:hideMark/>
          </w:tcPr>
          <w:p w14:paraId="25F9C21B" w14:textId="77777777" w:rsidR="00E64C9D" w:rsidRPr="00E64C9D" w:rsidRDefault="00E64C9D" w:rsidP="00E64C9D">
            <w:pPr>
              <w:jc w:val="center"/>
              <w:rPr>
                <w:rFonts w:eastAsia="Times New Roman" w:cs="Arial"/>
                <w:b/>
                <w:bCs/>
                <w:sz w:val="20"/>
              </w:rPr>
            </w:pPr>
            <w:r w:rsidRPr="00E64C9D">
              <w:rPr>
                <w:rFonts w:eastAsia="Times New Roman" w:cs="Arial"/>
                <w:b/>
                <w:bCs/>
                <w:sz w:val="20"/>
              </w:rPr>
              <w:t>Year 4</w:t>
            </w:r>
          </w:p>
        </w:tc>
        <w:tc>
          <w:tcPr>
            <w:tcW w:w="1252" w:type="dxa"/>
            <w:tcBorders>
              <w:top w:val="single" w:sz="8" w:space="0" w:color="auto"/>
              <w:left w:val="nil"/>
              <w:bottom w:val="nil"/>
              <w:right w:val="single" w:sz="8" w:space="0" w:color="auto"/>
            </w:tcBorders>
            <w:shd w:val="clear" w:color="000000" w:fill="FFFFFF"/>
            <w:noWrap/>
            <w:vAlign w:val="center"/>
            <w:hideMark/>
          </w:tcPr>
          <w:p w14:paraId="79985322" w14:textId="77777777" w:rsidR="00E64C9D" w:rsidRPr="00E64C9D" w:rsidRDefault="00E64C9D" w:rsidP="00E64C9D">
            <w:pPr>
              <w:jc w:val="center"/>
              <w:rPr>
                <w:rFonts w:eastAsia="Times New Roman" w:cs="Arial"/>
                <w:b/>
                <w:bCs/>
                <w:sz w:val="20"/>
              </w:rPr>
            </w:pPr>
            <w:r w:rsidRPr="00E64C9D">
              <w:rPr>
                <w:rFonts w:eastAsia="Times New Roman" w:cs="Arial"/>
                <w:b/>
                <w:bCs/>
                <w:sz w:val="20"/>
              </w:rPr>
              <w:t>Year 5</w:t>
            </w:r>
          </w:p>
        </w:tc>
      </w:tr>
      <w:tr w:rsidR="00E64C9D" w:rsidRPr="00E64C9D" w14:paraId="7605827A" w14:textId="77777777" w:rsidTr="00E64C9D">
        <w:trPr>
          <w:trHeight w:val="215"/>
        </w:trPr>
        <w:tc>
          <w:tcPr>
            <w:tcW w:w="3338" w:type="dxa"/>
            <w:tcBorders>
              <w:top w:val="nil"/>
              <w:left w:val="single" w:sz="8" w:space="0" w:color="auto"/>
              <w:bottom w:val="nil"/>
              <w:right w:val="single" w:sz="4" w:space="0" w:color="auto"/>
            </w:tcBorders>
            <w:shd w:val="clear" w:color="000000" w:fill="FFFFFF"/>
            <w:vAlign w:val="center"/>
            <w:hideMark/>
          </w:tcPr>
          <w:p w14:paraId="7800208A" w14:textId="77777777" w:rsidR="00E64C9D" w:rsidRPr="00E64C9D" w:rsidRDefault="00E64C9D" w:rsidP="00E64C9D">
            <w:pPr>
              <w:rPr>
                <w:rFonts w:eastAsia="Times New Roman" w:cs="Arial"/>
                <w:sz w:val="20"/>
              </w:rPr>
            </w:pPr>
            <w:r w:rsidRPr="00E64C9D">
              <w:rPr>
                <w:rFonts w:eastAsia="Times New Roman" w:cs="Arial"/>
                <w:sz w:val="20"/>
              </w:rPr>
              <w:t>Medicine acquisition cost per patient per annum</w:t>
            </w:r>
          </w:p>
        </w:tc>
        <w:tc>
          <w:tcPr>
            <w:tcW w:w="926" w:type="dxa"/>
            <w:tcBorders>
              <w:top w:val="nil"/>
              <w:left w:val="nil"/>
              <w:bottom w:val="nil"/>
              <w:right w:val="nil"/>
            </w:tcBorders>
            <w:shd w:val="clear" w:color="000000" w:fill="FFFFFF"/>
            <w:noWrap/>
            <w:vAlign w:val="center"/>
            <w:hideMark/>
          </w:tcPr>
          <w:p w14:paraId="37ED57DA" w14:textId="77777777" w:rsidR="00E64C9D" w:rsidRPr="00E64C9D" w:rsidRDefault="00E64C9D" w:rsidP="00E64C9D">
            <w:pPr>
              <w:jc w:val="center"/>
              <w:rPr>
                <w:rFonts w:eastAsia="Times New Roman" w:cs="Arial"/>
                <w:sz w:val="20"/>
              </w:rPr>
            </w:pPr>
            <w:r w:rsidRPr="00E64C9D">
              <w:rPr>
                <w:rFonts w:eastAsia="Times New Roman" w:cs="Arial"/>
                <w:sz w:val="20"/>
              </w:rPr>
              <w:t>£900</w:t>
            </w:r>
          </w:p>
        </w:tc>
        <w:tc>
          <w:tcPr>
            <w:tcW w:w="1138" w:type="dxa"/>
            <w:tcBorders>
              <w:top w:val="nil"/>
              <w:left w:val="nil"/>
              <w:bottom w:val="nil"/>
              <w:right w:val="nil"/>
            </w:tcBorders>
            <w:shd w:val="clear" w:color="000000" w:fill="FFFFFF"/>
            <w:noWrap/>
            <w:vAlign w:val="center"/>
            <w:hideMark/>
          </w:tcPr>
          <w:p w14:paraId="27501AA4" w14:textId="77777777" w:rsidR="00E64C9D" w:rsidRPr="00E64C9D" w:rsidRDefault="00E64C9D" w:rsidP="00E64C9D">
            <w:pPr>
              <w:jc w:val="center"/>
              <w:rPr>
                <w:rFonts w:eastAsia="Times New Roman" w:cs="Arial"/>
                <w:sz w:val="20"/>
              </w:rPr>
            </w:pPr>
            <w:r w:rsidRPr="00E64C9D">
              <w:rPr>
                <w:rFonts w:eastAsia="Times New Roman" w:cs="Arial"/>
                <w:sz w:val="20"/>
              </w:rPr>
              <w:t>£900</w:t>
            </w:r>
          </w:p>
        </w:tc>
        <w:tc>
          <w:tcPr>
            <w:tcW w:w="1134" w:type="dxa"/>
            <w:tcBorders>
              <w:top w:val="nil"/>
              <w:left w:val="nil"/>
              <w:bottom w:val="nil"/>
              <w:right w:val="nil"/>
            </w:tcBorders>
            <w:shd w:val="clear" w:color="000000" w:fill="FFFFFF"/>
            <w:noWrap/>
            <w:vAlign w:val="center"/>
            <w:hideMark/>
          </w:tcPr>
          <w:p w14:paraId="471AD441" w14:textId="77777777" w:rsidR="00E64C9D" w:rsidRPr="00E64C9D" w:rsidRDefault="00E64C9D" w:rsidP="00E64C9D">
            <w:pPr>
              <w:jc w:val="center"/>
              <w:rPr>
                <w:rFonts w:eastAsia="Times New Roman" w:cs="Arial"/>
                <w:sz w:val="20"/>
              </w:rPr>
            </w:pPr>
            <w:r w:rsidRPr="00E64C9D">
              <w:rPr>
                <w:rFonts w:eastAsia="Times New Roman" w:cs="Arial"/>
                <w:sz w:val="20"/>
              </w:rPr>
              <w:t>£900</w:t>
            </w:r>
          </w:p>
        </w:tc>
        <w:tc>
          <w:tcPr>
            <w:tcW w:w="1134" w:type="dxa"/>
            <w:tcBorders>
              <w:top w:val="nil"/>
              <w:left w:val="nil"/>
              <w:bottom w:val="nil"/>
              <w:right w:val="nil"/>
            </w:tcBorders>
            <w:shd w:val="clear" w:color="000000" w:fill="FFFFFF"/>
            <w:noWrap/>
            <w:vAlign w:val="center"/>
            <w:hideMark/>
          </w:tcPr>
          <w:p w14:paraId="6B4D90CF" w14:textId="77777777" w:rsidR="00E64C9D" w:rsidRPr="00E64C9D" w:rsidRDefault="00E64C9D" w:rsidP="00E64C9D">
            <w:pPr>
              <w:jc w:val="center"/>
              <w:rPr>
                <w:rFonts w:eastAsia="Times New Roman" w:cs="Arial"/>
                <w:sz w:val="20"/>
              </w:rPr>
            </w:pPr>
            <w:r w:rsidRPr="00E64C9D">
              <w:rPr>
                <w:rFonts w:eastAsia="Times New Roman" w:cs="Arial"/>
                <w:sz w:val="20"/>
              </w:rPr>
              <w:t>£900</w:t>
            </w:r>
          </w:p>
        </w:tc>
        <w:tc>
          <w:tcPr>
            <w:tcW w:w="1252" w:type="dxa"/>
            <w:tcBorders>
              <w:top w:val="nil"/>
              <w:left w:val="nil"/>
              <w:bottom w:val="nil"/>
              <w:right w:val="single" w:sz="8" w:space="0" w:color="auto"/>
            </w:tcBorders>
            <w:shd w:val="clear" w:color="000000" w:fill="FFFFFF"/>
            <w:noWrap/>
            <w:vAlign w:val="center"/>
            <w:hideMark/>
          </w:tcPr>
          <w:p w14:paraId="19B9552E" w14:textId="77777777" w:rsidR="00E64C9D" w:rsidRPr="00E64C9D" w:rsidRDefault="00E64C9D" w:rsidP="00E64C9D">
            <w:pPr>
              <w:jc w:val="center"/>
              <w:rPr>
                <w:rFonts w:eastAsia="Times New Roman" w:cs="Arial"/>
                <w:sz w:val="20"/>
              </w:rPr>
            </w:pPr>
            <w:r w:rsidRPr="00E64C9D">
              <w:rPr>
                <w:rFonts w:eastAsia="Times New Roman" w:cs="Arial"/>
                <w:sz w:val="20"/>
              </w:rPr>
              <w:t>£900</w:t>
            </w:r>
          </w:p>
        </w:tc>
      </w:tr>
      <w:tr w:rsidR="00E64C9D" w:rsidRPr="00E64C9D" w14:paraId="6D2D369E" w14:textId="77777777" w:rsidTr="00E64C9D">
        <w:trPr>
          <w:trHeight w:val="451"/>
        </w:trPr>
        <w:tc>
          <w:tcPr>
            <w:tcW w:w="3338" w:type="dxa"/>
            <w:tcBorders>
              <w:top w:val="nil"/>
              <w:left w:val="single" w:sz="8" w:space="0" w:color="auto"/>
              <w:bottom w:val="nil"/>
              <w:right w:val="single" w:sz="4" w:space="0" w:color="auto"/>
            </w:tcBorders>
            <w:shd w:val="clear" w:color="000000" w:fill="FFFFFF"/>
            <w:vAlign w:val="center"/>
            <w:hideMark/>
          </w:tcPr>
          <w:p w14:paraId="4C6B6813" w14:textId="77777777" w:rsidR="00E64C9D" w:rsidRPr="00E64C9D" w:rsidRDefault="00E64C9D" w:rsidP="00E64C9D">
            <w:pPr>
              <w:rPr>
                <w:rFonts w:eastAsia="Times New Roman" w:cs="Arial"/>
                <w:sz w:val="20"/>
              </w:rPr>
            </w:pPr>
            <w:r w:rsidRPr="00E64C9D">
              <w:rPr>
                <w:rFonts w:eastAsia="Times New Roman" w:cs="Arial"/>
                <w:sz w:val="20"/>
              </w:rPr>
              <w:t>ADD: Supportive medicines cost per patient per annum</w:t>
            </w:r>
          </w:p>
        </w:tc>
        <w:tc>
          <w:tcPr>
            <w:tcW w:w="926" w:type="dxa"/>
            <w:tcBorders>
              <w:top w:val="nil"/>
              <w:left w:val="nil"/>
              <w:bottom w:val="nil"/>
              <w:right w:val="nil"/>
            </w:tcBorders>
            <w:shd w:val="clear" w:color="000000" w:fill="FFFFFF"/>
            <w:noWrap/>
            <w:vAlign w:val="center"/>
            <w:hideMark/>
          </w:tcPr>
          <w:p w14:paraId="4F846E27" w14:textId="77777777" w:rsidR="00E64C9D" w:rsidRPr="00E64C9D" w:rsidRDefault="00E64C9D" w:rsidP="00E64C9D">
            <w:pPr>
              <w:jc w:val="center"/>
              <w:rPr>
                <w:rFonts w:eastAsia="Times New Roman" w:cs="Arial"/>
                <w:sz w:val="20"/>
              </w:rPr>
            </w:pPr>
            <w:r w:rsidRPr="00E64C9D">
              <w:rPr>
                <w:rFonts w:eastAsia="Times New Roman" w:cs="Arial"/>
                <w:sz w:val="20"/>
              </w:rPr>
              <w:t>£0</w:t>
            </w:r>
          </w:p>
        </w:tc>
        <w:tc>
          <w:tcPr>
            <w:tcW w:w="1138" w:type="dxa"/>
            <w:tcBorders>
              <w:top w:val="nil"/>
              <w:left w:val="nil"/>
              <w:bottom w:val="nil"/>
              <w:right w:val="nil"/>
            </w:tcBorders>
            <w:shd w:val="clear" w:color="000000" w:fill="FFFFFF"/>
            <w:noWrap/>
            <w:vAlign w:val="center"/>
            <w:hideMark/>
          </w:tcPr>
          <w:p w14:paraId="2682B26D" w14:textId="77777777" w:rsidR="00E64C9D" w:rsidRPr="00E64C9D" w:rsidRDefault="00E64C9D" w:rsidP="00E64C9D">
            <w:pPr>
              <w:jc w:val="center"/>
              <w:rPr>
                <w:rFonts w:eastAsia="Times New Roman" w:cs="Arial"/>
                <w:sz w:val="20"/>
              </w:rPr>
            </w:pPr>
            <w:r w:rsidRPr="00E64C9D">
              <w:rPr>
                <w:rFonts w:eastAsia="Times New Roman" w:cs="Arial"/>
                <w:sz w:val="20"/>
              </w:rPr>
              <w:t>£0</w:t>
            </w:r>
          </w:p>
        </w:tc>
        <w:tc>
          <w:tcPr>
            <w:tcW w:w="1134" w:type="dxa"/>
            <w:tcBorders>
              <w:top w:val="nil"/>
              <w:left w:val="nil"/>
              <w:bottom w:val="nil"/>
              <w:right w:val="nil"/>
            </w:tcBorders>
            <w:shd w:val="clear" w:color="000000" w:fill="FFFFFF"/>
            <w:noWrap/>
            <w:vAlign w:val="center"/>
            <w:hideMark/>
          </w:tcPr>
          <w:p w14:paraId="7F03B46B" w14:textId="77777777" w:rsidR="00E64C9D" w:rsidRPr="00E64C9D" w:rsidRDefault="00E64C9D" w:rsidP="00E64C9D">
            <w:pPr>
              <w:jc w:val="center"/>
              <w:rPr>
                <w:rFonts w:eastAsia="Times New Roman" w:cs="Arial"/>
                <w:sz w:val="20"/>
              </w:rPr>
            </w:pPr>
            <w:r w:rsidRPr="00E64C9D">
              <w:rPr>
                <w:rFonts w:eastAsia="Times New Roman" w:cs="Arial"/>
                <w:sz w:val="20"/>
              </w:rPr>
              <w:t>£0</w:t>
            </w:r>
          </w:p>
        </w:tc>
        <w:tc>
          <w:tcPr>
            <w:tcW w:w="1134" w:type="dxa"/>
            <w:tcBorders>
              <w:top w:val="nil"/>
              <w:left w:val="nil"/>
              <w:bottom w:val="nil"/>
              <w:right w:val="nil"/>
            </w:tcBorders>
            <w:shd w:val="clear" w:color="000000" w:fill="FFFFFF"/>
            <w:noWrap/>
            <w:vAlign w:val="center"/>
            <w:hideMark/>
          </w:tcPr>
          <w:p w14:paraId="4C2D6F3F" w14:textId="77777777" w:rsidR="00E64C9D" w:rsidRPr="00E64C9D" w:rsidRDefault="00E64C9D" w:rsidP="00E64C9D">
            <w:pPr>
              <w:jc w:val="center"/>
              <w:rPr>
                <w:rFonts w:eastAsia="Times New Roman" w:cs="Arial"/>
                <w:sz w:val="20"/>
              </w:rPr>
            </w:pPr>
            <w:r w:rsidRPr="00E64C9D">
              <w:rPr>
                <w:rFonts w:eastAsia="Times New Roman" w:cs="Arial"/>
                <w:sz w:val="20"/>
              </w:rPr>
              <w:t>£0</w:t>
            </w:r>
          </w:p>
        </w:tc>
        <w:tc>
          <w:tcPr>
            <w:tcW w:w="1252" w:type="dxa"/>
            <w:tcBorders>
              <w:top w:val="nil"/>
              <w:left w:val="nil"/>
              <w:bottom w:val="nil"/>
              <w:right w:val="single" w:sz="8" w:space="0" w:color="auto"/>
            </w:tcBorders>
            <w:shd w:val="clear" w:color="000000" w:fill="FFFFFF"/>
            <w:noWrap/>
            <w:vAlign w:val="center"/>
            <w:hideMark/>
          </w:tcPr>
          <w:p w14:paraId="06119FD4" w14:textId="77777777" w:rsidR="00E64C9D" w:rsidRPr="00E64C9D" w:rsidRDefault="00E64C9D" w:rsidP="00E64C9D">
            <w:pPr>
              <w:jc w:val="center"/>
              <w:rPr>
                <w:rFonts w:eastAsia="Times New Roman" w:cs="Arial"/>
                <w:sz w:val="20"/>
              </w:rPr>
            </w:pPr>
            <w:r w:rsidRPr="00E64C9D">
              <w:rPr>
                <w:rFonts w:eastAsia="Times New Roman" w:cs="Arial"/>
                <w:sz w:val="20"/>
              </w:rPr>
              <w:t>£0</w:t>
            </w:r>
          </w:p>
        </w:tc>
      </w:tr>
      <w:tr w:rsidR="00E64C9D" w:rsidRPr="00E64C9D" w14:paraId="710E2303" w14:textId="77777777" w:rsidTr="00E64C9D">
        <w:trPr>
          <w:trHeight w:val="556"/>
        </w:trPr>
        <w:tc>
          <w:tcPr>
            <w:tcW w:w="3338" w:type="dxa"/>
            <w:tcBorders>
              <w:top w:val="nil"/>
              <w:left w:val="single" w:sz="8" w:space="0" w:color="auto"/>
              <w:bottom w:val="nil"/>
              <w:right w:val="single" w:sz="4" w:space="0" w:color="auto"/>
            </w:tcBorders>
            <w:shd w:val="clear" w:color="000000" w:fill="FFFFFF"/>
            <w:vAlign w:val="center"/>
            <w:hideMark/>
          </w:tcPr>
          <w:p w14:paraId="7A954AD9" w14:textId="77777777" w:rsidR="00E64C9D" w:rsidRPr="00E64C9D" w:rsidRDefault="00E64C9D" w:rsidP="00E64C9D">
            <w:pPr>
              <w:rPr>
                <w:rFonts w:eastAsia="Times New Roman" w:cs="Arial"/>
                <w:b/>
                <w:bCs/>
                <w:sz w:val="20"/>
              </w:rPr>
            </w:pPr>
            <w:r w:rsidRPr="00E64C9D">
              <w:rPr>
                <w:rFonts w:eastAsia="Times New Roman" w:cs="Arial"/>
                <w:b/>
                <w:bCs/>
                <w:sz w:val="20"/>
              </w:rPr>
              <w:t>GROSS ADDITIONAL MEDICINES COSTS PER PATIENT PER ANNUM</w:t>
            </w:r>
          </w:p>
        </w:tc>
        <w:tc>
          <w:tcPr>
            <w:tcW w:w="926" w:type="dxa"/>
            <w:tcBorders>
              <w:top w:val="nil"/>
              <w:left w:val="nil"/>
              <w:bottom w:val="nil"/>
              <w:right w:val="nil"/>
            </w:tcBorders>
            <w:shd w:val="clear" w:color="000000" w:fill="FFFFFF"/>
            <w:noWrap/>
            <w:vAlign w:val="center"/>
            <w:hideMark/>
          </w:tcPr>
          <w:p w14:paraId="4C6565FC" w14:textId="77777777" w:rsidR="00E64C9D" w:rsidRPr="00E64C9D" w:rsidRDefault="00E64C9D" w:rsidP="00E64C9D">
            <w:pPr>
              <w:jc w:val="center"/>
              <w:rPr>
                <w:rFonts w:eastAsia="Times New Roman" w:cs="Arial"/>
                <w:b/>
                <w:bCs/>
                <w:sz w:val="20"/>
              </w:rPr>
            </w:pPr>
            <w:r w:rsidRPr="00E64C9D">
              <w:rPr>
                <w:rFonts w:eastAsia="Times New Roman" w:cs="Arial"/>
                <w:b/>
                <w:bCs/>
                <w:sz w:val="20"/>
              </w:rPr>
              <w:t>£900</w:t>
            </w:r>
          </w:p>
        </w:tc>
        <w:tc>
          <w:tcPr>
            <w:tcW w:w="1138" w:type="dxa"/>
            <w:tcBorders>
              <w:top w:val="nil"/>
              <w:left w:val="nil"/>
              <w:bottom w:val="nil"/>
              <w:right w:val="nil"/>
            </w:tcBorders>
            <w:shd w:val="clear" w:color="000000" w:fill="FFFFFF"/>
            <w:noWrap/>
            <w:vAlign w:val="center"/>
            <w:hideMark/>
          </w:tcPr>
          <w:p w14:paraId="690657D3" w14:textId="77777777" w:rsidR="00E64C9D" w:rsidRPr="00E64C9D" w:rsidRDefault="00E64C9D" w:rsidP="00E64C9D">
            <w:pPr>
              <w:jc w:val="center"/>
              <w:rPr>
                <w:rFonts w:eastAsia="Times New Roman" w:cs="Arial"/>
                <w:b/>
                <w:bCs/>
                <w:sz w:val="20"/>
              </w:rPr>
            </w:pPr>
            <w:r w:rsidRPr="00E64C9D">
              <w:rPr>
                <w:rFonts w:eastAsia="Times New Roman" w:cs="Arial"/>
                <w:b/>
                <w:bCs/>
                <w:sz w:val="20"/>
              </w:rPr>
              <w:t>£900</w:t>
            </w:r>
          </w:p>
        </w:tc>
        <w:tc>
          <w:tcPr>
            <w:tcW w:w="1134" w:type="dxa"/>
            <w:tcBorders>
              <w:top w:val="nil"/>
              <w:left w:val="nil"/>
              <w:bottom w:val="nil"/>
              <w:right w:val="nil"/>
            </w:tcBorders>
            <w:shd w:val="clear" w:color="000000" w:fill="FFFFFF"/>
            <w:noWrap/>
            <w:vAlign w:val="center"/>
            <w:hideMark/>
          </w:tcPr>
          <w:p w14:paraId="33642D58" w14:textId="77777777" w:rsidR="00E64C9D" w:rsidRPr="00E64C9D" w:rsidRDefault="00E64C9D" w:rsidP="00E64C9D">
            <w:pPr>
              <w:jc w:val="center"/>
              <w:rPr>
                <w:rFonts w:eastAsia="Times New Roman" w:cs="Arial"/>
                <w:b/>
                <w:bCs/>
                <w:sz w:val="20"/>
              </w:rPr>
            </w:pPr>
            <w:r w:rsidRPr="00E64C9D">
              <w:rPr>
                <w:rFonts w:eastAsia="Times New Roman" w:cs="Arial"/>
                <w:b/>
                <w:bCs/>
                <w:sz w:val="20"/>
              </w:rPr>
              <w:t>£900</w:t>
            </w:r>
          </w:p>
        </w:tc>
        <w:tc>
          <w:tcPr>
            <w:tcW w:w="1134" w:type="dxa"/>
            <w:tcBorders>
              <w:top w:val="nil"/>
              <w:left w:val="nil"/>
              <w:bottom w:val="nil"/>
              <w:right w:val="nil"/>
            </w:tcBorders>
            <w:shd w:val="clear" w:color="000000" w:fill="FFFFFF"/>
            <w:noWrap/>
            <w:vAlign w:val="center"/>
            <w:hideMark/>
          </w:tcPr>
          <w:p w14:paraId="252C4DD4" w14:textId="77777777" w:rsidR="00E64C9D" w:rsidRPr="00E64C9D" w:rsidRDefault="00E64C9D" w:rsidP="00E64C9D">
            <w:pPr>
              <w:jc w:val="center"/>
              <w:rPr>
                <w:rFonts w:eastAsia="Times New Roman" w:cs="Arial"/>
                <w:b/>
                <w:bCs/>
                <w:sz w:val="20"/>
              </w:rPr>
            </w:pPr>
            <w:r w:rsidRPr="00E64C9D">
              <w:rPr>
                <w:rFonts w:eastAsia="Times New Roman" w:cs="Arial"/>
                <w:b/>
                <w:bCs/>
                <w:sz w:val="20"/>
              </w:rPr>
              <w:t>£900</w:t>
            </w:r>
          </w:p>
        </w:tc>
        <w:tc>
          <w:tcPr>
            <w:tcW w:w="1252" w:type="dxa"/>
            <w:tcBorders>
              <w:top w:val="nil"/>
              <w:left w:val="nil"/>
              <w:bottom w:val="nil"/>
              <w:right w:val="single" w:sz="8" w:space="0" w:color="auto"/>
            </w:tcBorders>
            <w:shd w:val="clear" w:color="000000" w:fill="FFFFFF"/>
            <w:noWrap/>
            <w:vAlign w:val="center"/>
            <w:hideMark/>
          </w:tcPr>
          <w:p w14:paraId="2FB29515" w14:textId="77777777" w:rsidR="00E64C9D" w:rsidRPr="00E64C9D" w:rsidRDefault="00E64C9D" w:rsidP="00E64C9D">
            <w:pPr>
              <w:jc w:val="center"/>
              <w:rPr>
                <w:rFonts w:eastAsia="Times New Roman" w:cs="Arial"/>
                <w:b/>
                <w:bCs/>
                <w:sz w:val="20"/>
              </w:rPr>
            </w:pPr>
            <w:r w:rsidRPr="00E64C9D">
              <w:rPr>
                <w:rFonts w:eastAsia="Times New Roman" w:cs="Arial"/>
                <w:b/>
                <w:bCs/>
                <w:sz w:val="20"/>
              </w:rPr>
              <w:t>£900</w:t>
            </w:r>
          </w:p>
        </w:tc>
      </w:tr>
      <w:tr w:rsidR="00E64C9D" w:rsidRPr="00E64C9D" w14:paraId="6832D6A2" w14:textId="77777777" w:rsidTr="00E64C9D">
        <w:trPr>
          <w:trHeight w:val="427"/>
        </w:trPr>
        <w:tc>
          <w:tcPr>
            <w:tcW w:w="3338" w:type="dxa"/>
            <w:tcBorders>
              <w:top w:val="nil"/>
              <w:left w:val="single" w:sz="8" w:space="0" w:color="auto"/>
              <w:bottom w:val="nil"/>
              <w:right w:val="single" w:sz="4" w:space="0" w:color="auto"/>
            </w:tcBorders>
            <w:shd w:val="clear" w:color="000000" w:fill="FFFFFF"/>
            <w:vAlign w:val="center"/>
            <w:hideMark/>
          </w:tcPr>
          <w:p w14:paraId="466228DE" w14:textId="77777777" w:rsidR="00E64C9D" w:rsidRPr="00E64C9D" w:rsidRDefault="00E64C9D" w:rsidP="00E64C9D">
            <w:pPr>
              <w:rPr>
                <w:rFonts w:eastAsia="Times New Roman" w:cs="Arial"/>
                <w:sz w:val="20"/>
              </w:rPr>
            </w:pPr>
            <w:r w:rsidRPr="00E64C9D">
              <w:rPr>
                <w:rFonts w:eastAsia="Times New Roman" w:cs="Arial"/>
                <w:sz w:val="20"/>
              </w:rPr>
              <w:t>LESS: Displaced medicines cost per patient per annum</w:t>
            </w:r>
          </w:p>
        </w:tc>
        <w:tc>
          <w:tcPr>
            <w:tcW w:w="926" w:type="dxa"/>
            <w:tcBorders>
              <w:top w:val="nil"/>
              <w:left w:val="nil"/>
              <w:bottom w:val="nil"/>
              <w:right w:val="nil"/>
            </w:tcBorders>
            <w:shd w:val="clear" w:color="000000" w:fill="FFFFFF"/>
            <w:noWrap/>
            <w:vAlign w:val="center"/>
            <w:hideMark/>
          </w:tcPr>
          <w:p w14:paraId="3EC6B360" w14:textId="77777777" w:rsidR="00E64C9D" w:rsidRPr="00E64C9D" w:rsidRDefault="00E64C9D" w:rsidP="00E64C9D">
            <w:pPr>
              <w:jc w:val="center"/>
              <w:rPr>
                <w:rFonts w:eastAsia="Times New Roman" w:cs="Arial"/>
                <w:sz w:val="20"/>
              </w:rPr>
            </w:pPr>
            <w:r w:rsidRPr="00E64C9D">
              <w:rPr>
                <w:rFonts w:eastAsia="Times New Roman" w:cs="Arial"/>
                <w:sz w:val="20"/>
              </w:rPr>
              <w:t>(890)</w:t>
            </w:r>
          </w:p>
        </w:tc>
        <w:tc>
          <w:tcPr>
            <w:tcW w:w="1138" w:type="dxa"/>
            <w:tcBorders>
              <w:top w:val="nil"/>
              <w:left w:val="nil"/>
              <w:bottom w:val="nil"/>
              <w:right w:val="nil"/>
            </w:tcBorders>
            <w:shd w:val="clear" w:color="000000" w:fill="FFFFFF"/>
            <w:noWrap/>
            <w:vAlign w:val="center"/>
            <w:hideMark/>
          </w:tcPr>
          <w:p w14:paraId="67DC44D6" w14:textId="77777777" w:rsidR="00E64C9D" w:rsidRPr="00E64C9D" w:rsidRDefault="00E64C9D" w:rsidP="00E64C9D">
            <w:pPr>
              <w:jc w:val="center"/>
              <w:rPr>
                <w:rFonts w:eastAsia="Times New Roman" w:cs="Arial"/>
                <w:sz w:val="20"/>
              </w:rPr>
            </w:pPr>
            <w:r w:rsidRPr="00E64C9D">
              <w:rPr>
                <w:rFonts w:eastAsia="Times New Roman" w:cs="Arial"/>
                <w:sz w:val="20"/>
              </w:rPr>
              <w:t>(890)</w:t>
            </w:r>
          </w:p>
        </w:tc>
        <w:tc>
          <w:tcPr>
            <w:tcW w:w="1134" w:type="dxa"/>
            <w:tcBorders>
              <w:top w:val="nil"/>
              <w:left w:val="nil"/>
              <w:bottom w:val="nil"/>
              <w:right w:val="nil"/>
            </w:tcBorders>
            <w:shd w:val="clear" w:color="000000" w:fill="FFFFFF"/>
            <w:noWrap/>
            <w:vAlign w:val="center"/>
            <w:hideMark/>
          </w:tcPr>
          <w:p w14:paraId="0849B337" w14:textId="77777777" w:rsidR="00E64C9D" w:rsidRPr="00E64C9D" w:rsidRDefault="00E64C9D" w:rsidP="00E64C9D">
            <w:pPr>
              <w:jc w:val="center"/>
              <w:rPr>
                <w:rFonts w:eastAsia="Times New Roman" w:cs="Arial"/>
                <w:sz w:val="20"/>
              </w:rPr>
            </w:pPr>
            <w:r w:rsidRPr="00E64C9D">
              <w:rPr>
                <w:rFonts w:eastAsia="Times New Roman" w:cs="Arial"/>
                <w:sz w:val="20"/>
              </w:rPr>
              <w:t>(890)</w:t>
            </w:r>
          </w:p>
        </w:tc>
        <w:tc>
          <w:tcPr>
            <w:tcW w:w="1134" w:type="dxa"/>
            <w:tcBorders>
              <w:top w:val="nil"/>
              <w:left w:val="nil"/>
              <w:bottom w:val="nil"/>
              <w:right w:val="nil"/>
            </w:tcBorders>
            <w:shd w:val="clear" w:color="000000" w:fill="FFFFFF"/>
            <w:noWrap/>
            <w:vAlign w:val="center"/>
            <w:hideMark/>
          </w:tcPr>
          <w:p w14:paraId="0E6D06EC" w14:textId="77777777" w:rsidR="00E64C9D" w:rsidRPr="00E64C9D" w:rsidRDefault="00E64C9D" w:rsidP="00E64C9D">
            <w:pPr>
              <w:jc w:val="center"/>
              <w:rPr>
                <w:rFonts w:eastAsia="Times New Roman" w:cs="Arial"/>
                <w:sz w:val="20"/>
              </w:rPr>
            </w:pPr>
            <w:r w:rsidRPr="00E64C9D">
              <w:rPr>
                <w:rFonts w:eastAsia="Times New Roman" w:cs="Arial"/>
                <w:sz w:val="20"/>
              </w:rPr>
              <w:t>(890)</w:t>
            </w:r>
          </w:p>
        </w:tc>
        <w:tc>
          <w:tcPr>
            <w:tcW w:w="1252" w:type="dxa"/>
            <w:tcBorders>
              <w:top w:val="nil"/>
              <w:left w:val="nil"/>
              <w:bottom w:val="nil"/>
              <w:right w:val="single" w:sz="8" w:space="0" w:color="auto"/>
            </w:tcBorders>
            <w:shd w:val="clear" w:color="000000" w:fill="FFFFFF"/>
            <w:noWrap/>
            <w:vAlign w:val="center"/>
            <w:hideMark/>
          </w:tcPr>
          <w:p w14:paraId="07AF3938" w14:textId="77777777" w:rsidR="00E64C9D" w:rsidRPr="00E64C9D" w:rsidRDefault="00E64C9D" w:rsidP="00E64C9D">
            <w:pPr>
              <w:jc w:val="center"/>
              <w:rPr>
                <w:rFonts w:eastAsia="Times New Roman" w:cs="Arial"/>
                <w:sz w:val="20"/>
              </w:rPr>
            </w:pPr>
            <w:r w:rsidRPr="00E64C9D">
              <w:rPr>
                <w:rFonts w:eastAsia="Times New Roman" w:cs="Arial"/>
                <w:sz w:val="20"/>
              </w:rPr>
              <w:t>(890)</w:t>
            </w:r>
          </w:p>
        </w:tc>
      </w:tr>
      <w:tr w:rsidR="00E64C9D" w:rsidRPr="00E64C9D" w14:paraId="0689D4FE" w14:textId="77777777" w:rsidTr="00E64C9D">
        <w:trPr>
          <w:trHeight w:val="520"/>
        </w:trPr>
        <w:tc>
          <w:tcPr>
            <w:tcW w:w="3338" w:type="dxa"/>
            <w:tcBorders>
              <w:top w:val="nil"/>
              <w:left w:val="single" w:sz="8" w:space="0" w:color="auto"/>
              <w:bottom w:val="single" w:sz="8" w:space="0" w:color="auto"/>
              <w:right w:val="single" w:sz="4" w:space="0" w:color="auto"/>
            </w:tcBorders>
            <w:shd w:val="clear" w:color="000000" w:fill="FFFFFF"/>
            <w:vAlign w:val="center"/>
            <w:hideMark/>
          </w:tcPr>
          <w:p w14:paraId="0160F506" w14:textId="77777777" w:rsidR="00E64C9D" w:rsidRPr="00E64C9D" w:rsidRDefault="00E64C9D" w:rsidP="00E64C9D">
            <w:pPr>
              <w:rPr>
                <w:rFonts w:eastAsia="Times New Roman" w:cs="Arial"/>
                <w:b/>
                <w:bCs/>
                <w:sz w:val="20"/>
              </w:rPr>
            </w:pPr>
            <w:r w:rsidRPr="00E64C9D">
              <w:rPr>
                <w:rFonts w:eastAsia="Times New Roman" w:cs="Arial"/>
                <w:b/>
                <w:bCs/>
                <w:sz w:val="20"/>
              </w:rPr>
              <w:t>NET ADDITIONAL MEDICINES (SAVINGS)/COSTS</w:t>
            </w:r>
          </w:p>
        </w:tc>
        <w:tc>
          <w:tcPr>
            <w:tcW w:w="926" w:type="dxa"/>
            <w:tcBorders>
              <w:top w:val="nil"/>
              <w:left w:val="nil"/>
              <w:bottom w:val="single" w:sz="8" w:space="0" w:color="auto"/>
              <w:right w:val="nil"/>
            </w:tcBorders>
            <w:shd w:val="clear" w:color="000000" w:fill="FFFFFF"/>
            <w:noWrap/>
            <w:vAlign w:val="center"/>
            <w:hideMark/>
          </w:tcPr>
          <w:p w14:paraId="7FA4976E" w14:textId="77777777" w:rsidR="00E64C9D" w:rsidRPr="00E64C9D" w:rsidRDefault="00E64C9D" w:rsidP="00E64C9D">
            <w:pPr>
              <w:jc w:val="center"/>
              <w:rPr>
                <w:rFonts w:eastAsia="Times New Roman" w:cs="Arial"/>
                <w:b/>
                <w:bCs/>
                <w:sz w:val="20"/>
              </w:rPr>
            </w:pPr>
            <w:r w:rsidRPr="00E64C9D">
              <w:rPr>
                <w:rFonts w:eastAsia="Times New Roman" w:cs="Arial"/>
                <w:b/>
                <w:bCs/>
                <w:sz w:val="20"/>
              </w:rPr>
              <w:t>£10.00</w:t>
            </w:r>
          </w:p>
        </w:tc>
        <w:tc>
          <w:tcPr>
            <w:tcW w:w="1138" w:type="dxa"/>
            <w:tcBorders>
              <w:top w:val="nil"/>
              <w:left w:val="nil"/>
              <w:bottom w:val="single" w:sz="8" w:space="0" w:color="auto"/>
              <w:right w:val="nil"/>
            </w:tcBorders>
            <w:shd w:val="clear" w:color="000000" w:fill="FFFFFF"/>
            <w:noWrap/>
            <w:vAlign w:val="center"/>
            <w:hideMark/>
          </w:tcPr>
          <w:p w14:paraId="68525643" w14:textId="77777777" w:rsidR="00E64C9D" w:rsidRPr="00E64C9D" w:rsidRDefault="00E64C9D" w:rsidP="00E64C9D">
            <w:pPr>
              <w:jc w:val="center"/>
              <w:rPr>
                <w:rFonts w:eastAsia="Times New Roman" w:cs="Arial"/>
                <w:b/>
                <w:bCs/>
                <w:sz w:val="20"/>
              </w:rPr>
            </w:pPr>
            <w:r w:rsidRPr="00E64C9D">
              <w:rPr>
                <w:rFonts w:eastAsia="Times New Roman" w:cs="Arial"/>
                <w:b/>
                <w:bCs/>
                <w:sz w:val="20"/>
              </w:rPr>
              <w:t>£10.00</w:t>
            </w:r>
          </w:p>
        </w:tc>
        <w:tc>
          <w:tcPr>
            <w:tcW w:w="1134" w:type="dxa"/>
            <w:tcBorders>
              <w:top w:val="nil"/>
              <w:left w:val="nil"/>
              <w:bottom w:val="single" w:sz="8" w:space="0" w:color="auto"/>
              <w:right w:val="nil"/>
            </w:tcBorders>
            <w:shd w:val="clear" w:color="000000" w:fill="FFFFFF"/>
            <w:noWrap/>
            <w:vAlign w:val="center"/>
            <w:hideMark/>
          </w:tcPr>
          <w:p w14:paraId="39C44519" w14:textId="77777777" w:rsidR="00E64C9D" w:rsidRPr="00E64C9D" w:rsidRDefault="00E64C9D" w:rsidP="00E64C9D">
            <w:pPr>
              <w:jc w:val="center"/>
              <w:rPr>
                <w:rFonts w:eastAsia="Times New Roman" w:cs="Arial"/>
                <w:b/>
                <w:bCs/>
                <w:sz w:val="20"/>
              </w:rPr>
            </w:pPr>
            <w:r w:rsidRPr="00E64C9D">
              <w:rPr>
                <w:rFonts w:eastAsia="Times New Roman" w:cs="Arial"/>
                <w:b/>
                <w:bCs/>
                <w:sz w:val="20"/>
              </w:rPr>
              <w:t>£10.00</w:t>
            </w:r>
          </w:p>
        </w:tc>
        <w:tc>
          <w:tcPr>
            <w:tcW w:w="1134" w:type="dxa"/>
            <w:tcBorders>
              <w:top w:val="nil"/>
              <w:left w:val="nil"/>
              <w:bottom w:val="single" w:sz="8" w:space="0" w:color="auto"/>
              <w:right w:val="nil"/>
            </w:tcBorders>
            <w:shd w:val="clear" w:color="000000" w:fill="FFFFFF"/>
            <w:noWrap/>
            <w:vAlign w:val="center"/>
            <w:hideMark/>
          </w:tcPr>
          <w:p w14:paraId="399B941E" w14:textId="77777777" w:rsidR="00E64C9D" w:rsidRPr="00E64C9D" w:rsidRDefault="00E64C9D" w:rsidP="00E64C9D">
            <w:pPr>
              <w:jc w:val="center"/>
              <w:rPr>
                <w:rFonts w:eastAsia="Times New Roman" w:cs="Arial"/>
                <w:b/>
                <w:bCs/>
                <w:sz w:val="20"/>
              </w:rPr>
            </w:pPr>
            <w:r w:rsidRPr="00E64C9D">
              <w:rPr>
                <w:rFonts w:eastAsia="Times New Roman" w:cs="Arial"/>
                <w:b/>
                <w:bCs/>
                <w:sz w:val="20"/>
              </w:rPr>
              <w:t>£10.00</w:t>
            </w:r>
          </w:p>
        </w:tc>
        <w:tc>
          <w:tcPr>
            <w:tcW w:w="1252" w:type="dxa"/>
            <w:tcBorders>
              <w:top w:val="nil"/>
              <w:left w:val="nil"/>
              <w:bottom w:val="single" w:sz="8" w:space="0" w:color="auto"/>
              <w:right w:val="single" w:sz="8" w:space="0" w:color="auto"/>
            </w:tcBorders>
            <w:shd w:val="clear" w:color="000000" w:fill="FFFFFF"/>
            <w:noWrap/>
            <w:vAlign w:val="center"/>
            <w:hideMark/>
          </w:tcPr>
          <w:p w14:paraId="208E1A0B" w14:textId="77777777" w:rsidR="00E64C9D" w:rsidRPr="00E64C9D" w:rsidRDefault="00E64C9D" w:rsidP="00E64C9D">
            <w:pPr>
              <w:jc w:val="center"/>
              <w:rPr>
                <w:rFonts w:eastAsia="Times New Roman" w:cs="Arial"/>
                <w:b/>
                <w:bCs/>
                <w:sz w:val="20"/>
              </w:rPr>
            </w:pPr>
            <w:r w:rsidRPr="00E64C9D">
              <w:rPr>
                <w:rFonts w:eastAsia="Times New Roman" w:cs="Arial"/>
                <w:b/>
                <w:bCs/>
                <w:sz w:val="20"/>
              </w:rPr>
              <w:t>£10.00</w:t>
            </w:r>
          </w:p>
        </w:tc>
      </w:tr>
      <w:tr w:rsidR="00E64C9D" w:rsidRPr="00E64C9D" w14:paraId="434EFE91" w14:textId="77777777" w:rsidTr="00E64C9D">
        <w:trPr>
          <w:trHeight w:val="232"/>
        </w:trPr>
        <w:tc>
          <w:tcPr>
            <w:tcW w:w="3338" w:type="dxa"/>
            <w:tcBorders>
              <w:top w:val="nil"/>
              <w:left w:val="nil"/>
              <w:bottom w:val="nil"/>
              <w:right w:val="nil"/>
            </w:tcBorders>
            <w:shd w:val="clear" w:color="000000" w:fill="FFFFFF"/>
            <w:vAlign w:val="bottom"/>
            <w:hideMark/>
          </w:tcPr>
          <w:p w14:paraId="70BCC234" w14:textId="77777777" w:rsidR="00E64C9D" w:rsidRPr="00E64C9D" w:rsidRDefault="00E64C9D" w:rsidP="00E64C9D">
            <w:pPr>
              <w:rPr>
                <w:rFonts w:eastAsia="Times New Roman" w:cs="Arial"/>
                <w:b/>
                <w:bCs/>
                <w:sz w:val="20"/>
              </w:rPr>
            </w:pPr>
            <w:r w:rsidRPr="00E64C9D">
              <w:rPr>
                <w:rFonts w:eastAsia="Times New Roman" w:cs="Arial"/>
                <w:b/>
                <w:bCs/>
                <w:sz w:val="20"/>
              </w:rPr>
              <w:t> </w:t>
            </w:r>
          </w:p>
        </w:tc>
        <w:tc>
          <w:tcPr>
            <w:tcW w:w="926" w:type="dxa"/>
            <w:tcBorders>
              <w:top w:val="nil"/>
              <w:left w:val="nil"/>
              <w:bottom w:val="nil"/>
              <w:right w:val="nil"/>
            </w:tcBorders>
            <w:shd w:val="clear" w:color="000000" w:fill="FFFFFF"/>
            <w:noWrap/>
            <w:vAlign w:val="center"/>
            <w:hideMark/>
          </w:tcPr>
          <w:p w14:paraId="14732BFF"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8" w:type="dxa"/>
            <w:tcBorders>
              <w:top w:val="nil"/>
              <w:left w:val="nil"/>
              <w:bottom w:val="nil"/>
              <w:right w:val="nil"/>
            </w:tcBorders>
            <w:shd w:val="clear" w:color="000000" w:fill="FFFFFF"/>
            <w:noWrap/>
            <w:vAlign w:val="center"/>
            <w:hideMark/>
          </w:tcPr>
          <w:p w14:paraId="216B86B8"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351BF359"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0C536125" w14:textId="77777777" w:rsidR="00E64C9D" w:rsidRPr="00E64C9D" w:rsidRDefault="00E64C9D" w:rsidP="00E64C9D">
            <w:pPr>
              <w:rPr>
                <w:rFonts w:eastAsia="Times New Roman" w:cs="Arial"/>
                <w:sz w:val="20"/>
              </w:rPr>
            </w:pPr>
            <w:r w:rsidRPr="00E64C9D">
              <w:rPr>
                <w:rFonts w:eastAsia="Times New Roman" w:cs="Arial"/>
                <w:sz w:val="20"/>
              </w:rPr>
              <w:t> </w:t>
            </w:r>
          </w:p>
        </w:tc>
        <w:tc>
          <w:tcPr>
            <w:tcW w:w="1252" w:type="dxa"/>
            <w:tcBorders>
              <w:top w:val="nil"/>
              <w:left w:val="nil"/>
              <w:bottom w:val="nil"/>
              <w:right w:val="nil"/>
            </w:tcBorders>
            <w:shd w:val="clear" w:color="000000" w:fill="FFFFFF"/>
            <w:noWrap/>
            <w:vAlign w:val="center"/>
            <w:hideMark/>
          </w:tcPr>
          <w:p w14:paraId="75C28AAD" w14:textId="77777777" w:rsidR="00E64C9D" w:rsidRPr="00E64C9D" w:rsidRDefault="00E64C9D" w:rsidP="00E64C9D">
            <w:pPr>
              <w:rPr>
                <w:rFonts w:eastAsia="Times New Roman" w:cs="Arial"/>
                <w:sz w:val="20"/>
              </w:rPr>
            </w:pPr>
            <w:r w:rsidRPr="00E64C9D">
              <w:rPr>
                <w:rFonts w:eastAsia="Times New Roman" w:cs="Arial"/>
                <w:sz w:val="20"/>
              </w:rPr>
              <w:t> </w:t>
            </w:r>
          </w:p>
        </w:tc>
      </w:tr>
      <w:tr w:rsidR="00E64C9D" w:rsidRPr="00E64C9D" w14:paraId="5A2D918B" w14:textId="77777777" w:rsidTr="00E64C9D">
        <w:trPr>
          <w:trHeight w:val="215"/>
        </w:trPr>
        <w:tc>
          <w:tcPr>
            <w:tcW w:w="3338" w:type="dxa"/>
            <w:tcBorders>
              <w:top w:val="single" w:sz="8" w:space="0" w:color="auto"/>
              <w:left w:val="single" w:sz="8" w:space="0" w:color="auto"/>
              <w:bottom w:val="nil"/>
              <w:right w:val="single" w:sz="4" w:space="0" w:color="auto"/>
            </w:tcBorders>
            <w:shd w:val="clear" w:color="000000" w:fill="FFFFFF"/>
            <w:vAlign w:val="bottom"/>
            <w:hideMark/>
          </w:tcPr>
          <w:p w14:paraId="4888D3EC" w14:textId="77777777" w:rsidR="00E64C9D" w:rsidRPr="00E64C9D" w:rsidRDefault="00E64C9D" w:rsidP="00E64C9D">
            <w:pPr>
              <w:rPr>
                <w:rFonts w:eastAsia="Times New Roman" w:cs="Arial"/>
                <w:sz w:val="20"/>
              </w:rPr>
            </w:pPr>
            <w:r w:rsidRPr="00E64C9D">
              <w:rPr>
                <w:rFonts w:eastAsia="Times New Roman" w:cs="Arial"/>
                <w:sz w:val="20"/>
              </w:rPr>
              <w:t>Number of patients treated in each year</w:t>
            </w:r>
          </w:p>
        </w:tc>
        <w:tc>
          <w:tcPr>
            <w:tcW w:w="926" w:type="dxa"/>
            <w:tcBorders>
              <w:top w:val="single" w:sz="8" w:space="0" w:color="auto"/>
              <w:left w:val="nil"/>
              <w:bottom w:val="nil"/>
              <w:right w:val="nil"/>
            </w:tcBorders>
            <w:shd w:val="clear" w:color="000000" w:fill="FFFFFF"/>
            <w:noWrap/>
            <w:vAlign w:val="center"/>
            <w:hideMark/>
          </w:tcPr>
          <w:p w14:paraId="4436D701" w14:textId="77777777" w:rsidR="00E64C9D" w:rsidRPr="00E64C9D" w:rsidRDefault="00E64C9D" w:rsidP="00E64C9D">
            <w:pPr>
              <w:jc w:val="center"/>
              <w:rPr>
                <w:rFonts w:eastAsia="Times New Roman" w:cs="Arial"/>
                <w:sz w:val="20"/>
              </w:rPr>
            </w:pPr>
            <w:r w:rsidRPr="00E64C9D">
              <w:rPr>
                <w:rFonts w:eastAsia="Times New Roman" w:cs="Arial"/>
                <w:sz w:val="20"/>
              </w:rPr>
              <w:t>7</w:t>
            </w:r>
          </w:p>
        </w:tc>
        <w:tc>
          <w:tcPr>
            <w:tcW w:w="1138" w:type="dxa"/>
            <w:tcBorders>
              <w:top w:val="single" w:sz="8" w:space="0" w:color="auto"/>
              <w:left w:val="nil"/>
              <w:bottom w:val="nil"/>
              <w:right w:val="nil"/>
            </w:tcBorders>
            <w:shd w:val="clear" w:color="000000" w:fill="FFFFFF"/>
            <w:noWrap/>
            <w:vAlign w:val="center"/>
            <w:hideMark/>
          </w:tcPr>
          <w:p w14:paraId="06E32C24" w14:textId="77777777" w:rsidR="00E64C9D" w:rsidRPr="00E64C9D" w:rsidRDefault="00E64C9D" w:rsidP="00E64C9D">
            <w:pPr>
              <w:jc w:val="center"/>
              <w:rPr>
                <w:rFonts w:eastAsia="Times New Roman" w:cs="Arial"/>
                <w:sz w:val="20"/>
              </w:rPr>
            </w:pPr>
            <w:r w:rsidRPr="00E64C9D">
              <w:rPr>
                <w:rFonts w:eastAsia="Times New Roman" w:cs="Arial"/>
                <w:sz w:val="20"/>
              </w:rPr>
              <w:t>21</w:t>
            </w:r>
          </w:p>
        </w:tc>
        <w:tc>
          <w:tcPr>
            <w:tcW w:w="1134" w:type="dxa"/>
            <w:tcBorders>
              <w:top w:val="single" w:sz="8" w:space="0" w:color="auto"/>
              <w:left w:val="nil"/>
              <w:bottom w:val="nil"/>
              <w:right w:val="nil"/>
            </w:tcBorders>
            <w:shd w:val="clear" w:color="000000" w:fill="FFFFFF"/>
            <w:noWrap/>
            <w:vAlign w:val="center"/>
            <w:hideMark/>
          </w:tcPr>
          <w:p w14:paraId="54210E55" w14:textId="77777777" w:rsidR="00E64C9D" w:rsidRPr="00E64C9D" w:rsidRDefault="00E64C9D" w:rsidP="00E64C9D">
            <w:pPr>
              <w:jc w:val="center"/>
              <w:rPr>
                <w:rFonts w:eastAsia="Times New Roman" w:cs="Arial"/>
                <w:sz w:val="20"/>
              </w:rPr>
            </w:pPr>
            <w:r w:rsidRPr="00E64C9D">
              <w:rPr>
                <w:rFonts w:eastAsia="Times New Roman" w:cs="Arial"/>
                <w:sz w:val="20"/>
              </w:rPr>
              <w:t>34</w:t>
            </w:r>
          </w:p>
        </w:tc>
        <w:tc>
          <w:tcPr>
            <w:tcW w:w="1134" w:type="dxa"/>
            <w:tcBorders>
              <w:top w:val="single" w:sz="8" w:space="0" w:color="auto"/>
              <w:left w:val="nil"/>
              <w:bottom w:val="nil"/>
              <w:right w:val="nil"/>
            </w:tcBorders>
            <w:shd w:val="clear" w:color="000000" w:fill="FFFFFF"/>
            <w:noWrap/>
            <w:vAlign w:val="center"/>
            <w:hideMark/>
          </w:tcPr>
          <w:p w14:paraId="132FC7FF" w14:textId="77777777" w:rsidR="00E64C9D" w:rsidRPr="00E64C9D" w:rsidRDefault="00E64C9D" w:rsidP="00E64C9D">
            <w:pPr>
              <w:jc w:val="center"/>
              <w:rPr>
                <w:rFonts w:eastAsia="Times New Roman" w:cs="Arial"/>
                <w:sz w:val="20"/>
              </w:rPr>
            </w:pPr>
            <w:r w:rsidRPr="00E64C9D">
              <w:rPr>
                <w:rFonts w:eastAsia="Times New Roman" w:cs="Arial"/>
                <w:sz w:val="20"/>
              </w:rPr>
              <w:t>48</w:t>
            </w:r>
          </w:p>
        </w:tc>
        <w:tc>
          <w:tcPr>
            <w:tcW w:w="1252" w:type="dxa"/>
            <w:tcBorders>
              <w:top w:val="single" w:sz="8" w:space="0" w:color="auto"/>
              <w:left w:val="nil"/>
              <w:bottom w:val="nil"/>
              <w:right w:val="single" w:sz="8" w:space="0" w:color="auto"/>
            </w:tcBorders>
            <w:shd w:val="clear" w:color="000000" w:fill="FFFFFF"/>
            <w:noWrap/>
            <w:vAlign w:val="center"/>
            <w:hideMark/>
          </w:tcPr>
          <w:p w14:paraId="2B183171" w14:textId="77777777" w:rsidR="00E64C9D" w:rsidRPr="00E64C9D" w:rsidRDefault="00E64C9D" w:rsidP="00E64C9D">
            <w:pPr>
              <w:jc w:val="center"/>
              <w:rPr>
                <w:rFonts w:eastAsia="Times New Roman" w:cs="Arial"/>
                <w:sz w:val="20"/>
              </w:rPr>
            </w:pPr>
            <w:r w:rsidRPr="00E64C9D">
              <w:rPr>
                <w:rFonts w:eastAsia="Times New Roman" w:cs="Arial"/>
                <w:sz w:val="20"/>
              </w:rPr>
              <w:t>62</w:t>
            </w:r>
          </w:p>
        </w:tc>
      </w:tr>
      <w:tr w:rsidR="00E64C9D" w:rsidRPr="00E64C9D" w14:paraId="4561A792" w14:textId="77777777" w:rsidTr="00E64C9D">
        <w:trPr>
          <w:trHeight w:val="427"/>
        </w:trPr>
        <w:tc>
          <w:tcPr>
            <w:tcW w:w="3338" w:type="dxa"/>
            <w:tcBorders>
              <w:top w:val="nil"/>
              <w:left w:val="single" w:sz="8" w:space="0" w:color="auto"/>
              <w:bottom w:val="nil"/>
              <w:right w:val="single" w:sz="4" w:space="0" w:color="auto"/>
            </w:tcBorders>
            <w:shd w:val="clear" w:color="000000" w:fill="FFFFFF"/>
            <w:vAlign w:val="bottom"/>
            <w:hideMark/>
          </w:tcPr>
          <w:p w14:paraId="21356501" w14:textId="77777777" w:rsidR="00E64C9D" w:rsidRPr="00E64C9D" w:rsidRDefault="00E64C9D" w:rsidP="00E64C9D">
            <w:pPr>
              <w:rPr>
                <w:rFonts w:eastAsia="Times New Roman" w:cs="Arial"/>
                <w:b/>
                <w:bCs/>
                <w:sz w:val="20"/>
              </w:rPr>
            </w:pPr>
            <w:r w:rsidRPr="00E64C9D">
              <w:rPr>
                <w:rFonts w:eastAsia="Times New Roman" w:cs="Arial"/>
                <w:b/>
                <w:bCs/>
                <w:sz w:val="20"/>
              </w:rPr>
              <w:t>BUDGET IMPACT (new medicine and supportive medicine costs only)</w:t>
            </w:r>
          </w:p>
        </w:tc>
        <w:tc>
          <w:tcPr>
            <w:tcW w:w="926" w:type="dxa"/>
            <w:tcBorders>
              <w:top w:val="nil"/>
              <w:left w:val="nil"/>
              <w:bottom w:val="nil"/>
              <w:right w:val="nil"/>
            </w:tcBorders>
            <w:shd w:val="clear" w:color="000000" w:fill="FFFFFF"/>
            <w:noWrap/>
            <w:vAlign w:val="center"/>
            <w:hideMark/>
          </w:tcPr>
          <w:p w14:paraId="1870933C" w14:textId="77777777" w:rsidR="00E64C9D" w:rsidRPr="00E64C9D" w:rsidRDefault="00E64C9D" w:rsidP="00E64C9D">
            <w:pPr>
              <w:jc w:val="center"/>
              <w:rPr>
                <w:rFonts w:eastAsia="Times New Roman" w:cs="Arial"/>
                <w:b/>
                <w:bCs/>
                <w:sz w:val="20"/>
              </w:rPr>
            </w:pPr>
            <w:r w:rsidRPr="00E64C9D">
              <w:rPr>
                <w:rFonts w:eastAsia="Times New Roman" w:cs="Arial"/>
                <w:b/>
                <w:bCs/>
                <w:sz w:val="20"/>
              </w:rPr>
              <w:t>£6,183</w:t>
            </w:r>
          </w:p>
        </w:tc>
        <w:tc>
          <w:tcPr>
            <w:tcW w:w="1138" w:type="dxa"/>
            <w:tcBorders>
              <w:top w:val="nil"/>
              <w:left w:val="nil"/>
              <w:bottom w:val="nil"/>
              <w:right w:val="nil"/>
            </w:tcBorders>
            <w:shd w:val="clear" w:color="000000" w:fill="FFFFFF"/>
            <w:noWrap/>
            <w:vAlign w:val="center"/>
            <w:hideMark/>
          </w:tcPr>
          <w:p w14:paraId="31CD1D4B" w14:textId="77777777" w:rsidR="00E64C9D" w:rsidRPr="00E64C9D" w:rsidRDefault="00E64C9D" w:rsidP="00E64C9D">
            <w:pPr>
              <w:jc w:val="center"/>
              <w:rPr>
                <w:rFonts w:eastAsia="Times New Roman" w:cs="Arial"/>
                <w:b/>
                <w:bCs/>
                <w:sz w:val="20"/>
              </w:rPr>
            </w:pPr>
            <w:r w:rsidRPr="00E64C9D">
              <w:rPr>
                <w:rFonts w:eastAsia="Times New Roman" w:cs="Arial"/>
                <w:b/>
                <w:bCs/>
                <w:sz w:val="20"/>
              </w:rPr>
              <w:t>£18,549</w:t>
            </w:r>
          </w:p>
        </w:tc>
        <w:tc>
          <w:tcPr>
            <w:tcW w:w="1134" w:type="dxa"/>
            <w:tcBorders>
              <w:top w:val="nil"/>
              <w:left w:val="nil"/>
              <w:bottom w:val="nil"/>
              <w:right w:val="nil"/>
            </w:tcBorders>
            <w:shd w:val="clear" w:color="000000" w:fill="FFFFFF"/>
            <w:noWrap/>
            <w:vAlign w:val="center"/>
            <w:hideMark/>
          </w:tcPr>
          <w:p w14:paraId="24E99E70" w14:textId="77777777" w:rsidR="00E64C9D" w:rsidRPr="00E64C9D" w:rsidRDefault="00E64C9D" w:rsidP="00E64C9D">
            <w:pPr>
              <w:jc w:val="center"/>
              <w:rPr>
                <w:rFonts w:eastAsia="Times New Roman" w:cs="Arial"/>
                <w:b/>
                <w:bCs/>
                <w:sz w:val="20"/>
              </w:rPr>
            </w:pPr>
            <w:r w:rsidRPr="00E64C9D">
              <w:rPr>
                <w:rFonts w:eastAsia="Times New Roman" w:cs="Arial"/>
                <w:b/>
                <w:bCs/>
                <w:sz w:val="20"/>
              </w:rPr>
              <w:t>£30,915</w:t>
            </w:r>
          </w:p>
        </w:tc>
        <w:tc>
          <w:tcPr>
            <w:tcW w:w="1134" w:type="dxa"/>
            <w:tcBorders>
              <w:top w:val="nil"/>
              <w:left w:val="nil"/>
              <w:bottom w:val="nil"/>
              <w:right w:val="nil"/>
            </w:tcBorders>
            <w:shd w:val="clear" w:color="000000" w:fill="FFFFFF"/>
            <w:noWrap/>
            <w:vAlign w:val="center"/>
            <w:hideMark/>
          </w:tcPr>
          <w:p w14:paraId="31700083" w14:textId="77777777" w:rsidR="00E64C9D" w:rsidRPr="00E64C9D" w:rsidRDefault="00E64C9D" w:rsidP="00E64C9D">
            <w:pPr>
              <w:jc w:val="center"/>
              <w:rPr>
                <w:rFonts w:eastAsia="Times New Roman" w:cs="Arial"/>
                <w:b/>
                <w:bCs/>
                <w:sz w:val="20"/>
              </w:rPr>
            </w:pPr>
            <w:r w:rsidRPr="00E64C9D">
              <w:rPr>
                <w:rFonts w:eastAsia="Times New Roman" w:cs="Arial"/>
                <w:b/>
                <w:bCs/>
                <w:sz w:val="20"/>
              </w:rPr>
              <w:t>£43,281</w:t>
            </w:r>
          </w:p>
        </w:tc>
        <w:tc>
          <w:tcPr>
            <w:tcW w:w="1252" w:type="dxa"/>
            <w:tcBorders>
              <w:top w:val="nil"/>
              <w:left w:val="nil"/>
              <w:bottom w:val="nil"/>
              <w:right w:val="single" w:sz="8" w:space="0" w:color="auto"/>
            </w:tcBorders>
            <w:shd w:val="clear" w:color="000000" w:fill="FFFFFF"/>
            <w:noWrap/>
            <w:vAlign w:val="center"/>
            <w:hideMark/>
          </w:tcPr>
          <w:p w14:paraId="30D0628E" w14:textId="77777777" w:rsidR="00E64C9D" w:rsidRPr="00E64C9D" w:rsidRDefault="00E64C9D" w:rsidP="00E64C9D">
            <w:pPr>
              <w:jc w:val="center"/>
              <w:rPr>
                <w:rFonts w:eastAsia="Times New Roman" w:cs="Arial"/>
                <w:b/>
                <w:bCs/>
                <w:sz w:val="20"/>
              </w:rPr>
            </w:pPr>
            <w:r w:rsidRPr="00E64C9D">
              <w:rPr>
                <w:rFonts w:eastAsia="Times New Roman" w:cs="Arial"/>
                <w:b/>
                <w:bCs/>
                <w:sz w:val="20"/>
              </w:rPr>
              <w:t>£55,647</w:t>
            </w:r>
          </w:p>
        </w:tc>
      </w:tr>
      <w:tr w:rsidR="00E64C9D" w:rsidRPr="00E64C9D" w14:paraId="2C112FBA" w14:textId="77777777" w:rsidTr="00E64C9D">
        <w:trPr>
          <w:trHeight w:val="232"/>
        </w:trPr>
        <w:tc>
          <w:tcPr>
            <w:tcW w:w="3338" w:type="dxa"/>
            <w:tcBorders>
              <w:top w:val="nil"/>
              <w:left w:val="single" w:sz="8" w:space="0" w:color="auto"/>
              <w:bottom w:val="single" w:sz="8" w:space="0" w:color="auto"/>
              <w:right w:val="single" w:sz="4" w:space="0" w:color="auto"/>
            </w:tcBorders>
            <w:shd w:val="clear" w:color="000000" w:fill="FFFFFF"/>
            <w:vAlign w:val="bottom"/>
            <w:hideMark/>
          </w:tcPr>
          <w:p w14:paraId="4E66588A" w14:textId="77777777" w:rsidR="00E64C9D" w:rsidRPr="00E64C9D" w:rsidRDefault="00E64C9D" w:rsidP="00E64C9D">
            <w:pPr>
              <w:rPr>
                <w:rFonts w:eastAsia="Times New Roman" w:cs="Arial"/>
                <w:b/>
                <w:bCs/>
                <w:sz w:val="20"/>
              </w:rPr>
            </w:pPr>
            <w:r w:rsidRPr="00E64C9D">
              <w:rPr>
                <w:rFonts w:eastAsia="Times New Roman" w:cs="Arial"/>
                <w:b/>
                <w:bCs/>
                <w:sz w:val="20"/>
              </w:rPr>
              <w:t>BUDGET IMPACT - NET MEDICINE COSTS</w:t>
            </w:r>
          </w:p>
        </w:tc>
        <w:tc>
          <w:tcPr>
            <w:tcW w:w="926" w:type="dxa"/>
            <w:tcBorders>
              <w:top w:val="nil"/>
              <w:left w:val="nil"/>
              <w:bottom w:val="single" w:sz="8" w:space="0" w:color="auto"/>
              <w:right w:val="nil"/>
            </w:tcBorders>
            <w:shd w:val="clear" w:color="000000" w:fill="FFFFFF"/>
            <w:noWrap/>
            <w:vAlign w:val="center"/>
            <w:hideMark/>
          </w:tcPr>
          <w:p w14:paraId="475F916E" w14:textId="77777777" w:rsidR="00E64C9D" w:rsidRPr="00E64C9D" w:rsidRDefault="00E64C9D" w:rsidP="00E64C9D">
            <w:pPr>
              <w:jc w:val="center"/>
              <w:rPr>
                <w:rFonts w:eastAsia="Times New Roman" w:cs="Arial"/>
                <w:b/>
                <w:bCs/>
                <w:sz w:val="20"/>
              </w:rPr>
            </w:pPr>
            <w:r w:rsidRPr="00E64C9D">
              <w:rPr>
                <w:rFonts w:eastAsia="Times New Roman" w:cs="Arial"/>
                <w:b/>
                <w:bCs/>
                <w:sz w:val="20"/>
              </w:rPr>
              <w:t>£69</w:t>
            </w:r>
          </w:p>
        </w:tc>
        <w:tc>
          <w:tcPr>
            <w:tcW w:w="1138" w:type="dxa"/>
            <w:tcBorders>
              <w:top w:val="nil"/>
              <w:left w:val="nil"/>
              <w:bottom w:val="single" w:sz="8" w:space="0" w:color="auto"/>
              <w:right w:val="nil"/>
            </w:tcBorders>
            <w:shd w:val="clear" w:color="000000" w:fill="FFFFFF"/>
            <w:noWrap/>
            <w:vAlign w:val="center"/>
            <w:hideMark/>
          </w:tcPr>
          <w:p w14:paraId="385B06FF" w14:textId="77777777" w:rsidR="00E64C9D" w:rsidRPr="00E64C9D" w:rsidRDefault="00E64C9D" w:rsidP="00E64C9D">
            <w:pPr>
              <w:jc w:val="center"/>
              <w:rPr>
                <w:rFonts w:eastAsia="Times New Roman" w:cs="Arial"/>
                <w:b/>
                <w:bCs/>
                <w:sz w:val="20"/>
              </w:rPr>
            </w:pPr>
            <w:r w:rsidRPr="00E64C9D">
              <w:rPr>
                <w:rFonts w:eastAsia="Times New Roman" w:cs="Arial"/>
                <w:b/>
                <w:bCs/>
                <w:sz w:val="20"/>
              </w:rPr>
              <w:t>£206</w:t>
            </w:r>
          </w:p>
        </w:tc>
        <w:tc>
          <w:tcPr>
            <w:tcW w:w="1134" w:type="dxa"/>
            <w:tcBorders>
              <w:top w:val="nil"/>
              <w:left w:val="nil"/>
              <w:bottom w:val="single" w:sz="8" w:space="0" w:color="auto"/>
              <w:right w:val="nil"/>
            </w:tcBorders>
            <w:shd w:val="clear" w:color="000000" w:fill="FFFFFF"/>
            <w:noWrap/>
            <w:vAlign w:val="center"/>
            <w:hideMark/>
          </w:tcPr>
          <w:p w14:paraId="17283CE8" w14:textId="77777777" w:rsidR="00E64C9D" w:rsidRPr="00E64C9D" w:rsidRDefault="00E64C9D" w:rsidP="00E64C9D">
            <w:pPr>
              <w:jc w:val="center"/>
              <w:rPr>
                <w:rFonts w:eastAsia="Times New Roman" w:cs="Arial"/>
                <w:b/>
                <w:bCs/>
                <w:sz w:val="20"/>
              </w:rPr>
            </w:pPr>
            <w:r w:rsidRPr="00E64C9D">
              <w:rPr>
                <w:rFonts w:eastAsia="Times New Roman" w:cs="Arial"/>
                <w:b/>
                <w:bCs/>
                <w:sz w:val="20"/>
              </w:rPr>
              <w:t>£344</w:t>
            </w:r>
          </w:p>
        </w:tc>
        <w:tc>
          <w:tcPr>
            <w:tcW w:w="1134" w:type="dxa"/>
            <w:tcBorders>
              <w:top w:val="nil"/>
              <w:left w:val="nil"/>
              <w:bottom w:val="single" w:sz="8" w:space="0" w:color="auto"/>
              <w:right w:val="nil"/>
            </w:tcBorders>
            <w:shd w:val="clear" w:color="000000" w:fill="FFFFFF"/>
            <w:noWrap/>
            <w:vAlign w:val="center"/>
            <w:hideMark/>
          </w:tcPr>
          <w:p w14:paraId="7DB542B4" w14:textId="77777777" w:rsidR="00E64C9D" w:rsidRPr="00E64C9D" w:rsidRDefault="00E64C9D" w:rsidP="00E64C9D">
            <w:pPr>
              <w:jc w:val="center"/>
              <w:rPr>
                <w:rFonts w:eastAsia="Times New Roman" w:cs="Arial"/>
                <w:b/>
                <w:bCs/>
                <w:sz w:val="20"/>
              </w:rPr>
            </w:pPr>
            <w:r w:rsidRPr="00E64C9D">
              <w:rPr>
                <w:rFonts w:eastAsia="Times New Roman" w:cs="Arial"/>
                <w:b/>
                <w:bCs/>
                <w:sz w:val="20"/>
              </w:rPr>
              <w:t>£481</w:t>
            </w:r>
          </w:p>
        </w:tc>
        <w:tc>
          <w:tcPr>
            <w:tcW w:w="1252" w:type="dxa"/>
            <w:tcBorders>
              <w:top w:val="nil"/>
              <w:left w:val="nil"/>
              <w:bottom w:val="single" w:sz="8" w:space="0" w:color="auto"/>
              <w:right w:val="single" w:sz="8" w:space="0" w:color="auto"/>
            </w:tcBorders>
            <w:shd w:val="clear" w:color="000000" w:fill="FFFFFF"/>
            <w:noWrap/>
            <w:vAlign w:val="center"/>
            <w:hideMark/>
          </w:tcPr>
          <w:p w14:paraId="2DCCFCF6" w14:textId="77777777" w:rsidR="00E64C9D" w:rsidRPr="00E64C9D" w:rsidRDefault="00E64C9D" w:rsidP="00E64C9D">
            <w:pPr>
              <w:jc w:val="center"/>
              <w:rPr>
                <w:rFonts w:eastAsia="Times New Roman" w:cs="Arial"/>
                <w:b/>
                <w:bCs/>
                <w:sz w:val="20"/>
              </w:rPr>
            </w:pPr>
            <w:r w:rsidRPr="00E64C9D">
              <w:rPr>
                <w:rFonts w:eastAsia="Times New Roman" w:cs="Arial"/>
                <w:b/>
                <w:bCs/>
                <w:sz w:val="20"/>
              </w:rPr>
              <w:t>£618</w:t>
            </w:r>
          </w:p>
        </w:tc>
      </w:tr>
      <w:tr w:rsidR="00E64C9D" w:rsidRPr="00E64C9D" w14:paraId="26AC6BD3" w14:textId="77777777" w:rsidTr="00E64C9D">
        <w:trPr>
          <w:trHeight w:val="232"/>
        </w:trPr>
        <w:tc>
          <w:tcPr>
            <w:tcW w:w="3338" w:type="dxa"/>
            <w:tcBorders>
              <w:top w:val="nil"/>
              <w:left w:val="nil"/>
              <w:bottom w:val="nil"/>
              <w:right w:val="nil"/>
            </w:tcBorders>
            <w:shd w:val="clear" w:color="000000" w:fill="FFFFFF"/>
            <w:vAlign w:val="bottom"/>
            <w:hideMark/>
          </w:tcPr>
          <w:p w14:paraId="2A60BB8D" w14:textId="77777777" w:rsidR="00E64C9D" w:rsidRPr="00E64C9D" w:rsidRDefault="00E64C9D" w:rsidP="00E64C9D">
            <w:pPr>
              <w:rPr>
                <w:rFonts w:eastAsia="Times New Roman" w:cs="Arial"/>
                <w:sz w:val="20"/>
              </w:rPr>
            </w:pPr>
            <w:r w:rsidRPr="00E64C9D">
              <w:rPr>
                <w:rFonts w:eastAsia="Times New Roman" w:cs="Arial"/>
                <w:sz w:val="20"/>
              </w:rPr>
              <w:t> </w:t>
            </w:r>
          </w:p>
        </w:tc>
        <w:tc>
          <w:tcPr>
            <w:tcW w:w="926" w:type="dxa"/>
            <w:tcBorders>
              <w:top w:val="nil"/>
              <w:left w:val="nil"/>
              <w:bottom w:val="nil"/>
              <w:right w:val="nil"/>
            </w:tcBorders>
            <w:shd w:val="clear" w:color="000000" w:fill="FFFFFF"/>
            <w:noWrap/>
            <w:vAlign w:val="center"/>
            <w:hideMark/>
          </w:tcPr>
          <w:p w14:paraId="5C07E6EA"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8" w:type="dxa"/>
            <w:tcBorders>
              <w:top w:val="nil"/>
              <w:left w:val="nil"/>
              <w:bottom w:val="nil"/>
              <w:right w:val="nil"/>
            </w:tcBorders>
            <w:shd w:val="clear" w:color="000000" w:fill="FFFFFF"/>
            <w:noWrap/>
            <w:vAlign w:val="center"/>
            <w:hideMark/>
          </w:tcPr>
          <w:p w14:paraId="36327EEB"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4A3BC407"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71DC2565" w14:textId="77777777" w:rsidR="00E64C9D" w:rsidRPr="00E64C9D" w:rsidRDefault="00E64C9D" w:rsidP="00E64C9D">
            <w:pPr>
              <w:rPr>
                <w:rFonts w:eastAsia="Times New Roman" w:cs="Arial"/>
                <w:sz w:val="20"/>
              </w:rPr>
            </w:pPr>
            <w:r w:rsidRPr="00E64C9D">
              <w:rPr>
                <w:rFonts w:eastAsia="Times New Roman" w:cs="Arial"/>
                <w:sz w:val="20"/>
              </w:rPr>
              <w:t> </w:t>
            </w:r>
          </w:p>
        </w:tc>
        <w:tc>
          <w:tcPr>
            <w:tcW w:w="1252" w:type="dxa"/>
            <w:tcBorders>
              <w:top w:val="nil"/>
              <w:left w:val="nil"/>
              <w:bottom w:val="nil"/>
              <w:right w:val="nil"/>
            </w:tcBorders>
            <w:shd w:val="clear" w:color="000000" w:fill="FFFFFF"/>
            <w:noWrap/>
            <w:vAlign w:val="center"/>
            <w:hideMark/>
          </w:tcPr>
          <w:p w14:paraId="25938044" w14:textId="77777777" w:rsidR="00E64C9D" w:rsidRPr="00E64C9D" w:rsidRDefault="00E64C9D" w:rsidP="00E64C9D">
            <w:pPr>
              <w:rPr>
                <w:rFonts w:eastAsia="Times New Roman" w:cs="Arial"/>
                <w:sz w:val="20"/>
              </w:rPr>
            </w:pPr>
            <w:r w:rsidRPr="00E64C9D">
              <w:rPr>
                <w:rFonts w:eastAsia="Times New Roman" w:cs="Arial"/>
                <w:sz w:val="20"/>
              </w:rPr>
              <w:t> </w:t>
            </w:r>
          </w:p>
        </w:tc>
      </w:tr>
      <w:tr w:rsidR="00E64C9D" w:rsidRPr="00E64C9D" w14:paraId="5021152E" w14:textId="77777777" w:rsidTr="00E64C9D">
        <w:trPr>
          <w:trHeight w:val="303"/>
        </w:trPr>
        <w:tc>
          <w:tcPr>
            <w:tcW w:w="3338" w:type="dxa"/>
            <w:tcBorders>
              <w:top w:val="single" w:sz="8" w:space="0" w:color="auto"/>
              <w:left w:val="single" w:sz="8" w:space="0" w:color="auto"/>
              <w:bottom w:val="nil"/>
              <w:right w:val="single" w:sz="4" w:space="0" w:color="auto"/>
            </w:tcBorders>
            <w:shd w:val="clear" w:color="000000" w:fill="FFFFFF"/>
            <w:vAlign w:val="bottom"/>
            <w:hideMark/>
          </w:tcPr>
          <w:p w14:paraId="3FB13D31" w14:textId="77777777" w:rsidR="00E64C9D" w:rsidRPr="00E64C9D" w:rsidRDefault="00E64C9D" w:rsidP="00E64C9D">
            <w:pPr>
              <w:rPr>
                <w:rFonts w:eastAsia="Times New Roman" w:cs="Arial"/>
                <w:b/>
                <w:bCs/>
                <w:sz w:val="20"/>
              </w:rPr>
            </w:pPr>
            <w:r w:rsidRPr="00E64C9D">
              <w:rPr>
                <w:rFonts w:eastAsia="Times New Roman" w:cs="Arial"/>
                <w:b/>
                <w:bCs/>
                <w:sz w:val="20"/>
              </w:rPr>
              <w:t>OTHER (SAVINGS)/COSTS</w:t>
            </w:r>
          </w:p>
        </w:tc>
        <w:tc>
          <w:tcPr>
            <w:tcW w:w="5584" w:type="dxa"/>
            <w:gridSpan w:val="5"/>
            <w:tcBorders>
              <w:top w:val="single" w:sz="8" w:space="0" w:color="auto"/>
              <w:left w:val="nil"/>
              <w:bottom w:val="nil"/>
              <w:right w:val="single" w:sz="8" w:space="0" w:color="000000"/>
            </w:tcBorders>
            <w:shd w:val="clear" w:color="000000" w:fill="FFFFFF"/>
            <w:noWrap/>
            <w:vAlign w:val="center"/>
            <w:hideMark/>
          </w:tcPr>
          <w:p w14:paraId="0D855BD8" w14:textId="77777777" w:rsidR="00E64C9D" w:rsidRPr="00E64C9D" w:rsidRDefault="00E64C9D" w:rsidP="00E64C9D">
            <w:pPr>
              <w:jc w:val="center"/>
              <w:rPr>
                <w:rFonts w:eastAsia="Times New Roman" w:cs="Arial"/>
                <w:b/>
                <w:bCs/>
                <w:color w:val="FFFFFF"/>
                <w:sz w:val="28"/>
                <w:szCs w:val="28"/>
              </w:rPr>
            </w:pPr>
            <w:r w:rsidRPr="00E64C9D">
              <w:rPr>
                <w:rFonts w:eastAsia="Times New Roman" w:cs="Arial"/>
                <w:b/>
                <w:bCs/>
                <w:color w:val="FFFFFF"/>
                <w:sz w:val="28"/>
                <w:szCs w:val="28"/>
              </w:rPr>
              <w:t> </w:t>
            </w:r>
          </w:p>
        </w:tc>
      </w:tr>
      <w:tr w:rsidR="00E64C9D" w:rsidRPr="00E64C9D" w14:paraId="58358254" w14:textId="77777777" w:rsidTr="00E64C9D">
        <w:trPr>
          <w:trHeight w:val="215"/>
        </w:trPr>
        <w:tc>
          <w:tcPr>
            <w:tcW w:w="3338" w:type="dxa"/>
            <w:tcBorders>
              <w:top w:val="nil"/>
              <w:left w:val="single" w:sz="8" w:space="0" w:color="auto"/>
              <w:bottom w:val="nil"/>
              <w:right w:val="single" w:sz="4" w:space="0" w:color="auto"/>
            </w:tcBorders>
            <w:shd w:val="clear" w:color="000000" w:fill="FFFFFF"/>
            <w:vAlign w:val="bottom"/>
            <w:hideMark/>
          </w:tcPr>
          <w:p w14:paraId="203669E4" w14:textId="77777777" w:rsidR="00E64C9D" w:rsidRPr="00E64C9D" w:rsidRDefault="00E64C9D" w:rsidP="00E64C9D">
            <w:pPr>
              <w:rPr>
                <w:rFonts w:eastAsia="Times New Roman" w:cs="Arial"/>
                <w:sz w:val="20"/>
              </w:rPr>
            </w:pPr>
            <w:r w:rsidRPr="00E64C9D">
              <w:rPr>
                <w:rFonts w:eastAsia="Times New Roman" w:cs="Arial"/>
                <w:sz w:val="20"/>
              </w:rPr>
              <w:t>(Savings)</w:t>
            </w:r>
          </w:p>
        </w:tc>
        <w:tc>
          <w:tcPr>
            <w:tcW w:w="926" w:type="dxa"/>
            <w:tcBorders>
              <w:top w:val="nil"/>
              <w:left w:val="nil"/>
              <w:bottom w:val="nil"/>
              <w:right w:val="nil"/>
            </w:tcBorders>
            <w:shd w:val="clear" w:color="000000" w:fill="FFFFFF"/>
            <w:noWrap/>
            <w:vAlign w:val="center"/>
            <w:hideMark/>
          </w:tcPr>
          <w:p w14:paraId="6289240C" w14:textId="77777777" w:rsidR="00E64C9D" w:rsidRPr="00E64C9D" w:rsidRDefault="00E64C9D" w:rsidP="00E64C9D">
            <w:pPr>
              <w:jc w:val="center"/>
              <w:rPr>
                <w:rFonts w:eastAsia="Times New Roman" w:cs="Arial"/>
                <w:sz w:val="20"/>
              </w:rPr>
            </w:pPr>
            <w:r w:rsidRPr="00E64C9D">
              <w:rPr>
                <w:rFonts w:eastAsia="Times New Roman" w:cs="Arial"/>
                <w:sz w:val="20"/>
              </w:rPr>
              <w:t>(350)</w:t>
            </w:r>
          </w:p>
        </w:tc>
        <w:tc>
          <w:tcPr>
            <w:tcW w:w="1138" w:type="dxa"/>
            <w:tcBorders>
              <w:top w:val="nil"/>
              <w:left w:val="nil"/>
              <w:bottom w:val="nil"/>
              <w:right w:val="nil"/>
            </w:tcBorders>
            <w:shd w:val="clear" w:color="000000" w:fill="FFFFFF"/>
            <w:noWrap/>
            <w:vAlign w:val="center"/>
            <w:hideMark/>
          </w:tcPr>
          <w:p w14:paraId="4238C07E" w14:textId="77777777" w:rsidR="00E64C9D" w:rsidRPr="00E64C9D" w:rsidRDefault="00E64C9D" w:rsidP="00E64C9D">
            <w:pPr>
              <w:jc w:val="center"/>
              <w:rPr>
                <w:rFonts w:eastAsia="Times New Roman" w:cs="Arial"/>
                <w:sz w:val="20"/>
              </w:rPr>
            </w:pPr>
            <w:r w:rsidRPr="00E64C9D">
              <w:rPr>
                <w:rFonts w:eastAsia="Times New Roman" w:cs="Arial"/>
                <w:sz w:val="20"/>
              </w:rPr>
              <w:t>(1,049)</w:t>
            </w:r>
          </w:p>
        </w:tc>
        <w:tc>
          <w:tcPr>
            <w:tcW w:w="1134" w:type="dxa"/>
            <w:tcBorders>
              <w:top w:val="nil"/>
              <w:left w:val="nil"/>
              <w:bottom w:val="nil"/>
              <w:right w:val="nil"/>
            </w:tcBorders>
            <w:shd w:val="clear" w:color="000000" w:fill="FFFFFF"/>
            <w:noWrap/>
            <w:vAlign w:val="center"/>
            <w:hideMark/>
          </w:tcPr>
          <w:p w14:paraId="163D7D57" w14:textId="77777777" w:rsidR="00E64C9D" w:rsidRPr="00E64C9D" w:rsidRDefault="00E64C9D" w:rsidP="00E64C9D">
            <w:pPr>
              <w:jc w:val="center"/>
              <w:rPr>
                <w:rFonts w:eastAsia="Times New Roman" w:cs="Arial"/>
                <w:sz w:val="20"/>
              </w:rPr>
            </w:pPr>
            <w:r w:rsidRPr="00E64C9D">
              <w:rPr>
                <w:rFonts w:eastAsia="Times New Roman" w:cs="Arial"/>
                <w:sz w:val="20"/>
              </w:rPr>
              <w:t>(1,749)</w:t>
            </w:r>
          </w:p>
        </w:tc>
        <w:tc>
          <w:tcPr>
            <w:tcW w:w="1134" w:type="dxa"/>
            <w:tcBorders>
              <w:top w:val="nil"/>
              <w:left w:val="nil"/>
              <w:bottom w:val="nil"/>
              <w:right w:val="nil"/>
            </w:tcBorders>
            <w:shd w:val="clear" w:color="000000" w:fill="FFFFFF"/>
            <w:noWrap/>
            <w:vAlign w:val="center"/>
            <w:hideMark/>
          </w:tcPr>
          <w:p w14:paraId="4FFE24BB" w14:textId="77777777" w:rsidR="00E64C9D" w:rsidRPr="00E64C9D" w:rsidRDefault="00E64C9D" w:rsidP="00E64C9D">
            <w:pPr>
              <w:jc w:val="center"/>
              <w:rPr>
                <w:rFonts w:eastAsia="Times New Roman" w:cs="Arial"/>
                <w:sz w:val="20"/>
              </w:rPr>
            </w:pPr>
            <w:r w:rsidRPr="00E64C9D">
              <w:rPr>
                <w:rFonts w:eastAsia="Times New Roman" w:cs="Arial"/>
                <w:sz w:val="20"/>
              </w:rPr>
              <w:t>(2,448)</w:t>
            </w:r>
          </w:p>
        </w:tc>
        <w:tc>
          <w:tcPr>
            <w:tcW w:w="1252" w:type="dxa"/>
            <w:tcBorders>
              <w:top w:val="nil"/>
              <w:left w:val="nil"/>
              <w:bottom w:val="nil"/>
              <w:right w:val="single" w:sz="8" w:space="0" w:color="auto"/>
            </w:tcBorders>
            <w:shd w:val="clear" w:color="000000" w:fill="FFFFFF"/>
            <w:noWrap/>
            <w:vAlign w:val="center"/>
            <w:hideMark/>
          </w:tcPr>
          <w:p w14:paraId="63D407A0" w14:textId="77777777" w:rsidR="00E64C9D" w:rsidRPr="00E64C9D" w:rsidRDefault="00E64C9D" w:rsidP="00E64C9D">
            <w:pPr>
              <w:jc w:val="center"/>
              <w:rPr>
                <w:rFonts w:eastAsia="Times New Roman" w:cs="Arial"/>
                <w:sz w:val="20"/>
              </w:rPr>
            </w:pPr>
            <w:r w:rsidRPr="00E64C9D">
              <w:rPr>
                <w:rFonts w:eastAsia="Times New Roman" w:cs="Arial"/>
                <w:sz w:val="20"/>
              </w:rPr>
              <w:t>(3,148)</w:t>
            </w:r>
          </w:p>
        </w:tc>
      </w:tr>
      <w:tr w:rsidR="00E64C9D" w:rsidRPr="00E64C9D" w14:paraId="7E060472" w14:textId="77777777" w:rsidTr="00E64C9D">
        <w:trPr>
          <w:trHeight w:val="215"/>
        </w:trPr>
        <w:tc>
          <w:tcPr>
            <w:tcW w:w="3338" w:type="dxa"/>
            <w:tcBorders>
              <w:top w:val="nil"/>
              <w:left w:val="single" w:sz="8" w:space="0" w:color="auto"/>
              <w:bottom w:val="nil"/>
              <w:right w:val="single" w:sz="4" w:space="0" w:color="auto"/>
            </w:tcBorders>
            <w:shd w:val="clear" w:color="000000" w:fill="FFFFFF"/>
            <w:vAlign w:val="bottom"/>
            <w:hideMark/>
          </w:tcPr>
          <w:p w14:paraId="17D5BE5D" w14:textId="77777777" w:rsidR="00E64C9D" w:rsidRPr="00E64C9D" w:rsidRDefault="00E64C9D" w:rsidP="00E64C9D">
            <w:pPr>
              <w:rPr>
                <w:rFonts w:eastAsia="Times New Roman" w:cs="Arial"/>
                <w:sz w:val="20"/>
              </w:rPr>
            </w:pPr>
            <w:r w:rsidRPr="00E64C9D">
              <w:rPr>
                <w:rFonts w:eastAsia="Times New Roman" w:cs="Arial"/>
                <w:sz w:val="20"/>
              </w:rPr>
              <w:t>Costs</w:t>
            </w:r>
          </w:p>
        </w:tc>
        <w:tc>
          <w:tcPr>
            <w:tcW w:w="926" w:type="dxa"/>
            <w:tcBorders>
              <w:top w:val="nil"/>
              <w:left w:val="nil"/>
              <w:bottom w:val="nil"/>
              <w:right w:val="nil"/>
            </w:tcBorders>
            <w:shd w:val="clear" w:color="000000" w:fill="FFFFFF"/>
            <w:noWrap/>
            <w:vAlign w:val="center"/>
            <w:hideMark/>
          </w:tcPr>
          <w:p w14:paraId="7DF4B432" w14:textId="77777777" w:rsidR="00E64C9D" w:rsidRPr="00E64C9D" w:rsidRDefault="00E64C9D" w:rsidP="00E64C9D">
            <w:pPr>
              <w:jc w:val="center"/>
              <w:rPr>
                <w:rFonts w:eastAsia="Times New Roman" w:cs="Arial"/>
                <w:sz w:val="20"/>
              </w:rPr>
            </w:pPr>
            <w:r w:rsidRPr="00E64C9D">
              <w:rPr>
                <w:rFonts w:eastAsia="Times New Roman" w:cs="Arial"/>
                <w:sz w:val="20"/>
              </w:rPr>
              <w:t>-£90</w:t>
            </w:r>
          </w:p>
        </w:tc>
        <w:tc>
          <w:tcPr>
            <w:tcW w:w="1138" w:type="dxa"/>
            <w:tcBorders>
              <w:top w:val="nil"/>
              <w:left w:val="nil"/>
              <w:bottom w:val="nil"/>
              <w:right w:val="nil"/>
            </w:tcBorders>
            <w:shd w:val="clear" w:color="000000" w:fill="FFFFFF"/>
            <w:noWrap/>
            <w:vAlign w:val="center"/>
            <w:hideMark/>
          </w:tcPr>
          <w:p w14:paraId="2FB1EE22" w14:textId="77777777" w:rsidR="00E64C9D" w:rsidRPr="00E64C9D" w:rsidRDefault="00E64C9D" w:rsidP="00E64C9D">
            <w:pPr>
              <w:jc w:val="center"/>
              <w:rPr>
                <w:rFonts w:eastAsia="Times New Roman" w:cs="Arial"/>
                <w:sz w:val="20"/>
              </w:rPr>
            </w:pPr>
            <w:r w:rsidRPr="00E64C9D">
              <w:rPr>
                <w:rFonts w:eastAsia="Times New Roman" w:cs="Arial"/>
                <w:sz w:val="20"/>
              </w:rPr>
              <w:t>-£271</w:t>
            </w:r>
          </w:p>
        </w:tc>
        <w:tc>
          <w:tcPr>
            <w:tcW w:w="1134" w:type="dxa"/>
            <w:tcBorders>
              <w:top w:val="nil"/>
              <w:left w:val="nil"/>
              <w:bottom w:val="nil"/>
              <w:right w:val="nil"/>
            </w:tcBorders>
            <w:shd w:val="clear" w:color="000000" w:fill="FFFFFF"/>
            <w:noWrap/>
            <w:vAlign w:val="center"/>
            <w:hideMark/>
          </w:tcPr>
          <w:p w14:paraId="58094D84" w14:textId="77777777" w:rsidR="00E64C9D" w:rsidRPr="00E64C9D" w:rsidRDefault="00E64C9D" w:rsidP="00E64C9D">
            <w:pPr>
              <w:jc w:val="center"/>
              <w:rPr>
                <w:rFonts w:eastAsia="Times New Roman" w:cs="Arial"/>
                <w:sz w:val="20"/>
              </w:rPr>
            </w:pPr>
            <w:r w:rsidRPr="00E64C9D">
              <w:rPr>
                <w:rFonts w:eastAsia="Times New Roman" w:cs="Arial"/>
                <w:sz w:val="20"/>
              </w:rPr>
              <w:t>-£451</w:t>
            </w:r>
          </w:p>
        </w:tc>
        <w:tc>
          <w:tcPr>
            <w:tcW w:w="1134" w:type="dxa"/>
            <w:tcBorders>
              <w:top w:val="nil"/>
              <w:left w:val="nil"/>
              <w:bottom w:val="nil"/>
              <w:right w:val="nil"/>
            </w:tcBorders>
            <w:shd w:val="clear" w:color="000000" w:fill="FFFFFF"/>
            <w:noWrap/>
            <w:vAlign w:val="center"/>
            <w:hideMark/>
          </w:tcPr>
          <w:p w14:paraId="77EF9F82" w14:textId="77777777" w:rsidR="00E64C9D" w:rsidRPr="00E64C9D" w:rsidRDefault="00E64C9D" w:rsidP="00E64C9D">
            <w:pPr>
              <w:jc w:val="center"/>
              <w:rPr>
                <w:rFonts w:eastAsia="Times New Roman" w:cs="Arial"/>
                <w:sz w:val="20"/>
              </w:rPr>
            </w:pPr>
            <w:r w:rsidRPr="00E64C9D">
              <w:rPr>
                <w:rFonts w:eastAsia="Times New Roman" w:cs="Arial"/>
                <w:sz w:val="20"/>
              </w:rPr>
              <w:t>-£631</w:t>
            </w:r>
          </w:p>
        </w:tc>
        <w:tc>
          <w:tcPr>
            <w:tcW w:w="1252" w:type="dxa"/>
            <w:tcBorders>
              <w:top w:val="nil"/>
              <w:left w:val="nil"/>
              <w:bottom w:val="nil"/>
              <w:right w:val="single" w:sz="8" w:space="0" w:color="auto"/>
            </w:tcBorders>
            <w:shd w:val="clear" w:color="000000" w:fill="FFFFFF"/>
            <w:noWrap/>
            <w:vAlign w:val="center"/>
            <w:hideMark/>
          </w:tcPr>
          <w:p w14:paraId="3EC74745" w14:textId="77777777" w:rsidR="00E64C9D" w:rsidRPr="00E64C9D" w:rsidRDefault="00E64C9D" w:rsidP="00E64C9D">
            <w:pPr>
              <w:jc w:val="center"/>
              <w:rPr>
                <w:rFonts w:eastAsia="Times New Roman" w:cs="Arial"/>
                <w:sz w:val="20"/>
              </w:rPr>
            </w:pPr>
            <w:r w:rsidRPr="00E64C9D">
              <w:rPr>
                <w:rFonts w:eastAsia="Times New Roman" w:cs="Arial"/>
                <w:sz w:val="20"/>
              </w:rPr>
              <w:t>-£812</w:t>
            </w:r>
          </w:p>
        </w:tc>
      </w:tr>
      <w:tr w:rsidR="00E64C9D" w:rsidRPr="00E64C9D" w14:paraId="006BDA91" w14:textId="77777777" w:rsidTr="00E64C9D">
        <w:trPr>
          <w:trHeight w:val="232"/>
        </w:trPr>
        <w:tc>
          <w:tcPr>
            <w:tcW w:w="3338" w:type="dxa"/>
            <w:tcBorders>
              <w:top w:val="nil"/>
              <w:left w:val="single" w:sz="8" w:space="0" w:color="auto"/>
              <w:bottom w:val="single" w:sz="8" w:space="0" w:color="auto"/>
              <w:right w:val="single" w:sz="4" w:space="0" w:color="auto"/>
            </w:tcBorders>
            <w:shd w:val="clear" w:color="000000" w:fill="FFFFFF"/>
            <w:vAlign w:val="bottom"/>
            <w:hideMark/>
          </w:tcPr>
          <w:p w14:paraId="47E57636" w14:textId="77777777" w:rsidR="00E64C9D" w:rsidRPr="00E64C9D" w:rsidRDefault="00E64C9D" w:rsidP="00E64C9D">
            <w:pPr>
              <w:rPr>
                <w:rFonts w:eastAsia="Times New Roman" w:cs="Arial"/>
                <w:sz w:val="20"/>
              </w:rPr>
            </w:pPr>
            <w:r w:rsidRPr="00E64C9D">
              <w:rPr>
                <w:rFonts w:eastAsia="Times New Roman" w:cs="Arial"/>
                <w:sz w:val="20"/>
              </w:rPr>
              <w:t>Total other (savings)/costs</w:t>
            </w:r>
          </w:p>
        </w:tc>
        <w:tc>
          <w:tcPr>
            <w:tcW w:w="926" w:type="dxa"/>
            <w:tcBorders>
              <w:top w:val="nil"/>
              <w:left w:val="nil"/>
              <w:bottom w:val="single" w:sz="8" w:space="0" w:color="auto"/>
              <w:right w:val="nil"/>
            </w:tcBorders>
            <w:shd w:val="clear" w:color="000000" w:fill="FFFFFF"/>
            <w:noWrap/>
            <w:vAlign w:val="center"/>
            <w:hideMark/>
          </w:tcPr>
          <w:p w14:paraId="48F4C591" w14:textId="77777777" w:rsidR="00E64C9D" w:rsidRPr="00E64C9D" w:rsidRDefault="00E64C9D" w:rsidP="00E64C9D">
            <w:pPr>
              <w:jc w:val="center"/>
              <w:rPr>
                <w:rFonts w:eastAsia="Times New Roman" w:cs="Arial"/>
                <w:sz w:val="20"/>
              </w:rPr>
            </w:pPr>
            <w:r w:rsidRPr="00E64C9D">
              <w:rPr>
                <w:rFonts w:eastAsia="Times New Roman" w:cs="Arial"/>
                <w:sz w:val="20"/>
              </w:rPr>
              <w:t>-£440</w:t>
            </w:r>
          </w:p>
        </w:tc>
        <w:tc>
          <w:tcPr>
            <w:tcW w:w="1138" w:type="dxa"/>
            <w:tcBorders>
              <w:top w:val="nil"/>
              <w:left w:val="nil"/>
              <w:bottom w:val="single" w:sz="8" w:space="0" w:color="auto"/>
              <w:right w:val="nil"/>
            </w:tcBorders>
            <w:shd w:val="clear" w:color="000000" w:fill="FFFFFF"/>
            <w:noWrap/>
            <w:vAlign w:val="center"/>
            <w:hideMark/>
          </w:tcPr>
          <w:p w14:paraId="714C1E3E" w14:textId="77777777" w:rsidR="00E64C9D" w:rsidRPr="00E64C9D" w:rsidRDefault="00E64C9D" w:rsidP="00E64C9D">
            <w:pPr>
              <w:jc w:val="center"/>
              <w:rPr>
                <w:rFonts w:eastAsia="Times New Roman" w:cs="Arial"/>
                <w:sz w:val="20"/>
              </w:rPr>
            </w:pPr>
            <w:r w:rsidRPr="00E64C9D">
              <w:rPr>
                <w:rFonts w:eastAsia="Times New Roman" w:cs="Arial"/>
                <w:sz w:val="20"/>
              </w:rPr>
              <w:t>-£1,320</w:t>
            </w:r>
          </w:p>
        </w:tc>
        <w:tc>
          <w:tcPr>
            <w:tcW w:w="1134" w:type="dxa"/>
            <w:tcBorders>
              <w:top w:val="nil"/>
              <w:left w:val="nil"/>
              <w:bottom w:val="single" w:sz="8" w:space="0" w:color="auto"/>
              <w:right w:val="nil"/>
            </w:tcBorders>
            <w:shd w:val="clear" w:color="000000" w:fill="FFFFFF"/>
            <w:noWrap/>
            <w:vAlign w:val="center"/>
            <w:hideMark/>
          </w:tcPr>
          <w:p w14:paraId="1031372C" w14:textId="77777777" w:rsidR="00E64C9D" w:rsidRPr="00E64C9D" w:rsidRDefault="00E64C9D" w:rsidP="00E64C9D">
            <w:pPr>
              <w:jc w:val="center"/>
              <w:rPr>
                <w:rFonts w:eastAsia="Times New Roman" w:cs="Arial"/>
                <w:sz w:val="20"/>
              </w:rPr>
            </w:pPr>
            <w:r w:rsidRPr="00E64C9D">
              <w:rPr>
                <w:rFonts w:eastAsia="Times New Roman" w:cs="Arial"/>
                <w:sz w:val="20"/>
              </w:rPr>
              <w:t>-£2,200</w:t>
            </w:r>
          </w:p>
        </w:tc>
        <w:tc>
          <w:tcPr>
            <w:tcW w:w="1134" w:type="dxa"/>
            <w:tcBorders>
              <w:top w:val="nil"/>
              <w:left w:val="nil"/>
              <w:bottom w:val="single" w:sz="8" w:space="0" w:color="auto"/>
              <w:right w:val="nil"/>
            </w:tcBorders>
            <w:shd w:val="clear" w:color="000000" w:fill="FFFFFF"/>
            <w:noWrap/>
            <w:vAlign w:val="center"/>
            <w:hideMark/>
          </w:tcPr>
          <w:p w14:paraId="4B1E5632" w14:textId="77777777" w:rsidR="00E64C9D" w:rsidRPr="00E64C9D" w:rsidRDefault="00E64C9D" w:rsidP="00E64C9D">
            <w:pPr>
              <w:jc w:val="center"/>
              <w:rPr>
                <w:rFonts w:eastAsia="Times New Roman" w:cs="Arial"/>
                <w:sz w:val="20"/>
              </w:rPr>
            </w:pPr>
            <w:r w:rsidRPr="00E64C9D">
              <w:rPr>
                <w:rFonts w:eastAsia="Times New Roman" w:cs="Arial"/>
                <w:sz w:val="20"/>
              </w:rPr>
              <w:t>-£3,079</w:t>
            </w:r>
          </w:p>
        </w:tc>
        <w:tc>
          <w:tcPr>
            <w:tcW w:w="1252" w:type="dxa"/>
            <w:tcBorders>
              <w:top w:val="nil"/>
              <w:left w:val="nil"/>
              <w:bottom w:val="single" w:sz="8" w:space="0" w:color="auto"/>
              <w:right w:val="single" w:sz="8" w:space="0" w:color="auto"/>
            </w:tcBorders>
            <w:shd w:val="clear" w:color="000000" w:fill="FFFFFF"/>
            <w:noWrap/>
            <w:vAlign w:val="center"/>
            <w:hideMark/>
          </w:tcPr>
          <w:p w14:paraId="65DD9361" w14:textId="77777777" w:rsidR="00E64C9D" w:rsidRPr="00E64C9D" w:rsidRDefault="00E64C9D" w:rsidP="00E64C9D">
            <w:pPr>
              <w:jc w:val="center"/>
              <w:rPr>
                <w:rFonts w:eastAsia="Times New Roman" w:cs="Arial"/>
                <w:sz w:val="20"/>
              </w:rPr>
            </w:pPr>
            <w:r w:rsidRPr="00E64C9D">
              <w:rPr>
                <w:rFonts w:eastAsia="Times New Roman" w:cs="Arial"/>
                <w:sz w:val="20"/>
              </w:rPr>
              <w:t>-£3,959</w:t>
            </w:r>
          </w:p>
        </w:tc>
      </w:tr>
      <w:tr w:rsidR="00E64C9D" w:rsidRPr="00E64C9D" w14:paraId="5BBD3FBC" w14:textId="77777777" w:rsidTr="00E64C9D">
        <w:trPr>
          <w:trHeight w:val="232"/>
        </w:trPr>
        <w:tc>
          <w:tcPr>
            <w:tcW w:w="3338" w:type="dxa"/>
            <w:tcBorders>
              <w:top w:val="nil"/>
              <w:left w:val="nil"/>
              <w:bottom w:val="nil"/>
              <w:right w:val="nil"/>
            </w:tcBorders>
            <w:shd w:val="clear" w:color="000000" w:fill="FFFFFF"/>
            <w:vAlign w:val="bottom"/>
            <w:hideMark/>
          </w:tcPr>
          <w:p w14:paraId="44AC967C" w14:textId="77777777" w:rsidR="00E64C9D" w:rsidRPr="00E64C9D" w:rsidRDefault="00E64C9D" w:rsidP="00E64C9D">
            <w:pPr>
              <w:rPr>
                <w:rFonts w:eastAsia="Times New Roman" w:cs="Arial"/>
                <w:sz w:val="20"/>
              </w:rPr>
            </w:pPr>
            <w:r w:rsidRPr="00E64C9D">
              <w:rPr>
                <w:rFonts w:eastAsia="Times New Roman" w:cs="Arial"/>
                <w:sz w:val="20"/>
              </w:rPr>
              <w:t> </w:t>
            </w:r>
          </w:p>
        </w:tc>
        <w:tc>
          <w:tcPr>
            <w:tcW w:w="926" w:type="dxa"/>
            <w:tcBorders>
              <w:top w:val="nil"/>
              <w:left w:val="nil"/>
              <w:bottom w:val="nil"/>
              <w:right w:val="nil"/>
            </w:tcBorders>
            <w:shd w:val="clear" w:color="000000" w:fill="FFFFFF"/>
            <w:noWrap/>
            <w:vAlign w:val="center"/>
            <w:hideMark/>
          </w:tcPr>
          <w:p w14:paraId="2C15FA87"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8" w:type="dxa"/>
            <w:tcBorders>
              <w:top w:val="nil"/>
              <w:left w:val="nil"/>
              <w:bottom w:val="nil"/>
              <w:right w:val="nil"/>
            </w:tcBorders>
            <w:shd w:val="clear" w:color="000000" w:fill="FFFFFF"/>
            <w:noWrap/>
            <w:vAlign w:val="center"/>
            <w:hideMark/>
          </w:tcPr>
          <w:p w14:paraId="6238C610"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3713366B" w14:textId="77777777" w:rsidR="00E64C9D" w:rsidRPr="00E64C9D" w:rsidRDefault="00E64C9D" w:rsidP="00E64C9D">
            <w:pPr>
              <w:rPr>
                <w:rFonts w:eastAsia="Times New Roman" w:cs="Arial"/>
                <w:sz w:val="20"/>
              </w:rPr>
            </w:pPr>
            <w:r w:rsidRPr="00E64C9D">
              <w:rPr>
                <w:rFonts w:eastAsia="Times New Roman" w:cs="Arial"/>
                <w:sz w:val="20"/>
              </w:rPr>
              <w:t> </w:t>
            </w:r>
          </w:p>
        </w:tc>
        <w:tc>
          <w:tcPr>
            <w:tcW w:w="1134" w:type="dxa"/>
            <w:tcBorders>
              <w:top w:val="nil"/>
              <w:left w:val="nil"/>
              <w:bottom w:val="nil"/>
              <w:right w:val="nil"/>
            </w:tcBorders>
            <w:shd w:val="clear" w:color="000000" w:fill="FFFFFF"/>
            <w:noWrap/>
            <w:vAlign w:val="center"/>
            <w:hideMark/>
          </w:tcPr>
          <w:p w14:paraId="771B8235" w14:textId="77777777" w:rsidR="00E64C9D" w:rsidRPr="00E64C9D" w:rsidRDefault="00E64C9D" w:rsidP="00E64C9D">
            <w:pPr>
              <w:rPr>
                <w:rFonts w:eastAsia="Times New Roman" w:cs="Arial"/>
                <w:sz w:val="20"/>
              </w:rPr>
            </w:pPr>
            <w:r w:rsidRPr="00E64C9D">
              <w:rPr>
                <w:rFonts w:eastAsia="Times New Roman" w:cs="Arial"/>
                <w:sz w:val="20"/>
              </w:rPr>
              <w:t> </w:t>
            </w:r>
          </w:p>
        </w:tc>
        <w:tc>
          <w:tcPr>
            <w:tcW w:w="1252" w:type="dxa"/>
            <w:tcBorders>
              <w:top w:val="nil"/>
              <w:left w:val="nil"/>
              <w:bottom w:val="nil"/>
              <w:right w:val="nil"/>
            </w:tcBorders>
            <w:shd w:val="clear" w:color="000000" w:fill="FFFFFF"/>
            <w:noWrap/>
            <w:vAlign w:val="center"/>
            <w:hideMark/>
          </w:tcPr>
          <w:p w14:paraId="755F1533" w14:textId="77777777" w:rsidR="00E64C9D" w:rsidRPr="00E64C9D" w:rsidRDefault="00E64C9D" w:rsidP="00E64C9D">
            <w:pPr>
              <w:rPr>
                <w:rFonts w:eastAsia="Times New Roman" w:cs="Arial"/>
                <w:sz w:val="20"/>
              </w:rPr>
            </w:pPr>
            <w:r w:rsidRPr="00E64C9D">
              <w:rPr>
                <w:rFonts w:eastAsia="Times New Roman" w:cs="Arial"/>
                <w:sz w:val="20"/>
              </w:rPr>
              <w:t> </w:t>
            </w:r>
          </w:p>
        </w:tc>
      </w:tr>
      <w:tr w:rsidR="00E64C9D" w:rsidRPr="00E64C9D" w14:paraId="1FAA510E" w14:textId="77777777" w:rsidTr="00E64C9D">
        <w:trPr>
          <w:trHeight w:val="303"/>
        </w:trPr>
        <w:tc>
          <w:tcPr>
            <w:tcW w:w="3338" w:type="dxa"/>
            <w:tcBorders>
              <w:top w:val="single" w:sz="12" w:space="0" w:color="auto"/>
              <w:left w:val="single" w:sz="12" w:space="0" w:color="auto"/>
              <w:bottom w:val="single" w:sz="12" w:space="0" w:color="auto"/>
              <w:right w:val="nil"/>
            </w:tcBorders>
            <w:shd w:val="clear" w:color="000000" w:fill="FFFFFF"/>
            <w:vAlign w:val="bottom"/>
            <w:hideMark/>
          </w:tcPr>
          <w:p w14:paraId="0642F308" w14:textId="77777777" w:rsidR="00E64C9D" w:rsidRPr="00E64C9D" w:rsidRDefault="00E64C9D" w:rsidP="00E64C9D">
            <w:pPr>
              <w:rPr>
                <w:rFonts w:eastAsia="Times New Roman" w:cs="Arial"/>
                <w:b/>
                <w:bCs/>
                <w:szCs w:val="24"/>
              </w:rPr>
            </w:pPr>
            <w:r w:rsidRPr="00E64C9D">
              <w:rPr>
                <w:rFonts w:eastAsia="Times New Roman" w:cs="Arial"/>
                <w:b/>
                <w:bCs/>
                <w:szCs w:val="24"/>
              </w:rPr>
              <w:t>NET TOTAL BUDGET IMPACT</w:t>
            </w:r>
          </w:p>
        </w:tc>
        <w:tc>
          <w:tcPr>
            <w:tcW w:w="926" w:type="dxa"/>
            <w:tcBorders>
              <w:top w:val="single" w:sz="12" w:space="0" w:color="auto"/>
              <w:left w:val="nil"/>
              <w:bottom w:val="single" w:sz="12" w:space="0" w:color="auto"/>
              <w:right w:val="nil"/>
            </w:tcBorders>
            <w:shd w:val="clear" w:color="000000" w:fill="FFFFFF"/>
            <w:noWrap/>
            <w:vAlign w:val="center"/>
            <w:hideMark/>
          </w:tcPr>
          <w:p w14:paraId="51722451" w14:textId="77777777" w:rsidR="00E64C9D" w:rsidRPr="00E64C9D" w:rsidRDefault="00E64C9D" w:rsidP="00E64C9D">
            <w:pPr>
              <w:jc w:val="center"/>
              <w:rPr>
                <w:rFonts w:eastAsia="Times New Roman" w:cs="Arial"/>
                <w:b/>
                <w:bCs/>
                <w:szCs w:val="24"/>
              </w:rPr>
            </w:pPr>
            <w:r w:rsidRPr="00E64C9D">
              <w:rPr>
                <w:rFonts w:eastAsia="Times New Roman" w:cs="Arial"/>
                <w:b/>
                <w:bCs/>
                <w:szCs w:val="24"/>
              </w:rPr>
              <w:t>-£371</w:t>
            </w:r>
          </w:p>
        </w:tc>
        <w:tc>
          <w:tcPr>
            <w:tcW w:w="1138" w:type="dxa"/>
            <w:tcBorders>
              <w:top w:val="single" w:sz="12" w:space="0" w:color="auto"/>
              <w:left w:val="nil"/>
              <w:bottom w:val="single" w:sz="12" w:space="0" w:color="auto"/>
              <w:right w:val="nil"/>
            </w:tcBorders>
            <w:shd w:val="clear" w:color="000000" w:fill="FFFFFF"/>
            <w:noWrap/>
            <w:vAlign w:val="center"/>
            <w:hideMark/>
          </w:tcPr>
          <w:p w14:paraId="22E809ED" w14:textId="77777777" w:rsidR="00E64C9D" w:rsidRPr="00E64C9D" w:rsidRDefault="00E64C9D" w:rsidP="00E64C9D">
            <w:pPr>
              <w:jc w:val="center"/>
              <w:rPr>
                <w:rFonts w:eastAsia="Times New Roman" w:cs="Arial"/>
                <w:b/>
                <w:bCs/>
                <w:szCs w:val="24"/>
              </w:rPr>
            </w:pPr>
            <w:r w:rsidRPr="00E64C9D">
              <w:rPr>
                <w:rFonts w:eastAsia="Times New Roman" w:cs="Arial"/>
                <w:b/>
                <w:bCs/>
                <w:szCs w:val="24"/>
              </w:rPr>
              <w:t>-£1,114</w:t>
            </w:r>
          </w:p>
        </w:tc>
        <w:tc>
          <w:tcPr>
            <w:tcW w:w="1134" w:type="dxa"/>
            <w:tcBorders>
              <w:top w:val="single" w:sz="12" w:space="0" w:color="auto"/>
              <w:left w:val="nil"/>
              <w:bottom w:val="single" w:sz="12" w:space="0" w:color="auto"/>
              <w:right w:val="nil"/>
            </w:tcBorders>
            <w:shd w:val="clear" w:color="000000" w:fill="FFFFFF"/>
            <w:noWrap/>
            <w:vAlign w:val="center"/>
            <w:hideMark/>
          </w:tcPr>
          <w:p w14:paraId="3AD17C0D" w14:textId="77777777" w:rsidR="00E64C9D" w:rsidRPr="00E64C9D" w:rsidRDefault="00E64C9D" w:rsidP="00E64C9D">
            <w:pPr>
              <w:jc w:val="center"/>
              <w:rPr>
                <w:rFonts w:eastAsia="Times New Roman" w:cs="Arial"/>
                <w:b/>
                <w:bCs/>
                <w:szCs w:val="24"/>
              </w:rPr>
            </w:pPr>
            <w:r w:rsidRPr="00E64C9D">
              <w:rPr>
                <w:rFonts w:eastAsia="Times New Roman" w:cs="Arial"/>
                <w:b/>
                <w:bCs/>
                <w:szCs w:val="24"/>
              </w:rPr>
              <w:t>-£1,856</w:t>
            </w:r>
          </w:p>
        </w:tc>
        <w:tc>
          <w:tcPr>
            <w:tcW w:w="1134" w:type="dxa"/>
            <w:tcBorders>
              <w:top w:val="single" w:sz="12" w:space="0" w:color="auto"/>
              <w:left w:val="nil"/>
              <w:bottom w:val="single" w:sz="12" w:space="0" w:color="auto"/>
              <w:right w:val="nil"/>
            </w:tcBorders>
            <w:shd w:val="clear" w:color="000000" w:fill="FFFFFF"/>
            <w:noWrap/>
            <w:vAlign w:val="center"/>
            <w:hideMark/>
          </w:tcPr>
          <w:p w14:paraId="1190C5FC" w14:textId="77777777" w:rsidR="00E64C9D" w:rsidRPr="00E64C9D" w:rsidRDefault="00E64C9D" w:rsidP="00E64C9D">
            <w:pPr>
              <w:jc w:val="center"/>
              <w:rPr>
                <w:rFonts w:eastAsia="Times New Roman" w:cs="Arial"/>
                <w:b/>
                <w:bCs/>
                <w:szCs w:val="24"/>
              </w:rPr>
            </w:pPr>
            <w:r w:rsidRPr="00E64C9D">
              <w:rPr>
                <w:rFonts w:eastAsia="Times New Roman" w:cs="Arial"/>
                <w:b/>
                <w:bCs/>
                <w:szCs w:val="24"/>
              </w:rPr>
              <w:t>-£2,598</w:t>
            </w:r>
          </w:p>
        </w:tc>
        <w:tc>
          <w:tcPr>
            <w:tcW w:w="1252" w:type="dxa"/>
            <w:tcBorders>
              <w:top w:val="single" w:sz="12" w:space="0" w:color="auto"/>
              <w:left w:val="nil"/>
              <w:bottom w:val="single" w:sz="12" w:space="0" w:color="auto"/>
              <w:right w:val="single" w:sz="12" w:space="0" w:color="auto"/>
            </w:tcBorders>
            <w:shd w:val="clear" w:color="000000" w:fill="FFFFFF"/>
            <w:noWrap/>
            <w:vAlign w:val="center"/>
            <w:hideMark/>
          </w:tcPr>
          <w:p w14:paraId="7A07FE0E" w14:textId="77777777" w:rsidR="00E64C9D" w:rsidRPr="00E64C9D" w:rsidRDefault="00E64C9D" w:rsidP="00E64C9D">
            <w:pPr>
              <w:jc w:val="center"/>
              <w:rPr>
                <w:rFonts w:eastAsia="Times New Roman" w:cs="Arial"/>
                <w:b/>
                <w:bCs/>
                <w:szCs w:val="24"/>
              </w:rPr>
            </w:pPr>
            <w:r w:rsidRPr="00E64C9D">
              <w:rPr>
                <w:rFonts w:eastAsia="Times New Roman" w:cs="Arial"/>
                <w:b/>
                <w:bCs/>
                <w:szCs w:val="24"/>
              </w:rPr>
              <w:t>-£3,341</w:t>
            </w:r>
          </w:p>
        </w:tc>
      </w:tr>
    </w:tbl>
    <w:p w14:paraId="2A35F9F5" w14:textId="77777777" w:rsidR="006244E4" w:rsidRDefault="006244E4" w:rsidP="00EE03DD">
      <w:pPr>
        <w:tabs>
          <w:tab w:val="num" w:pos="567"/>
        </w:tabs>
        <w:jc w:val="both"/>
        <w:rPr>
          <w:rFonts w:cs="Arial"/>
          <w:sz w:val="22"/>
          <w:szCs w:val="22"/>
        </w:rPr>
      </w:pPr>
    </w:p>
    <w:p w14:paraId="22CAB1AA" w14:textId="77777777" w:rsidR="004559D3" w:rsidRPr="002A1891" w:rsidRDefault="004559D3" w:rsidP="00EE03DD">
      <w:pPr>
        <w:tabs>
          <w:tab w:val="num" w:pos="567"/>
        </w:tabs>
        <w:jc w:val="both"/>
        <w:rPr>
          <w:rFonts w:cs="Arial"/>
          <w:sz w:val="22"/>
          <w:szCs w:val="22"/>
        </w:rPr>
      </w:pPr>
    </w:p>
    <w:p w14:paraId="49686CE7" w14:textId="2636352C" w:rsidR="008E4E92" w:rsidRDefault="004559D3" w:rsidP="004559D3">
      <w:pPr>
        <w:tabs>
          <w:tab w:val="num" w:pos="0"/>
        </w:tabs>
        <w:jc w:val="both"/>
        <w:rPr>
          <w:rFonts w:cs="Arial"/>
          <w:sz w:val="22"/>
          <w:szCs w:val="22"/>
        </w:rPr>
      </w:pPr>
      <w:r>
        <w:rPr>
          <w:rFonts w:cs="Arial"/>
          <w:sz w:val="22"/>
          <w:szCs w:val="22"/>
        </w:rPr>
        <w:t>There are no additional service implications, over and above the monitoring and administration costs which have been captured in “Other (Savings)/Costs”.</w:t>
      </w:r>
    </w:p>
    <w:p w14:paraId="24C7F607" w14:textId="77777777" w:rsidR="004559D3" w:rsidRPr="004559D3" w:rsidRDefault="004559D3" w:rsidP="008E4E92">
      <w:pPr>
        <w:tabs>
          <w:tab w:val="num" w:pos="567"/>
        </w:tabs>
        <w:ind w:left="567" w:hanging="567"/>
        <w:jc w:val="both"/>
        <w:rPr>
          <w:rFonts w:cs="Arial"/>
          <w:sz w:val="22"/>
          <w:szCs w:val="22"/>
        </w:rPr>
      </w:pPr>
    </w:p>
    <w:p w14:paraId="4626C2E4" w14:textId="77777777" w:rsidR="008E4E92" w:rsidRPr="00EE03DD" w:rsidRDefault="008E4E92" w:rsidP="008E4E92">
      <w:pPr>
        <w:numPr>
          <w:ilvl w:val="0"/>
          <w:numId w:val="6"/>
        </w:numPr>
        <w:tabs>
          <w:tab w:val="clear" w:pos="720"/>
          <w:tab w:val="num" w:pos="567"/>
        </w:tabs>
        <w:ind w:left="567" w:hanging="567"/>
        <w:jc w:val="both"/>
        <w:rPr>
          <w:rFonts w:cs="Arial"/>
          <w:i/>
          <w:sz w:val="22"/>
          <w:szCs w:val="22"/>
        </w:rPr>
      </w:pPr>
      <w:r w:rsidRPr="00EE03DD">
        <w:rPr>
          <w:rFonts w:cs="Arial"/>
          <w:i/>
          <w:sz w:val="22"/>
          <w:szCs w:val="22"/>
        </w:rPr>
        <w:t xml:space="preserve">Does the budget impact estimate template contain any commercial or academic-in-confidence data or results? If so, please provide details of which worksheets contain such data or results. </w:t>
      </w:r>
    </w:p>
    <w:p w14:paraId="683B781B" w14:textId="77777777" w:rsidR="008E4E92" w:rsidRPr="008E4E92" w:rsidRDefault="008E4E92" w:rsidP="008E4E92">
      <w:pPr>
        <w:rPr>
          <w:rFonts w:cs="Arial"/>
          <w:sz w:val="22"/>
          <w:szCs w:val="22"/>
        </w:rPr>
      </w:pPr>
    </w:p>
    <w:p w14:paraId="1A74837B" w14:textId="3AC97033" w:rsidR="00EE03DD" w:rsidRPr="002A1891" w:rsidRDefault="00EE03DD" w:rsidP="00EE03DD">
      <w:pPr>
        <w:rPr>
          <w:rFonts w:cs="Arial"/>
          <w:sz w:val="22"/>
          <w:szCs w:val="22"/>
        </w:rPr>
      </w:pPr>
      <w:r w:rsidRPr="002A1891">
        <w:rPr>
          <w:rFonts w:cs="Arial"/>
          <w:sz w:val="22"/>
          <w:szCs w:val="22"/>
        </w:rPr>
        <w:t xml:space="preserve">The budget impact estimate template contains the anticipated NHS list price of tedizolid phosphate, but this price </w:t>
      </w:r>
      <w:r w:rsidR="00312EC5">
        <w:rPr>
          <w:rFonts w:cs="Arial"/>
          <w:sz w:val="22"/>
          <w:szCs w:val="22"/>
        </w:rPr>
        <w:t xml:space="preserve">has </w:t>
      </w:r>
      <w:r w:rsidRPr="002A1891">
        <w:rPr>
          <w:rFonts w:cs="Arial"/>
          <w:sz w:val="22"/>
          <w:szCs w:val="22"/>
        </w:rPr>
        <w:t>not yet been approved or confirmed by the UK Department of Health</w:t>
      </w:r>
      <w:r w:rsidR="00312EC5">
        <w:rPr>
          <w:rFonts w:cs="Arial"/>
          <w:sz w:val="22"/>
          <w:szCs w:val="22"/>
        </w:rPr>
        <w:t xml:space="preserve">. </w:t>
      </w:r>
      <w:r>
        <w:rPr>
          <w:rFonts w:cs="Arial"/>
          <w:sz w:val="22"/>
          <w:szCs w:val="22"/>
        </w:rPr>
        <w:t xml:space="preserve"> </w:t>
      </w:r>
    </w:p>
    <w:p w14:paraId="02E4CA8C" w14:textId="77777777" w:rsidR="00EE03DD" w:rsidRPr="002A1891" w:rsidRDefault="00EE03DD" w:rsidP="00EE03DD">
      <w:pPr>
        <w:rPr>
          <w:sz w:val="22"/>
        </w:rPr>
      </w:pPr>
    </w:p>
    <w:p w14:paraId="4C7B9759" w14:textId="45A8893A" w:rsidR="008E4E92" w:rsidRPr="008E4E92" w:rsidRDefault="00EE03DD" w:rsidP="00EE03DD">
      <w:pPr>
        <w:jc w:val="both"/>
        <w:rPr>
          <w:rFonts w:cs="Arial"/>
          <w:sz w:val="22"/>
          <w:szCs w:val="22"/>
        </w:rPr>
      </w:pPr>
      <w:r w:rsidRPr="002A1891">
        <w:rPr>
          <w:rFonts w:cs="Arial"/>
          <w:sz w:val="22"/>
          <w:szCs w:val="22"/>
          <w:lang w:val="en-US"/>
        </w:rPr>
        <w:t xml:space="preserve">The number of MRSA-confirmed CSSTI patients in Scotland receiving linezolid treatment (n=149) forms part of hospital insights research conducted by Arlington Medical Resources </w:t>
      </w:r>
      <w:r w:rsidR="00211BCD">
        <w:rPr>
          <w:rFonts w:cs="Arial"/>
          <w:sz w:val="22"/>
          <w:szCs w:val="22"/>
          <w:lang w:val="en-US"/>
        </w:rPr>
        <w:t>(</w:t>
      </w:r>
      <w:r w:rsidR="00211BCD">
        <w:rPr>
          <w:rFonts w:cs="Arial"/>
          <w:sz w:val="22"/>
          <w:szCs w:val="22"/>
          <w:lang w:val="en-US"/>
        </w:rPr>
        <w:fldChar w:fldCharType="begin"/>
      </w:r>
      <w:r w:rsidR="00211BCD">
        <w:rPr>
          <w:rFonts w:cs="Arial"/>
          <w:sz w:val="22"/>
          <w:szCs w:val="22"/>
          <w:lang w:val="en-US"/>
        </w:rPr>
        <w:instrText xml:space="preserve"> REF _Ref284187181 \r \h </w:instrText>
      </w:r>
      <w:r w:rsidR="00211BCD">
        <w:rPr>
          <w:rFonts w:cs="Arial"/>
          <w:sz w:val="22"/>
          <w:szCs w:val="22"/>
          <w:lang w:val="en-US"/>
        </w:rPr>
      </w:r>
      <w:r w:rsidR="00211BCD">
        <w:rPr>
          <w:rFonts w:cs="Arial"/>
          <w:sz w:val="22"/>
          <w:szCs w:val="22"/>
          <w:lang w:val="en-US"/>
        </w:rPr>
        <w:fldChar w:fldCharType="separate"/>
      </w:r>
      <w:r w:rsidR="00151A1C">
        <w:rPr>
          <w:rFonts w:cs="Arial"/>
          <w:sz w:val="22"/>
          <w:szCs w:val="22"/>
          <w:lang w:val="en-US"/>
        </w:rPr>
        <w:t>88</w:t>
      </w:r>
      <w:r w:rsidR="00211BCD">
        <w:rPr>
          <w:rFonts w:cs="Arial"/>
          <w:sz w:val="22"/>
          <w:szCs w:val="22"/>
          <w:lang w:val="en-US"/>
        </w:rPr>
        <w:fldChar w:fldCharType="end"/>
      </w:r>
      <w:r w:rsidR="00211BCD">
        <w:rPr>
          <w:rFonts w:cs="Arial"/>
          <w:sz w:val="22"/>
          <w:szCs w:val="22"/>
          <w:lang w:val="en-US"/>
        </w:rPr>
        <w:t xml:space="preserve">) </w:t>
      </w:r>
      <w:r w:rsidRPr="002A1891">
        <w:rPr>
          <w:rFonts w:cs="Arial"/>
          <w:sz w:val="22"/>
          <w:szCs w:val="22"/>
          <w:lang w:val="en-US"/>
        </w:rPr>
        <w:t>and is commercially confidential.</w:t>
      </w:r>
    </w:p>
    <w:p w14:paraId="39F43CCA" w14:textId="7D21A8DC" w:rsidR="008E4E92" w:rsidRPr="00FE164B" w:rsidRDefault="008E4E92" w:rsidP="00FE164B">
      <w:pPr>
        <w:pBdr>
          <w:top w:val="single" w:sz="4" w:space="0" w:color="auto"/>
          <w:bottom w:val="single" w:sz="4" w:space="1" w:color="auto"/>
        </w:pBdr>
        <w:spacing w:line="360" w:lineRule="auto"/>
        <w:rPr>
          <w:rFonts w:cs="Arial"/>
          <w:b/>
          <w:szCs w:val="24"/>
        </w:rPr>
      </w:pPr>
      <w:r w:rsidRPr="008E4E92">
        <w:rPr>
          <w:rFonts w:cs="Arial"/>
          <w:sz w:val="22"/>
          <w:szCs w:val="22"/>
        </w:rPr>
        <w:br w:type="page"/>
      </w:r>
      <w:bookmarkStart w:id="223" w:name="References"/>
      <w:r w:rsidRPr="00075718">
        <w:rPr>
          <w:rFonts w:cs="Arial"/>
          <w:b/>
          <w:szCs w:val="24"/>
        </w:rPr>
        <w:lastRenderedPageBreak/>
        <w:t>References</w:t>
      </w:r>
      <w:bookmarkEnd w:id="223"/>
    </w:p>
    <w:p w14:paraId="20061623" w14:textId="77777777" w:rsidR="00C257C6" w:rsidRDefault="00C257C6" w:rsidP="00C257C6">
      <w:pPr>
        <w:rPr>
          <w:rFonts w:cs="Arial"/>
          <w:sz w:val="22"/>
          <w:szCs w:val="22"/>
          <w:lang w:eastAsia="ja-JP"/>
        </w:rPr>
      </w:pPr>
    </w:p>
    <w:p w14:paraId="482552AB" w14:textId="68BFED0A" w:rsidR="00DA3823" w:rsidRPr="00A9019C"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r w:rsidRPr="00E82DEB">
        <w:rPr>
          <w:rStyle w:val="Authors"/>
          <w:rFonts w:cs="Arial"/>
          <w:sz w:val="22"/>
          <w:szCs w:val="22"/>
        </w:rPr>
        <w:fldChar w:fldCharType="begin"/>
      </w:r>
      <w:bookmarkStart w:id="224" w:name="_Ref284184065"/>
      <w:bookmarkEnd w:id="224"/>
      <w:r w:rsidRPr="00E82DEB">
        <w:rPr>
          <w:rStyle w:val="Authors"/>
          <w:rFonts w:cs="Arial"/>
          <w:sz w:val="22"/>
          <w:szCs w:val="22"/>
        </w:rPr>
        <w:instrText xml:space="preserve"> ADDIN EN.REFLIST </w:instrText>
      </w:r>
      <w:r w:rsidRPr="00E82DEB">
        <w:rPr>
          <w:rStyle w:val="Authors"/>
          <w:rFonts w:cs="Arial"/>
          <w:sz w:val="22"/>
          <w:szCs w:val="22"/>
        </w:rPr>
        <w:fldChar w:fldCharType="separate"/>
      </w:r>
      <w:bookmarkStart w:id="225" w:name="_Ref284168274"/>
      <w:r w:rsidR="00DA3823" w:rsidRPr="00A9019C">
        <w:rPr>
          <w:rFonts w:cs="Arial"/>
          <w:sz w:val="22"/>
          <w:szCs w:val="22"/>
          <w:lang w:eastAsia="ja-JP"/>
        </w:rPr>
        <w:t>Cubist (UK) Limited. Sivextro SmPC</w:t>
      </w:r>
      <w:bookmarkEnd w:id="225"/>
      <w:r w:rsidR="00582249">
        <w:rPr>
          <w:rFonts w:cs="Arial"/>
          <w:sz w:val="22"/>
          <w:szCs w:val="22"/>
          <w:lang w:eastAsia="ja-JP"/>
        </w:rPr>
        <w:t>. 2015.</w:t>
      </w:r>
    </w:p>
    <w:p w14:paraId="5C7AB0D0" w14:textId="2F0720F3" w:rsidR="005504E7" w:rsidRPr="00A9019C" w:rsidRDefault="005504E7"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26" w:name="_Ref284168416"/>
      <w:r w:rsidRPr="00A9019C">
        <w:rPr>
          <w:rFonts w:cs="Arial"/>
          <w:sz w:val="22"/>
          <w:szCs w:val="22"/>
          <w:lang w:eastAsia="ja-JP"/>
        </w:rPr>
        <w:t xml:space="preserve">Gould </w:t>
      </w:r>
      <w:bookmarkEnd w:id="226"/>
      <w:r w:rsidR="009B3534">
        <w:rPr>
          <w:rFonts w:cs="Arial"/>
          <w:sz w:val="22"/>
          <w:szCs w:val="22"/>
          <w:lang w:eastAsia="ja-JP"/>
        </w:rPr>
        <w:t xml:space="preserve">FK, Brindle, R, Chadwick P, Fraise A, Hill S, et al. Guidelines (2008) for the prophylaxis and treatment of methicilin-resistant </w:t>
      </w:r>
      <w:r w:rsidR="009B3534" w:rsidRPr="009B3534">
        <w:rPr>
          <w:rFonts w:cs="Arial"/>
          <w:i/>
          <w:sz w:val="22"/>
          <w:szCs w:val="22"/>
          <w:lang w:eastAsia="ja-JP"/>
        </w:rPr>
        <w:t>Staphylococcus aureas</w:t>
      </w:r>
      <w:r w:rsidR="009B3534">
        <w:rPr>
          <w:rFonts w:cs="Arial"/>
          <w:sz w:val="22"/>
          <w:szCs w:val="22"/>
          <w:lang w:eastAsia="ja-JP"/>
        </w:rPr>
        <w:t xml:space="preserve"> (MRSA) infections in th</w:t>
      </w:r>
      <w:r w:rsidR="006368F3">
        <w:rPr>
          <w:rFonts w:cs="Arial"/>
          <w:sz w:val="22"/>
          <w:szCs w:val="22"/>
          <w:lang w:eastAsia="ja-JP"/>
        </w:rPr>
        <w:t>e United Kingdom. J Antimicrob Chemother</w:t>
      </w:r>
      <w:r w:rsidR="009B3534">
        <w:rPr>
          <w:rFonts w:cs="Arial"/>
          <w:sz w:val="22"/>
          <w:szCs w:val="22"/>
          <w:lang w:eastAsia="ja-JP"/>
        </w:rPr>
        <w:t xml:space="preserve"> (200</w:t>
      </w:r>
      <w:r w:rsidR="006368F3">
        <w:rPr>
          <w:rFonts w:cs="Arial"/>
          <w:sz w:val="22"/>
          <w:szCs w:val="22"/>
          <w:lang w:eastAsia="ja-JP"/>
        </w:rPr>
        <w:t>8</w:t>
      </w:r>
      <w:r w:rsidR="009B3534">
        <w:rPr>
          <w:rFonts w:cs="Arial"/>
          <w:sz w:val="22"/>
          <w:szCs w:val="22"/>
          <w:lang w:eastAsia="ja-JP"/>
        </w:rPr>
        <w:t>) 63, 849-61.</w:t>
      </w:r>
    </w:p>
    <w:p w14:paraId="5AE15412" w14:textId="2E3AE74D"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27" w:name="_Ref284168509"/>
      <w:r w:rsidRPr="00A9019C">
        <w:rPr>
          <w:rFonts w:cs="Arial"/>
          <w:sz w:val="22"/>
          <w:szCs w:val="22"/>
          <w:lang w:eastAsia="ja-JP"/>
        </w:rPr>
        <w:t xml:space="preserve">Scottish Antimicrobial Prescribing </w:t>
      </w:r>
      <w:bookmarkEnd w:id="227"/>
      <w:r w:rsidR="006368F3">
        <w:rPr>
          <w:rFonts w:cs="Arial"/>
          <w:sz w:val="22"/>
          <w:szCs w:val="22"/>
          <w:lang w:eastAsia="ja-JP"/>
        </w:rPr>
        <w:t xml:space="preserve">Group. Guidance on the management of proven or suspected </w:t>
      </w:r>
      <w:r w:rsidR="006368F3" w:rsidRPr="009B3534">
        <w:rPr>
          <w:rFonts w:cs="Arial"/>
          <w:i/>
          <w:sz w:val="22"/>
          <w:szCs w:val="22"/>
          <w:lang w:eastAsia="ja-JP"/>
        </w:rPr>
        <w:t>Staphylococcus aureas</w:t>
      </w:r>
      <w:r w:rsidR="006368F3">
        <w:rPr>
          <w:rFonts w:cs="Arial"/>
          <w:i/>
          <w:sz w:val="22"/>
          <w:szCs w:val="22"/>
          <w:lang w:eastAsia="ja-JP"/>
        </w:rPr>
        <w:t xml:space="preserve"> </w:t>
      </w:r>
      <w:r w:rsidR="006368F3">
        <w:rPr>
          <w:rFonts w:cs="Arial"/>
          <w:sz w:val="22"/>
          <w:szCs w:val="22"/>
          <w:lang w:eastAsia="ja-JP"/>
        </w:rPr>
        <w:t>bacteraeia in adults. January 2013.</w:t>
      </w:r>
    </w:p>
    <w:p w14:paraId="11630A3D" w14:textId="407CE7FD" w:rsidR="00DA3823" w:rsidRPr="00A9019C" w:rsidRDefault="00B733E7"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28" w:name="_Ref284168565"/>
      <w:r>
        <w:rPr>
          <w:rFonts w:cs="Arial"/>
          <w:sz w:val="22"/>
          <w:szCs w:val="22"/>
          <w:lang w:eastAsia="ja-JP"/>
        </w:rPr>
        <w:t xml:space="preserve">British National Formulary. </w:t>
      </w:r>
      <w:r w:rsidR="00D476DF">
        <w:rPr>
          <w:rFonts w:cs="Arial"/>
          <w:sz w:val="22"/>
          <w:szCs w:val="22"/>
          <w:lang w:eastAsia="ja-JP"/>
        </w:rPr>
        <w:t xml:space="preserve">Section 5.1 Antibacterial drugs. </w:t>
      </w:r>
      <w:r w:rsidR="00DA3823" w:rsidRPr="00A9019C">
        <w:rPr>
          <w:rFonts w:cs="Arial"/>
          <w:sz w:val="22"/>
          <w:szCs w:val="22"/>
          <w:lang w:eastAsia="ja-JP"/>
        </w:rPr>
        <w:t>2014</w:t>
      </w:r>
      <w:bookmarkEnd w:id="228"/>
      <w:r w:rsidR="00D476DF">
        <w:rPr>
          <w:rFonts w:cs="Arial"/>
          <w:sz w:val="22"/>
          <w:szCs w:val="22"/>
          <w:lang w:eastAsia="ja-JP"/>
        </w:rPr>
        <w:t xml:space="preserve">. </w:t>
      </w:r>
    </w:p>
    <w:p w14:paraId="1F8C7584" w14:textId="6272B133"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29" w:name="_Ref284168804"/>
      <w:r w:rsidRPr="00A9019C">
        <w:rPr>
          <w:rFonts w:cs="Arial"/>
          <w:sz w:val="22"/>
          <w:szCs w:val="22"/>
          <w:lang w:eastAsia="ja-JP"/>
        </w:rPr>
        <w:t xml:space="preserve">White </w:t>
      </w:r>
      <w:r w:rsidR="00E27FE4">
        <w:rPr>
          <w:rFonts w:cs="Arial"/>
          <w:sz w:val="22"/>
          <w:szCs w:val="22"/>
          <w:lang w:eastAsia="ja-JP"/>
        </w:rPr>
        <w:t xml:space="preserve">B </w:t>
      </w:r>
      <w:r w:rsidRPr="00A9019C">
        <w:rPr>
          <w:rFonts w:cs="Arial"/>
          <w:sz w:val="22"/>
          <w:szCs w:val="22"/>
          <w:lang w:eastAsia="ja-JP"/>
        </w:rPr>
        <w:t>and Seaton</w:t>
      </w:r>
      <w:bookmarkEnd w:id="229"/>
      <w:r w:rsidR="00E27FE4">
        <w:rPr>
          <w:rFonts w:cs="Arial"/>
          <w:sz w:val="22"/>
          <w:szCs w:val="22"/>
          <w:lang w:eastAsia="ja-JP"/>
        </w:rPr>
        <w:t xml:space="preserve"> RA. Complicated skin and soft tissue infections: literature review of evidence for and experience with daptomycin. Infection and Drug Resistance 2011:4 115-127.</w:t>
      </w:r>
    </w:p>
    <w:p w14:paraId="6A851AFF" w14:textId="02DC3F6E"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0" w:name="_Ref284168824"/>
      <w:r w:rsidRPr="00A9019C">
        <w:rPr>
          <w:rFonts w:cs="Arial"/>
          <w:sz w:val="22"/>
          <w:szCs w:val="22"/>
          <w:lang w:eastAsia="ja-JP"/>
        </w:rPr>
        <w:t xml:space="preserve">Dryden </w:t>
      </w:r>
      <w:bookmarkEnd w:id="230"/>
      <w:r w:rsidR="006368F3">
        <w:rPr>
          <w:rFonts w:cs="Arial"/>
          <w:sz w:val="22"/>
          <w:szCs w:val="22"/>
          <w:lang w:eastAsia="ja-JP"/>
        </w:rPr>
        <w:t>M. Complicated skin and soft tissue infection. J Antimicrob Chemother 2010; 65 Suppl 3:iii35-44.</w:t>
      </w:r>
    </w:p>
    <w:p w14:paraId="0F69A4DF" w14:textId="77777777" w:rsidR="00DA3823" w:rsidRPr="00A9019C" w:rsidRDefault="00DA3823"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231" w:name="_Ref284168857"/>
      <w:r w:rsidRPr="00A9019C">
        <w:rPr>
          <w:rFonts w:cs="Arial"/>
          <w:sz w:val="22"/>
          <w:szCs w:val="22"/>
        </w:rPr>
        <w:t>Food and Drug Administration. Guidance for Industry Acute Bacterial Skin and Skin Structure Infections: Developing Drugs for Treatment, Guidance October 2013).</w:t>
      </w:r>
      <w:bookmarkEnd w:id="231"/>
      <w:r w:rsidRPr="00A9019C">
        <w:rPr>
          <w:rFonts w:cs="Arial"/>
          <w:sz w:val="22"/>
          <w:szCs w:val="22"/>
        </w:rPr>
        <w:t xml:space="preserve"> </w:t>
      </w:r>
    </w:p>
    <w:p w14:paraId="62E6B8A1"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2" w:name="_Ref284168910"/>
      <w:r w:rsidRPr="00A9019C">
        <w:rPr>
          <w:rFonts w:cs="Arial"/>
          <w:sz w:val="22"/>
          <w:szCs w:val="22"/>
        </w:rPr>
        <w:t>Food and Drug Administration. Guidance for industry. Acute bacterial skin and skin structure infections: developing drugs for treatment. Maryland: US Department of Health and Human Services; 2010.</w:t>
      </w:r>
      <w:bookmarkEnd w:id="232"/>
      <w:r w:rsidRPr="00A9019C">
        <w:rPr>
          <w:rFonts w:cs="Arial"/>
          <w:sz w:val="22"/>
          <w:szCs w:val="22"/>
        </w:rPr>
        <w:t xml:space="preserve"> </w:t>
      </w:r>
    </w:p>
    <w:p w14:paraId="4845EC7A" w14:textId="7A7BB2B8"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3" w:name="_Ref284168938"/>
      <w:r w:rsidRPr="00A9019C">
        <w:rPr>
          <w:rFonts w:cs="Arial"/>
          <w:sz w:val="22"/>
          <w:szCs w:val="22"/>
        </w:rPr>
        <w:t>Zervos MJ, Freeman K, Vo L, Haque N, Pokharna H, Raut M, et al. Epidemiology and outcomes of complicated skin and soft tissue infections in hospitalized patients. Journal of Clinical Microbiology. 2012;50(2):238-45.</w:t>
      </w:r>
      <w:bookmarkEnd w:id="233"/>
      <w:r w:rsidR="004E2F9B">
        <w:rPr>
          <w:rFonts w:cs="Arial"/>
          <w:sz w:val="22"/>
          <w:szCs w:val="22"/>
        </w:rPr>
        <w:t xml:space="preserve"> JEADV 2012, 26, 931-941.</w:t>
      </w:r>
    </w:p>
    <w:p w14:paraId="3D8DE50E"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4" w:name="_Ref284168956"/>
      <w:r w:rsidRPr="00A9019C">
        <w:rPr>
          <w:rFonts w:cs="Arial"/>
          <w:sz w:val="22"/>
          <w:szCs w:val="22"/>
        </w:rPr>
        <w:t>Rajan S. Skin and soft-tissue infections: Classifying and treating a spectrum. Cleveland Clinic Journal of Medicine. 2012;79(1):57-66.</w:t>
      </w:r>
      <w:bookmarkEnd w:id="234"/>
    </w:p>
    <w:p w14:paraId="16214E02" w14:textId="3E6C320D" w:rsidR="00DA3823" w:rsidRPr="00A9019C" w:rsidRDefault="004E2F9B"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5" w:name="_Ref284169005"/>
      <w:r>
        <w:rPr>
          <w:rFonts w:cs="Arial"/>
          <w:sz w:val="22"/>
          <w:szCs w:val="22"/>
          <w:lang w:eastAsia="ja-JP"/>
        </w:rPr>
        <w:t>Pollack</w:t>
      </w:r>
      <w:r w:rsidR="00DA3823" w:rsidRPr="00A9019C">
        <w:rPr>
          <w:rFonts w:cs="Arial"/>
          <w:sz w:val="22"/>
          <w:szCs w:val="22"/>
          <w:lang w:eastAsia="ja-JP"/>
        </w:rPr>
        <w:t xml:space="preserve"> </w:t>
      </w:r>
      <w:bookmarkEnd w:id="235"/>
      <w:r>
        <w:rPr>
          <w:rFonts w:cs="Arial"/>
          <w:sz w:val="22"/>
          <w:szCs w:val="22"/>
          <w:lang w:eastAsia="ja-JP"/>
        </w:rPr>
        <w:t>C, Amin A, Ford W, Finley, R, Kaye K, et al. Acute Bacterial Skin and Skin Structure Infections (ABSSSI): Practice Guidelines for Management and Care Transtions in the Emergency Department and Hospital. J Emergency Med (article in press).</w:t>
      </w:r>
    </w:p>
    <w:p w14:paraId="16BA6D0F" w14:textId="36E140B2" w:rsidR="00DA3823" w:rsidRPr="00A9019C" w:rsidRDefault="004E2F9B"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6" w:name="_Ref284169024"/>
      <w:r>
        <w:rPr>
          <w:rFonts w:cs="Arial"/>
          <w:sz w:val="22"/>
          <w:szCs w:val="22"/>
          <w:lang w:eastAsia="ja-JP"/>
        </w:rPr>
        <w:lastRenderedPageBreak/>
        <w:t>Tognetti</w:t>
      </w:r>
      <w:r w:rsidR="00DA3823" w:rsidRPr="00A9019C">
        <w:rPr>
          <w:rFonts w:cs="Arial"/>
          <w:sz w:val="22"/>
          <w:szCs w:val="22"/>
          <w:lang w:eastAsia="ja-JP"/>
        </w:rPr>
        <w:t xml:space="preserve"> </w:t>
      </w:r>
      <w:bookmarkEnd w:id="236"/>
      <w:r>
        <w:rPr>
          <w:rFonts w:cs="Arial"/>
          <w:sz w:val="22"/>
          <w:szCs w:val="22"/>
          <w:lang w:eastAsia="ja-JP"/>
        </w:rPr>
        <w:t xml:space="preserve">L, Martinelli C, Berti S, Hercogova J, Lotti T, et al. Bacterial skin and soft tissue infections: review of the epidemiology, microbiology, aetiopathogenesis and treatment.  </w:t>
      </w:r>
    </w:p>
    <w:p w14:paraId="08F6931F"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7" w:name="_Ref284169079"/>
      <w:r w:rsidRPr="00A9019C">
        <w:rPr>
          <w:rFonts w:cs="Arial"/>
          <w:sz w:val="22"/>
          <w:szCs w:val="22"/>
        </w:rPr>
        <w:t>Liu C, Bayer A, Cosgrove SE, Daum RS, Fridkin SK, Gorwitz RJ, et al. Clinical practice guidelines by the Infectious Diseases Society of America for the treatment of methicillin-resistant Staphylococcus aureus infections in adults and children. Clin Infect Dis. 2011;52(3):e18-e55.</w:t>
      </w:r>
      <w:bookmarkEnd w:id="237"/>
    </w:p>
    <w:p w14:paraId="7676C85A" w14:textId="77777777" w:rsidR="00DA3823" w:rsidRPr="00A9019C" w:rsidRDefault="00DA3823" w:rsidP="009025E3">
      <w:pPr>
        <w:pStyle w:val="ListParagraph"/>
        <w:numPr>
          <w:ilvl w:val="0"/>
          <w:numId w:val="73"/>
        </w:numPr>
        <w:spacing w:after="120"/>
        <w:contextualSpacing w:val="0"/>
        <w:rPr>
          <w:rFonts w:eastAsia="Times New Roman" w:cs="Arial"/>
          <w:sz w:val="22"/>
          <w:szCs w:val="22"/>
        </w:rPr>
      </w:pPr>
      <w:bookmarkStart w:id="238" w:name="_Ref284169110"/>
      <w:r w:rsidRPr="00A9019C">
        <w:rPr>
          <w:rFonts w:eastAsia="Times New Roman" w:cs="Arial"/>
          <w:sz w:val="22"/>
          <w:szCs w:val="22"/>
        </w:rPr>
        <w:t>Karchmer, A.W., Nosocomial bloodstream infections: organisms, risk factors, and implications. Clin Infect Dis, 2000. 31 Suppl 4: p. S139-43.</w:t>
      </w:r>
      <w:bookmarkEnd w:id="238"/>
    </w:p>
    <w:p w14:paraId="45F11876" w14:textId="40E4931C"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39" w:name="_Ref284169217"/>
      <w:r w:rsidRPr="00A9019C">
        <w:rPr>
          <w:rFonts w:cs="Arial"/>
          <w:sz w:val="22"/>
          <w:szCs w:val="22"/>
        </w:rPr>
        <w:t>European Centre for Disease Control</w:t>
      </w:r>
      <w:r w:rsidR="006C5845">
        <w:rPr>
          <w:rFonts w:cs="Arial"/>
          <w:sz w:val="22"/>
          <w:szCs w:val="22"/>
        </w:rPr>
        <w:t>. Antimicrobial</w:t>
      </w:r>
      <w:r w:rsidRPr="00A9019C">
        <w:rPr>
          <w:rFonts w:cs="Arial"/>
          <w:sz w:val="22"/>
          <w:szCs w:val="22"/>
        </w:rPr>
        <w:t xml:space="preserve"> resistance </w:t>
      </w:r>
      <w:r w:rsidR="006C5845">
        <w:rPr>
          <w:rFonts w:cs="Arial"/>
          <w:sz w:val="22"/>
          <w:szCs w:val="22"/>
        </w:rPr>
        <w:t>surveillance in Europe.</w:t>
      </w:r>
      <w:r w:rsidRPr="00A9019C">
        <w:rPr>
          <w:rFonts w:cs="Arial"/>
          <w:sz w:val="22"/>
          <w:szCs w:val="22"/>
        </w:rPr>
        <w:t xml:space="preserve"> 2013.</w:t>
      </w:r>
      <w:bookmarkEnd w:id="239"/>
    </w:p>
    <w:p w14:paraId="4D4432C5" w14:textId="77777777" w:rsidR="00DA3823" w:rsidRPr="00A9019C" w:rsidRDefault="00DA3823" w:rsidP="009025E3">
      <w:pPr>
        <w:pStyle w:val="ListParagraph"/>
        <w:widowControl w:val="0"/>
        <w:numPr>
          <w:ilvl w:val="0"/>
          <w:numId w:val="73"/>
        </w:numPr>
        <w:autoSpaceDE w:val="0"/>
        <w:autoSpaceDN w:val="0"/>
        <w:adjustRightInd w:val="0"/>
        <w:spacing w:after="120"/>
        <w:contextualSpacing w:val="0"/>
        <w:rPr>
          <w:rFonts w:cs="Arial"/>
          <w:sz w:val="22"/>
          <w:szCs w:val="22"/>
          <w:lang w:eastAsia="ja-JP"/>
        </w:rPr>
      </w:pPr>
      <w:bookmarkStart w:id="240" w:name="_Ref284169257"/>
      <w:r w:rsidRPr="00A9019C">
        <w:rPr>
          <w:rFonts w:cs="Arial"/>
          <w:sz w:val="22"/>
          <w:szCs w:val="22"/>
          <w:lang w:eastAsia="ja-JP"/>
        </w:rPr>
        <w:t>Cosgrove SE, Qi Y, Kaye KS, Harbarth S, Karchmer AW, Carmeli Y (2005) The impact of methicillin resistance in Staphylococcus aureus bacteremia on patient outcomes: mortality, length of stay, and hospital charges. Infect Control Hosp Epidemiol 26:166–174</w:t>
      </w:r>
      <w:bookmarkEnd w:id="240"/>
    </w:p>
    <w:p w14:paraId="4C5C897B" w14:textId="14C59ED0" w:rsidR="00DA3823" w:rsidRPr="00A9019C" w:rsidRDefault="00DA3823" w:rsidP="009025E3">
      <w:pPr>
        <w:pStyle w:val="ListParagraph"/>
        <w:widowControl w:val="0"/>
        <w:numPr>
          <w:ilvl w:val="0"/>
          <w:numId w:val="73"/>
        </w:numPr>
        <w:autoSpaceDE w:val="0"/>
        <w:autoSpaceDN w:val="0"/>
        <w:adjustRightInd w:val="0"/>
        <w:spacing w:after="120"/>
        <w:contextualSpacing w:val="0"/>
        <w:rPr>
          <w:rFonts w:cs="Arial"/>
          <w:sz w:val="22"/>
          <w:szCs w:val="22"/>
          <w:lang w:eastAsia="ja-JP"/>
        </w:rPr>
      </w:pPr>
      <w:bookmarkStart w:id="241" w:name="_Ref284169279"/>
      <w:r w:rsidRPr="00A9019C">
        <w:rPr>
          <w:rFonts w:cs="Arial"/>
          <w:sz w:val="22"/>
          <w:szCs w:val="22"/>
          <w:lang w:eastAsia="ja-JP"/>
        </w:rPr>
        <w:t>Melzer M, Eykyn SJ, Gransden WR, Chinn S (2003) Is methicillin</w:t>
      </w:r>
      <w:r w:rsidR="00930C6E" w:rsidRPr="00A9019C">
        <w:rPr>
          <w:rFonts w:cs="Arial"/>
          <w:sz w:val="22"/>
          <w:szCs w:val="22"/>
          <w:lang w:eastAsia="ja-JP"/>
        </w:rPr>
        <w:t xml:space="preserve"> </w:t>
      </w:r>
      <w:r w:rsidRPr="00A9019C">
        <w:rPr>
          <w:rFonts w:cs="Arial"/>
          <w:sz w:val="22"/>
          <w:szCs w:val="22"/>
          <w:lang w:eastAsia="ja-JP"/>
        </w:rPr>
        <w:t>resistant Staphylococcus aureus more virulent than methicillin susceptible S. aureus? A comparative cohort study of British patients with nosocomial infection and bacteremia. Clin Infect Dis 37:1453–1460</w:t>
      </w:r>
      <w:bookmarkEnd w:id="241"/>
    </w:p>
    <w:p w14:paraId="15130C54" w14:textId="77777777" w:rsidR="00DA3823" w:rsidRPr="00A9019C" w:rsidRDefault="00DA3823" w:rsidP="009025E3">
      <w:pPr>
        <w:pStyle w:val="ListParagraph"/>
        <w:widowControl w:val="0"/>
        <w:numPr>
          <w:ilvl w:val="0"/>
          <w:numId w:val="73"/>
        </w:numPr>
        <w:autoSpaceDE w:val="0"/>
        <w:autoSpaceDN w:val="0"/>
        <w:adjustRightInd w:val="0"/>
        <w:spacing w:after="120"/>
        <w:contextualSpacing w:val="0"/>
        <w:rPr>
          <w:rFonts w:cs="Arial"/>
          <w:sz w:val="22"/>
          <w:szCs w:val="22"/>
          <w:lang w:eastAsia="ja-JP"/>
        </w:rPr>
      </w:pPr>
      <w:bookmarkStart w:id="242" w:name="_Ref284169300"/>
      <w:r w:rsidRPr="00A9019C">
        <w:rPr>
          <w:rFonts w:cs="Arial"/>
          <w:sz w:val="22"/>
          <w:szCs w:val="22"/>
          <w:lang w:eastAsia="ja-JP"/>
        </w:rPr>
        <w:t>Engemann JJ, Carmeli Y, Cosgrove SE et al (2003) Adverse clinical and economic outcomes attributable to methicillin resistance among patients with Staphylococcus aureus surgical site infection. Clin Infect Dis 36:592–598].</w:t>
      </w:r>
      <w:bookmarkEnd w:id="242"/>
    </w:p>
    <w:p w14:paraId="16CCA16C" w14:textId="3AEA1205"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43" w:name="_Ref284169344"/>
      <w:r w:rsidRPr="00A9019C">
        <w:rPr>
          <w:rFonts w:cs="Arial"/>
          <w:sz w:val="22"/>
          <w:szCs w:val="22"/>
          <w:lang w:eastAsia="ja-JP"/>
        </w:rPr>
        <w:t xml:space="preserve">Goetghebeur </w:t>
      </w:r>
      <w:bookmarkEnd w:id="243"/>
      <w:r w:rsidR="0079304D">
        <w:rPr>
          <w:rFonts w:cs="Arial"/>
          <w:sz w:val="22"/>
          <w:szCs w:val="22"/>
          <w:lang w:eastAsia="ja-JP"/>
        </w:rPr>
        <w:t xml:space="preserve">M, Landry P-A, Han D, and Vicente C. Methicilin-resistant </w:t>
      </w:r>
      <w:r w:rsidR="0079304D">
        <w:rPr>
          <w:rFonts w:cs="Arial"/>
          <w:i/>
          <w:sz w:val="22"/>
          <w:szCs w:val="22"/>
          <w:lang w:eastAsia="ja-JP"/>
        </w:rPr>
        <w:t xml:space="preserve">Staphyloccus aureaus: </w:t>
      </w:r>
      <w:r w:rsidR="0079304D" w:rsidRPr="0079304D">
        <w:rPr>
          <w:rFonts w:cs="Arial"/>
          <w:sz w:val="22"/>
          <w:szCs w:val="22"/>
          <w:lang w:eastAsia="ja-JP"/>
        </w:rPr>
        <w:t xml:space="preserve">a public health issue with economic consequences. </w:t>
      </w:r>
      <w:r w:rsidR="0079304D">
        <w:rPr>
          <w:rFonts w:cs="Arial"/>
          <w:sz w:val="22"/>
          <w:szCs w:val="22"/>
          <w:lang w:eastAsia="ja-JP"/>
        </w:rPr>
        <w:t>Can J Infect Med Mircobiol Vol 18 No 1 January/February 2007.</w:t>
      </w:r>
    </w:p>
    <w:p w14:paraId="43597AD6" w14:textId="77777777" w:rsidR="00DA3823" w:rsidRPr="00A9019C" w:rsidRDefault="00DA3823" w:rsidP="009025E3">
      <w:pPr>
        <w:pStyle w:val="ListParagraph"/>
        <w:numPr>
          <w:ilvl w:val="0"/>
          <w:numId w:val="73"/>
        </w:numPr>
        <w:spacing w:after="120"/>
        <w:contextualSpacing w:val="0"/>
        <w:rPr>
          <w:rFonts w:cs="Arial"/>
          <w:sz w:val="22"/>
          <w:szCs w:val="22"/>
        </w:rPr>
      </w:pPr>
      <w:bookmarkStart w:id="244" w:name="_Ref284169362"/>
      <w:r w:rsidRPr="00A9019C">
        <w:rPr>
          <w:rFonts w:cs="Arial"/>
          <w:sz w:val="22"/>
          <w:szCs w:val="22"/>
        </w:rPr>
        <w:t>Seaton RA, Johal, S, Coia, JE, Reid N, Cooper S and Jones BL. Economic evaluation of treatment for MRSA complicated skin and soft tissue infections in Glasgow hospitals. European Journal of Clinical Microbiology and Infectious Diseases. Vol 32. Number 9. September 2013.</w:t>
      </w:r>
      <w:bookmarkEnd w:id="244"/>
    </w:p>
    <w:p w14:paraId="5ACA2BF9" w14:textId="77777777" w:rsidR="00DA3823" w:rsidRPr="00A9019C" w:rsidRDefault="00DA3823" w:rsidP="009025E3">
      <w:pPr>
        <w:pStyle w:val="EndNoteBibliography"/>
        <w:numPr>
          <w:ilvl w:val="0"/>
          <w:numId w:val="73"/>
        </w:numPr>
        <w:spacing w:after="120"/>
        <w:rPr>
          <w:szCs w:val="22"/>
          <w:lang w:eastAsia="ja-JP"/>
        </w:rPr>
      </w:pPr>
      <w:bookmarkStart w:id="245" w:name="_Ref284169586"/>
      <w:r w:rsidRPr="00A9019C">
        <w:rPr>
          <w:szCs w:val="22"/>
          <w:lang w:eastAsia="ja-JP"/>
        </w:rPr>
        <w:lastRenderedPageBreak/>
        <w:t>Scottish Government. Scottish Management of</w:t>
      </w:r>
      <w:r w:rsidRPr="00A9019C">
        <w:rPr>
          <w:szCs w:val="22"/>
        </w:rPr>
        <w:t xml:space="preserve"> </w:t>
      </w:r>
      <w:r w:rsidRPr="00A9019C">
        <w:rPr>
          <w:szCs w:val="22"/>
          <w:lang w:eastAsia="ja-JP"/>
        </w:rPr>
        <w:t>Antimicrobial Resistance</w:t>
      </w:r>
      <w:r w:rsidRPr="00A9019C">
        <w:rPr>
          <w:szCs w:val="22"/>
        </w:rPr>
        <w:t xml:space="preserve"> </w:t>
      </w:r>
      <w:r w:rsidRPr="00A9019C">
        <w:rPr>
          <w:szCs w:val="22"/>
          <w:lang w:eastAsia="ja-JP"/>
        </w:rPr>
        <w:t>Action Plan 2014-18</w:t>
      </w:r>
      <w:r w:rsidRPr="00A9019C">
        <w:rPr>
          <w:szCs w:val="22"/>
        </w:rPr>
        <w:t xml:space="preserve"> </w:t>
      </w:r>
      <w:r w:rsidRPr="00A9019C">
        <w:rPr>
          <w:szCs w:val="22"/>
          <w:lang w:eastAsia="ja-JP"/>
        </w:rPr>
        <w:t>(ScotMARAP 2). 2014.</w:t>
      </w:r>
      <w:bookmarkEnd w:id="245"/>
    </w:p>
    <w:p w14:paraId="1905CD32" w14:textId="77777777" w:rsidR="00DA3823" w:rsidRPr="00A9019C" w:rsidRDefault="00DA3823" w:rsidP="009025E3">
      <w:pPr>
        <w:pStyle w:val="EndNoteBibliography"/>
        <w:numPr>
          <w:ilvl w:val="0"/>
          <w:numId w:val="73"/>
        </w:numPr>
        <w:spacing w:after="120"/>
        <w:rPr>
          <w:szCs w:val="22"/>
        </w:rPr>
      </w:pPr>
      <w:bookmarkStart w:id="246" w:name="_Ref284169604"/>
      <w:r w:rsidRPr="00A9019C">
        <w:rPr>
          <w:szCs w:val="22"/>
          <w:lang w:eastAsia="ja-JP"/>
        </w:rPr>
        <w:t>Scottish Government. Chief Nursing Officer letter to Health Boards. May 2013.</w:t>
      </w:r>
      <w:bookmarkEnd w:id="246"/>
    </w:p>
    <w:p w14:paraId="0E9DB38F" w14:textId="453C2E8E"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47" w:name="_Ref284169623"/>
      <w:r w:rsidRPr="00A9019C">
        <w:rPr>
          <w:rFonts w:cs="Arial"/>
          <w:sz w:val="22"/>
          <w:szCs w:val="22"/>
          <w:lang w:eastAsia="ja-JP"/>
        </w:rPr>
        <w:t>Scottish Intercollegiate Guidelines Network. SIGN 104. Surgical Prophylaxis.</w:t>
      </w:r>
      <w:bookmarkEnd w:id="247"/>
      <w:r w:rsidR="00A72EF8">
        <w:rPr>
          <w:rFonts w:cs="Arial"/>
          <w:sz w:val="22"/>
          <w:szCs w:val="22"/>
          <w:lang w:eastAsia="ja-JP"/>
        </w:rPr>
        <w:t xml:space="preserve"> 2014.</w:t>
      </w:r>
      <w:r w:rsidRPr="00A9019C">
        <w:rPr>
          <w:rFonts w:cs="Arial"/>
          <w:sz w:val="22"/>
          <w:szCs w:val="22"/>
          <w:lang w:eastAsia="ja-JP"/>
        </w:rPr>
        <w:t xml:space="preserve"> </w:t>
      </w:r>
    </w:p>
    <w:p w14:paraId="52FE37DC" w14:textId="30D2C9DD" w:rsidR="00DA3823" w:rsidRPr="004E56EB"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48" w:name="_Ref284169702"/>
      <w:r w:rsidRPr="004E56EB">
        <w:rPr>
          <w:rFonts w:cs="Arial"/>
          <w:sz w:val="22"/>
          <w:szCs w:val="22"/>
          <w:lang w:eastAsia="ja-JP"/>
        </w:rPr>
        <w:t>Health Protection Scotland. MRSA Mortality data.</w:t>
      </w:r>
      <w:bookmarkEnd w:id="248"/>
      <w:r w:rsidRPr="004E56EB">
        <w:rPr>
          <w:rFonts w:cs="Arial"/>
          <w:sz w:val="22"/>
          <w:szCs w:val="22"/>
          <w:lang w:eastAsia="ja-JP"/>
        </w:rPr>
        <w:t xml:space="preserve"> </w:t>
      </w:r>
      <w:r w:rsidR="00A72EF8">
        <w:rPr>
          <w:rFonts w:cs="Arial"/>
          <w:sz w:val="22"/>
          <w:szCs w:val="22"/>
          <w:lang w:eastAsia="ja-JP"/>
        </w:rPr>
        <w:t>http://www.hps.scot.nhs.uk</w:t>
      </w:r>
    </w:p>
    <w:p w14:paraId="7DB1D4A0" w14:textId="117A5A2C" w:rsidR="00DA3823" w:rsidRPr="004E56EB" w:rsidRDefault="003E470C"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49" w:name="_Ref284169749"/>
      <w:bookmarkStart w:id="250" w:name="_Ref284187917"/>
      <w:r>
        <w:rPr>
          <w:rFonts w:cs="Arial"/>
          <w:sz w:val="22"/>
          <w:szCs w:val="22"/>
          <w:lang w:eastAsia="ja-JP"/>
        </w:rPr>
        <w:t xml:space="preserve">Health Protection Scotland. </w:t>
      </w:r>
      <w:r w:rsidR="004E56EB" w:rsidRPr="004E56EB">
        <w:rPr>
          <w:rFonts w:cs="Arial"/>
          <w:sz w:val="22"/>
          <w:szCs w:val="22"/>
          <w:lang w:eastAsia="ja-JP"/>
        </w:rPr>
        <w:t>Weekly Report 13 January 2015</w:t>
      </w:r>
      <w:r>
        <w:rPr>
          <w:rFonts w:cs="Arial"/>
          <w:sz w:val="22"/>
          <w:szCs w:val="22"/>
          <w:lang w:eastAsia="ja-JP"/>
        </w:rPr>
        <w:t>. Vol 49 No 2015/02</w:t>
      </w:r>
      <w:r w:rsidR="004E56EB" w:rsidRPr="004E56EB">
        <w:rPr>
          <w:rFonts w:cs="Arial"/>
          <w:sz w:val="22"/>
          <w:szCs w:val="22"/>
          <w:lang w:eastAsia="ja-JP"/>
        </w:rPr>
        <w:t xml:space="preserve">. </w:t>
      </w:r>
      <w:hyperlink r:id="rId41" w:history="1">
        <w:r w:rsidR="004E56EB" w:rsidRPr="004E56EB">
          <w:rPr>
            <w:rFonts w:cs="Arial"/>
            <w:sz w:val="22"/>
            <w:szCs w:val="22"/>
            <w:u w:val="single" w:color="0000EF"/>
            <w:lang w:val="en-US" w:eastAsia="ja-JP"/>
          </w:rPr>
          <w:t>http://www.hps.scot.nhs.uk/ewr/article.aspx</w:t>
        </w:r>
      </w:hyperlink>
      <w:bookmarkEnd w:id="249"/>
      <w:r w:rsidR="004E56EB" w:rsidRPr="004E56EB">
        <w:rPr>
          <w:rFonts w:cs="Arial"/>
          <w:sz w:val="22"/>
          <w:szCs w:val="22"/>
          <w:lang w:val="en-US" w:eastAsia="ja-JP"/>
        </w:rPr>
        <w:t xml:space="preserve"> Last accessed 28 January 2015.</w:t>
      </w:r>
      <w:bookmarkEnd w:id="250"/>
    </w:p>
    <w:p w14:paraId="2A36F8EF"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51" w:name="_Ref284169887"/>
      <w:r w:rsidRPr="00A9019C">
        <w:rPr>
          <w:rFonts w:cs="Arial"/>
          <w:sz w:val="22"/>
          <w:szCs w:val="22"/>
        </w:rPr>
        <w:t>Shorr AF. Epidemiology and economic impact of meticillin-resistant Staphylococcus aureus. Pharmacoeconomics. 2007;25(9):751-68.</w:t>
      </w:r>
      <w:bookmarkEnd w:id="251"/>
    </w:p>
    <w:p w14:paraId="1F14C7B5" w14:textId="0AC0722B" w:rsidR="00A66F67" w:rsidRDefault="00DA3823" w:rsidP="00A66F67">
      <w:pPr>
        <w:pStyle w:val="ListParagraph"/>
        <w:numPr>
          <w:ilvl w:val="0"/>
          <w:numId w:val="73"/>
        </w:numPr>
        <w:autoSpaceDE w:val="0"/>
        <w:autoSpaceDN w:val="0"/>
        <w:adjustRightInd w:val="0"/>
        <w:spacing w:after="120"/>
        <w:contextualSpacing w:val="0"/>
        <w:rPr>
          <w:rFonts w:cs="Arial"/>
          <w:sz w:val="22"/>
          <w:szCs w:val="22"/>
          <w:lang w:eastAsia="ja-JP"/>
        </w:rPr>
      </w:pPr>
      <w:bookmarkStart w:id="252" w:name="_Ref284169913"/>
      <w:r w:rsidRPr="00A9019C">
        <w:rPr>
          <w:rFonts w:cs="Arial"/>
          <w:sz w:val="22"/>
          <w:szCs w:val="22"/>
        </w:rPr>
        <w:t xml:space="preserve">Sakoulas </w:t>
      </w:r>
      <w:bookmarkStart w:id="253" w:name="_Ref284169927"/>
      <w:bookmarkEnd w:id="252"/>
      <w:r w:rsidR="00762360">
        <w:rPr>
          <w:rFonts w:cs="Arial"/>
          <w:sz w:val="22"/>
          <w:szCs w:val="22"/>
        </w:rPr>
        <w:t xml:space="preserve">G. Daptomycin for Soft Tissue Infection and Neutropenia in </w:t>
      </w:r>
      <w:r w:rsidR="00A72D55">
        <w:rPr>
          <w:rFonts w:cs="Arial"/>
          <w:sz w:val="22"/>
          <w:szCs w:val="22"/>
        </w:rPr>
        <w:t>a Myelogenous Leukemia Pa</w:t>
      </w:r>
      <w:r w:rsidR="00762360">
        <w:rPr>
          <w:rFonts w:cs="Arial"/>
          <w:sz w:val="22"/>
          <w:szCs w:val="22"/>
        </w:rPr>
        <w:t>tient Who Failed Prior Vancomycin Therapy.  Clinical Advances in Hematology and Oncology. November 2008; Vol 6(11) 813-817.</w:t>
      </w:r>
    </w:p>
    <w:p w14:paraId="75A75891" w14:textId="458786AF" w:rsidR="00DA3823" w:rsidRPr="00E76B04" w:rsidRDefault="00DA3823" w:rsidP="00A66F67">
      <w:pPr>
        <w:pStyle w:val="ListParagraph"/>
        <w:numPr>
          <w:ilvl w:val="0"/>
          <w:numId w:val="73"/>
        </w:numPr>
        <w:autoSpaceDE w:val="0"/>
        <w:autoSpaceDN w:val="0"/>
        <w:adjustRightInd w:val="0"/>
        <w:spacing w:after="120"/>
        <w:contextualSpacing w:val="0"/>
        <w:rPr>
          <w:rFonts w:cs="Arial"/>
          <w:sz w:val="22"/>
          <w:szCs w:val="22"/>
          <w:lang w:eastAsia="ja-JP"/>
        </w:rPr>
      </w:pPr>
      <w:bookmarkStart w:id="254" w:name="_Ref284434345"/>
      <w:r w:rsidRPr="00A66F67">
        <w:rPr>
          <w:rFonts w:cs="Arial"/>
          <w:sz w:val="22"/>
          <w:szCs w:val="22"/>
        </w:rPr>
        <w:t xml:space="preserve">Soriano </w:t>
      </w:r>
      <w:r w:rsidR="00A66F67" w:rsidRPr="00A66F67">
        <w:rPr>
          <w:rFonts w:cs="Arial"/>
          <w:sz w:val="22"/>
          <w:szCs w:val="22"/>
        </w:rPr>
        <w:t xml:space="preserve">A, Marco F, Martinez J, Pisos E, Almela M, Dimova V, Alamo D, Ortega M, </w:t>
      </w:r>
      <w:r w:rsidR="00A66F67" w:rsidRPr="00E76B04">
        <w:rPr>
          <w:rFonts w:cs="Arial"/>
          <w:sz w:val="22"/>
          <w:szCs w:val="22"/>
        </w:rPr>
        <w:t xml:space="preserve">Lopez J and Mensa J. </w:t>
      </w:r>
      <w:r w:rsidR="00A66F67" w:rsidRPr="00E76B04">
        <w:rPr>
          <w:rFonts w:cs="Arial"/>
          <w:sz w:val="22"/>
          <w:szCs w:val="22"/>
          <w:lang w:val="en-US" w:eastAsia="ja-JP"/>
        </w:rPr>
        <w:t>Influence of Vancomycin Minimum Inhibitory Concentration on the Treatment of Methicillin-Resistant Staphylococcus aureus Bacteremia</w:t>
      </w:r>
      <w:bookmarkEnd w:id="253"/>
      <w:r w:rsidR="00A66F67" w:rsidRPr="00E76B04">
        <w:rPr>
          <w:rFonts w:cs="Arial"/>
          <w:sz w:val="22"/>
          <w:szCs w:val="22"/>
        </w:rPr>
        <w:t xml:space="preserve">. </w:t>
      </w:r>
      <w:r w:rsidR="00A66F67" w:rsidRPr="00E76B04">
        <w:rPr>
          <w:rFonts w:cs="Arial"/>
          <w:sz w:val="22"/>
          <w:szCs w:val="22"/>
          <w:lang w:val="en-US" w:eastAsia="ja-JP"/>
        </w:rPr>
        <w:t>Clinical Infectious Diseases 2008; 46:193–200.</w:t>
      </w:r>
      <w:bookmarkEnd w:id="254"/>
    </w:p>
    <w:p w14:paraId="2FFDAE89" w14:textId="6153128C" w:rsidR="00DA3823" w:rsidRPr="00E76B04"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55" w:name="_Ref284169959"/>
      <w:r w:rsidRPr="00E76B04">
        <w:rPr>
          <w:rFonts w:cs="Arial"/>
          <w:sz w:val="22"/>
          <w:szCs w:val="22"/>
        </w:rPr>
        <w:t xml:space="preserve">Moreillon </w:t>
      </w:r>
      <w:bookmarkEnd w:id="255"/>
      <w:r w:rsidR="00762360" w:rsidRPr="00E76B04">
        <w:rPr>
          <w:rFonts w:cs="Arial"/>
          <w:sz w:val="22"/>
          <w:szCs w:val="22"/>
        </w:rPr>
        <w:t xml:space="preserve">P. New and Emerging treatment of </w:t>
      </w:r>
      <w:r w:rsidR="00762360" w:rsidRPr="00E76B04">
        <w:rPr>
          <w:rFonts w:cs="Arial"/>
          <w:i/>
          <w:sz w:val="22"/>
          <w:szCs w:val="22"/>
        </w:rPr>
        <w:t xml:space="preserve">Staphylococcus aureus </w:t>
      </w:r>
      <w:r w:rsidR="00762360" w:rsidRPr="00E76B04">
        <w:rPr>
          <w:rFonts w:cs="Arial"/>
          <w:sz w:val="22"/>
          <w:szCs w:val="22"/>
        </w:rPr>
        <w:t>infections in the hospital setting.</w:t>
      </w:r>
      <w:r w:rsidR="00E8509F" w:rsidRPr="00E76B04">
        <w:rPr>
          <w:rFonts w:cs="Arial"/>
          <w:sz w:val="22"/>
          <w:szCs w:val="22"/>
        </w:rPr>
        <w:t xml:space="preserve"> </w:t>
      </w:r>
      <w:r w:rsidR="00E8509F" w:rsidRPr="00E76B04">
        <w:rPr>
          <w:rFonts w:cs="Arial"/>
          <w:sz w:val="22"/>
          <w:szCs w:val="22"/>
          <w:lang w:val="en-US" w:eastAsia="ja-JP"/>
        </w:rPr>
        <w:t>Journal Compilation European Society of Clinical Microbiology and Infectious Diseases, CMI, 14 (Suppl. 3), 32–41. 2008.</w:t>
      </w:r>
    </w:p>
    <w:p w14:paraId="321D7AFD" w14:textId="77777777" w:rsidR="00DA3823" w:rsidRPr="00DF138A" w:rsidRDefault="00DA3823" w:rsidP="009025E3">
      <w:pPr>
        <w:pStyle w:val="ListParagraph"/>
        <w:numPr>
          <w:ilvl w:val="0"/>
          <w:numId w:val="73"/>
        </w:numPr>
        <w:spacing w:after="120"/>
        <w:contextualSpacing w:val="0"/>
        <w:rPr>
          <w:rFonts w:eastAsia="Times New Roman" w:cs="Arial"/>
          <w:sz w:val="22"/>
          <w:szCs w:val="22"/>
        </w:rPr>
      </w:pPr>
      <w:bookmarkStart w:id="256" w:name="_Ref284169973"/>
      <w:r w:rsidRPr="00DF138A">
        <w:rPr>
          <w:rFonts w:eastAsia="Times New Roman" w:cs="Arial"/>
          <w:sz w:val="22"/>
          <w:szCs w:val="22"/>
        </w:rPr>
        <w:t>Tsiodras S, Gold HS, Sakoulas G, Eliopoulos GM, Wennersten C, Venkataraman L, Moellering RC, Ferraro MJ Linezolid resistance in a clinical isolate of Staphylococcus aureus. Lancet. 2001 Jul 21;358(9277):207-8.</w:t>
      </w:r>
      <w:bookmarkEnd w:id="256"/>
    </w:p>
    <w:p w14:paraId="001E104C" w14:textId="77777777" w:rsidR="00DF138A" w:rsidRPr="00DF138A" w:rsidRDefault="00DA3823" w:rsidP="00DF138A">
      <w:pPr>
        <w:pStyle w:val="ListParagraph"/>
        <w:numPr>
          <w:ilvl w:val="0"/>
          <w:numId w:val="73"/>
        </w:numPr>
        <w:autoSpaceDE w:val="0"/>
        <w:autoSpaceDN w:val="0"/>
        <w:adjustRightInd w:val="0"/>
        <w:spacing w:after="120"/>
        <w:contextualSpacing w:val="0"/>
        <w:rPr>
          <w:rFonts w:eastAsia="Times New Roman" w:cs="Arial"/>
          <w:sz w:val="22"/>
          <w:szCs w:val="22"/>
        </w:rPr>
      </w:pPr>
      <w:bookmarkStart w:id="257" w:name="_Ref284169994"/>
      <w:r w:rsidRPr="00DF138A">
        <w:rPr>
          <w:rFonts w:cs="Arial"/>
          <w:sz w:val="22"/>
          <w:szCs w:val="22"/>
          <w:lang w:val="fr-FR" w:eastAsia="ja-JP"/>
        </w:rPr>
        <w:t xml:space="preserve">Morales G, Picazo JJ, Baos E, et al. </w:t>
      </w:r>
      <w:r w:rsidRPr="00DF138A">
        <w:rPr>
          <w:rFonts w:cs="Arial"/>
          <w:sz w:val="22"/>
          <w:szCs w:val="22"/>
          <w:lang w:eastAsia="ja-JP"/>
        </w:rPr>
        <w:t xml:space="preserve">Resistance to linezolid is mediated by the </w:t>
      </w:r>
      <w:r w:rsidRPr="00DF138A">
        <w:rPr>
          <w:rFonts w:cs="Arial"/>
          <w:i/>
          <w:iCs/>
          <w:sz w:val="22"/>
          <w:szCs w:val="22"/>
          <w:lang w:eastAsia="ja-JP"/>
        </w:rPr>
        <w:t xml:space="preserve">CFR </w:t>
      </w:r>
      <w:r w:rsidRPr="00DF138A">
        <w:rPr>
          <w:rFonts w:cs="Arial"/>
          <w:sz w:val="22"/>
          <w:szCs w:val="22"/>
          <w:lang w:eastAsia="ja-JP"/>
        </w:rPr>
        <w:t xml:space="preserve">gene in the first report of an outbreak of linezolid-resistant </w:t>
      </w:r>
      <w:r w:rsidRPr="00DF138A">
        <w:rPr>
          <w:rFonts w:cs="Arial"/>
          <w:i/>
          <w:iCs/>
          <w:sz w:val="22"/>
          <w:szCs w:val="22"/>
          <w:lang w:eastAsia="ja-JP"/>
        </w:rPr>
        <w:t>Staphylococcus aureus</w:t>
      </w:r>
      <w:r w:rsidRPr="00DF138A">
        <w:rPr>
          <w:rFonts w:cs="Arial"/>
          <w:sz w:val="22"/>
          <w:szCs w:val="22"/>
          <w:lang w:eastAsia="ja-JP"/>
        </w:rPr>
        <w:t xml:space="preserve">. </w:t>
      </w:r>
      <w:r w:rsidRPr="00A72D55">
        <w:rPr>
          <w:rFonts w:cs="Arial"/>
          <w:iCs/>
          <w:sz w:val="22"/>
          <w:szCs w:val="22"/>
          <w:lang w:eastAsia="ja-JP"/>
        </w:rPr>
        <w:t>Clin Infect Dis</w:t>
      </w:r>
      <w:r w:rsidRPr="00A72D55">
        <w:rPr>
          <w:rFonts w:cs="Arial"/>
          <w:sz w:val="22"/>
          <w:szCs w:val="22"/>
          <w:lang w:eastAsia="ja-JP"/>
        </w:rPr>
        <w:t>.</w:t>
      </w:r>
      <w:r w:rsidRPr="00DF138A">
        <w:rPr>
          <w:rFonts w:cs="Arial"/>
          <w:sz w:val="22"/>
          <w:szCs w:val="22"/>
          <w:lang w:eastAsia="ja-JP"/>
        </w:rPr>
        <w:t xml:space="preserve"> 2010;50(6):821-825.</w:t>
      </w:r>
      <w:bookmarkEnd w:id="257"/>
      <w:r w:rsidRPr="00DF138A">
        <w:rPr>
          <w:rFonts w:eastAsia="Times New Roman" w:cs="Arial"/>
          <w:sz w:val="22"/>
          <w:szCs w:val="22"/>
        </w:rPr>
        <w:t xml:space="preserve"> </w:t>
      </w:r>
      <w:bookmarkStart w:id="258" w:name="_Ref284170125"/>
    </w:p>
    <w:p w14:paraId="39B96760" w14:textId="4619F10B" w:rsidR="00DF138A" w:rsidRPr="00DF138A" w:rsidRDefault="00DF138A" w:rsidP="00DF138A">
      <w:pPr>
        <w:pStyle w:val="ListParagraph"/>
        <w:numPr>
          <w:ilvl w:val="0"/>
          <w:numId w:val="73"/>
        </w:numPr>
        <w:autoSpaceDE w:val="0"/>
        <w:autoSpaceDN w:val="0"/>
        <w:adjustRightInd w:val="0"/>
        <w:spacing w:after="120"/>
        <w:contextualSpacing w:val="0"/>
        <w:rPr>
          <w:rFonts w:eastAsia="Times New Roman" w:cs="Arial"/>
          <w:sz w:val="22"/>
          <w:szCs w:val="22"/>
        </w:rPr>
      </w:pPr>
      <w:bookmarkStart w:id="259" w:name="_Ref284434703"/>
      <w:r w:rsidRPr="00DF138A">
        <w:rPr>
          <w:rFonts w:eastAsia="Times New Roman"/>
          <w:sz w:val="22"/>
          <w:szCs w:val="22"/>
        </w:rPr>
        <w:t>FDA Drug Safety Communication. Serious CNS reactions possible when linezolid (Zyvox) is given to patients taking certain psychiatric medications. 2011.</w:t>
      </w:r>
      <w:bookmarkEnd w:id="259"/>
    </w:p>
    <w:p w14:paraId="48E76431" w14:textId="1563AA84" w:rsidR="00DA3823" w:rsidRPr="00A9019C" w:rsidRDefault="00DA3823" w:rsidP="009025E3">
      <w:pPr>
        <w:pStyle w:val="Heading1"/>
        <w:keepNext w:val="0"/>
        <w:keepLines w:val="0"/>
        <w:numPr>
          <w:ilvl w:val="0"/>
          <w:numId w:val="73"/>
        </w:numPr>
        <w:spacing w:before="100" w:beforeAutospacing="1" w:after="120"/>
        <w:rPr>
          <w:rFonts w:ascii="Arial" w:eastAsia="Times New Roman" w:hAnsi="Arial" w:cs="Arial"/>
          <w:b w:val="0"/>
          <w:color w:val="auto"/>
          <w:sz w:val="22"/>
          <w:szCs w:val="22"/>
        </w:rPr>
      </w:pPr>
      <w:bookmarkStart w:id="260" w:name="_Ref284170803"/>
      <w:bookmarkEnd w:id="258"/>
      <w:r w:rsidRPr="00A9019C">
        <w:rPr>
          <w:rFonts w:ascii="Arial" w:eastAsia="Times New Roman" w:hAnsi="Arial" w:cs="Arial"/>
          <w:b w:val="0"/>
          <w:color w:val="auto"/>
          <w:sz w:val="22"/>
          <w:szCs w:val="22"/>
        </w:rPr>
        <w:t xml:space="preserve">Kinney </w:t>
      </w:r>
      <w:r w:rsidR="00A72D55">
        <w:rPr>
          <w:rFonts w:ascii="Arial" w:eastAsia="Times New Roman" w:hAnsi="Arial" w:cs="Arial"/>
          <w:b w:val="0"/>
          <w:color w:val="auto"/>
          <w:sz w:val="22"/>
          <w:szCs w:val="22"/>
        </w:rPr>
        <w:t xml:space="preserve">K. Treatment of Infections Caused by Antimicrobial-Resistant Gram-Positive Bacteria. Am J Med Sci. </w:t>
      </w:r>
      <w:r w:rsidRPr="00A9019C">
        <w:rPr>
          <w:rFonts w:ascii="Arial" w:eastAsia="Times New Roman" w:hAnsi="Arial" w:cs="Arial"/>
          <w:b w:val="0"/>
          <w:color w:val="auto"/>
          <w:sz w:val="22"/>
          <w:szCs w:val="22"/>
        </w:rPr>
        <w:t>2010</w:t>
      </w:r>
      <w:bookmarkEnd w:id="260"/>
      <w:r w:rsidR="00A72D55">
        <w:rPr>
          <w:rFonts w:ascii="Arial" w:eastAsia="Times New Roman" w:hAnsi="Arial" w:cs="Arial"/>
          <w:b w:val="0"/>
          <w:color w:val="auto"/>
          <w:sz w:val="22"/>
          <w:szCs w:val="22"/>
        </w:rPr>
        <w:t>; 340(3): 209-217.</w:t>
      </w:r>
    </w:p>
    <w:p w14:paraId="6FFB7A19" w14:textId="0903CC1B"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61" w:name="_Ref284170820"/>
      <w:r w:rsidRPr="00701CA3">
        <w:rPr>
          <w:rFonts w:cs="Arial"/>
          <w:sz w:val="22"/>
          <w:szCs w:val="22"/>
          <w:lang w:val="de-CH" w:eastAsia="ja-JP"/>
        </w:rPr>
        <w:lastRenderedPageBreak/>
        <w:t xml:space="preserve">Bonilla </w:t>
      </w:r>
      <w:bookmarkEnd w:id="261"/>
      <w:r w:rsidR="00A72D55" w:rsidRPr="00701CA3">
        <w:rPr>
          <w:rFonts w:cs="Arial"/>
          <w:sz w:val="22"/>
          <w:szCs w:val="22"/>
          <w:lang w:val="de-CH" w:eastAsia="ja-JP"/>
        </w:rPr>
        <w:t xml:space="preserve">H, Huband M, Seidel J, Schmidt H, Lescoe M, et al. </w:t>
      </w:r>
      <w:r w:rsidR="00A72D55">
        <w:rPr>
          <w:rFonts w:cs="Arial"/>
          <w:sz w:val="22"/>
          <w:szCs w:val="22"/>
          <w:lang w:eastAsia="ja-JP"/>
        </w:rPr>
        <w:t xml:space="preserve">Multicity Outbreak of Linezolid-Resistant </w:t>
      </w:r>
      <w:r w:rsidR="00A72D55" w:rsidRPr="00A72D55">
        <w:rPr>
          <w:rFonts w:cs="Arial"/>
          <w:i/>
          <w:sz w:val="22"/>
          <w:szCs w:val="22"/>
          <w:lang w:eastAsia="ja-JP"/>
        </w:rPr>
        <w:t>Staphylococcus epidermis</w:t>
      </w:r>
      <w:r w:rsidR="00A72D55">
        <w:rPr>
          <w:rFonts w:cs="Arial"/>
          <w:sz w:val="22"/>
          <w:szCs w:val="22"/>
          <w:lang w:eastAsia="ja-JP"/>
        </w:rPr>
        <w:t xml:space="preserve"> Associated with Cloncal Spread of a </w:t>
      </w:r>
      <w:r w:rsidR="00A72D55" w:rsidRPr="00A72D55">
        <w:rPr>
          <w:rFonts w:cs="Arial"/>
          <w:i/>
          <w:sz w:val="22"/>
          <w:szCs w:val="22"/>
          <w:lang w:eastAsia="ja-JP"/>
        </w:rPr>
        <w:t>cfr</w:t>
      </w:r>
      <w:r w:rsidR="00A72D55">
        <w:rPr>
          <w:rFonts w:cs="Arial"/>
          <w:sz w:val="22"/>
          <w:szCs w:val="22"/>
          <w:lang w:eastAsia="ja-JP"/>
        </w:rPr>
        <w:t>-Containing Strain.</w:t>
      </w:r>
      <w:r w:rsidR="00076AB6">
        <w:rPr>
          <w:rFonts w:cs="Arial"/>
          <w:sz w:val="22"/>
          <w:szCs w:val="22"/>
          <w:lang w:eastAsia="ja-JP"/>
        </w:rPr>
        <w:t xml:space="preserve"> Brief Report. CID 2010:51 796-800.</w:t>
      </w:r>
    </w:p>
    <w:p w14:paraId="1D880A2B" w14:textId="695F1300" w:rsidR="00DA3823" w:rsidRPr="00A9019C" w:rsidRDefault="00B8005D"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62" w:name="_Ref284170836"/>
      <w:r>
        <w:rPr>
          <w:rFonts w:cs="Arial"/>
          <w:sz w:val="22"/>
          <w:szCs w:val="22"/>
          <w:lang w:eastAsia="ja-JP"/>
        </w:rPr>
        <w:t>Sá</w:t>
      </w:r>
      <w:r w:rsidR="00DA3823" w:rsidRPr="00A9019C">
        <w:rPr>
          <w:rFonts w:cs="Arial"/>
          <w:sz w:val="22"/>
          <w:szCs w:val="22"/>
          <w:lang w:eastAsia="ja-JP"/>
        </w:rPr>
        <w:t xml:space="preserve">nchez Garcia </w:t>
      </w:r>
      <w:bookmarkEnd w:id="262"/>
      <w:r>
        <w:rPr>
          <w:rFonts w:cs="Arial"/>
          <w:sz w:val="22"/>
          <w:szCs w:val="22"/>
          <w:lang w:eastAsia="ja-JP"/>
        </w:rPr>
        <w:t xml:space="preserve">M, Angeles de la Torre, M, Morales G, Peláez B, Tolón MJ, et al. Clinical outbreaks of Linezolid-Resistant </w:t>
      </w:r>
      <w:r>
        <w:rPr>
          <w:rFonts w:cs="Arial"/>
          <w:i/>
          <w:sz w:val="22"/>
          <w:szCs w:val="22"/>
          <w:lang w:eastAsia="ja-JP"/>
        </w:rPr>
        <w:t xml:space="preserve">Staphylococcus aureus </w:t>
      </w:r>
      <w:r>
        <w:rPr>
          <w:rFonts w:cs="Arial"/>
          <w:sz w:val="22"/>
          <w:szCs w:val="22"/>
          <w:lang w:eastAsia="ja-JP"/>
        </w:rPr>
        <w:t>in an Intensive Care Unit. JAMA. 2010;303(22):2260-2264.</w:t>
      </w:r>
    </w:p>
    <w:p w14:paraId="06FADB7B" w14:textId="16E31D93"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63" w:name="_Ref284170853"/>
      <w:r w:rsidRPr="00A9019C">
        <w:rPr>
          <w:rFonts w:cs="Arial"/>
          <w:sz w:val="22"/>
          <w:szCs w:val="22"/>
          <w:lang w:eastAsia="ja-JP"/>
        </w:rPr>
        <w:t>C</w:t>
      </w:r>
      <w:r w:rsidRPr="002C7019">
        <w:rPr>
          <w:rFonts w:cs="Arial"/>
          <w:sz w:val="22"/>
          <w:szCs w:val="22"/>
          <w:lang w:eastAsia="ja-JP"/>
        </w:rPr>
        <w:t>ai</w:t>
      </w:r>
      <w:bookmarkEnd w:id="263"/>
      <w:r w:rsidR="002C7019" w:rsidRPr="002C7019">
        <w:rPr>
          <w:rFonts w:cs="Arial"/>
          <w:sz w:val="22"/>
          <w:szCs w:val="22"/>
          <w:lang w:eastAsia="ja-JP"/>
        </w:rPr>
        <w:t xml:space="preserve"> JC, Hu YY, Zhang R, Zhou HW and Chen G-X. Linezolid-resistant clinical isolates of meticillin-resistant coagulase-negative staphylococci and </w:t>
      </w:r>
      <w:r w:rsidR="002C7019" w:rsidRPr="002C7019">
        <w:rPr>
          <w:rFonts w:cs="Arial"/>
          <w:i/>
          <w:sz w:val="22"/>
          <w:szCs w:val="22"/>
          <w:lang w:eastAsia="ja-JP"/>
        </w:rPr>
        <w:t xml:space="preserve">Enterococcus faecium </w:t>
      </w:r>
      <w:r w:rsidR="002C7019" w:rsidRPr="002C7019">
        <w:rPr>
          <w:rFonts w:cs="Arial"/>
          <w:sz w:val="22"/>
          <w:szCs w:val="22"/>
          <w:lang w:eastAsia="ja-JP"/>
        </w:rPr>
        <w:t xml:space="preserve">from China. </w:t>
      </w:r>
      <w:r w:rsidR="002C7019" w:rsidRPr="002C7019">
        <w:rPr>
          <w:rFonts w:cs="Arial"/>
          <w:sz w:val="22"/>
          <w:szCs w:val="22"/>
          <w:lang w:val="en-US" w:eastAsia="ja-JP"/>
        </w:rPr>
        <w:t>Journal of Medical Microbiology 2012; 61:1568–1573.</w:t>
      </w:r>
    </w:p>
    <w:p w14:paraId="43EDB74D" w14:textId="2EA9649D" w:rsidR="00501CC8"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64" w:name="_Ref284170875"/>
      <w:r w:rsidRPr="00A9019C">
        <w:rPr>
          <w:rFonts w:cs="Arial"/>
          <w:sz w:val="22"/>
          <w:szCs w:val="22"/>
          <w:lang w:eastAsia="ja-JP"/>
        </w:rPr>
        <w:t>E</w:t>
      </w:r>
      <w:r w:rsidR="00F26974">
        <w:rPr>
          <w:rFonts w:cs="Arial"/>
          <w:sz w:val="22"/>
          <w:szCs w:val="22"/>
          <w:lang w:eastAsia="ja-JP"/>
        </w:rPr>
        <w:t xml:space="preserve">uropean </w:t>
      </w:r>
      <w:r w:rsidRPr="00A9019C">
        <w:rPr>
          <w:rFonts w:cs="Arial"/>
          <w:sz w:val="22"/>
          <w:szCs w:val="22"/>
          <w:lang w:eastAsia="ja-JP"/>
        </w:rPr>
        <w:t>M</w:t>
      </w:r>
      <w:r w:rsidR="00F26974">
        <w:rPr>
          <w:rFonts w:cs="Arial"/>
          <w:sz w:val="22"/>
          <w:szCs w:val="22"/>
          <w:lang w:eastAsia="ja-JP"/>
        </w:rPr>
        <w:t xml:space="preserve">edicines </w:t>
      </w:r>
      <w:r w:rsidRPr="00A9019C">
        <w:rPr>
          <w:rFonts w:cs="Arial"/>
          <w:sz w:val="22"/>
          <w:szCs w:val="22"/>
          <w:lang w:eastAsia="ja-JP"/>
        </w:rPr>
        <w:t>A</w:t>
      </w:r>
      <w:r w:rsidR="00F26974">
        <w:rPr>
          <w:rFonts w:cs="Arial"/>
          <w:sz w:val="22"/>
          <w:szCs w:val="22"/>
          <w:lang w:eastAsia="ja-JP"/>
        </w:rPr>
        <w:t>gency</w:t>
      </w:r>
      <w:r w:rsidRPr="00A9019C">
        <w:rPr>
          <w:rFonts w:cs="Arial"/>
          <w:sz w:val="22"/>
          <w:szCs w:val="22"/>
          <w:lang w:eastAsia="ja-JP"/>
        </w:rPr>
        <w:t xml:space="preserve">. </w:t>
      </w:r>
      <w:r w:rsidRPr="00A9019C">
        <w:rPr>
          <w:rFonts w:cs="Arial"/>
          <w:sz w:val="22"/>
          <w:szCs w:val="22"/>
        </w:rPr>
        <w:t>The bacterial challenge: time to react A call to narrow the gap between multidrug-resistant bacteria in the EU and the development of new antibacterial agents</w:t>
      </w:r>
      <w:r w:rsidRPr="00A9019C">
        <w:rPr>
          <w:rFonts w:cs="Arial"/>
          <w:sz w:val="22"/>
          <w:szCs w:val="22"/>
          <w:lang w:eastAsia="ja-JP"/>
        </w:rPr>
        <w:t>. 2009.</w:t>
      </w:r>
      <w:bookmarkStart w:id="265" w:name="_Ref284087373"/>
      <w:bookmarkStart w:id="266" w:name="_Ref284172432"/>
      <w:bookmarkEnd w:id="264"/>
    </w:p>
    <w:p w14:paraId="6BF4FEAE" w14:textId="77777777" w:rsidR="00224E51" w:rsidRDefault="003734F4" w:rsidP="00224E51">
      <w:pPr>
        <w:pStyle w:val="ListParagraph"/>
        <w:numPr>
          <w:ilvl w:val="0"/>
          <w:numId w:val="73"/>
        </w:numPr>
        <w:autoSpaceDE w:val="0"/>
        <w:autoSpaceDN w:val="0"/>
        <w:adjustRightInd w:val="0"/>
        <w:spacing w:after="120"/>
        <w:contextualSpacing w:val="0"/>
        <w:rPr>
          <w:rFonts w:cs="Arial"/>
          <w:sz w:val="22"/>
          <w:szCs w:val="22"/>
          <w:lang w:eastAsia="ja-JP"/>
        </w:rPr>
      </w:pPr>
      <w:bookmarkStart w:id="267" w:name="_Ref284185946"/>
      <w:r w:rsidRPr="00E82DEB">
        <w:rPr>
          <w:rFonts w:cs="Arial"/>
          <w:sz w:val="22"/>
          <w:szCs w:val="22"/>
          <w:lang w:eastAsia="ja-JP"/>
        </w:rPr>
        <w:t xml:space="preserve">Scottish Antimicrobial Prescribing Group. Good Practice </w:t>
      </w:r>
      <w:r>
        <w:rPr>
          <w:rFonts w:cs="Arial"/>
          <w:sz w:val="22"/>
          <w:szCs w:val="22"/>
          <w:lang w:eastAsia="ja-JP"/>
        </w:rPr>
        <w:t>Recommendations for Hospital Antimicrobial Stewardship in NHS Scotland.</w:t>
      </w:r>
      <w:r w:rsidRPr="00E82DEB">
        <w:rPr>
          <w:rFonts w:cs="Arial"/>
          <w:sz w:val="22"/>
          <w:szCs w:val="22"/>
          <w:lang w:eastAsia="ja-JP"/>
        </w:rPr>
        <w:t xml:space="preserve"> </w:t>
      </w:r>
      <w:r>
        <w:rPr>
          <w:rFonts w:cs="Arial"/>
          <w:sz w:val="22"/>
          <w:szCs w:val="22"/>
          <w:lang w:eastAsia="ja-JP"/>
        </w:rPr>
        <w:t xml:space="preserve">April </w:t>
      </w:r>
      <w:r w:rsidRPr="00E82DEB">
        <w:rPr>
          <w:rFonts w:cs="Arial"/>
          <w:sz w:val="22"/>
          <w:szCs w:val="22"/>
          <w:lang w:eastAsia="ja-JP"/>
        </w:rPr>
        <w:t>2012.</w:t>
      </w:r>
      <w:bookmarkStart w:id="268" w:name="_Ref284173043"/>
      <w:bookmarkStart w:id="269" w:name="_Ref284485242"/>
      <w:bookmarkEnd w:id="267"/>
    </w:p>
    <w:p w14:paraId="292FD6C4" w14:textId="30DB3B4B" w:rsidR="00DA3823" w:rsidRPr="00224E51" w:rsidRDefault="00DA3823" w:rsidP="00224E51">
      <w:pPr>
        <w:pStyle w:val="ListParagraph"/>
        <w:numPr>
          <w:ilvl w:val="0"/>
          <w:numId w:val="73"/>
        </w:numPr>
        <w:autoSpaceDE w:val="0"/>
        <w:autoSpaceDN w:val="0"/>
        <w:adjustRightInd w:val="0"/>
        <w:spacing w:after="120"/>
        <w:contextualSpacing w:val="0"/>
        <w:rPr>
          <w:rFonts w:cs="Arial"/>
          <w:sz w:val="22"/>
          <w:szCs w:val="22"/>
          <w:lang w:eastAsia="ja-JP"/>
        </w:rPr>
      </w:pPr>
      <w:bookmarkStart w:id="270" w:name="_Ref284485921"/>
      <w:r w:rsidRPr="00224E51">
        <w:rPr>
          <w:rFonts w:cs="Arial"/>
          <w:sz w:val="22"/>
          <w:szCs w:val="22"/>
          <w:lang w:eastAsia="en-GB"/>
        </w:rPr>
        <w:t>Prokocimer P, De Anda, C, Fang E, Mehra P and Das A. Tedizolid Phosphate vs Linezolid for the Treatment of Acute Bacterial Skin and Skin Structure Infections The ESTABLISH-1 Randomized Trial. JAMA February 13, 2013. Vol 309(6): 559-569.</w:t>
      </w:r>
      <w:bookmarkEnd w:id="265"/>
      <w:bookmarkEnd w:id="266"/>
      <w:bookmarkEnd w:id="268"/>
      <w:bookmarkEnd w:id="269"/>
      <w:bookmarkEnd w:id="270"/>
    </w:p>
    <w:p w14:paraId="2B4EDE3E"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1" w:name="_Ref284170919"/>
      <w:r w:rsidRPr="00A9019C">
        <w:rPr>
          <w:rFonts w:cs="Arial"/>
          <w:sz w:val="22"/>
          <w:szCs w:val="22"/>
          <w:lang w:eastAsia="en-GB"/>
        </w:rPr>
        <w:t>Moran GJ, Fang E, Corey GR, Das AF, De Anda C and Prokocimer P. Tedizolid for 6 days versus linezolid for ten days for acute bacterial skin and skin-structure infections (ESTABLISH-2): a randomised, double-blind, phase 3, non-inferiority trial. Lancet Infect Dis 2014.</w:t>
      </w:r>
      <w:bookmarkEnd w:id="271"/>
      <w:r w:rsidRPr="00A9019C">
        <w:rPr>
          <w:rFonts w:cs="Arial"/>
          <w:sz w:val="22"/>
          <w:szCs w:val="22"/>
          <w:lang w:eastAsia="en-GB"/>
        </w:rPr>
        <w:t xml:space="preserve"> </w:t>
      </w:r>
    </w:p>
    <w:p w14:paraId="0BB0BD7A"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2" w:name="_Ref284171334"/>
      <w:r w:rsidRPr="00A9019C">
        <w:rPr>
          <w:rFonts w:cs="Arial"/>
          <w:sz w:val="22"/>
          <w:szCs w:val="22"/>
          <w:lang w:eastAsia="en-GB"/>
        </w:rPr>
        <w:t>Cubist Pharmaceutlcals Inc. ESTABLISH-1 CSR.</w:t>
      </w:r>
      <w:bookmarkEnd w:id="272"/>
    </w:p>
    <w:p w14:paraId="1C05B873" w14:textId="77777777" w:rsidR="00891ACF" w:rsidRPr="00891ACF" w:rsidRDefault="00DA3823" w:rsidP="00891ACF">
      <w:pPr>
        <w:pStyle w:val="ListParagraph"/>
        <w:numPr>
          <w:ilvl w:val="0"/>
          <w:numId w:val="73"/>
        </w:numPr>
        <w:autoSpaceDE w:val="0"/>
        <w:autoSpaceDN w:val="0"/>
        <w:adjustRightInd w:val="0"/>
        <w:spacing w:after="120"/>
        <w:contextualSpacing w:val="0"/>
        <w:rPr>
          <w:rFonts w:cs="Arial"/>
          <w:sz w:val="22"/>
          <w:szCs w:val="22"/>
          <w:lang w:eastAsia="ja-JP"/>
        </w:rPr>
      </w:pPr>
      <w:bookmarkStart w:id="273" w:name="_Ref284171394"/>
      <w:r w:rsidRPr="00891ACF">
        <w:rPr>
          <w:rFonts w:cs="Arial"/>
          <w:sz w:val="22"/>
          <w:szCs w:val="22"/>
          <w:lang w:eastAsia="en-GB"/>
        </w:rPr>
        <w:t>Cubist Pharmaceutlcals Inc. ESTABLISH-</w:t>
      </w:r>
      <w:r w:rsidR="00A9019C" w:rsidRPr="00891ACF">
        <w:rPr>
          <w:rFonts w:cs="Arial"/>
          <w:sz w:val="22"/>
          <w:szCs w:val="22"/>
          <w:lang w:eastAsia="en-GB"/>
        </w:rPr>
        <w:t>2</w:t>
      </w:r>
      <w:r w:rsidRPr="00891ACF">
        <w:rPr>
          <w:rFonts w:cs="Arial"/>
          <w:sz w:val="22"/>
          <w:szCs w:val="22"/>
          <w:lang w:eastAsia="en-GB"/>
        </w:rPr>
        <w:t xml:space="preserve"> CSR</w:t>
      </w:r>
      <w:bookmarkStart w:id="274" w:name="_Ref284171496"/>
      <w:bookmarkEnd w:id="273"/>
      <w:r w:rsidR="00891ACF" w:rsidRPr="00891ACF">
        <w:rPr>
          <w:rFonts w:cs="Arial"/>
          <w:sz w:val="22"/>
          <w:szCs w:val="22"/>
          <w:lang w:eastAsia="en-GB"/>
        </w:rPr>
        <w:t>.</w:t>
      </w:r>
    </w:p>
    <w:p w14:paraId="3E1DF3B3" w14:textId="60F678D9" w:rsidR="00DA3823" w:rsidRPr="00891ACF" w:rsidRDefault="00DA3823" w:rsidP="00891ACF">
      <w:pPr>
        <w:pStyle w:val="ListParagraph"/>
        <w:numPr>
          <w:ilvl w:val="0"/>
          <w:numId w:val="73"/>
        </w:numPr>
        <w:autoSpaceDE w:val="0"/>
        <w:autoSpaceDN w:val="0"/>
        <w:adjustRightInd w:val="0"/>
        <w:spacing w:after="120"/>
        <w:contextualSpacing w:val="0"/>
        <w:rPr>
          <w:rFonts w:cs="Arial"/>
          <w:sz w:val="22"/>
          <w:szCs w:val="22"/>
          <w:lang w:eastAsia="ja-JP"/>
        </w:rPr>
      </w:pPr>
      <w:r w:rsidRPr="00891ACF">
        <w:rPr>
          <w:rFonts w:cs="Arial"/>
          <w:sz w:val="22"/>
          <w:szCs w:val="22"/>
          <w:lang w:eastAsia="ja-JP"/>
        </w:rPr>
        <w:t>E</w:t>
      </w:r>
      <w:r w:rsidR="00F26974" w:rsidRPr="00891ACF">
        <w:rPr>
          <w:rFonts w:cs="Arial"/>
          <w:sz w:val="22"/>
          <w:szCs w:val="22"/>
          <w:lang w:eastAsia="ja-JP"/>
        </w:rPr>
        <w:t xml:space="preserve">uropean </w:t>
      </w:r>
      <w:r w:rsidRPr="00891ACF">
        <w:rPr>
          <w:rFonts w:cs="Arial"/>
          <w:sz w:val="22"/>
          <w:szCs w:val="22"/>
          <w:lang w:eastAsia="ja-JP"/>
        </w:rPr>
        <w:t>M</w:t>
      </w:r>
      <w:r w:rsidR="00F26974" w:rsidRPr="00891ACF">
        <w:rPr>
          <w:rFonts w:cs="Arial"/>
          <w:sz w:val="22"/>
          <w:szCs w:val="22"/>
          <w:lang w:eastAsia="ja-JP"/>
        </w:rPr>
        <w:t xml:space="preserve">edicines </w:t>
      </w:r>
      <w:r w:rsidRPr="00891ACF">
        <w:rPr>
          <w:rFonts w:cs="Arial"/>
          <w:sz w:val="22"/>
          <w:szCs w:val="22"/>
          <w:lang w:eastAsia="ja-JP"/>
        </w:rPr>
        <w:t>A</w:t>
      </w:r>
      <w:r w:rsidR="00F26974" w:rsidRPr="00891ACF">
        <w:rPr>
          <w:rFonts w:cs="Arial"/>
          <w:sz w:val="22"/>
          <w:szCs w:val="22"/>
          <w:lang w:eastAsia="ja-JP"/>
        </w:rPr>
        <w:t>gency.</w:t>
      </w:r>
      <w:r w:rsidRPr="00891ACF">
        <w:rPr>
          <w:rFonts w:cs="Arial"/>
          <w:sz w:val="22"/>
          <w:szCs w:val="22"/>
          <w:lang w:eastAsia="ja-JP"/>
        </w:rPr>
        <w:t xml:space="preserve"> </w:t>
      </w:r>
      <w:bookmarkEnd w:id="274"/>
      <w:r w:rsidR="00891ACF" w:rsidRPr="00891ACF">
        <w:rPr>
          <w:rFonts w:cs="Arial"/>
          <w:sz w:val="22"/>
          <w:szCs w:val="22"/>
          <w:lang w:eastAsia="ja-JP"/>
        </w:rPr>
        <w:t>Addendum to the guideline on the evaluation of medicinal products indicated for treatment of bacterial infections.</w:t>
      </w:r>
      <w:r w:rsidR="00891ACF" w:rsidRPr="00891ACF">
        <w:rPr>
          <w:rFonts w:cs="Arial"/>
          <w:sz w:val="22"/>
          <w:szCs w:val="22"/>
        </w:rPr>
        <w:t xml:space="preserve"> </w:t>
      </w:r>
      <w:r w:rsidR="00891ACF" w:rsidRPr="00891ACF">
        <w:rPr>
          <w:rFonts w:cs="Arial"/>
          <w:color w:val="000000"/>
          <w:sz w:val="22"/>
          <w:szCs w:val="22"/>
          <w:lang w:val="en-US" w:eastAsia="ja-JP"/>
        </w:rPr>
        <w:t>EMA/CHMP/351889/2013. 24 October 2013.</w:t>
      </w:r>
    </w:p>
    <w:p w14:paraId="1E1AF48B" w14:textId="596C9B0E" w:rsidR="00DA3823" w:rsidRPr="00A9019C" w:rsidRDefault="00891ACF"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5" w:name="_Ref284171522"/>
      <w:r>
        <w:rPr>
          <w:rFonts w:cs="Arial"/>
          <w:sz w:val="22"/>
          <w:szCs w:val="22"/>
          <w:lang w:eastAsia="ja-JP"/>
        </w:rPr>
        <w:t>European Medicines Agency. Guideline on the evaluation of medicinal products indicated for treatment of bacterial infections. CH</w:t>
      </w:r>
      <w:r w:rsidR="00DA3823" w:rsidRPr="00A9019C">
        <w:rPr>
          <w:rFonts w:cs="Arial"/>
          <w:sz w:val="22"/>
          <w:szCs w:val="22"/>
          <w:lang w:eastAsia="ja-JP"/>
        </w:rPr>
        <w:t xml:space="preserve">MP guidance </w:t>
      </w:r>
      <w:r>
        <w:rPr>
          <w:rFonts w:cs="Arial"/>
          <w:sz w:val="22"/>
          <w:szCs w:val="22"/>
          <w:lang w:eastAsia="ja-JP"/>
        </w:rPr>
        <w:t>CPMP</w:t>
      </w:r>
      <w:r w:rsidR="00DA3823" w:rsidRPr="00A9019C">
        <w:rPr>
          <w:rFonts w:cs="Arial"/>
          <w:sz w:val="22"/>
          <w:szCs w:val="22"/>
          <w:lang w:eastAsia="ja-JP"/>
        </w:rPr>
        <w:t xml:space="preserve">EWP/558/95 rev 2. </w:t>
      </w:r>
      <w:bookmarkEnd w:id="275"/>
      <w:r>
        <w:rPr>
          <w:rFonts w:cs="Arial"/>
          <w:sz w:val="22"/>
          <w:szCs w:val="22"/>
          <w:lang w:eastAsia="ja-JP"/>
        </w:rPr>
        <w:t>15 December 2011.</w:t>
      </w:r>
    </w:p>
    <w:p w14:paraId="2E9338D2" w14:textId="407BAC92" w:rsidR="00A9019C" w:rsidRPr="00A9019C" w:rsidRDefault="00A9019C"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6" w:name="_Ref284171956"/>
      <w:r w:rsidRPr="00701CA3">
        <w:rPr>
          <w:rFonts w:cs="Arial"/>
          <w:sz w:val="22"/>
          <w:szCs w:val="22"/>
          <w:lang w:val="de-CH" w:eastAsia="ja-JP"/>
        </w:rPr>
        <w:lastRenderedPageBreak/>
        <w:t xml:space="preserve">Prokocimer </w:t>
      </w:r>
      <w:bookmarkEnd w:id="276"/>
      <w:r w:rsidR="00F26974" w:rsidRPr="00701CA3">
        <w:rPr>
          <w:rFonts w:cs="Arial"/>
          <w:sz w:val="22"/>
          <w:szCs w:val="22"/>
          <w:lang w:val="de-CH" w:eastAsia="ja-JP"/>
        </w:rPr>
        <w:t xml:space="preserve">P, Bien P, Surber J, Mehra P, DeAnda C, et al. </w:t>
      </w:r>
      <w:r w:rsidR="00F26974">
        <w:rPr>
          <w:rFonts w:cs="Arial"/>
          <w:sz w:val="22"/>
          <w:szCs w:val="22"/>
          <w:lang w:eastAsia="ja-JP"/>
        </w:rPr>
        <w:t xml:space="preserve">Phase 2, Randomized, Double-Blind, Dose-Ranging Study Evaluation the Safety, Tolerability, population </w:t>
      </w:r>
      <w:r w:rsidR="00F26974" w:rsidRPr="00F26974">
        <w:rPr>
          <w:rFonts w:cs="Arial"/>
          <w:sz w:val="22"/>
          <w:szCs w:val="22"/>
          <w:lang w:eastAsia="ja-JP"/>
        </w:rPr>
        <w:t xml:space="preserve">Pharmacokinetics and Efficacy of Oral Torezolid Phosphate in Patients with Complicated Skin and Skin Structure Infections. </w:t>
      </w:r>
      <w:r w:rsidR="00F26974" w:rsidRPr="00F26974">
        <w:rPr>
          <w:rFonts w:cs="Arial"/>
          <w:sz w:val="22"/>
          <w:szCs w:val="22"/>
          <w:lang w:val="en-US" w:eastAsia="ja-JP"/>
        </w:rPr>
        <w:t>Antimicrob. Agents Chemother. 2011, 55(2):583.</w:t>
      </w:r>
    </w:p>
    <w:p w14:paraId="0B243C29" w14:textId="2B563C9A" w:rsidR="00DA3823" w:rsidRPr="00FA52A3"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7" w:name="_Ref284172641"/>
      <w:r w:rsidRPr="00A9019C">
        <w:rPr>
          <w:rFonts w:eastAsia="Times New Roman" w:cs="Arial"/>
          <w:sz w:val="22"/>
          <w:szCs w:val="22"/>
        </w:rPr>
        <w:t>Farrington CP, Manning G. Test statistics and sample size formulae for comparative binomial trials with null h</w:t>
      </w:r>
      <w:r w:rsidR="00387ACE">
        <w:rPr>
          <w:rFonts w:eastAsia="Times New Roman" w:cs="Arial"/>
          <w:sz w:val="22"/>
          <w:szCs w:val="22"/>
        </w:rPr>
        <w:t>ypothesis of non-zero risk diff</w:t>
      </w:r>
      <w:r w:rsidRPr="00A9019C">
        <w:rPr>
          <w:rFonts w:eastAsia="Times New Roman" w:cs="Arial"/>
          <w:sz w:val="22"/>
          <w:szCs w:val="22"/>
        </w:rPr>
        <w:t>erence or non-unity relative risk. Stat M</w:t>
      </w:r>
      <w:r w:rsidRPr="00FA52A3">
        <w:rPr>
          <w:rFonts w:eastAsia="Times New Roman" w:cs="Arial"/>
          <w:sz w:val="22"/>
          <w:szCs w:val="22"/>
        </w:rPr>
        <w:t>ed1990; 9:1447–54.</w:t>
      </w:r>
      <w:bookmarkEnd w:id="277"/>
    </w:p>
    <w:p w14:paraId="00E240C4" w14:textId="27D9BF24" w:rsidR="00DA3823" w:rsidRPr="00FA52A3"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8" w:name="_Ref284172689"/>
      <w:r w:rsidRPr="00FA52A3">
        <w:rPr>
          <w:rFonts w:cs="Arial"/>
          <w:sz w:val="22"/>
          <w:szCs w:val="22"/>
          <w:lang w:eastAsia="ja-JP"/>
        </w:rPr>
        <w:t xml:space="preserve">Clopper </w:t>
      </w:r>
      <w:r w:rsidR="0015130D" w:rsidRPr="00FA52A3">
        <w:rPr>
          <w:rFonts w:cs="Arial"/>
          <w:sz w:val="22"/>
          <w:szCs w:val="22"/>
          <w:lang w:eastAsia="ja-JP"/>
        </w:rPr>
        <w:t xml:space="preserve">C </w:t>
      </w:r>
      <w:r w:rsidRPr="00FA52A3">
        <w:rPr>
          <w:rFonts w:cs="Arial"/>
          <w:sz w:val="22"/>
          <w:szCs w:val="22"/>
          <w:lang w:eastAsia="ja-JP"/>
        </w:rPr>
        <w:t xml:space="preserve">and Pearson </w:t>
      </w:r>
      <w:r w:rsidR="0015130D" w:rsidRPr="00FA52A3">
        <w:rPr>
          <w:rFonts w:cs="Arial"/>
          <w:sz w:val="22"/>
          <w:szCs w:val="22"/>
          <w:lang w:eastAsia="ja-JP"/>
        </w:rPr>
        <w:t>E. The Use of Confidence or F</w:t>
      </w:r>
      <w:r w:rsidR="00FA52A3" w:rsidRPr="00FA52A3">
        <w:rPr>
          <w:rFonts w:cs="Arial"/>
          <w:sz w:val="22"/>
          <w:szCs w:val="22"/>
          <w:lang w:eastAsia="ja-JP"/>
        </w:rPr>
        <w:t>id</w:t>
      </w:r>
      <w:r w:rsidR="0015130D" w:rsidRPr="00FA52A3">
        <w:rPr>
          <w:rFonts w:cs="Arial"/>
          <w:sz w:val="22"/>
          <w:szCs w:val="22"/>
          <w:lang w:eastAsia="ja-JP"/>
        </w:rPr>
        <w:t>u</w:t>
      </w:r>
      <w:r w:rsidR="00FA52A3" w:rsidRPr="00FA52A3">
        <w:rPr>
          <w:rFonts w:cs="Arial"/>
          <w:sz w:val="22"/>
          <w:szCs w:val="22"/>
          <w:lang w:eastAsia="ja-JP"/>
        </w:rPr>
        <w:t>c</w:t>
      </w:r>
      <w:r w:rsidR="0015130D" w:rsidRPr="00FA52A3">
        <w:rPr>
          <w:rFonts w:cs="Arial"/>
          <w:sz w:val="22"/>
          <w:szCs w:val="22"/>
          <w:lang w:eastAsia="ja-JP"/>
        </w:rPr>
        <w:t xml:space="preserve">ial </w:t>
      </w:r>
      <w:r w:rsidR="00FA52A3" w:rsidRPr="00FA52A3">
        <w:rPr>
          <w:rFonts w:cs="Arial"/>
          <w:sz w:val="22"/>
          <w:szCs w:val="22"/>
          <w:lang w:eastAsia="ja-JP"/>
        </w:rPr>
        <w:t xml:space="preserve">Limits Illustrated in the Case of the Binomial. </w:t>
      </w:r>
      <w:bookmarkEnd w:id="278"/>
      <w:r w:rsidR="00FA52A3" w:rsidRPr="00FA52A3">
        <w:rPr>
          <w:rFonts w:cs="Arial"/>
          <w:sz w:val="22"/>
          <w:szCs w:val="22"/>
          <w:lang w:val="en-US" w:eastAsia="ja-JP"/>
        </w:rPr>
        <w:t>Biometrika, Vol. 26, No. 4. (Dec., 1934), pp. 404-413.</w:t>
      </w:r>
    </w:p>
    <w:p w14:paraId="3EEEC225" w14:textId="77777777" w:rsidR="00387ACE" w:rsidRPr="008C4B3D" w:rsidRDefault="00387ACE"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79" w:name="_Ref284424518"/>
      <w:bookmarkStart w:id="280" w:name="_Ref284172727"/>
      <w:r w:rsidRPr="008C4B3D">
        <w:rPr>
          <w:rFonts w:cs="Arial"/>
          <w:sz w:val="22"/>
          <w:szCs w:val="22"/>
          <w:lang w:val="en-US" w:eastAsia="ja-JP"/>
        </w:rPr>
        <w:t>Miettinen O, Nurminen M. Comparative analysis of two rates. Stat Med. 1985;4(2):213-226.</w:t>
      </w:r>
      <w:bookmarkEnd w:id="279"/>
    </w:p>
    <w:p w14:paraId="14FD6847" w14:textId="1245EB39" w:rsidR="008C4B3D" w:rsidRPr="008C4B3D" w:rsidRDefault="008C4B3D" w:rsidP="009025E3">
      <w:pPr>
        <w:pStyle w:val="ListParagraph"/>
        <w:numPr>
          <w:ilvl w:val="0"/>
          <w:numId w:val="73"/>
        </w:numPr>
        <w:rPr>
          <w:rFonts w:eastAsia="Times New Roman" w:cs="Arial"/>
          <w:sz w:val="22"/>
          <w:szCs w:val="22"/>
        </w:rPr>
      </w:pPr>
      <w:bookmarkStart w:id="281" w:name="_Ref284424601"/>
      <w:bookmarkStart w:id="282" w:name="_Ref284172760"/>
      <w:bookmarkEnd w:id="280"/>
      <w:r w:rsidRPr="008C4B3D">
        <w:rPr>
          <w:rFonts w:cs="Arial"/>
          <w:sz w:val="22"/>
          <w:szCs w:val="22"/>
          <w:lang w:val="en-US" w:eastAsia="ja-JP"/>
        </w:rPr>
        <w:t>Westfall PH, Krishen A. Optimally weighted, fixed sequence and gatekeeper multiple testing procedures.J Statist Planning Infer. 2001;99:25-41.</w:t>
      </w:r>
      <w:bookmarkEnd w:id="281"/>
    </w:p>
    <w:p w14:paraId="1F5DB29D" w14:textId="77777777" w:rsidR="008C4B3D" w:rsidRPr="008C4B3D" w:rsidRDefault="008C4B3D" w:rsidP="008C4B3D">
      <w:pPr>
        <w:rPr>
          <w:rFonts w:eastAsia="Times New Roman" w:cs="Arial"/>
          <w:sz w:val="22"/>
          <w:szCs w:val="22"/>
        </w:rPr>
      </w:pPr>
    </w:p>
    <w:p w14:paraId="70AA05D0" w14:textId="58961F91" w:rsidR="00DA3823" w:rsidRPr="00A9019C" w:rsidRDefault="00DA3823" w:rsidP="009025E3">
      <w:pPr>
        <w:pStyle w:val="ListParagraph"/>
        <w:numPr>
          <w:ilvl w:val="0"/>
          <w:numId w:val="73"/>
        </w:numPr>
        <w:rPr>
          <w:rFonts w:eastAsia="Times New Roman" w:cs="Arial"/>
          <w:sz w:val="22"/>
          <w:szCs w:val="22"/>
        </w:rPr>
      </w:pPr>
      <w:bookmarkStart w:id="283" w:name="_Ref284485713"/>
      <w:r w:rsidRPr="00A9019C">
        <w:rPr>
          <w:rFonts w:eastAsia="Times New Roman" w:cs="Arial"/>
          <w:sz w:val="22"/>
          <w:szCs w:val="22"/>
        </w:rPr>
        <w:t>Talbot GH, Powers JH, Fleming TR, et al. Progress on developing endpoints for registrational clinical trials of community-acquired bacterial pneumonia and acute bacterial skin and skin structure infections: update from the Biomarkers Consortium of the Foundation for the National Institutes of Health. Clin Infect Dis2012; 55:1114–21.</w:t>
      </w:r>
      <w:bookmarkEnd w:id="282"/>
      <w:bookmarkEnd w:id="283"/>
    </w:p>
    <w:p w14:paraId="45ADEA12" w14:textId="77777777" w:rsidR="00DA3823" w:rsidRPr="00A9019C" w:rsidRDefault="00DA3823" w:rsidP="00DA3823">
      <w:pPr>
        <w:pStyle w:val="ListParagraph"/>
        <w:ind w:left="360"/>
        <w:rPr>
          <w:rFonts w:ascii="Times" w:eastAsia="Times New Roman" w:hAnsi="Times"/>
          <w:sz w:val="15"/>
          <w:szCs w:val="15"/>
        </w:rPr>
      </w:pPr>
    </w:p>
    <w:p w14:paraId="43CDB7C5" w14:textId="4141CCA6" w:rsidR="00A05488" w:rsidRPr="00A05488" w:rsidRDefault="00DA3823" w:rsidP="00A05488">
      <w:pPr>
        <w:pStyle w:val="ListParagraph"/>
        <w:numPr>
          <w:ilvl w:val="0"/>
          <w:numId w:val="73"/>
        </w:numPr>
        <w:autoSpaceDE w:val="0"/>
        <w:autoSpaceDN w:val="0"/>
        <w:adjustRightInd w:val="0"/>
        <w:spacing w:after="120"/>
        <w:contextualSpacing w:val="0"/>
        <w:rPr>
          <w:rFonts w:cs="Arial"/>
          <w:sz w:val="22"/>
          <w:szCs w:val="22"/>
          <w:lang w:eastAsia="ja-JP"/>
        </w:rPr>
      </w:pPr>
      <w:bookmarkStart w:id="284" w:name="_Ref284183626"/>
      <w:r w:rsidRPr="00A9019C">
        <w:rPr>
          <w:rFonts w:cs="Arial"/>
          <w:sz w:val="22"/>
          <w:szCs w:val="22"/>
          <w:lang w:eastAsia="en-GB"/>
        </w:rPr>
        <w:t>Cubist Pharmaceutlcals Inc. Integrated Summary of Efficacy. 2013.</w:t>
      </w:r>
      <w:bookmarkEnd w:id="284"/>
    </w:p>
    <w:p w14:paraId="0B3D2554" w14:textId="0730CABC" w:rsidR="00A05488" w:rsidRPr="00397944" w:rsidRDefault="00A05488" w:rsidP="00A05488">
      <w:pPr>
        <w:pStyle w:val="ListParagraph"/>
        <w:numPr>
          <w:ilvl w:val="0"/>
          <w:numId w:val="73"/>
        </w:numPr>
        <w:autoSpaceDE w:val="0"/>
        <w:autoSpaceDN w:val="0"/>
        <w:adjustRightInd w:val="0"/>
        <w:spacing w:after="120"/>
        <w:contextualSpacing w:val="0"/>
        <w:rPr>
          <w:rFonts w:cs="Arial"/>
          <w:sz w:val="22"/>
          <w:szCs w:val="22"/>
          <w:lang w:eastAsia="ja-JP"/>
        </w:rPr>
      </w:pPr>
      <w:bookmarkStart w:id="285" w:name="_Ref284184350"/>
      <w:r w:rsidRPr="00397944">
        <w:rPr>
          <w:rFonts w:cs="Arial"/>
          <w:sz w:val="22"/>
          <w:szCs w:val="22"/>
          <w:lang w:eastAsia="ja-JP"/>
        </w:rPr>
        <w:t xml:space="preserve">Shorr </w:t>
      </w:r>
      <w:r w:rsidR="00397944" w:rsidRPr="00397944">
        <w:rPr>
          <w:rFonts w:cs="Arial"/>
          <w:sz w:val="22"/>
          <w:szCs w:val="22"/>
          <w:lang w:eastAsia="ja-JP"/>
        </w:rPr>
        <w:t xml:space="preserve">A, Lodise T, Corey GR, De Anda C, Fang E, et al. Analysis of the Phase 3 ESTABLISH Trials: Tedizolid Versus Linezolid in Acute Bacterial Skin and Skin Structure Infection. </w:t>
      </w:r>
      <w:r w:rsidRPr="00397944">
        <w:rPr>
          <w:rFonts w:cs="Arial"/>
          <w:sz w:val="22"/>
          <w:szCs w:val="22"/>
          <w:lang w:eastAsia="ja-JP"/>
        </w:rPr>
        <w:t>2014.</w:t>
      </w:r>
      <w:bookmarkEnd w:id="285"/>
      <w:r w:rsidR="00397944" w:rsidRPr="00397944">
        <w:rPr>
          <w:rFonts w:cs="Arial"/>
          <w:sz w:val="22"/>
          <w:szCs w:val="22"/>
          <w:lang w:val="en-US" w:eastAsia="ja-JP"/>
        </w:rPr>
        <w:t xml:space="preserve"> Antimicrob. Agents Chemother. doi:10.1128/AAC.03688-14 9published ahead of print on 24 November 2014. </w:t>
      </w:r>
    </w:p>
    <w:p w14:paraId="6FA9F2FA"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86" w:name="_Ref284184395"/>
      <w:r w:rsidRPr="00A9019C">
        <w:rPr>
          <w:rFonts w:cs="Arial"/>
          <w:sz w:val="22"/>
          <w:szCs w:val="22"/>
          <w:lang w:eastAsia="en-GB"/>
        </w:rPr>
        <w:t>Cubist Pharmaceutlcals Inc. Integrated Summary of Safety. 2013.</w:t>
      </w:r>
      <w:bookmarkEnd w:id="286"/>
    </w:p>
    <w:p w14:paraId="65DB55C8" w14:textId="14D7ED19" w:rsidR="00DA3823" w:rsidRPr="00A9019C" w:rsidRDefault="00DA3823" w:rsidP="009025E3">
      <w:pPr>
        <w:pStyle w:val="ListParagraph"/>
        <w:numPr>
          <w:ilvl w:val="0"/>
          <w:numId w:val="73"/>
        </w:numPr>
        <w:rPr>
          <w:rFonts w:eastAsia="Times New Roman" w:cs="Arial"/>
          <w:sz w:val="22"/>
          <w:szCs w:val="22"/>
        </w:rPr>
      </w:pPr>
      <w:bookmarkStart w:id="287" w:name="_Ref284184925"/>
      <w:r w:rsidRPr="00A9019C">
        <w:rPr>
          <w:rFonts w:eastAsia="Times New Roman" w:cs="Arial"/>
          <w:sz w:val="22"/>
          <w:szCs w:val="22"/>
        </w:rPr>
        <w:t xml:space="preserve">Spellberg B, Talbot GH, Boucher HW, et al. Antimicrobial agents for complicated skin and skin-structure infections: justification of </w:t>
      </w:r>
      <w:r w:rsidR="00D70B1C" w:rsidRPr="00A9019C">
        <w:rPr>
          <w:rFonts w:eastAsia="Times New Roman" w:cs="Arial"/>
          <w:sz w:val="22"/>
          <w:szCs w:val="22"/>
        </w:rPr>
        <w:t>non-inferiority</w:t>
      </w:r>
      <w:r w:rsidRPr="00A9019C">
        <w:rPr>
          <w:rFonts w:eastAsia="Times New Roman" w:cs="Arial"/>
          <w:sz w:val="22"/>
          <w:szCs w:val="22"/>
        </w:rPr>
        <w:t xml:space="preserve"> margins in the absence of placebo-controlled trials. Clin Infect Dis2009; 49:383–91.</w:t>
      </w:r>
      <w:bookmarkEnd w:id="287"/>
    </w:p>
    <w:p w14:paraId="2A76C854" w14:textId="77777777" w:rsidR="00DA3823" w:rsidRPr="004E56EB" w:rsidRDefault="00DA3823" w:rsidP="004E56EB">
      <w:pPr>
        <w:rPr>
          <w:rFonts w:eastAsia="Times New Roman" w:cs="Arial"/>
          <w:sz w:val="22"/>
          <w:szCs w:val="22"/>
        </w:rPr>
      </w:pPr>
    </w:p>
    <w:p w14:paraId="29EFFCDC" w14:textId="25F5874E" w:rsidR="00DA3823" w:rsidRPr="00A9019C" w:rsidRDefault="00397944"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88" w:name="_Ref284185158"/>
      <w:r>
        <w:rPr>
          <w:rFonts w:cs="Arial"/>
          <w:sz w:val="22"/>
          <w:szCs w:val="22"/>
          <w:lang w:eastAsia="ja-JP"/>
        </w:rPr>
        <w:t>Food and Drug Administration. Center for Drug Evalaution and research. Approval Letter for Application number 200327 and accompany</w:t>
      </w:r>
      <w:r w:rsidR="00582249">
        <w:rPr>
          <w:rFonts w:cs="Arial"/>
          <w:sz w:val="22"/>
          <w:szCs w:val="22"/>
          <w:lang w:eastAsia="ja-JP"/>
        </w:rPr>
        <w:t>ing</w:t>
      </w:r>
      <w:r>
        <w:rPr>
          <w:rFonts w:cs="Arial"/>
          <w:sz w:val="22"/>
          <w:szCs w:val="22"/>
          <w:lang w:eastAsia="ja-JP"/>
        </w:rPr>
        <w:t xml:space="preserve"> press release.</w:t>
      </w:r>
      <w:r w:rsidR="00DA3823" w:rsidRPr="00A9019C">
        <w:rPr>
          <w:rFonts w:cs="Arial"/>
          <w:sz w:val="22"/>
          <w:szCs w:val="22"/>
          <w:lang w:eastAsia="ja-JP"/>
        </w:rPr>
        <w:t xml:space="preserve"> </w:t>
      </w:r>
      <w:bookmarkEnd w:id="288"/>
      <w:r>
        <w:rPr>
          <w:rFonts w:cs="Arial"/>
          <w:sz w:val="22"/>
          <w:szCs w:val="22"/>
          <w:lang w:eastAsia="ja-JP"/>
        </w:rPr>
        <w:t>2010.</w:t>
      </w:r>
    </w:p>
    <w:p w14:paraId="0EA9BDD6" w14:textId="77777777" w:rsidR="005F7DDC" w:rsidRPr="005F7DDC" w:rsidRDefault="00DA3823" w:rsidP="005F7DDC">
      <w:pPr>
        <w:pStyle w:val="ListParagraph"/>
        <w:numPr>
          <w:ilvl w:val="0"/>
          <w:numId w:val="73"/>
        </w:numPr>
        <w:autoSpaceDE w:val="0"/>
        <w:autoSpaceDN w:val="0"/>
        <w:adjustRightInd w:val="0"/>
        <w:spacing w:after="120"/>
        <w:contextualSpacing w:val="0"/>
        <w:rPr>
          <w:rFonts w:cs="Arial"/>
          <w:sz w:val="22"/>
          <w:szCs w:val="22"/>
          <w:lang w:eastAsia="ja-JP"/>
        </w:rPr>
      </w:pPr>
      <w:bookmarkStart w:id="289" w:name="_Ref284185180"/>
      <w:r w:rsidRPr="00A8645D">
        <w:rPr>
          <w:rFonts w:cs="Arial"/>
          <w:sz w:val="22"/>
          <w:szCs w:val="22"/>
          <w:lang w:eastAsia="ja-JP"/>
        </w:rPr>
        <w:lastRenderedPageBreak/>
        <w:t xml:space="preserve">Drusano </w:t>
      </w:r>
      <w:bookmarkEnd w:id="289"/>
      <w:r w:rsidR="00397944">
        <w:rPr>
          <w:rFonts w:cs="Arial"/>
          <w:sz w:val="22"/>
          <w:szCs w:val="22"/>
          <w:lang w:eastAsia="ja-JP"/>
        </w:rPr>
        <w:t>G</w:t>
      </w:r>
      <w:r w:rsidR="00397944" w:rsidRPr="00397944">
        <w:rPr>
          <w:rFonts w:cs="Arial"/>
          <w:sz w:val="22"/>
          <w:szCs w:val="22"/>
          <w:lang w:eastAsia="ja-JP"/>
        </w:rPr>
        <w:t>. Early Endpoints for Acute Bacterial Skin and Skin Structure Infections.</w:t>
      </w:r>
      <w:r w:rsidR="00397944" w:rsidRPr="00397944">
        <w:rPr>
          <w:rFonts w:cs="Arial"/>
          <w:sz w:val="22"/>
          <w:szCs w:val="22"/>
          <w:lang w:val="en-US" w:eastAsia="ja-JP"/>
        </w:rPr>
        <w:t xml:space="preserve"> Antimicrob. Agents Chemother. 2012 0066-4804/12 2221-2222.</w:t>
      </w:r>
      <w:bookmarkStart w:id="290" w:name="_Ref284425932"/>
      <w:bookmarkStart w:id="291" w:name="_Ref284185559"/>
    </w:p>
    <w:p w14:paraId="479DAB15" w14:textId="20E486A6" w:rsidR="00A8645D" w:rsidRPr="005F7DDC" w:rsidRDefault="00A8645D" w:rsidP="005F7DDC">
      <w:pPr>
        <w:pStyle w:val="ListParagraph"/>
        <w:numPr>
          <w:ilvl w:val="0"/>
          <w:numId w:val="73"/>
        </w:numPr>
        <w:autoSpaceDE w:val="0"/>
        <w:autoSpaceDN w:val="0"/>
        <w:adjustRightInd w:val="0"/>
        <w:spacing w:after="120"/>
        <w:contextualSpacing w:val="0"/>
        <w:rPr>
          <w:rFonts w:cs="Arial"/>
          <w:sz w:val="22"/>
          <w:szCs w:val="22"/>
          <w:lang w:eastAsia="ja-JP"/>
        </w:rPr>
      </w:pPr>
      <w:bookmarkStart w:id="292" w:name="_Ref284438568"/>
      <w:r w:rsidRPr="005F7DDC">
        <w:rPr>
          <w:rFonts w:cs="Arial"/>
          <w:sz w:val="22"/>
          <w:szCs w:val="22"/>
          <w:lang w:val="en-US" w:eastAsia="ja-JP"/>
        </w:rPr>
        <w:t xml:space="preserve">Pohlman J. Cross-discipline team leader review NDA application number: 200327. </w:t>
      </w:r>
      <w:hyperlink r:id="rId42" w:history="1">
        <w:r w:rsidRPr="005F7DDC">
          <w:rPr>
            <w:rFonts w:cs="Arial"/>
            <w:color w:val="0049B7"/>
            <w:sz w:val="22"/>
            <w:szCs w:val="22"/>
            <w:u w:val="single" w:color="0049B7"/>
            <w:lang w:val="en-US" w:eastAsia="ja-JP"/>
          </w:rPr>
          <w:t>http://www.</w:t>
        </w:r>
        <w:r w:rsidRPr="005F7DDC">
          <w:rPr>
            <w:rFonts w:cs="Arial"/>
            <w:color w:val="0049B7"/>
            <w:sz w:val="22"/>
            <w:szCs w:val="22"/>
            <w:u w:color="0049B7"/>
            <w:lang w:val="en-US" w:eastAsia="ja-JP"/>
          </w:rPr>
          <w:t>accessdata.fda.gov/drugsatfda_docs/nda/2010/200327Orig1s000CrossR.pdf</w:t>
        </w:r>
      </w:hyperlink>
      <w:bookmarkEnd w:id="290"/>
      <w:bookmarkEnd w:id="292"/>
      <w:r w:rsidRPr="005F7DDC">
        <w:rPr>
          <w:rFonts w:cs="Arial"/>
          <w:sz w:val="22"/>
          <w:szCs w:val="22"/>
          <w:lang w:val="en-US" w:eastAsia="ja-JP"/>
        </w:rPr>
        <w:t> </w:t>
      </w:r>
    </w:p>
    <w:p w14:paraId="577ED31C" w14:textId="0A8496BA" w:rsidR="00DA3823" w:rsidRPr="007C5DDC" w:rsidRDefault="00D537AA"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93" w:name="_Ref284438334"/>
      <w:bookmarkEnd w:id="291"/>
      <w:r w:rsidRPr="007C5DDC">
        <w:rPr>
          <w:rFonts w:cs="Arial"/>
          <w:sz w:val="22"/>
          <w:szCs w:val="22"/>
          <w:lang w:eastAsia="ja-JP"/>
        </w:rPr>
        <w:t xml:space="preserve">Garau J, Ostermann H, Medina J, Avila M, McBride K, et al. on behalf of the REACH study group. </w:t>
      </w:r>
      <w:r w:rsidR="00A00171" w:rsidRPr="007C5DDC">
        <w:rPr>
          <w:rFonts w:cs="Arial"/>
          <w:sz w:val="22"/>
          <w:szCs w:val="22"/>
          <w:lang w:eastAsia="ja-JP"/>
        </w:rPr>
        <w:t xml:space="preserve">Current management of patients hospitalized with complicated skin and soft tissue infections acorss Europe (2010-2011): assessment of clinical practice patterns and real-life effectiveness of antibiotics from the REACH study. </w:t>
      </w:r>
      <w:r w:rsidR="007C5DDC" w:rsidRPr="007C5DDC">
        <w:rPr>
          <w:rFonts w:cs="Arial"/>
          <w:sz w:val="22"/>
          <w:szCs w:val="22"/>
          <w:lang w:val="en-US" w:eastAsia="ja-JP"/>
        </w:rPr>
        <w:t>Clin Microbiol Infect 2013; 19: E377–E385</w:t>
      </w:r>
      <w:bookmarkEnd w:id="293"/>
    </w:p>
    <w:p w14:paraId="3775CD50" w14:textId="67C17A09" w:rsidR="00DA3823" w:rsidRDefault="009E0560" w:rsidP="009025E3">
      <w:pPr>
        <w:pStyle w:val="ListParagraph"/>
        <w:numPr>
          <w:ilvl w:val="0"/>
          <w:numId w:val="73"/>
        </w:numPr>
        <w:autoSpaceDE w:val="0"/>
        <w:autoSpaceDN w:val="0"/>
        <w:adjustRightInd w:val="0"/>
        <w:spacing w:after="120"/>
        <w:contextualSpacing w:val="0"/>
        <w:rPr>
          <w:rFonts w:cs="Arial"/>
          <w:sz w:val="22"/>
          <w:szCs w:val="22"/>
          <w:u w:val="single"/>
          <w:lang w:eastAsia="ja-JP"/>
        </w:rPr>
      </w:pPr>
      <w:bookmarkStart w:id="294" w:name="_Ref284185599"/>
      <w:r w:rsidRPr="009E0560">
        <w:rPr>
          <w:rFonts w:cs="Arial"/>
          <w:sz w:val="22"/>
          <w:szCs w:val="22"/>
          <w:u w:val="single"/>
          <w:lang w:eastAsia="ja-JP"/>
        </w:rPr>
        <w:t xml:space="preserve">(Commercial in Confidence) </w:t>
      </w:r>
      <w:r w:rsidR="00DA3823" w:rsidRPr="009E0560">
        <w:rPr>
          <w:rFonts w:cs="Arial"/>
          <w:sz w:val="22"/>
          <w:szCs w:val="22"/>
          <w:u w:val="single"/>
          <w:lang w:eastAsia="ja-JP"/>
        </w:rPr>
        <w:t>Cubist data on file. IMS prescribing data.</w:t>
      </w:r>
      <w:bookmarkEnd w:id="294"/>
      <w:r w:rsidR="00DA3823" w:rsidRPr="009E0560">
        <w:rPr>
          <w:rFonts w:cs="Arial"/>
          <w:sz w:val="22"/>
          <w:szCs w:val="22"/>
          <w:u w:val="single"/>
          <w:lang w:eastAsia="ja-JP"/>
        </w:rPr>
        <w:t xml:space="preserve"> </w:t>
      </w:r>
    </w:p>
    <w:p w14:paraId="1F4A5227" w14:textId="77777777" w:rsidR="00A55F05" w:rsidRPr="00A9019C" w:rsidRDefault="00A55F05" w:rsidP="00A55F05">
      <w:pPr>
        <w:pStyle w:val="ListParagraph"/>
        <w:numPr>
          <w:ilvl w:val="0"/>
          <w:numId w:val="73"/>
        </w:numPr>
        <w:autoSpaceDE w:val="0"/>
        <w:autoSpaceDN w:val="0"/>
        <w:adjustRightInd w:val="0"/>
        <w:spacing w:after="120"/>
        <w:contextualSpacing w:val="0"/>
        <w:rPr>
          <w:rFonts w:cs="Arial"/>
          <w:sz w:val="22"/>
          <w:szCs w:val="22"/>
          <w:lang w:eastAsia="ja-JP"/>
        </w:rPr>
      </w:pPr>
      <w:bookmarkStart w:id="295" w:name="_Ref284185970"/>
      <w:r w:rsidRPr="00A9019C">
        <w:rPr>
          <w:rFonts w:cs="Arial"/>
          <w:sz w:val="22"/>
          <w:szCs w:val="22"/>
          <w:lang w:eastAsia="ja-JP"/>
        </w:rPr>
        <w:t xml:space="preserve">Centers for Disease Control and Prevention.  </w:t>
      </w:r>
      <w:r w:rsidRPr="00A9019C">
        <w:rPr>
          <w:rFonts w:cs="Arial"/>
          <w:sz w:val="22"/>
          <w:szCs w:val="22"/>
        </w:rPr>
        <w:t xml:space="preserve">Centers for Disease Control and Prevention. (2002). Staphylococcus aureus resistant to vancomycin—United States, 2002. Morbidity and Mortality Weekly Report 51, 565–7.  </w:t>
      </w:r>
      <w:hyperlink r:id="rId43" w:history="1">
        <w:r w:rsidRPr="00A9019C">
          <w:rPr>
            <w:rStyle w:val="Hyperlink"/>
            <w:rFonts w:cs="Arial"/>
            <w:sz w:val="22"/>
            <w:szCs w:val="22"/>
            <w:u w:val="none"/>
          </w:rPr>
          <w:t>http://www.cdc.gov/mmwr/preview/mmwrhtml/mm5126a1.htm</w:t>
        </w:r>
      </w:hyperlink>
      <w:r w:rsidRPr="00A9019C">
        <w:rPr>
          <w:rFonts w:cs="Arial"/>
          <w:sz w:val="22"/>
          <w:szCs w:val="22"/>
        </w:rPr>
        <w:t xml:space="preserve"> Last accessed 28 January 2015</w:t>
      </w:r>
      <w:bookmarkEnd w:id="295"/>
      <w:r w:rsidRPr="00A9019C">
        <w:rPr>
          <w:rFonts w:cs="Arial"/>
          <w:sz w:val="22"/>
          <w:szCs w:val="22"/>
        </w:rPr>
        <w:t xml:space="preserve"> </w:t>
      </w:r>
    </w:p>
    <w:p w14:paraId="1E92BE27" w14:textId="77777777" w:rsidR="00A55F05" w:rsidRDefault="00A55F05" w:rsidP="00A55F05">
      <w:pPr>
        <w:pStyle w:val="ListParagraph"/>
        <w:numPr>
          <w:ilvl w:val="0"/>
          <w:numId w:val="73"/>
        </w:numPr>
        <w:autoSpaceDE w:val="0"/>
        <w:autoSpaceDN w:val="0"/>
        <w:adjustRightInd w:val="0"/>
        <w:spacing w:after="120"/>
        <w:contextualSpacing w:val="0"/>
        <w:rPr>
          <w:rFonts w:cs="Arial"/>
          <w:sz w:val="22"/>
          <w:szCs w:val="22"/>
          <w:lang w:eastAsia="ja-JP"/>
        </w:rPr>
      </w:pPr>
      <w:bookmarkStart w:id="296" w:name="_Ref284185988"/>
      <w:r w:rsidRPr="00A9019C">
        <w:rPr>
          <w:rFonts w:cs="Arial"/>
          <w:sz w:val="22"/>
          <w:szCs w:val="22"/>
        </w:rPr>
        <w:t>Centers for Disease Control and Prevention. (2002). Staphylococcus aureus resistant to vancomycin—PA, 2002. Morbidity and Mortality Weekly Report 51, 902.</w:t>
      </w:r>
      <w:hyperlink r:id="rId44" w:history="1">
        <w:r w:rsidRPr="00A9019C">
          <w:rPr>
            <w:rStyle w:val="Hyperlink"/>
            <w:rFonts w:cs="Arial"/>
            <w:sz w:val="22"/>
            <w:szCs w:val="22"/>
            <w:u w:val="none"/>
          </w:rPr>
          <w:t>http://www.cdc.gov/mmwr/preview/mmwrhtml/mm5140a3.htm</w:t>
        </w:r>
      </w:hyperlink>
      <w:r w:rsidRPr="00A9019C">
        <w:rPr>
          <w:rFonts w:cs="Arial"/>
          <w:sz w:val="22"/>
          <w:szCs w:val="22"/>
        </w:rPr>
        <w:t>. Last accessed 28 January 2015</w:t>
      </w:r>
      <w:bookmarkStart w:id="297" w:name="_Ref284185723"/>
      <w:bookmarkEnd w:id="296"/>
    </w:p>
    <w:p w14:paraId="3D523E5E" w14:textId="7E95AF76" w:rsidR="00DA3823" w:rsidRPr="00A55F05" w:rsidRDefault="00DA3823" w:rsidP="00A55F05">
      <w:pPr>
        <w:pStyle w:val="ListParagraph"/>
        <w:numPr>
          <w:ilvl w:val="0"/>
          <w:numId w:val="73"/>
        </w:numPr>
        <w:autoSpaceDE w:val="0"/>
        <w:autoSpaceDN w:val="0"/>
        <w:adjustRightInd w:val="0"/>
        <w:spacing w:after="120"/>
        <w:contextualSpacing w:val="0"/>
        <w:rPr>
          <w:rFonts w:cs="Arial"/>
          <w:sz w:val="22"/>
          <w:szCs w:val="22"/>
          <w:lang w:eastAsia="ja-JP"/>
        </w:rPr>
      </w:pPr>
      <w:bookmarkStart w:id="298" w:name="_Ref284439041"/>
      <w:r w:rsidRPr="00A55F05">
        <w:rPr>
          <w:rFonts w:cs="Arial"/>
          <w:sz w:val="22"/>
          <w:szCs w:val="22"/>
          <w:lang w:eastAsia="ja-JP"/>
        </w:rPr>
        <w:t>Scottish Medicines Consortium. Advice 248/06 (daptomycin). 2006.</w:t>
      </w:r>
      <w:bookmarkEnd w:id="297"/>
      <w:bookmarkEnd w:id="298"/>
    </w:p>
    <w:p w14:paraId="172F80DB" w14:textId="77777777" w:rsidR="00DA3823" w:rsidRPr="00A9019C"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299" w:name="_Ref284185745"/>
      <w:r w:rsidRPr="00A9019C">
        <w:rPr>
          <w:rFonts w:cs="Arial"/>
          <w:sz w:val="22"/>
          <w:szCs w:val="22"/>
          <w:lang w:eastAsia="ja-JP"/>
        </w:rPr>
        <w:t>Scottish Medicines Consortium. Advice 449/08 (daptomycin). 2008.</w:t>
      </w:r>
      <w:bookmarkEnd w:id="299"/>
    </w:p>
    <w:p w14:paraId="146F09D5" w14:textId="77777777" w:rsidR="00DA3823" w:rsidRDefault="00DA3823"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0" w:name="_Ref284185781"/>
      <w:r w:rsidRPr="00A9019C">
        <w:rPr>
          <w:rFonts w:cs="Arial"/>
          <w:sz w:val="22"/>
          <w:szCs w:val="22"/>
          <w:lang w:eastAsia="ja-JP"/>
        </w:rPr>
        <w:t>Scottish Medicines Consortium. Advice 276/06 (tigecycline). 2006.</w:t>
      </w:r>
      <w:bookmarkEnd w:id="300"/>
    </w:p>
    <w:p w14:paraId="0CF4DEA4" w14:textId="4950ABF9" w:rsidR="00AB16BC" w:rsidRDefault="00AB16BC" w:rsidP="00AB16BC">
      <w:pPr>
        <w:pStyle w:val="ListParagraph"/>
        <w:numPr>
          <w:ilvl w:val="0"/>
          <w:numId w:val="73"/>
        </w:numPr>
        <w:autoSpaceDE w:val="0"/>
        <w:autoSpaceDN w:val="0"/>
        <w:adjustRightInd w:val="0"/>
        <w:spacing w:after="120"/>
        <w:contextualSpacing w:val="0"/>
        <w:rPr>
          <w:rFonts w:cs="Arial"/>
          <w:sz w:val="22"/>
          <w:szCs w:val="22"/>
          <w:lang w:eastAsia="ja-JP"/>
        </w:rPr>
      </w:pPr>
      <w:bookmarkStart w:id="301" w:name="_Ref284185925"/>
      <w:r w:rsidRPr="00E82DEB">
        <w:rPr>
          <w:rFonts w:cs="Arial"/>
          <w:sz w:val="22"/>
          <w:szCs w:val="22"/>
          <w:lang w:eastAsia="ja-JP"/>
        </w:rPr>
        <w:t>Scottish Medicines Consortium. Advice 830/12 (ceftaroline). 2012.</w:t>
      </w:r>
      <w:bookmarkEnd w:id="301"/>
    </w:p>
    <w:p w14:paraId="5DC669C1" w14:textId="37AFF9CE" w:rsidR="00DA3823" w:rsidRPr="00A9019C" w:rsidRDefault="00D537AA"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2" w:name="_Ref284186006"/>
      <w:r>
        <w:rPr>
          <w:rFonts w:cs="Arial"/>
          <w:sz w:val="22"/>
          <w:szCs w:val="22"/>
        </w:rPr>
        <w:t>Guerin F, Buu-Hoi A, Mainardi J,</w:t>
      </w:r>
      <w:r w:rsidR="00DA3823" w:rsidRPr="00A9019C">
        <w:rPr>
          <w:rFonts w:cs="Arial"/>
          <w:sz w:val="22"/>
          <w:szCs w:val="22"/>
        </w:rPr>
        <w:t xml:space="preserve"> et al. (2000). Outbreak of</w:t>
      </w:r>
      <w:r w:rsidR="006B3AF6">
        <w:rPr>
          <w:rFonts w:cs="Arial"/>
          <w:sz w:val="22"/>
          <w:szCs w:val="22"/>
        </w:rPr>
        <w:t xml:space="preserve"> </w:t>
      </w:r>
      <w:r w:rsidR="00DA3823" w:rsidRPr="00A9019C">
        <w:rPr>
          <w:rFonts w:cs="Arial"/>
          <w:sz w:val="22"/>
          <w:szCs w:val="22"/>
        </w:rPr>
        <w:t>methicillin-resistant Staphylococcus aureus with reduced susceptibility to glycopeptides in a Parisian hospital. Journal of Clinical Microbiology 38, 2985–8.</w:t>
      </w:r>
      <w:bookmarkEnd w:id="302"/>
    </w:p>
    <w:p w14:paraId="1FD3F8AB" w14:textId="435DDDF7" w:rsidR="00DA3823" w:rsidRPr="00A9019C" w:rsidRDefault="00D537AA"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03" w:name="_Ref284186026"/>
      <w:r>
        <w:rPr>
          <w:rFonts w:cs="Arial"/>
          <w:sz w:val="22"/>
          <w:szCs w:val="22"/>
        </w:rPr>
        <w:t>MacKenzie, F, Greig, P, Morrison</w:t>
      </w:r>
      <w:r w:rsidR="00DA3823" w:rsidRPr="00A9019C">
        <w:rPr>
          <w:rFonts w:cs="Arial"/>
          <w:sz w:val="22"/>
          <w:szCs w:val="22"/>
        </w:rPr>
        <w:t xml:space="preserve"> D</w:t>
      </w:r>
      <w:r>
        <w:rPr>
          <w:rFonts w:cs="Arial"/>
          <w:sz w:val="22"/>
          <w:szCs w:val="22"/>
        </w:rPr>
        <w:t>,</w:t>
      </w:r>
      <w:r w:rsidR="00DA3823" w:rsidRPr="00A9019C">
        <w:rPr>
          <w:rFonts w:cs="Arial"/>
          <w:sz w:val="22"/>
          <w:szCs w:val="22"/>
        </w:rPr>
        <w:t xml:space="preserve"> et al. (2002). Identification and characterization </w:t>
      </w:r>
      <w:r w:rsidR="00DA3823" w:rsidRPr="00A9019C">
        <w:rPr>
          <w:rFonts w:cs="Arial"/>
          <w:sz w:val="22"/>
          <w:szCs w:val="22"/>
        </w:rPr>
        <w:lastRenderedPageBreak/>
        <w:t>of teicoplanin-intermediate Staphylococcus aureus blood culture isolates in NE Scotland. Journal of Antimicrobial Chemotherapy 50, 689–97.</w:t>
      </w:r>
      <w:bookmarkEnd w:id="303"/>
    </w:p>
    <w:p w14:paraId="1A2BA065" w14:textId="07955807" w:rsidR="003C6B42" w:rsidRPr="00A9019C" w:rsidRDefault="00DA3823"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04" w:name="_Ref284186046"/>
      <w:r w:rsidRPr="00A9019C">
        <w:rPr>
          <w:rFonts w:cs="Arial"/>
          <w:sz w:val="22"/>
          <w:szCs w:val="22"/>
        </w:rPr>
        <w:t>W</w:t>
      </w:r>
      <w:r w:rsidR="003C6B42" w:rsidRPr="00A9019C">
        <w:rPr>
          <w:rFonts w:cs="Arial"/>
          <w:sz w:val="22"/>
          <w:szCs w:val="22"/>
        </w:rPr>
        <w:t>ilcox M, Nathwani D, Dryden M. Linezolid compared with teicoplanin for the treatment of suspected or proven Gram-positive infections. J Antimicrob Chemother. 2004;53(2):335-44.</w:t>
      </w:r>
      <w:bookmarkEnd w:id="304"/>
      <w:r w:rsidR="003C6B42" w:rsidRPr="00A9019C">
        <w:rPr>
          <w:rFonts w:cs="Arial"/>
          <w:sz w:val="22"/>
          <w:szCs w:val="22"/>
        </w:rPr>
        <w:t xml:space="preserve"> </w:t>
      </w:r>
    </w:p>
    <w:p w14:paraId="16B4F3EC" w14:textId="6DFC1824" w:rsidR="003C6B42" w:rsidRPr="007C5DDC" w:rsidRDefault="007C5DDC" w:rsidP="007C5DDC">
      <w:pPr>
        <w:pStyle w:val="ListParagraph"/>
        <w:numPr>
          <w:ilvl w:val="0"/>
          <w:numId w:val="73"/>
        </w:numPr>
        <w:autoSpaceDE w:val="0"/>
        <w:autoSpaceDN w:val="0"/>
        <w:adjustRightInd w:val="0"/>
        <w:spacing w:after="120"/>
        <w:contextualSpacing w:val="0"/>
        <w:rPr>
          <w:rFonts w:cs="Arial"/>
          <w:sz w:val="22"/>
          <w:szCs w:val="22"/>
          <w:lang w:eastAsia="ja-JP"/>
        </w:rPr>
      </w:pPr>
      <w:bookmarkStart w:id="305" w:name="_Ref284438612"/>
      <w:r>
        <w:rPr>
          <w:rFonts w:cs="Arial"/>
          <w:sz w:val="22"/>
          <w:szCs w:val="22"/>
          <w:lang w:eastAsia="ja-JP"/>
        </w:rPr>
        <w:t xml:space="preserve">European Society of Clinical Microbiology and Infectious Diseases. MRSA consensus statements 2009. </w:t>
      </w:r>
      <w:r w:rsidRPr="007C5DDC">
        <w:rPr>
          <w:rFonts w:cs="Arial"/>
          <w:sz w:val="22"/>
          <w:szCs w:val="22"/>
          <w:lang w:eastAsia="ja-JP"/>
        </w:rPr>
        <w:t>https://www.escmid.org/escmid_library/medical_guidelines/escmid_consensus_statements/</w:t>
      </w:r>
      <w:r>
        <w:rPr>
          <w:rFonts w:cs="Arial"/>
          <w:sz w:val="22"/>
          <w:szCs w:val="22"/>
          <w:lang w:eastAsia="ja-JP"/>
        </w:rPr>
        <w:t xml:space="preserve"> </w:t>
      </w:r>
      <w:r w:rsidRPr="007C5DDC">
        <w:rPr>
          <w:rFonts w:cs="Arial"/>
          <w:sz w:val="22"/>
          <w:szCs w:val="22"/>
          <w:lang w:eastAsia="ja-JP"/>
        </w:rPr>
        <w:t>Last accessed 31</w:t>
      </w:r>
      <w:r w:rsidRPr="007C5DDC">
        <w:rPr>
          <w:rFonts w:cs="Arial"/>
          <w:sz w:val="22"/>
          <w:szCs w:val="22"/>
          <w:vertAlign w:val="superscript"/>
          <w:lang w:eastAsia="ja-JP"/>
        </w:rPr>
        <w:t xml:space="preserve"> </w:t>
      </w:r>
      <w:r w:rsidRPr="007C5DDC">
        <w:rPr>
          <w:rFonts w:cs="Arial"/>
          <w:sz w:val="22"/>
          <w:szCs w:val="22"/>
          <w:lang w:eastAsia="ja-JP"/>
        </w:rPr>
        <w:t xml:space="preserve">January 2015.Cauda R, and Garau J, editorial. New Insights concerning methicillin-resistant </w:t>
      </w:r>
      <w:r w:rsidRPr="007C5DDC">
        <w:rPr>
          <w:rFonts w:cs="Arial"/>
          <w:i/>
          <w:sz w:val="22"/>
          <w:szCs w:val="22"/>
          <w:lang w:eastAsia="ja-JP"/>
        </w:rPr>
        <w:t>Staphylococcus aureus</w:t>
      </w:r>
      <w:r w:rsidRPr="007C5DDC">
        <w:rPr>
          <w:rFonts w:cs="Arial"/>
          <w:sz w:val="22"/>
          <w:szCs w:val="22"/>
          <w:lang w:eastAsia="ja-JP"/>
        </w:rPr>
        <w:t>. CMI, 15, 109-111.</w:t>
      </w:r>
      <w:bookmarkEnd w:id="305"/>
      <w:r w:rsidRPr="007C5DDC">
        <w:t xml:space="preserve"> </w:t>
      </w:r>
    </w:p>
    <w:p w14:paraId="2E873C5C" w14:textId="2FD925DE"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6" w:name="_Ref284186235"/>
      <w:r w:rsidRPr="00E82DEB">
        <w:rPr>
          <w:rFonts w:cs="Arial"/>
          <w:sz w:val="22"/>
          <w:szCs w:val="22"/>
          <w:lang w:eastAsia="ja-JP"/>
        </w:rPr>
        <w:t xml:space="preserve">Department of Health. </w:t>
      </w:r>
      <w:r w:rsidR="00EF383C">
        <w:rPr>
          <w:rFonts w:cs="Arial"/>
          <w:sz w:val="22"/>
          <w:szCs w:val="22"/>
          <w:lang w:eastAsia="ja-JP"/>
        </w:rPr>
        <w:t xml:space="preserve">Antimicrobial Stewardship: </w:t>
      </w:r>
      <w:r w:rsidRPr="00E82DEB">
        <w:rPr>
          <w:rFonts w:cs="Arial"/>
          <w:sz w:val="22"/>
          <w:szCs w:val="22"/>
          <w:lang w:eastAsia="ja-JP"/>
        </w:rPr>
        <w:t>Start Smart, Then Focus. 2011.</w:t>
      </w:r>
      <w:bookmarkEnd w:id="306"/>
    </w:p>
    <w:p w14:paraId="07E997A0" w14:textId="7B41FD59"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7" w:name="_Ref284186355"/>
      <w:r w:rsidRPr="00E82DEB">
        <w:rPr>
          <w:rFonts w:cs="Arial"/>
          <w:sz w:val="22"/>
          <w:szCs w:val="22"/>
          <w:lang w:eastAsia="ja-JP"/>
        </w:rPr>
        <w:t xml:space="preserve">Scottish Antimicrobial Prescribing Group. Good Practice </w:t>
      </w:r>
      <w:r w:rsidR="008E5067">
        <w:rPr>
          <w:rFonts w:cs="Arial"/>
          <w:sz w:val="22"/>
          <w:szCs w:val="22"/>
          <w:lang w:eastAsia="ja-JP"/>
        </w:rPr>
        <w:t>Recommendations for Surgical And Procedural Antibiotic Prophylaxis in Adults in NHS Scotland.</w:t>
      </w:r>
      <w:r w:rsidRPr="00E82DEB">
        <w:rPr>
          <w:rFonts w:cs="Arial"/>
          <w:sz w:val="22"/>
          <w:szCs w:val="22"/>
          <w:lang w:eastAsia="ja-JP"/>
        </w:rPr>
        <w:t xml:space="preserve"> 2014.</w:t>
      </w:r>
      <w:bookmarkEnd w:id="307"/>
    </w:p>
    <w:p w14:paraId="276A7DD0" w14:textId="3B0E939C"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8" w:name="_Ref284186366"/>
      <w:r w:rsidRPr="00E82DEB">
        <w:rPr>
          <w:rFonts w:cs="Arial"/>
          <w:sz w:val="22"/>
          <w:szCs w:val="22"/>
          <w:lang w:eastAsia="ja-JP"/>
        </w:rPr>
        <w:t>Scottish Ant</w:t>
      </w:r>
      <w:r w:rsidR="008E5067">
        <w:rPr>
          <w:rFonts w:cs="Arial"/>
          <w:sz w:val="22"/>
          <w:szCs w:val="22"/>
          <w:lang w:eastAsia="ja-JP"/>
        </w:rPr>
        <w:t>imicrobial Prescribing Group. Intravenous V</w:t>
      </w:r>
      <w:r w:rsidRPr="00E82DEB">
        <w:rPr>
          <w:rFonts w:cs="Arial"/>
          <w:sz w:val="22"/>
          <w:szCs w:val="22"/>
          <w:lang w:eastAsia="ja-JP"/>
        </w:rPr>
        <w:t xml:space="preserve">ancomycin </w:t>
      </w:r>
      <w:r w:rsidR="008E5067">
        <w:rPr>
          <w:rFonts w:cs="Arial"/>
          <w:sz w:val="22"/>
          <w:szCs w:val="22"/>
          <w:lang w:eastAsia="ja-JP"/>
        </w:rPr>
        <w:t>Use in Adults (continuous infusion). 2013a</w:t>
      </w:r>
      <w:r w:rsidRPr="00E82DEB">
        <w:rPr>
          <w:rFonts w:cs="Arial"/>
          <w:sz w:val="22"/>
          <w:szCs w:val="22"/>
          <w:lang w:eastAsia="ja-JP"/>
        </w:rPr>
        <w:t>.</w:t>
      </w:r>
      <w:bookmarkEnd w:id="308"/>
    </w:p>
    <w:p w14:paraId="3B69603E" w14:textId="545D1FAB"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09" w:name="_Ref284186382"/>
      <w:r w:rsidRPr="00E82DEB">
        <w:rPr>
          <w:rFonts w:cs="Arial"/>
          <w:sz w:val="22"/>
          <w:szCs w:val="22"/>
          <w:lang w:eastAsia="ja-JP"/>
        </w:rPr>
        <w:t xml:space="preserve">Scottish Antimicrobial Prescribing Group. </w:t>
      </w:r>
      <w:r w:rsidR="008E5067">
        <w:rPr>
          <w:rFonts w:cs="Arial"/>
          <w:sz w:val="22"/>
          <w:szCs w:val="22"/>
          <w:lang w:eastAsia="ja-JP"/>
        </w:rPr>
        <w:t>Intravenous V</w:t>
      </w:r>
      <w:r w:rsidR="008E5067" w:rsidRPr="00E82DEB">
        <w:rPr>
          <w:rFonts w:cs="Arial"/>
          <w:sz w:val="22"/>
          <w:szCs w:val="22"/>
          <w:lang w:eastAsia="ja-JP"/>
        </w:rPr>
        <w:t xml:space="preserve">ancomycin </w:t>
      </w:r>
      <w:r w:rsidR="008E5067">
        <w:rPr>
          <w:rFonts w:cs="Arial"/>
          <w:sz w:val="22"/>
          <w:szCs w:val="22"/>
          <w:lang w:eastAsia="ja-JP"/>
        </w:rPr>
        <w:t xml:space="preserve">Use in Adults Intermittent (Pulsed) </w:t>
      </w:r>
      <w:r w:rsidRPr="00E82DEB">
        <w:rPr>
          <w:rFonts w:cs="Arial"/>
          <w:sz w:val="22"/>
          <w:szCs w:val="22"/>
          <w:lang w:eastAsia="ja-JP"/>
        </w:rPr>
        <w:t>infusion). 2013b.</w:t>
      </w:r>
      <w:bookmarkEnd w:id="309"/>
    </w:p>
    <w:p w14:paraId="443F3089" w14:textId="33A8CB9D" w:rsidR="006F010F" w:rsidRDefault="006F010F"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0" w:name="_Ref284439522"/>
      <w:bookmarkStart w:id="311" w:name="_Ref284186567"/>
      <w:r>
        <w:rPr>
          <w:rFonts w:cs="Arial"/>
          <w:sz w:val="22"/>
          <w:szCs w:val="22"/>
          <w:lang w:eastAsia="ja-JP"/>
        </w:rPr>
        <w:t>Pharmacia Limited. Zyvox (linezolid 600mg) Summary of Product Characteristics. 2014.</w:t>
      </w:r>
      <w:bookmarkEnd w:id="310"/>
    </w:p>
    <w:p w14:paraId="49FB1969" w14:textId="3D37D32D"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2" w:name="_Ref284439567"/>
      <w:r w:rsidRPr="00E82DEB">
        <w:rPr>
          <w:rFonts w:cs="Arial"/>
          <w:sz w:val="22"/>
          <w:szCs w:val="22"/>
          <w:lang w:eastAsia="ja-JP"/>
        </w:rPr>
        <w:t>NHS Tayside. Linezolid prescribing guidelines.</w:t>
      </w:r>
      <w:r w:rsidR="007C5DDC">
        <w:rPr>
          <w:rFonts w:cs="Arial"/>
          <w:sz w:val="22"/>
          <w:szCs w:val="22"/>
          <w:lang w:eastAsia="ja-JP"/>
        </w:rPr>
        <w:t xml:space="preserve"> </w:t>
      </w:r>
      <w:r w:rsidRPr="00E82DEB">
        <w:rPr>
          <w:rFonts w:cs="Arial"/>
          <w:sz w:val="22"/>
          <w:szCs w:val="22"/>
          <w:lang w:eastAsia="ja-JP"/>
        </w:rPr>
        <w:t>2013.</w:t>
      </w:r>
      <w:bookmarkEnd w:id="311"/>
      <w:bookmarkEnd w:id="312"/>
    </w:p>
    <w:p w14:paraId="410AA54A" w14:textId="0F86B5C9"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3" w:name="_Ref284186593"/>
      <w:r w:rsidRPr="00E82DEB">
        <w:rPr>
          <w:rFonts w:cs="Arial"/>
          <w:sz w:val="22"/>
          <w:szCs w:val="22"/>
        </w:rPr>
        <w:t>Cada</w:t>
      </w:r>
      <w:r w:rsidR="00030831">
        <w:rPr>
          <w:rFonts w:cs="Arial"/>
          <w:sz w:val="22"/>
          <w:szCs w:val="22"/>
        </w:rPr>
        <w:t xml:space="preserve"> D</w:t>
      </w:r>
      <w:r w:rsidRPr="00E82DEB">
        <w:rPr>
          <w:rFonts w:cs="Arial"/>
          <w:sz w:val="22"/>
          <w:szCs w:val="22"/>
        </w:rPr>
        <w:t>, Ingram</w:t>
      </w:r>
      <w:r w:rsidR="00030831">
        <w:rPr>
          <w:rFonts w:cs="Arial"/>
          <w:sz w:val="22"/>
          <w:szCs w:val="22"/>
        </w:rPr>
        <w:t xml:space="preserve"> K</w:t>
      </w:r>
      <w:r w:rsidRPr="00E82DEB">
        <w:rPr>
          <w:rFonts w:cs="Arial"/>
          <w:sz w:val="22"/>
          <w:szCs w:val="22"/>
        </w:rPr>
        <w:t>, and Baker</w:t>
      </w:r>
      <w:r w:rsidR="00030831">
        <w:rPr>
          <w:rFonts w:cs="Arial"/>
          <w:sz w:val="22"/>
          <w:szCs w:val="22"/>
        </w:rPr>
        <w:t xml:space="preserve"> D.</w:t>
      </w:r>
      <w:r w:rsidRPr="00E82DEB">
        <w:rPr>
          <w:rFonts w:cs="Arial"/>
          <w:sz w:val="22"/>
          <w:szCs w:val="22"/>
        </w:rPr>
        <w:t xml:space="preserve"> Formulary Drug Reviews. Tedizolid Phosphate. Hosp Pharm 2014;49(10):961–971 2014 doi: 101310/hpj4910-961</w:t>
      </w:r>
      <w:bookmarkEnd w:id="313"/>
      <w:r w:rsidRPr="00E82DEB">
        <w:rPr>
          <w:rFonts w:cs="Arial"/>
          <w:sz w:val="22"/>
          <w:szCs w:val="22"/>
        </w:rPr>
        <w:t xml:space="preserve"> </w:t>
      </w:r>
    </w:p>
    <w:p w14:paraId="5073E10C" w14:textId="0F30CC9C" w:rsidR="003C6B42" w:rsidRPr="00E82DEB" w:rsidRDefault="00D537AA"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4" w:name="_Ref284186613"/>
      <w:r>
        <w:rPr>
          <w:rFonts w:cs="Arial"/>
          <w:sz w:val="22"/>
          <w:szCs w:val="22"/>
        </w:rPr>
        <w:t xml:space="preserve">Sivextro (tedizolid phosphate) US </w:t>
      </w:r>
      <w:r w:rsidR="003C6B42" w:rsidRPr="00E82DEB">
        <w:rPr>
          <w:rFonts w:cs="Arial"/>
          <w:sz w:val="22"/>
          <w:szCs w:val="22"/>
        </w:rPr>
        <w:t>prescribing</w:t>
      </w:r>
      <w:r>
        <w:rPr>
          <w:rFonts w:cs="Arial"/>
          <w:sz w:val="22"/>
          <w:szCs w:val="22"/>
        </w:rPr>
        <w:t xml:space="preserve"> information</w:t>
      </w:r>
      <w:r w:rsidR="003C6B42" w:rsidRPr="00E82DEB">
        <w:rPr>
          <w:rFonts w:cs="Arial"/>
          <w:sz w:val="22"/>
          <w:szCs w:val="22"/>
        </w:rPr>
        <w:t>.Lexington, MA: Cubist Pharmaceuticals US; June 2014.</w:t>
      </w:r>
      <w:bookmarkEnd w:id="314"/>
      <w:r w:rsidR="003C6B42" w:rsidRPr="00E82DEB">
        <w:rPr>
          <w:rFonts w:cs="Arial"/>
          <w:sz w:val="22"/>
          <w:szCs w:val="22"/>
        </w:rPr>
        <w:t xml:space="preserve"> </w:t>
      </w:r>
    </w:p>
    <w:p w14:paraId="088D690C" w14:textId="77777777" w:rsidR="003C6B42" w:rsidRPr="00E82DEB"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5" w:name="_Ref284186629"/>
      <w:r w:rsidRPr="00E82DEB">
        <w:rPr>
          <w:rFonts w:cs="Arial"/>
          <w:sz w:val="22"/>
          <w:szCs w:val="22"/>
        </w:rPr>
        <w:t>Flanagan S, Bartizal K, Minassian SL, Fange E, Prokocimer P. In vitro, in vivo, and clinical studies to assess the potential for peripheral or central monoamine oxidase interactions. Antimicrob Agents Chemother. 2013;57(7):3060-3066.</w:t>
      </w:r>
      <w:bookmarkEnd w:id="315"/>
    </w:p>
    <w:p w14:paraId="3403A31D" w14:textId="77777777" w:rsidR="003C6B42" w:rsidRPr="00615C25"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16" w:name="_Ref284186662"/>
      <w:r w:rsidRPr="00E82DEB">
        <w:rPr>
          <w:rFonts w:cs="Arial"/>
          <w:sz w:val="22"/>
          <w:szCs w:val="22"/>
        </w:rPr>
        <w:t xml:space="preserve">Flanagan S, Minassian S, Fang E, et al. Lack of MAO inhibition by tedizolid phosphate in </w:t>
      </w:r>
      <w:r w:rsidRPr="00615C25">
        <w:rPr>
          <w:rFonts w:cs="Arial"/>
          <w:sz w:val="22"/>
          <w:szCs w:val="22"/>
        </w:rPr>
        <w:t xml:space="preserve">clinical and nonclinical studies [abstract]. 52nd Interscience Conference on </w:t>
      </w:r>
      <w:r w:rsidRPr="00615C25">
        <w:rPr>
          <w:rFonts w:cs="Arial"/>
          <w:sz w:val="22"/>
          <w:szCs w:val="22"/>
        </w:rPr>
        <w:lastRenderedPageBreak/>
        <w:t xml:space="preserve">Antimicrobial Agents and Chemotherapy; September 9-12, 2012; San Francisco, CA. Abstract 1295a. </w:t>
      </w:r>
      <w:hyperlink r:id="rId45" w:history="1">
        <w:r w:rsidRPr="00615C25">
          <w:rPr>
            <w:rStyle w:val="Hyperlink"/>
            <w:rFonts w:cs="Arial"/>
            <w:sz w:val="22"/>
            <w:szCs w:val="22"/>
            <w:u w:val="none"/>
          </w:rPr>
          <w:t>http://www.icaaconline.com/php/icaac2013abstracts/data/papers/2012/late/2012_A-1295a.htm</w:t>
        </w:r>
      </w:hyperlink>
      <w:r w:rsidRPr="00615C25">
        <w:rPr>
          <w:rFonts w:cs="Arial"/>
          <w:sz w:val="22"/>
          <w:szCs w:val="22"/>
        </w:rPr>
        <w:t xml:space="preserve"> Last accessed 28 January 2015</w:t>
      </w:r>
      <w:bookmarkEnd w:id="316"/>
    </w:p>
    <w:p w14:paraId="0A955A64" w14:textId="52167006" w:rsidR="003C6B42" w:rsidRPr="00615C25" w:rsidRDefault="003C6B42" w:rsidP="009025E3">
      <w:pPr>
        <w:pStyle w:val="ListParagraph"/>
        <w:numPr>
          <w:ilvl w:val="0"/>
          <w:numId w:val="73"/>
        </w:numPr>
        <w:autoSpaceDE w:val="0"/>
        <w:autoSpaceDN w:val="0"/>
        <w:adjustRightInd w:val="0"/>
        <w:spacing w:after="120"/>
        <w:contextualSpacing w:val="0"/>
        <w:rPr>
          <w:rFonts w:cs="Arial"/>
          <w:sz w:val="22"/>
          <w:szCs w:val="22"/>
          <w:lang w:eastAsia="ja-JP"/>
        </w:rPr>
      </w:pPr>
      <w:bookmarkStart w:id="317" w:name="_Ref284186714"/>
      <w:r w:rsidRPr="00701CA3">
        <w:rPr>
          <w:rFonts w:cs="Arial"/>
          <w:sz w:val="22"/>
          <w:szCs w:val="22"/>
          <w:lang w:val="de-CH" w:eastAsia="ja-JP"/>
        </w:rPr>
        <w:t xml:space="preserve">Nathwani </w:t>
      </w:r>
      <w:bookmarkEnd w:id="317"/>
      <w:r w:rsidR="00615C25" w:rsidRPr="00701CA3">
        <w:rPr>
          <w:rFonts w:cs="Arial"/>
          <w:sz w:val="22"/>
          <w:szCs w:val="22"/>
          <w:lang w:val="de-CH" w:eastAsia="ja-JP"/>
        </w:rPr>
        <w:t xml:space="preserve">D, Eckmann C, Lawson W, Stephens J, Macahilig C, et al. </w:t>
      </w:r>
      <w:r w:rsidR="00615C25" w:rsidRPr="00615C25">
        <w:rPr>
          <w:rFonts w:cs="Arial"/>
          <w:sz w:val="22"/>
          <w:szCs w:val="22"/>
          <w:lang w:eastAsia="ja-JP"/>
        </w:rPr>
        <w:t xml:space="preserve">Pan-European early switch/early discharge opportunities exist for hospitalized patients with methicillin-resistant </w:t>
      </w:r>
      <w:r w:rsidR="00615C25" w:rsidRPr="00615C25">
        <w:rPr>
          <w:rFonts w:cs="Arial"/>
          <w:i/>
          <w:sz w:val="22"/>
          <w:szCs w:val="22"/>
          <w:lang w:eastAsia="ja-JP"/>
        </w:rPr>
        <w:t xml:space="preserve">Staphylococcus aureus </w:t>
      </w:r>
      <w:r w:rsidR="00615C25" w:rsidRPr="00615C25">
        <w:rPr>
          <w:rFonts w:cs="Arial"/>
          <w:sz w:val="22"/>
          <w:szCs w:val="22"/>
          <w:lang w:eastAsia="ja-JP"/>
        </w:rPr>
        <w:t>complicated skin and soft tissue infections.</w:t>
      </w:r>
      <w:r w:rsidR="00615C25" w:rsidRPr="00615C25">
        <w:rPr>
          <w:rFonts w:cs="Arial"/>
          <w:i/>
          <w:sz w:val="22"/>
          <w:szCs w:val="22"/>
          <w:lang w:eastAsia="ja-JP"/>
        </w:rPr>
        <w:t xml:space="preserve"> </w:t>
      </w:r>
      <w:r w:rsidR="00615C25" w:rsidRPr="00615C25">
        <w:rPr>
          <w:rFonts w:cs="Arial"/>
          <w:sz w:val="22"/>
          <w:szCs w:val="22"/>
          <w:lang w:val="en-US" w:eastAsia="ja-JP"/>
        </w:rPr>
        <w:t xml:space="preserve">Clin Microbiol Infect </w:t>
      </w:r>
      <w:r w:rsidR="00615C25" w:rsidRPr="00615C25">
        <w:rPr>
          <w:rFonts w:cs="Arial"/>
          <w:sz w:val="22"/>
          <w:szCs w:val="22"/>
          <w:lang w:eastAsia="ja-JP"/>
        </w:rPr>
        <w:t xml:space="preserve">2014 (published online </w:t>
      </w:r>
      <w:r w:rsidR="00615C25" w:rsidRPr="00615C25">
        <w:rPr>
          <w:rFonts w:cs="Arial"/>
          <w:sz w:val="22"/>
          <w:szCs w:val="22"/>
          <w:lang w:val="en-US" w:eastAsia="ja-JP"/>
        </w:rPr>
        <w:t>10.1111/1469-0691.12632).</w:t>
      </w:r>
    </w:p>
    <w:p w14:paraId="1EB9736A" w14:textId="25AF16E4" w:rsidR="003C6B42" w:rsidRPr="00E82DEB"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18" w:name="_Ref284186732"/>
      <w:r w:rsidRPr="00701CA3">
        <w:rPr>
          <w:rFonts w:cs="Arial"/>
          <w:sz w:val="22"/>
          <w:szCs w:val="22"/>
          <w:lang w:val="de-CH"/>
        </w:rPr>
        <w:t>Eckmann</w:t>
      </w:r>
      <w:r w:rsidR="00615C25" w:rsidRPr="00701CA3">
        <w:rPr>
          <w:rFonts w:cs="Arial"/>
          <w:sz w:val="22"/>
          <w:szCs w:val="22"/>
          <w:lang w:val="de-CH"/>
        </w:rPr>
        <w:t xml:space="preserve"> C,</w:t>
      </w:r>
      <w:r w:rsidRPr="00701CA3">
        <w:rPr>
          <w:rFonts w:cs="Arial"/>
          <w:sz w:val="22"/>
          <w:szCs w:val="22"/>
          <w:lang w:val="de-CH"/>
        </w:rPr>
        <w:t xml:space="preserve"> Nathwani</w:t>
      </w:r>
      <w:r w:rsidR="00615C25" w:rsidRPr="00701CA3">
        <w:rPr>
          <w:rFonts w:cs="Arial"/>
          <w:sz w:val="22"/>
          <w:szCs w:val="22"/>
          <w:lang w:val="de-CH"/>
        </w:rPr>
        <w:t xml:space="preserve"> D,</w:t>
      </w:r>
      <w:r w:rsidRPr="00701CA3">
        <w:rPr>
          <w:rFonts w:cs="Arial"/>
          <w:sz w:val="22"/>
          <w:szCs w:val="22"/>
          <w:lang w:val="de-CH"/>
        </w:rPr>
        <w:t xml:space="preserve"> Lawson</w:t>
      </w:r>
      <w:r w:rsidR="00615C25" w:rsidRPr="00701CA3">
        <w:rPr>
          <w:rFonts w:cs="Arial"/>
          <w:sz w:val="22"/>
          <w:szCs w:val="22"/>
          <w:lang w:val="de-CH"/>
        </w:rPr>
        <w:t xml:space="preserve"> W, </w:t>
      </w:r>
      <w:r w:rsidRPr="00701CA3">
        <w:rPr>
          <w:rFonts w:cs="Arial"/>
          <w:sz w:val="22"/>
          <w:szCs w:val="22"/>
          <w:lang w:val="de-CH"/>
        </w:rPr>
        <w:t>Stephens</w:t>
      </w:r>
      <w:r w:rsidR="00615C25" w:rsidRPr="00701CA3">
        <w:rPr>
          <w:rFonts w:cs="Arial"/>
          <w:sz w:val="22"/>
          <w:szCs w:val="22"/>
          <w:lang w:val="de-CH"/>
        </w:rPr>
        <w:t xml:space="preserve"> J</w:t>
      </w:r>
      <w:r w:rsidRPr="00701CA3">
        <w:rPr>
          <w:rFonts w:cs="Arial"/>
          <w:sz w:val="22"/>
          <w:szCs w:val="22"/>
          <w:lang w:val="de-CH"/>
        </w:rPr>
        <w:t>,</w:t>
      </w:r>
      <w:r w:rsidR="00615C25" w:rsidRPr="00701CA3">
        <w:rPr>
          <w:rFonts w:cs="Arial"/>
          <w:sz w:val="22"/>
          <w:szCs w:val="22"/>
          <w:lang w:val="de-CH"/>
        </w:rPr>
        <w:t xml:space="preserve"> </w:t>
      </w:r>
      <w:r w:rsidRPr="00701CA3">
        <w:rPr>
          <w:rFonts w:cs="Arial"/>
          <w:sz w:val="22"/>
          <w:szCs w:val="22"/>
          <w:lang w:val="de-CH"/>
        </w:rPr>
        <w:t>Macahilig</w:t>
      </w:r>
      <w:r w:rsidR="00615C25" w:rsidRPr="00701CA3">
        <w:rPr>
          <w:rFonts w:cs="Arial"/>
          <w:sz w:val="22"/>
          <w:szCs w:val="22"/>
          <w:lang w:val="de-CH"/>
        </w:rPr>
        <w:t xml:space="preserve"> C.</w:t>
      </w:r>
      <w:r w:rsidRPr="00701CA3">
        <w:rPr>
          <w:rFonts w:cs="Arial"/>
          <w:sz w:val="22"/>
          <w:szCs w:val="22"/>
          <w:lang w:val="de-CH"/>
        </w:rPr>
        <w:t xml:space="preserve">, </w:t>
      </w:r>
      <w:r w:rsidR="00615C25" w:rsidRPr="00701CA3">
        <w:rPr>
          <w:rFonts w:cs="Arial"/>
          <w:sz w:val="22"/>
          <w:szCs w:val="22"/>
          <w:lang w:val="de-CH"/>
        </w:rPr>
        <w:t>et al</w:t>
      </w:r>
      <w:r w:rsidRPr="00701CA3">
        <w:rPr>
          <w:rFonts w:cs="Arial"/>
          <w:sz w:val="22"/>
          <w:szCs w:val="22"/>
          <w:lang w:val="de-CH"/>
        </w:rPr>
        <w:t xml:space="preserve">. </w:t>
      </w:r>
      <w:r w:rsidRPr="00E82DEB">
        <w:rPr>
          <w:rFonts w:cs="Arial"/>
          <w:sz w:val="22"/>
          <w:szCs w:val="22"/>
        </w:rPr>
        <w:t xml:space="preserve">Treatment and Utilisation Patterns in Patients With Complicated Skin and Soft Tissue Infections Due to Meticillin-Resistant </w:t>
      </w:r>
      <w:r w:rsidRPr="00615C25">
        <w:rPr>
          <w:rFonts w:cs="Arial"/>
          <w:i/>
          <w:sz w:val="22"/>
          <w:szCs w:val="22"/>
        </w:rPr>
        <w:t>Staphylococcus aureus</w:t>
      </w:r>
      <w:r w:rsidRPr="00E82DEB">
        <w:rPr>
          <w:rFonts w:cs="Arial"/>
          <w:sz w:val="22"/>
          <w:szCs w:val="22"/>
        </w:rPr>
        <w:t>: Pan-European Implications of Oral Antibiotic Use on Healthcare Resources. Presented at the 23rd ECCMID Meeting: 27–30 April 2013; Berlin, Germany.</w:t>
      </w:r>
      <w:bookmarkEnd w:id="318"/>
      <w:r w:rsidRPr="00E82DEB">
        <w:rPr>
          <w:rFonts w:cs="Arial"/>
          <w:sz w:val="22"/>
          <w:szCs w:val="22"/>
        </w:rPr>
        <w:t xml:space="preserve"> </w:t>
      </w:r>
    </w:p>
    <w:p w14:paraId="4B8D6F1E" w14:textId="5F48B813" w:rsidR="003C6B42" w:rsidRPr="00A9019C"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19" w:name="_Ref284186748"/>
      <w:r w:rsidRPr="00E82DEB">
        <w:rPr>
          <w:rFonts w:cs="Arial"/>
          <w:sz w:val="22"/>
          <w:szCs w:val="22"/>
          <w:lang w:eastAsia="ja-JP"/>
        </w:rPr>
        <w:t>E</w:t>
      </w:r>
      <w:r w:rsidRPr="00A9019C">
        <w:rPr>
          <w:rFonts w:cs="Arial"/>
          <w:sz w:val="22"/>
          <w:szCs w:val="22"/>
          <w:lang w:eastAsia="ja-JP"/>
        </w:rPr>
        <w:t>ckmann</w:t>
      </w:r>
      <w:bookmarkEnd w:id="319"/>
      <w:r w:rsidR="008D09FA">
        <w:rPr>
          <w:rFonts w:cs="Arial"/>
          <w:sz w:val="22"/>
          <w:szCs w:val="22"/>
          <w:lang w:eastAsia="ja-JP"/>
        </w:rPr>
        <w:t xml:space="preserve"> C, Lawson W, Nathwani D, Solem C, Stephens J, et al. Antibiotic treatment patterns across Europe in patients with complicated skin and soft-tissue infections due to meticilin-resistant </w:t>
      </w:r>
      <w:r w:rsidR="008D09FA">
        <w:rPr>
          <w:rFonts w:cs="Arial"/>
          <w:i/>
          <w:sz w:val="22"/>
          <w:szCs w:val="22"/>
          <w:lang w:eastAsia="ja-JP"/>
        </w:rPr>
        <w:t xml:space="preserve">Staphylococcus aureus: </w:t>
      </w:r>
      <w:r w:rsidR="008D09FA">
        <w:rPr>
          <w:rFonts w:cs="Arial"/>
          <w:sz w:val="22"/>
          <w:szCs w:val="22"/>
          <w:lang w:eastAsia="ja-JP"/>
        </w:rPr>
        <w:t>A plea for implementation of early switch and discharge criteria.  Int J Antimicrob Agents 44(2014) 56-64.</w:t>
      </w:r>
    </w:p>
    <w:p w14:paraId="0BECA1ED" w14:textId="5903DCDB" w:rsidR="003C6B42" w:rsidRPr="00A9019C"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0" w:name="_Ref284186765"/>
      <w:r w:rsidRPr="00A9019C">
        <w:rPr>
          <w:rFonts w:eastAsia="Times New Roman" w:cs="Arial"/>
          <w:sz w:val="22"/>
          <w:szCs w:val="22"/>
        </w:rPr>
        <w:t>B</w:t>
      </w:r>
      <w:r w:rsidR="008D09FA">
        <w:rPr>
          <w:rFonts w:eastAsia="Times New Roman" w:cs="Arial"/>
          <w:sz w:val="22"/>
          <w:szCs w:val="22"/>
        </w:rPr>
        <w:t xml:space="preserve">assetti M, Baguneid M Bouza E, </w:t>
      </w:r>
      <w:r w:rsidRPr="00A9019C">
        <w:rPr>
          <w:rFonts w:eastAsia="Times New Roman" w:cs="Arial"/>
          <w:sz w:val="22"/>
          <w:szCs w:val="22"/>
        </w:rPr>
        <w:t>Dryden M, Nathwani D, Wilcox M. European perspective and update on the management of complicated skin and soft tissue infections due to methicillin-resistant Staphylococcus aureus after more than 10 years of experience with linezolid. Clin Microbiol Infect. 2014 Apr;20 Suppl 4:3-18. doi: 10.1111/1469-0691.12463.</w:t>
      </w:r>
      <w:bookmarkEnd w:id="320"/>
    </w:p>
    <w:p w14:paraId="100CB447" w14:textId="447944A8" w:rsidR="003C6B42" w:rsidRPr="00A9019C"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1" w:name="_Ref284186904"/>
      <w:r w:rsidRPr="00A9019C">
        <w:rPr>
          <w:rFonts w:eastAsia="Times New Roman" w:cs="Arial"/>
          <w:sz w:val="22"/>
          <w:szCs w:val="22"/>
        </w:rPr>
        <w:t xml:space="preserve">Locke </w:t>
      </w:r>
      <w:bookmarkEnd w:id="321"/>
      <w:r w:rsidR="002441B8">
        <w:rPr>
          <w:rFonts w:eastAsia="Times New Roman" w:cs="Arial"/>
          <w:sz w:val="22"/>
          <w:szCs w:val="22"/>
        </w:rPr>
        <w:t xml:space="preserve">J, </w:t>
      </w:r>
      <w:r w:rsidR="0079304D">
        <w:rPr>
          <w:rFonts w:eastAsia="Times New Roman" w:cs="Arial"/>
          <w:sz w:val="22"/>
          <w:szCs w:val="22"/>
        </w:rPr>
        <w:t>Zurenko G, Shaw K and Bartizal, K. Tedizolid for the Management of Human Infections: In Vitro Characteristics. CID. 2014:58 (supp 1) S35-S42</w:t>
      </w:r>
    </w:p>
    <w:p w14:paraId="526CBD97" w14:textId="74F95A53" w:rsidR="003C6B42" w:rsidRPr="00BF78AD"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2" w:name="_Ref284186927"/>
      <w:r w:rsidRPr="00BF78AD">
        <w:rPr>
          <w:rFonts w:eastAsia="Times New Roman" w:cs="Arial"/>
          <w:sz w:val="22"/>
          <w:szCs w:val="22"/>
        </w:rPr>
        <w:t xml:space="preserve">Shaw </w:t>
      </w:r>
      <w:bookmarkEnd w:id="322"/>
      <w:r w:rsidR="00BF78AD" w:rsidRPr="00BF78AD">
        <w:rPr>
          <w:rFonts w:eastAsia="Times New Roman" w:cs="Arial"/>
          <w:sz w:val="22"/>
          <w:szCs w:val="22"/>
        </w:rPr>
        <w:t>K, Poppe S, Schaadt R, Brown-Driver V, Finn J, et al. In Vitro Activity of TR-700, the Antibacterial Moiety of the Prodrug TR-701, against Linezolid-Resistant Strains. Antimicrob. Agents and Chemther. 2008; 52(12) 4442-4447.</w:t>
      </w:r>
    </w:p>
    <w:p w14:paraId="21CF1395" w14:textId="7240B693" w:rsidR="00BF78AD" w:rsidRPr="00BF78AD"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3" w:name="_Ref284186948"/>
      <w:r w:rsidRPr="00BF78AD">
        <w:rPr>
          <w:rFonts w:eastAsia="Times New Roman" w:cs="Arial"/>
          <w:sz w:val="22"/>
          <w:szCs w:val="22"/>
        </w:rPr>
        <w:t xml:space="preserve">Vrijens </w:t>
      </w:r>
      <w:r w:rsidR="00BF78AD" w:rsidRPr="00BF78AD">
        <w:rPr>
          <w:rFonts w:eastAsia="Times New Roman" w:cs="Arial"/>
          <w:sz w:val="22"/>
          <w:szCs w:val="22"/>
        </w:rPr>
        <w:t xml:space="preserve">B </w:t>
      </w:r>
      <w:r w:rsidRPr="00BF78AD">
        <w:rPr>
          <w:rFonts w:eastAsia="Times New Roman" w:cs="Arial"/>
          <w:sz w:val="22"/>
          <w:szCs w:val="22"/>
        </w:rPr>
        <w:t xml:space="preserve">and Urquhart </w:t>
      </w:r>
      <w:r w:rsidR="00BF78AD" w:rsidRPr="00BF78AD">
        <w:rPr>
          <w:rFonts w:eastAsia="Times New Roman" w:cs="Arial"/>
          <w:sz w:val="22"/>
          <w:szCs w:val="22"/>
        </w:rPr>
        <w:t xml:space="preserve">J. Patient adherence to prescribed antimicrobial drug dosing regimens. </w:t>
      </w:r>
      <w:bookmarkStart w:id="324" w:name="_Ref284187083"/>
      <w:bookmarkEnd w:id="323"/>
      <w:r w:rsidR="00BF78AD" w:rsidRPr="00BF78AD">
        <w:rPr>
          <w:rFonts w:cs="Arial"/>
          <w:sz w:val="22"/>
          <w:szCs w:val="22"/>
          <w:lang w:val="en-US" w:eastAsia="ja-JP"/>
        </w:rPr>
        <w:t>J Antimicro</w:t>
      </w:r>
      <w:r w:rsidR="00BF78AD">
        <w:rPr>
          <w:rFonts w:cs="Arial"/>
          <w:sz w:val="22"/>
          <w:szCs w:val="22"/>
          <w:lang w:val="en-US" w:eastAsia="ja-JP"/>
        </w:rPr>
        <w:t>b Chemother</w:t>
      </w:r>
      <w:r w:rsidR="00BF78AD" w:rsidRPr="00BF78AD">
        <w:rPr>
          <w:rFonts w:cs="Arial"/>
          <w:sz w:val="22"/>
          <w:szCs w:val="22"/>
          <w:lang w:val="en-US" w:eastAsia="ja-JP"/>
        </w:rPr>
        <w:t xml:space="preserve"> (2005) 55, 616–627</w:t>
      </w:r>
    </w:p>
    <w:p w14:paraId="60B7823B" w14:textId="202F00F7" w:rsidR="003C6B42" w:rsidRPr="00BF78AD"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5" w:name="_Ref284439811"/>
      <w:r w:rsidRPr="00BF78AD">
        <w:rPr>
          <w:rFonts w:cs="Arial"/>
          <w:noProof/>
          <w:sz w:val="22"/>
          <w:szCs w:val="22"/>
        </w:rPr>
        <w:t>DiNubile MJ, Lipsky BA. Complicated infections of skin and skin structures: when the infection is more than skin deep. J Antimicrob Chemother 2004; 53 Suppl 2, ii37-ii50.</w:t>
      </w:r>
      <w:bookmarkEnd w:id="324"/>
      <w:bookmarkEnd w:id="325"/>
    </w:p>
    <w:p w14:paraId="7B0C0977" w14:textId="7634EEFE" w:rsidR="003C6B42" w:rsidRPr="009E0560" w:rsidRDefault="009E0560" w:rsidP="009025E3">
      <w:pPr>
        <w:pStyle w:val="ListParagraph"/>
        <w:widowControl w:val="0"/>
        <w:numPr>
          <w:ilvl w:val="0"/>
          <w:numId w:val="73"/>
        </w:numPr>
        <w:autoSpaceDE w:val="0"/>
        <w:autoSpaceDN w:val="0"/>
        <w:adjustRightInd w:val="0"/>
        <w:spacing w:after="120"/>
        <w:contextualSpacing w:val="0"/>
        <w:rPr>
          <w:rFonts w:cs="Arial"/>
          <w:sz w:val="22"/>
          <w:szCs w:val="22"/>
          <w:u w:val="single"/>
        </w:rPr>
      </w:pPr>
      <w:bookmarkStart w:id="326" w:name="_Ref284187181"/>
      <w:r>
        <w:rPr>
          <w:rFonts w:cs="Arial"/>
          <w:sz w:val="22"/>
          <w:szCs w:val="22"/>
          <w:u w:val="single"/>
        </w:rPr>
        <w:lastRenderedPageBreak/>
        <w:t xml:space="preserve">(Commercial in Confidence) </w:t>
      </w:r>
      <w:r w:rsidR="003C6B42" w:rsidRPr="009E0560">
        <w:rPr>
          <w:rFonts w:cs="Arial"/>
          <w:sz w:val="22"/>
          <w:szCs w:val="22"/>
          <w:u w:val="single"/>
        </w:rPr>
        <w:t>Arlington Medical Research. Hospital insights data on file.</w:t>
      </w:r>
      <w:bookmarkEnd w:id="326"/>
      <w:r w:rsidR="003C6B42" w:rsidRPr="009E0560">
        <w:rPr>
          <w:rFonts w:cs="Arial"/>
          <w:sz w:val="22"/>
          <w:szCs w:val="22"/>
          <w:u w:val="single"/>
        </w:rPr>
        <w:t xml:space="preserve"> </w:t>
      </w:r>
    </w:p>
    <w:p w14:paraId="383074A1" w14:textId="763C22E5" w:rsidR="00211BCD" w:rsidRPr="00E82DEB" w:rsidRDefault="00211BCD"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7" w:name="_Ref284187549"/>
      <w:r>
        <w:rPr>
          <w:rFonts w:cs="Arial"/>
          <w:sz w:val="22"/>
          <w:szCs w:val="22"/>
        </w:rPr>
        <w:t>Curtis</w:t>
      </w:r>
      <w:r w:rsidR="009E0560">
        <w:rPr>
          <w:rFonts w:cs="Arial"/>
          <w:sz w:val="22"/>
          <w:szCs w:val="22"/>
        </w:rPr>
        <w:t xml:space="preserve"> L. PSSRU. Unit Costs of Health and Social C</w:t>
      </w:r>
      <w:r>
        <w:rPr>
          <w:rFonts w:cs="Arial"/>
          <w:sz w:val="22"/>
          <w:szCs w:val="22"/>
        </w:rPr>
        <w:t>are. 2014.</w:t>
      </w:r>
      <w:bookmarkEnd w:id="327"/>
    </w:p>
    <w:p w14:paraId="17D419FC" w14:textId="37A92B3A" w:rsidR="003C6B42" w:rsidRDefault="003C6B42"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8" w:name="_Ref284187566"/>
      <w:r w:rsidRPr="00E82DEB">
        <w:rPr>
          <w:rFonts w:cs="Arial"/>
          <w:sz w:val="22"/>
          <w:szCs w:val="22"/>
        </w:rPr>
        <w:t xml:space="preserve">Pettigrew M, Thirion DJG, Libman M, Zanotti G. Cost comparison of linezolid versus vancomycin for treatment of complicated skin and skin-structure infection caused by methicillin-resistant </w:t>
      </w:r>
      <w:r w:rsidRPr="00BF78AD">
        <w:rPr>
          <w:rFonts w:cs="Arial"/>
          <w:i/>
          <w:sz w:val="22"/>
          <w:szCs w:val="22"/>
        </w:rPr>
        <w:t>Staphylococcus aureus</w:t>
      </w:r>
      <w:r w:rsidRPr="00E82DEB">
        <w:rPr>
          <w:rFonts w:cs="Arial"/>
          <w:sz w:val="22"/>
          <w:szCs w:val="22"/>
        </w:rPr>
        <w:t xml:space="preserve"> in Quebec</w:t>
      </w:r>
      <w:r w:rsidR="00BF78AD">
        <w:rPr>
          <w:rFonts w:cs="Arial"/>
          <w:sz w:val="22"/>
          <w:szCs w:val="22"/>
        </w:rPr>
        <w:t>.</w:t>
      </w:r>
      <w:r w:rsidRPr="00E82DEB">
        <w:rPr>
          <w:rFonts w:cs="Arial"/>
          <w:sz w:val="22"/>
          <w:szCs w:val="22"/>
        </w:rPr>
        <w:t xml:space="preserve"> Can J Infect Dis Med Microbiol. 2012 Winter; 23(4): 187–195. PMCID: PMC3597396</w:t>
      </w:r>
      <w:bookmarkEnd w:id="328"/>
    </w:p>
    <w:p w14:paraId="3EF5A6D9" w14:textId="70473123" w:rsidR="003C6B42" w:rsidRPr="00E82DEB" w:rsidRDefault="009E0560" w:rsidP="009025E3">
      <w:pPr>
        <w:pStyle w:val="ListParagraph"/>
        <w:widowControl w:val="0"/>
        <w:numPr>
          <w:ilvl w:val="0"/>
          <w:numId w:val="73"/>
        </w:numPr>
        <w:autoSpaceDE w:val="0"/>
        <w:autoSpaceDN w:val="0"/>
        <w:adjustRightInd w:val="0"/>
        <w:spacing w:after="120"/>
        <w:contextualSpacing w:val="0"/>
        <w:rPr>
          <w:rFonts w:cs="Arial"/>
          <w:sz w:val="22"/>
          <w:szCs w:val="22"/>
        </w:rPr>
      </w:pPr>
      <w:bookmarkStart w:id="329" w:name="_Ref284177052"/>
      <w:r>
        <w:rPr>
          <w:rFonts w:eastAsia="Times New Roman" w:cs="Arial"/>
          <w:sz w:val="22"/>
          <w:szCs w:val="22"/>
          <w:u w:val="single"/>
        </w:rPr>
        <w:t xml:space="preserve">(Commercial in Confidence) </w:t>
      </w:r>
      <w:r w:rsidR="00F746B7" w:rsidRPr="009E0560">
        <w:rPr>
          <w:rFonts w:eastAsia="Times New Roman" w:cs="Arial"/>
          <w:sz w:val="22"/>
          <w:szCs w:val="22"/>
          <w:u w:val="single"/>
        </w:rPr>
        <w:t>York Health Economic</w:t>
      </w:r>
      <w:r w:rsidRPr="009E0560">
        <w:rPr>
          <w:rFonts w:eastAsia="Times New Roman" w:cs="Arial"/>
          <w:sz w:val="22"/>
          <w:szCs w:val="22"/>
          <w:u w:val="single"/>
        </w:rPr>
        <w:t>s</w:t>
      </w:r>
      <w:r w:rsidR="00F746B7" w:rsidRPr="009E0560">
        <w:rPr>
          <w:rFonts w:eastAsia="Times New Roman" w:cs="Arial"/>
          <w:sz w:val="22"/>
          <w:szCs w:val="22"/>
          <w:u w:val="single"/>
        </w:rPr>
        <w:t xml:space="preserve"> Consortium. </w:t>
      </w:r>
      <w:r w:rsidRPr="009E0560">
        <w:rPr>
          <w:rFonts w:eastAsia="Times New Roman" w:cs="Arial"/>
          <w:sz w:val="22"/>
          <w:szCs w:val="22"/>
          <w:u w:val="single"/>
        </w:rPr>
        <w:t xml:space="preserve">Systematic Review and Network Meta-Analysis of Tedizolid for the treatment of MRSA-Associated Acute Bacterial Skin and Soft tissue Infections. December </w:t>
      </w:r>
      <w:r w:rsidR="00F746B7" w:rsidRPr="009E0560">
        <w:rPr>
          <w:rFonts w:eastAsia="Times New Roman" w:cs="Arial"/>
          <w:sz w:val="22"/>
          <w:szCs w:val="22"/>
          <w:u w:val="single"/>
        </w:rPr>
        <w:t>2014</w:t>
      </w:r>
      <w:bookmarkEnd w:id="329"/>
      <w:r>
        <w:rPr>
          <w:rFonts w:cs="Arial"/>
          <w:sz w:val="22"/>
          <w:szCs w:val="22"/>
        </w:rPr>
        <w:t>.</w:t>
      </w:r>
    </w:p>
    <w:p w14:paraId="3B4E2A5F" w14:textId="710EA58D" w:rsidR="00075718" w:rsidRDefault="003C6B42" w:rsidP="003C6B42">
      <w:pPr>
        <w:ind w:left="357" w:hanging="357"/>
        <w:jc w:val="both"/>
        <w:rPr>
          <w:rFonts w:cs="Arial"/>
          <w:b/>
          <w:szCs w:val="24"/>
        </w:rPr>
      </w:pPr>
      <w:r w:rsidRPr="00E82DEB">
        <w:rPr>
          <w:rStyle w:val="Authors"/>
          <w:rFonts w:cs="Arial"/>
          <w:sz w:val="22"/>
          <w:szCs w:val="22"/>
        </w:rPr>
        <w:fldChar w:fldCharType="end"/>
      </w:r>
      <w:r w:rsidR="00075718">
        <w:rPr>
          <w:rFonts w:cs="Arial"/>
          <w:b/>
          <w:szCs w:val="24"/>
        </w:rPr>
        <w:br w:type="page"/>
      </w:r>
    </w:p>
    <w:p w14:paraId="35B5DB2C" w14:textId="3B515C49" w:rsidR="0048265F" w:rsidRPr="00075718" w:rsidRDefault="0048265F" w:rsidP="0048265F">
      <w:pPr>
        <w:pBdr>
          <w:top w:val="single" w:sz="4" w:space="0" w:color="auto"/>
          <w:bottom w:val="single" w:sz="4" w:space="1" w:color="auto"/>
        </w:pBdr>
        <w:spacing w:line="360" w:lineRule="auto"/>
        <w:rPr>
          <w:rFonts w:cs="Arial"/>
          <w:b/>
          <w:szCs w:val="24"/>
        </w:rPr>
      </w:pPr>
      <w:r w:rsidRPr="00075718">
        <w:rPr>
          <w:rFonts w:cs="Arial"/>
          <w:b/>
          <w:szCs w:val="24"/>
        </w:rPr>
        <w:lastRenderedPageBreak/>
        <w:t xml:space="preserve">Appendices </w:t>
      </w:r>
    </w:p>
    <w:p w14:paraId="1CA5E939" w14:textId="77777777" w:rsidR="0048265F" w:rsidRPr="008E4E92" w:rsidRDefault="0048265F" w:rsidP="0048265F">
      <w:pPr>
        <w:jc w:val="both"/>
        <w:rPr>
          <w:rFonts w:cs="Arial"/>
          <w:sz w:val="22"/>
          <w:szCs w:val="22"/>
        </w:rPr>
      </w:pPr>
    </w:p>
    <w:p w14:paraId="1BF3FD41" w14:textId="39B9DC96" w:rsidR="0048265F" w:rsidRPr="00075718" w:rsidRDefault="0048265F" w:rsidP="00C257C6">
      <w:pPr>
        <w:rPr>
          <w:rFonts w:cs="Arial"/>
          <w:b/>
          <w:sz w:val="22"/>
          <w:szCs w:val="22"/>
          <w:lang w:eastAsia="ja-JP"/>
        </w:rPr>
      </w:pPr>
      <w:r w:rsidRPr="00075718">
        <w:rPr>
          <w:rFonts w:cs="Arial"/>
          <w:b/>
          <w:sz w:val="22"/>
          <w:szCs w:val="22"/>
          <w:lang w:eastAsia="ja-JP"/>
        </w:rPr>
        <w:t>Appendix A</w:t>
      </w:r>
      <w:r w:rsidRPr="00075718">
        <w:rPr>
          <w:rFonts w:cs="Arial"/>
          <w:b/>
          <w:sz w:val="22"/>
          <w:szCs w:val="22"/>
          <w:lang w:eastAsia="ja-JP"/>
        </w:rPr>
        <w:tab/>
        <w:t>Overview of the tedizolid clinical development programme</w:t>
      </w:r>
    </w:p>
    <w:p w14:paraId="40BC4DC9" w14:textId="77777777" w:rsidR="00075718" w:rsidRDefault="00075718" w:rsidP="0048265F">
      <w:pPr>
        <w:ind w:left="1440" w:hanging="1440"/>
        <w:rPr>
          <w:rFonts w:cs="Arial"/>
          <w:sz w:val="22"/>
          <w:szCs w:val="22"/>
          <w:lang w:eastAsia="ja-JP"/>
        </w:rPr>
      </w:pPr>
    </w:p>
    <w:p w14:paraId="1300F89B" w14:textId="6491C869" w:rsidR="00075718" w:rsidRDefault="00075718" w:rsidP="0048265F">
      <w:pPr>
        <w:ind w:left="1440" w:hanging="1440"/>
        <w:rPr>
          <w:rFonts w:cs="Arial"/>
          <w:sz w:val="22"/>
          <w:szCs w:val="22"/>
          <w:lang w:eastAsia="ja-JP"/>
        </w:rPr>
      </w:pPr>
      <w:r>
        <w:rPr>
          <w:b/>
          <w:noProof/>
          <w:lang w:eastAsia="en-GB"/>
        </w:rPr>
        <w:lastRenderedPageBreak/>
        <w:drawing>
          <wp:inline distT="0" distB="0" distL="0" distR="0" wp14:anchorId="47C253F0" wp14:editId="2A711CEF">
            <wp:extent cx="5797550" cy="7050405"/>
            <wp:effectExtent l="0" t="0" r="0"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7585" cy="7050448"/>
                    </a:xfrm>
                    <a:prstGeom prst="rect">
                      <a:avLst/>
                    </a:prstGeom>
                    <a:noFill/>
                    <a:ln>
                      <a:noFill/>
                    </a:ln>
                  </pic:spPr>
                </pic:pic>
              </a:graphicData>
            </a:graphic>
          </wp:inline>
        </w:drawing>
      </w:r>
    </w:p>
    <w:p w14:paraId="274E0AF5" w14:textId="77777777" w:rsidR="00075718" w:rsidRDefault="00075718" w:rsidP="0048265F">
      <w:pPr>
        <w:ind w:left="1440" w:hanging="1440"/>
        <w:rPr>
          <w:rFonts w:cs="Arial"/>
          <w:sz w:val="22"/>
          <w:szCs w:val="22"/>
          <w:lang w:eastAsia="ja-JP"/>
        </w:rPr>
      </w:pPr>
    </w:p>
    <w:p w14:paraId="780718C4" w14:textId="6D1319E9" w:rsidR="00075718" w:rsidRDefault="00075718" w:rsidP="0048265F">
      <w:pPr>
        <w:ind w:left="1440" w:hanging="1440"/>
        <w:rPr>
          <w:rFonts w:cs="Arial"/>
          <w:sz w:val="22"/>
          <w:szCs w:val="22"/>
          <w:lang w:eastAsia="ja-JP"/>
        </w:rPr>
      </w:pPr>
      <w:r>
        <w:rPr>
          <w:b/>
          <w:noProof/>
          <w:lang w:eastAsia="en-GB"/>
        </w:rPr>
        <w:lastRenderedPageBreak/>
        <w:drawing>
          <wp:inline distT="0" distB="0" distL="0" distR="0" wp14:anchorId="10D5ECF8" wp14:editId="3E120E4E">
            <wp:extent cx="5588000" cy="7084060"/>
            <wp:effectExtent l="0" t="0" r="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8472" cy="7084658"/>
                    </a:xfrm>
                    <a:prstGeom prst="rect">
                      <a:avLst/>
                    </a:prstGeom>
                    <a:noFill/>
                    <a:ln>
                      <a:noFill/>
                    </a:ln>
                  </pic:spPr>
                </pic:pic>
              </a:graphicData>
            </a:graphic>
          </wp:inline>
        </w:drawing>
      </w:r>
    </w:p>
    <w:p w14:paraId="17DA577B" w14:textId="77777777" w:rsidR="00075718" w:rsidRDefault="00075718">
      <w:pPr>
        <w:ind w:left="357" w:hanging="357"/>
        <w:jc w:val="both"/>
        <w:rPr>
          <w:rFonts w:cs="Arial"/>
          <w:sz w:val="22"/>
          <w:szCs w:val="22"/>
          <w:lang w:eastAsia="ja-JP"/>
        </w:rPr>
      </w:pPr>
      <w:r>
        <w:rPr>
          <w:rFonts w:cs="Arial"/>
          <w:sz w:val="22"/>
          <w:szCs w:val="22"/>
          <w:lang w:eastAsia="ja-JP"/>
        </w:rPr>
        <w:lastRenderedPageBreak/>
        <w:br w:type="page"/>
      </w:r>
    </w:p>
    <w:p w14:paraId="7FC6470B" w14:textId="77777777" w:rsidR="00D6146A" w:rsidRDefault="0048265F" w:rsidP="00D6146A">
      <w:pPr>
        <w:rPr>
          <w:rFonts w:cs="Arial"/>
          <w:b/>
          <w:sz w:val="22"/>
          <w:szCs w:val="22"/>
          <w:lang w:eastAsia="ja-JP"/>
        </w:rPr>
      </w:pPr>
      <w:r w:rsidRPr="00075718">
        <w:rPr>
          <w:rFonts w:cs="Arial"/>
          <w:b/>
          <w:sz w:val="22"/>
          <w:szCs w:val="22"/>
          <w:lang w:eastAsia="ja-JP"/>
        </w:rPr>
        <w:lastRenderedPageBreak/>
        <w:t>Appendix B</w:t>
      </w:r>
      <w:r w:rsidRPr="00075718">
        <w:rPr>
          <w:rFonts w:cs="Arial"/>
          <w:b/>
          <w:sz w:val="22"/>
          <w:szCs w:val="22"/>
          <w:lang w:eastAsia="ja-JP"/>
        </w:rPr>
        <w:tab/>
      </w:r>
    </w:p>
    <w:p w14:paraId="4C56E9ED" w14:textId="77777777" w:rsidR="00D6146A" w:rsidRDefault="00D6146A" w:rsidP="00D6146A">
      <w:pPr>
        <w:rPr>
          <w:rFonts w:cs="Arial"/>
          <w:b/>
          <w:sz w:val="22"/>
          <w:szCs w:val="22"/>
          <w:lang w:eastAsia="ja-JP"/>
        </w:rPr>
      </w:pPr>
    </w:p>
    <w:p w14:paraId="7C361984" w14:textId="3D59076F" w:rsidR="00075718" w:rsidRPr="00D6146A" w:rsidRDefault="00D6146A" w:rsidP="00D6146A">
      <w:pPr>
        <w:rPr>
          <w:b/>
          <w:sz w:val="22"/>
          <w:szCs w:val="22"/>
        </w:rPr>
      </w:pPr>
      <w:r w:rsidRPr="00C60D04">
        <w:rPr>
          <w:b/>
          <w:sz w:val="22"/>
          <w:szCs w:val="22"/>
        </w:rPr>
        <w:t>Demographic and baseline characteris</w:t>
      </w:r>
      <w:r>
        <w:rPr>
          <w:b/>
          <w:sz w:val="22"/>
          <w:szCs w:val="22"/>
        </w:rPr>
        <w:t>tics for the pooled ESTABLISH-</w:t>
      </w:r>
      <w:r w:rsidRPr="00C60D04">
        <w:rPr>
          <w:b/>
          <w:sz w:val="22"/>
          <w:szCs w:val="22"/>
        </w:rPr>
        <w:t xml:space="preserve">and ESTABLISH-2 populations (ITT) </w:t>
      </w:r>
    </w:p>
    <w:p w14:paraId="43DC296F" w14:textId="77777777" w:rsidR="00075718" w:rsidRPr="00C60D04" w:rsidRDefault="00075718" w:rsidP="00075718">
      <w:pPr>
        <w:rPr>
          <w:b/>
          <w:sz w:val="22"/>
          <w:szCs w:val="22"/>
        </w:rPr>
      </w:pPr>
    </w:p>
    <w:p w14:paraId="702E60B6" w14:textId="77777777" w:rsidR="00075718" w:rsidRPr="00D6146A" w:rsidRDefault="00075718" w:rsidP="00C35C1F">
      <w:pPr>
        <w:pStyle w:val="ListParagraph"/>
        <w:numPr>
          <w:ilvl w:val="0"/>
          <w:numId w:val="72"/>
        </w:numPr>
        <w:rPr>
          <w:b/>
          <w:sz w:val="22"/>
          <w:szCs w:val="22"/>
        </w:rPr>
      </w:pPr>
      <w:r w:rsidRPr="00D6146A">
        <w:rPr>
          <w:b/>
          <w:sz w:val="22"/>
          <w:szCs w:val="22"/>
        </w:rPr>
        <w:t>Demographics in the pooled analysis of Phase 3 trial data</w:t>
      </w:r>
    </w:p>
    <w:p w14:paraId="3E411AB5" w14:textId="77777777" w:rsidR="00075718" w:rsidRPr="00C60D04" w:rsidRDefault="00075718" w:rsidP="00075718">
      <w:pPr>
        <w:pStyle w:val="Caption"/>
        <w:rPr>
          <w:rFonts w:ascii="Arial" w:hAnsi="Arial"/>
          <w:lang w:val="en-US"/>
        </w:rPr>
      </w:pPr>
      <w:bookmarkStart w:id="330" w:name="_Ref384204739"/>
      <w:bookmarkStart w:id="331" w:name="_Toc396058446"/>
      <w:r w:rsidRPr="00C60D04">
        <w:rPr>
          <w:rFonts w:ascii="Arial" w:hAnsi="Arial"/>
          <w:sz w:val="22"/>
          <w:szCs w:val="22"/>
          <w:lang w:val="en-US"/>
        </w:rPr>
        <w:t xml:space="preserve">Table </w:t>
      </w:r>
      <w:r w:rsidRPr="00C60D04">
        <w:rPr>
          <w:rFonts w:ascii="Arial" w:hAnsi="Arial"/>
          <w:sz w:val="22"/>
          <w:szCs w:val="22"/>
          <w:lang w:val="en-US"/>
        </w:rPr>
        <w:fldChar w:fldCharType="begin"/>
      </w:r>
      <w:r w:rsidRPr="00C60D04">
        <w:rPr>
          <w:rFonts w:ascii="Arial" w:hAnsi="Arial"/>
          <w:sz w:val="22"/>
          <w:szCs w:val="22"/>
          <w:lang w:val="en-US"/>
        </w:rPr>
        <w:instrText xml:space="preserve"> SEQ Table \* ARABIC </w:instrText>
      </w:r>
      <w:r w:rsidRPr="00C60D04">
        <w:rPr>
          <w:rFonts w:ascii="Arial" w:hAnsi="Arial"/>
          <w:sz w:val="22"/>
          <w:szCs w:val="22"/>
          <w:lang w:val="en-US"/>
        </w:rPr>
        <w:fldChar w:fldCharType="separate"/>
      </w:r>
      <w:r w:rsidR="00151A1C">
        <w:rPr>
          <w:rFonts w:ascii="Arial" w:hAnsi="Arial"/>
          <w:noProof/>
          <w:sz w:val="22"/>
          <w:szCs w:val="22"/>
          <w:lang w:val="en-US"/>
        </w:rPr>
        <w:t>62</w:t>
      </w:r>
      <w:r w:rsidRPr="00C60D04">
        <w:rPr>
          <w:rFonts w:ascii="Arial" w:hAnsi="Arial"/>
          <w:sz w:val="22"/>
          <w:szCs w:val="22"/>
          <w:lang w:val="en-US"/>
        </w:rPr>
        <w:fldChar w:fldCharType="end"/>
      </w:r>
      <w:bookmarkEnd w:id="330"/>
      <w:r w:rsidRPr="00C60D04">
        <w:rPr>
          <w:rFonts w:ascii="Arial" w:hAnsi="Arial"/>
          <w:sz w:val="22"/>
          <w:szCs w:val="22"/>
          <w:lang w:val="en-US"/>
        </w:rPr>
        <w:t>: Baseline demographics in the pooled analysis of Phase 3 trial data (ITT population</w:t>
      </w:r>
      <w:r w:rsidRPr="00C60D04">
        <w:rPr>
          <w:rFonts w:ascii="Arial" w:hAnsi="Arial"/>
          <w:lang w:val="en-US"/>
        </w:rPr>
        <w:t>)</w:t>
      </w:r>
      <w:bookmarkEnd w:id="331"/>
    </w:p>
    <w:tbl>
      <w:tblPr>
        <w:tblStyle w:val="Table-HERONplain"/>
        <w:tblW w:w="4942" w:type="pct"/>
        <w:tblInd w:w="108" w:type="dxa"/>
        <w:tblLook w:val="04A0" w:firstRow="1" w:lastRow="0" w:firstColumn="1" w:lastColumn="0" w:noHBand="0" w:noVBand="1"/>
      </w:tblPr>
      <w:tblGrid>
        <w:gridCol w:w="2552"/>
        <w:gridCol w:w="2550"/>
        <w:gridCol w:w="3809"/>
      </w:tblGrid>
      <w:tr w:rsidR="00075718" w:rsidRPr="00D6146A" w14:paraId="6A5C0E4F" w14:textId="77777777" w:rsidTr="009B353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62AA5D81"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Characteristic</w:t>
            </w:r>
          </w:p>
        </w:tc>
        <w:tc>
          <w:tcPr>
            <w:tcW w:w="1431" w:type="pct"/>
            <w:shd w:val="clear" w:color="auto" w:fill="auto"/>
          </w:tcPr>
          <w:p w14:paraId="3CD21034"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w:t>
            </w:r>
          </w:p>
          <w:p w14:paraId="61C47BC5"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(N=664)</w:t>
            </w:r>
          </w:p>
        </w:tc>
        <w:tc>
          <w:tcPr>
            <w:tcW w:w="2137" w:type="pct"/>
            <w:shd w:val="clear" w:color="auto" w:fill="auto"/>
          </w:tcPr>
          <w:p w14:paraId="49CD2F73"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w:t>
            </w:r>
          </w:p>
          <w:p w14:paraId="5FA2246B"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(N=669)</w:t>
            </w:r>
          </w:p>
        </w:tc>
      </w:tr>
      <w:tr w:rsidR="00075718" w:rsidRPr="00D6146A" w14:paraId="0D9BEB56"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689DED0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Sex, n (%)</w:t>
            </w:r>
          </w:p>
        </w:tc>
      </w:tr>
      <w:tr w:rsidR="00075718" w:rsidRPr="00D6146A" w14:paraId="6E5870AC"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319FED0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Female</w:t>
            </w:r>
          </w:p>
        </w:tc>
        <w:tc>
          <w:tcPr>
            <w:tcW w:w="1431" w:type="pct"/>
            <w:vAlign w:val="top"/>
            <w:hideMark/>
          </w:tcPr>
          <w:p w14:paraId="5F54F484"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235 (35.4) </w:t>
            </w:r>
          </w:p>
        </w:tc>
        <w:tc>
          <w:tcPr>
            <w:tcW w:w="2137" w:type="pct"/>
            <w:vAlign w:val="top"/>
            <w:hideMark/>
          </w:tcPr>
          <w:p w14:paraId="59355706"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257 (38.4) </w:t>
            </w:r>
          </w:p>
        </w:tc>
      </w:tr>
      <w:tr w:rsidR="00075718" w:rsidRPr="00D6146A" w14:paraId="080F2C50"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51E75B1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Male</w:t>
            </w:r>
          </w:p>
        </w:tc>
        <w:tc>
          <w:tcPr>
            <w:tcW w:w="1431" w:type="pct"/>
            <w:vAlign w:val="top"/>
            <w:hideMark/>
          </w:tcPr>
          <w:p w14:paraId="339F3F4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429 (64.6) </w:t>
            </w:r>
          </w:p>
        </w:tc>
        <w:tc>
          <w:tcPr>
            <w:tcW w:w="2137" w:type="pct"/>
            <w:vAlign w:val="top"/>
            <w:hideMark/>
          </w:tcPr>
          <w:p w14:paraId="7F4B552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412 (61.6) </w:t>
            </w:r>
          </w:p>
        </w:tc>
      </w:tr>
      <w:tr w:rsidR="00075718" w:rsidRPr="00D6146A" w14:paraId="7B119F9C"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top"/>
            <w:hideMark/>
          </w:tcPr>
          <w:p w14:paraId="4923BCDF"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Age, years</w:t>
            </w:r>
          </w:p>
        </w:tc>
      </w:tr>
      <w:tr w:rsidR="00075718" w:rsidRPr="00D6146A" w14:paraId="2B424C21"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vAlign w:val="top"/>
            <w:hideMark/>
          </w:tcPr>
          <w:p w14:paraId="6E251363"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Mean</w:t>
            </w:r>
          </w:p>
        </w:tc>
        <w:tc>
          <w:tcPr>
            <w:tcW w:w="1431" w:type="pct"/>
            <w:vAlign w:val="top"/>
            <w:hideMark/>
          </w:tcPr>
          <w:p w14:paraId="1F65B693"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44.6 </w:t>
            </w:r>
          </w:p>
        </w:tc>
        <w:tc>
          <w:tcPr>
            <w:tcW w:w="2137" w:type="pct"/>
            <w:vAlign w:val="top"/>
            <w:hideMark/>
          </w:tcPr>
          <w:p w14:paraId="1C19F7C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44.3 </w:t>
            </w:r>
          </w:p>
        </w:tc>
      </w:tr>
      <w:tr w:rsidR="00075718" w:rsidRPr="00D6146A" w14:paraId="6B10A6C2"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296F5D7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SD</w:t>
            </w:r>
          </w:p>
        </w:tc>
        <w:tc>
          <w:tcPr>
            <w:tcW w:w="1431" w:type="pct"/>
            <w:vAlign w:val="top"/>
            <w:hideMark/>
          </w:tcPr>
          <w:p w14:paraId="30625389"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15.40 </w:t>
            </w:r>
          </w:p>
        </w:tc>
        <w:tc>
          <w:tcPr>
            <w:tcW w:w="2137" w:type="pct"/>
            <w:vAlign w:val="top"/>
            <w:hideMark/>
          </w:tcPr>
          <w:p w14:paraId="472B816A"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15.36 </w:t>
            </w:r>
          </w:p>
        </w:tc>
      </w:tr>
      <w:tr w:rsidR="00075718" w:rsidRPr="00D6146A" w14:paraId="76F4302B"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78DA45D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Median</w:t>
            </w:r>
          </w:p>
        </w:tc>
        <w:tc>
          <w:tcPr>
            <w:tcW w:w="1431" w:type="pct"/>
            <w:vAlign w:val="top"/>
            <w:hideMark/>
          </w:tcPr>
          <w:p w14:paraId="68B6B341"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44.5 </w:t>
            </w:r>
          </w:p>
        </w:tc>
        <w:tc>
          <w:tcPr>
            <w:tcW w:w="2137" w:type="pct"/>
            <w:vAlign w:val="top"/>
            <w:hideMark/>
          </w:tcPr>
          <w:p w14:paraId="4407B694"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44.0 </w:t>
            </w:r>
          </w:p>
        </w:tc>
      </w:tr>
      <w:tr w:rsidR="00075718" w:rsidRPr="00D6146A" w14:paraId="1685682A"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10E8CAC0"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Min, max</w:t>
            </w:r>
          </w:p>
        </w:tc>
        <w:tc>
          <w:tcPr>
            <w:tcW w:w="1431" w:type="pct"/>
            <w:vAlign w:val="top"/>
            <w:hideMark/>
          </w:tcPr>
          <w:p w14:paraId="4DB6D53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17, 86 </w:t>
            </w:r>
          </w:p>
        </w:tc>
        <w:tc>
          <w:tcPr>
            <w:tcW w:w="2137" w:type="pct"/>
            <w:vAlign w:val="top"/>
            <w:hideMark/>
          </w:tcPr>
          <w:p w14:paraId="7A1F1C16"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15, 100 </w:t>
            </w:r>
          </w:p>
        </w:tc>
      </w:tr>
      <w:tr w:rsidR="00075718" w:rsidRPr="00D6146A" w14:paraId="06D13167"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16F9C39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Age group, n (%)</w:t>
            </w:r>
          </w:p>
        </w:tc>
      </w:tr>
      <w:tr w:rsidR="00075718" w:rsidRPr="00D6146A" w14:paraId="7F8C070D"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22610314"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&lt;65 years</w:t>
            </w:r>
          </w:p>
        </w:tc>
        <w:tc>
          <w:tcPr>
            <w:tcW w:w="1431" w:type="pct"/>
            <w:vAlign w:val="top"/>
            <w:hideMark/>
          </w:tcPr>
          <w:p w14:paraId="7EBFD4C1"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592 (89.2) </w:t>
            </w:r>
          </w:p>
        </w:tc>
        <w:tc>
          <w:tcPr>
            <w:tcW w:w="2137" w:type="pct"/>
            <w:vAlign w:val="top"/>
            <w:hideMark/>
          </w:tcPr>
          <w:p w14:paraId="2051DCB0"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610 (91.2) </w:t>
            </w:r>
          </w:p>
        </w:tc>
      </w:tr>
      <w:tr w:rsidR="00075718" w:rsidRPr="00D6146A" w14:paraId="4BB949E0"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39F789F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≥65 years</w:t>
            </w:r>
          </w:p>
        </w:tc>
        <w:tc>
          <w:tcPr>
            <w:tcW w:w="1431" w:type="pct"/>
            <w:vAlign w:val="top"/>
            <w:hideMark/>
          </w:tcPr>
          <w:p w14:paraId="687589F2"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72 (10.8) </w:t>
            </w:r>
          </w:p>
        </w:tc>
        <w:tc>
          <w:tcPr>
            <w:tcW w:w="2137" w:type="pct"/>
            <w:vAlign w:val="top"/>
            <w:hideMark/>
          </w:tcPr>
          <w:p w14:paraId="0039FD5B"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59 (8.8) </w:t>
            </w:r>
          </w:p>
        </w:tc>
      </w:tr>
      <w:tr w:rsidR="00075718" w:rsidRPr="00D6146A" w14:paraId="5044D079"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1E53EA99"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≥75 years</w:t>
            </w:r>
          </w:p>
        </w:tc>
        <w:tc>
          <w:tcPr>
            <w:tcW w:w="1431" w:type="pct"/>
            <w:vAlign w:val="top"/>
            <w:hideMark/>
          </w:tcPr>
          <w:p w14:paraId="145BB7B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24 (3.6) </w:t>
            </w:r>
          </w:p>
        </w:tc>
        <w:tc>
          <w:tcPr>
            <w:tcW w:w="2137" w:type="pct"/>
            <w:vAlign w:val="top"/>
            <w:hideMark/>
          </w:tcPr>
          <w:p w14:paraId="1DA4A46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25 (3.7) </w:t>
            </w:r>
          </w:p>
        </w:tc>
      </w:tr>
      <w:tr w:rsidR="00075718" w:rsidRPr="00D6146A" w14:paraId="1487A8CA"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7AFE9AD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 xml:space="preserve">Ethnicity, n (%) </w:t>
            </w:r>
          </w:p>
        </w:tc>
      </w:tr>
      <w:tr w:rsidR="00075718" w:rsidRPr="00D6146A" w14:paraId="55EC0956"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33631025"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Hispanic or Latino</w:t>
            </w:r>
          </w:p>
        </w:tc>
        <w:tc>
          <w:tcPr>
            <w:tcW w:w="1431" w:type="pct"/>
            <w:vAlign w:val="top"/>
            <w:hideMark/>
          </w:tcPr>
          <w:p w14:paraId="7A6F2F35"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182 (27.4)</w:t>
            </w:r>
          </w:p>
        </w:tc>
        <w:tc>
          <w:tcPr>
            <w:tcW w:w="2137" w:type="pct"/>
            <w:vAlign w:val="top"/>
            <w:hideMark/>
          </w:tcPr>
          <w:p w14:paraId="1673074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171 (25.6) </w:t>
            </w:r>
          </w:p>
        </w:tc>
      </w:tr>
      <w:tr w:rsidR="00075718" w:rsidRPr="00D6146A" w14:paraId="1F71C723"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5B2F0574"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Not Hispanic or Latino</w:t>
            </w:r>
          </w:p>
        </w:tc>
        <w:tc>
          <w:tcPr>
            <w:tcW w:w="1431" w:type="pct"/>
            <w:vAlign w:val="top"/>
            <w:hideMark/>
          </w:tcPr>
          <w:p w14:paraId="35F10B7B" w14:textId="77777777" w:rsidR="00075718" w:rsidRPr="00D6146A" w:rsidRDefault="00075718" w:rsidP="00D6146A">
            <w:pPr>
              <w:pStyle w:val="TableBodyCentered-H52"/>
              <w:tabs>
                <w:tab w:val="left" w:pos="1100"/>
                <w:tab w:val="center" w:pos="1686"/>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482 (72.6)</w:t>
            </w:r>
          </w:p>
        </w:tc>
        <w:tc>
          <w:tcPr>
            <w:tcW w:w="2137" w:type="pct"/>
            <w:vAlign w:val="top"/>
            <w:hideMark/>
          </w:tcPr>
          <w:p w14:paraId="7B524D7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498 (74.4) </w:t>
            </w:r>
          </w:p>
        </w:tc>
      </w:tr>
      <w:tr w:rsidR="00075718" w:rsidRPr="00D6146A" w14:paraId="46AAF11B"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6AF15085"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Race, n (%)</w:t>
            </w:r>
          </w:p>
        </w:tc>
      </w:tr>
      <w:tr w:rsidR="00075718" w:rsidRPr="00D6146A" w14:paraId="06FF054F"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26F07D24"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White</w:t>
            </w:r>
          </w:p>
        </w:tc>
        <w:tc>
          <w:tcPr>
            <w:tcW w:w="1431" w:type="pct"/>
            <w:vAlign w:val="top"/>
            <w:hideMark/>
          </w:tcPr>
          <w:p w14:paraId="72FD89DE"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565 (85.1) </w:t>
            </w:r>
          </w:p>
        </w:tc>
        <w:tc>
          <w:tcPr>
            <w:tcW w:w="2137" w:type="pct"/>
            <w:vAlign w:val="top"/>
            <w:hideMark/>
          </w:tcPr>
          <w:p w14:paraId="039F07E8"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557 (83.3) </w:t>
            </w:r>
          </w:p>
        </w:tc>
      </w:tr>
      <w:tr w:rsidR="00075718" w:rsidRPr="00D6146A" w14:paraId="3B3E4321"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007B59C1"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lastRenderedPageBreak/>
              <w:t>Asian</w:t>
            </w:r>
          </w:p>
        </w:tc>
        <w:tc>
          <w:tcPr>
            <w:tcW w:w="1431" w:type="pct"/>
            <w:vAlign w:val="top"/>
            <w:hideMark/>
          </w:tcPr>
          <w:p w14:paraId="172F017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6 (0.9) </w:t>
            </w:r>
          </w:p>
        </w:tc>
        <w:tc>
          <w:tcPr>
            <w:tcW w:w="2137" w:type="pct"/>
            <w:vAlign w:val="top"/>
            <w:hideMark/>
          </w:tcPr>
          <w:p w14:paraId="0158804A"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14 (2.1) </w:t>
            </w:r>
          </w:p>
        </w:tc>
      </w:tr>
      <w:tr w:rsidR="00075718" w:rsidRPr="00D6146A" w14:paraId="473156EA"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5EA21993"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Black or African American</w:t>
            </w:r>
          </w:p>
        </w:tc>
        <w:tc>
          <w:tcPr>
            <w:tcW w:w="1431" w:type="pct"/>
            <w:vAlign w:val="top"/>
            <w:hideMark/>
          </w:tcPr>
          <w:p w14:paraId="0BBBFC2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77 (11.6) </w:t>
            </w:r>
          </w:p>
        </w:tc>
        <w:tc>
          <w:tcPr>
            <w:tcW w:w="2137" w:type="pct"/>
            <w:vAlign w:val="top"/>
            <w:hideMark/>
          </w:tcPr>
          <w:p w14:paraId="45C58FF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75 (11.2) </w:t>
            </w:r>
          </w:p>
        </w:tc>
      </w:tr>
      <w:tr w:rsidR="00075718" w:rsidRPr="00D6146A" w14:paraId="5ADDC080"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4AE03AD4"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Native Hawaiian or other Pacific Islander</w:t>
            </w:r>
          </w:p>
        </w:tc>
        <w:tc>
          <w:tcPr>
            <w:tcW w:w="1431" w:type="pct"/>
            <w:vAlign w:val="top"/>
            <w:hideMark/>
          </w:tcPr>
          <w:p w14:paraId="173DBF78"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 (0.3) </w:t>
            </w:r>
          </w:p>
        </w:tc>
        <w:tc>
          <w:tcPr>
            <w:tcW w:w="2137" w:type="pct"/>
            <w:vAlign w:val="top"/>
            <w:hideMark/>
          </w:tcPr>
          <w:p w14:paraId="36E71A03"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 (0.4) </w:t>
            </w:r>
          </w:p>
        </w:tc>
      </w:tr>
      <w:tr w:rsidR="00075718" w:rsidRPr="00D6146A" w14:paraId="37209BC1"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082EDF6C"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American Indian or Alaskan Native</w:t>
            </w:r>
          </w:p>
        </w:tc>
        <w:tc>
          <w:tcPr>
            <w:tcW w:w="1431" w:type="pct"/>
            <w:vAlign w:val="top"/>
            <w:hideMark/>
          </w:tcPr>
          <w:p w14:paraId="093DDB73"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 (1.1) </w:t>
            </w:r>
          </w:p>
        </w:tc>
        <w:tc>
          <w:tcPr>
            <w:tcW w:w="2137" w:type="pct"/>
            <w:vAlign w:val="top"/>
            <w:hideMark/>
          </w:tcPr>
          <w:p w14:paraId="25187A82"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9 (1.3) </w:t>
            </w:r>
          </w:p>
        </w:tc>
      </w:tr>
      <w:tr w:rsidR="00075718" w:rsidRPr="00D6146A" w14:paraId="5EFB4199"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7903FC5F"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Other</w:t>
            </w:r>
          </w:p>
        </w:tc>
        <w:tc>
          <w:tcPr>
            <w:tcW w:w="1431" w:type="pct"/>
            <w:vAlign w:val="top"/>
            <w:hideMark/>
          </w:tcPr>
          <w:p w14:paraId="28F5D0BC"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 (1.1) </w:t>
            </w:r>
          </w:p>
        </w:tc>
        <w:tc>
          <w:tcPr>
            <w:tcW w:w="2137" w:type="pct"/>
            <w:vAlign w:val="top"/>
            <w:hideMark/>
          </w:tcPr>
          <w:p w14:paraId="79557876"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11 (1.6) </w:t>
            </w:r>
          </w:p>
        </w:tc>
      </w:tr>
      <w:tr w:rsidR="00075718" w:rsidRPr="00D6146A" w14:paraId="5AF731BA"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681078C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BMI, kg/m</w:t>
            </w:r>
            <w:r w:rsidRPr="00D6146A">
              <w:rPr>
                <w:rStyle w:val="BodyText-SuperScript-H14"/>
                <w:rFonts w:ascii="Arial" w:eastAsiaTheme="majorEastAsia" w:hAnsi="Arial" w:cs="Arial"/>
                <w:sz w:val="22"/>
                <w:szCs w:val="22"/>
                <w:lang w:val="en-US"/>
              </w:rPr>
              <w:t>2</w:t>
            </w:r>
          </w:p>
        </w:tc>
      </w:tr>
      <w:tr w:rsidR="00075718" w:rsidRPr="00D6146A" w14:paraId="5857538B"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583BA3EE"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&lt;30</w:t>
            </w:r>
          </w:p>
        </w:tc>
        <w:tc>
          <w:tcPr>
            <w:tcW w:w="1431" w:type="pct"/>
            <w:vAlign w:val="top"/>
            <w:hideMark/>
          </w:tcPr>
          <w:p w14:paraId="030CC8D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464 (69.9) </w:t>
            </w:r>
          </w:p>
        </w:tc>
        <w:tc>
          <w:tcPr>
            <w:tcW w:w="2137" w:type="pct"/>
            <w:vAlign w:val="top"/>
            <w:hideMark/>
          </w:tcPr>
          <w:p w14:paraId="1C82933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437 (65.3) </w:t>
            </w:r>
          </w:p>
        </w:tc>
      </w:tr>
      <w:tr w:rsidR="00075718" w:rsidRPr="00D6146A" w14:paraId="7570ECF8" w14:textId="77777777" w:rsidTr="009B3534">
        <w:trPr>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292CD7CF"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≥30</w:t>
            </w:r>
          </w:p>
        </w:tc>
        <w:tc>
          <w:tcPr>
            <w:tcW w:w="1431" w:type="pct"/>
            <w:vAlign w:val="top"/>
            <w:hideMark/>
          </w:tcPr>
          <w:p w14:paraId="385FF1A6"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200 (30.1) </w:t>
            </w:r>
          </w:p>
        </w:tc>
        <w:tc>
          <w:tcPr>
            <w:tcW w:w="2137" w:type="pct"/>
            <w:vAlign w:val="top"/>
            <w:hideMark/>
          </w:tcPr>
          <w:p w14:paraId="53C631C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232 (34.7) </w:t>
            </w:r>
          </w:p>
        </w:tc>
      </w:tr>
      <w:tr w:rsidR="00075718" w:rsidRPr="00D6146A" w14:paraId="2E7881ED" w14:textId="77777777" w:rsidTr="009B353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pct"/>
            <w:shd w:val="clear" w:color="auto" w:fill="auto"/>
            <w:hideMark/>
          </w:tcPr>
          <w:p w14:paraId="083FD71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≥35</w:t>
            </w:r>
          </w:p>
        </w:tc>
        <w:tc>
          <w:tcPr>
            <w:tcW w:w="1431" w:type="pct"/>
            <w:vAlign w:val="top"/>
            <w:hideMark/>
          </w:tcPr>
          <w:p w14:paraId="142B3D8A"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95 (14.3) </w:t>
            </w:r>
          </w:p>
        </w:tc>
        <w:tc>
          <w:tcPr>
            <w:tcW w:w="2137" w:type="pct"/>
            <w:vAlign w:val="top"/>
            <w:hideMark/>
          </w:tcPr>
          <w:p w14:paraId="59E482B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86 (12.9) </w:t>
            </w:r>
          </w:p>
        </w:tc>
      </w:tr>
    </w:tbl>
    <w:p w14:paraId="5834EB5B" w14:textId="7FAD1E6A" w:rsidR="00075718" w:rsidRPr="006F3124" w:rsidRDefault="00075718" w:rsidP="00075718">
      <w:pPr>
        <w:pStyle w:val="TableNote-H58"/>
        <w:rPr>
          <w:rFonts w:ascii="Arial" w:hAnsi="Arial" w:cs="Arial"/>
          <w:sz w:val="18"/>
          <w:szCs w:val="18"/>
          <w:lang w:val="en-US"/>
        </w:rPr>
      </w:pPr>
      <w:r w:rsidRPr="006F3124">
        <w:rPr>
          <w:rFonts w:ascii="Arial" w:hAnsi="Arial" w:cs="Arial"/>
          <w:sz w:val="18"/>
          <w:szCs w:val="18"/>
          <w:lang w:val="en-US"/>
        </w:rPr>
        <w:t>SOURCE: ISE 2013</w:t>
      </w:r>
      <w:r w:rsidR="00D75730">
        <w:rPr>
          <w:rFonts w:ascii="Arial" w:hAnsi="Arial" w:cs="Arial"/>
          <w:sz w:val="18"/>
          <w:szCs w:val="18"/>
          <w:lang w:val="en-US"/>
        </w:rPr>
        <w:t xml:space="preserve"> </w:t>
      </w:r>
      <w:r w:rsidR="00D75730">
        <w:rPr>
          <w:rFonts w:ascii="Arial" w:hAnsi="Arial" w:cs="Arial"/>
          <w:sz w:val="18"/>
          <w:szCs w:val="18"/>
          <w:lang w:val="en-US"/>
        </w:rPr>
        <w:fldChar w:fldCharType="begin"/>
      </w:r>
      <w:r w:rsidR="00D75730">
        <w:rPr>
          <w:rFonts w:ascii="Arial" w:hAnsi="Arial" w:cs="Arial"/>
          <w:sz w:val="18"/>
          <w:szCs w:val="18"/>
          <w:lang w:val="en-US"/>
        </w:rPr>
        <w:instrText xml:space="preserve"> REF _Ref284183626 \r \h </w:instrText>
      </w:r>
      <w:r w:rsidR="00D75730">
        <w:rPr>
          <w:rFonts w:ascii="Arial" w:hAnsi="Arial" w:cs="Arial"/>
          <w:sz w:val="18"/>
          <w:szCs w:val="18"/>
          <w:lang w:val="en-US"/>
        </w:rPr>
      </w:r>
      <w:r w:rsidR="00D75730">
        <w:rPr>
          <w:rFonts w:ascii="Arial" w:hAnsi="Arial" w:cs="Arial"/>
          <w:sz w:val="18"/>
          <w:szCs w:val="18"/>
          <w:lang w:val="en-US"/>
        </w:rPr>
        <w:fldChar w:fldCharType="separate"/>
      </w:r>
      <w:r w:rsidR="00151A1C">
        <w:rPr>
          <w:rFonts w:ascii="Arial" w:hAnsi="Arial" w:cs="Arial"/>
          <w:sz w:val="18"/>
          <w:szCs w:val="18"/>
          <w:lang w:val="en-US"/>
        </w:rPr>
        <w:t>51</w:t>
      </w:r>
      <w:r w:rsidR="00D75730">
        <w:rPr>
          <w:rFonts w:ascii="Arial" w:hAnsi="Arial" w:cs="Arial"/>
          <w:sz w:val="18"/>
          <w:szCs w:val="18"/>
          <w:lang w:val="en-US"/>
        </w:rPr>
        <w:fldChar w:fldCharType="end"/>
      </w:r>
      <w:r w:rsidRPr="006F3124">
        <w:rPr>
          <w:rFonts w:ascii="Arial" w:hAnsi="Arial" w:cs="Arial"/>
          <w:sz w:val="18"/>
          <w:szCs w:val="18"/>
          <w:lang w:val="en-US"/>
        </w:rPr>
        <w:t>: section 3.4 Table 51 BMI: Body mass index; ITT: Intent-to-treat; N: Number of patients in population; n: Number of patients in specific category; SD: Standard deviation</w:t>
      </w:r>
    </w:p>
    <w:p w14:paraId="0135E651" w14:textId="77777777" w:rsidR="00075718" w:rsidRPr="00D6146A" w:rsidRDefault="00075718" w:rsidP="00C35C1F">
      <w:pPr>
        <w:pStyle w:val="Heading5"/>
        <w:numPr>
          <w:ilvl w:val="0"/>
          <w:numId w:val="71"/>
        </w:numPr>
        <w:rPr>
          <w:rFonts w:ascii="Arial" w:hAnsi="Arial" w:cs="Arial"/>
          <w:b/>
          <w:color w:val="auto"/>
          <w:sz w:val="22"/>
          <w:szCs w:val="22"/>
          <w:lang w:val="en-US"/>
        </w:rPr>
      </w:pPr>
      <w:r w:rsidRPr="00D6146A">
        <w:rPr>
          <w:rFonts w:ascii="Arial" w:hAnsi="Arial" w:cs="Arial"/>
          <w:b/>
          <w:color w:val="auto"/>
          <w:sz w:val="22"/>
          <w:szCs w:val="22"/>
          <w:lang w:val="en-US"/>
        </w:rPr>
        <w:t>Baseline disease characteristics in the pooled analysis of Phase 3 trial data</w:t>
      </w:r>
    </w:p>
    <w:p w14:paraId="0BD16641" w14:textId="77777777" w:rsidR="00075718" w:rsidRPr="00D6146A" w:rsidRDefault="00075718" w:rsidP="00075718">
      <w:pPr>
        <w:pStyle w:val="BodyText"/>
        <w:rPr>
          <w:rFonts w:cs="Arial"/>
          <w:sz w:val="22"/>
          <w:szCs w:val="22"/>
          <w:lang w:val="en-US"/>
        </w:rPr>
      </w:pPr>
    </w:p>
    <w:p w14:paraId="7B4C8143" w14:textId="6056C2B7" w:rsidR="00075718" w:rsidRPr="00D6146A" w:rsidRDefault="00075718" w:rsidP="00075718">
      <w:pPr>
        <w:pStyle w:val="BodyText"/>
        <w:rPr>
          <w:rFonts w:cs="Arial"/>
          <w:sz w:val="22"/>
          <w:szCs w:val="22"/>
          <w:lang w:val="en-US"/>
        </w:rPr>
      </w:pPr>
      <w:r w:rsidRPr="00D6146A">
        <w:rPr>
          <w:rFonts w:cs="Arial"/>
          <w:sz w:val="22"/>
          <w:szCs w:val="22"/>
          <w:lang w:val="en-US"/>
        </w:rPr>
        <w:t>The most common ABSSSI relevant medical histories, reported in ≥20% of patients in either the tedizolid phosphate or linezolid treatment group, were recent trauma that resulted in primary infection (38.6% vs. 39.8%), current or recent IV drug use (27.6% vs. 30.8%), and previous ABSSSI (22.0% vs. 21.5%)</w:t>
      </w:r>
      <w:r w:rsidR="006F3124" w:rsidRPr="00D75730">
        <w:rPr>
          <w:rFonts w:cs="Arial"/>
          <w:sz w:val="22"/>
          <w:szCs w:val="22"/>
          <w:lang w:val="en-US"/>
        </w:rPr>
        <w:t>(</w:t>
      </w:r>
      <w:r w:rsidR="00D75730" w:rsidRPr="00D75730">
        <w:rPr>
          <w:rFonts w:cs="Arial"/>
          <w:sz w:val="22"/>
          <w:szCs w:val="22"/>
          <w:lang w:val="en-US"/>
        </w:rPr>
        <w:fldChar w:fldCharType="begin"/>
      </w:r>
      <w:r w:rsidR="00D75730" w:rsidRPr="00D75730">
        <w:rPr>
          <w:rFonts w:cs="Arial"/>
          <w:sz w:val="22"/>
          <w:szCs w:val="22"/>
          <w:lang w:val="en-US"/>
        </w:rPr>
        <w:instrText xml:space="preserve"> REF _Ref284183626 \r \h </w:instrText>
      </w:r>
      <w:r w:rsidR="00D75730" w:rsidRPr="00D75730">
        <w:rPr>
          <w:rFonts w:cs="Arial"/>
          <w:sz w:val="22"/>
          <w:szCs w:val="22"/>
          <w:lang w:val="en-US"/>
        </w:rPr>
      </w:r>
      <w:r w:rsidR="00D75730" w:rsidRPr="00D75730">
        <w:rPr>
          <w:rFonts w:cs="Arial"/>
          <w:sz w:val="22"/>
          <w:szCs w:val="22"/>
          <w:lang w:val="en-US"/>
        </w:rPr>
        <w:fldChar w:fldCharType="separate"/>
      </w:r>
      <w:r w:rsidR="00151A1C">
        <w:rPr>
          <w:rFonts w:cs="Arial"/>
          <w:sz w:val="22"/>
          <w:szCs w:val="22"/>
          <w:lang w:val="en-US"/>
        </w:rPr>
        <w:t>51</w:t>
      </w:r>
      <w:r w:rsidR="00D75730" w:rsidRPr="00D75730">
        <w:rPr>
          <w:rFonts w:cs="Arial"/>
          <w:sz w:val="22"/>
          <w:szCs w:val="22"/>
          <w:lang w:val="en-US"/>
        </w:rPr>
        <w:fldChar w:fldCharType="end"/>
      </w:r>
      <w:r w:rsidR="006F3124" w:rsidRPr="00D75730">
        <w:rPr>
          <w:rFonts w:cs="Arial"/>
          <w:sz w:val="22"/>
          <w:szCs w:val="22"/>
          <w:lang w:val="en-US"/>
        </w:rPr>
        <w:t>).</w:t>
      </w:r>
    </w:p>
    <w:p w14:paraId="655455C2" w14:textId="77777777" w:rsidR="006F3124" w:rsidRDefault="006F3124" w:rsidP="00075718">
      <w:pPr>
        <w:pStyle w:val="BodyText"/>
        <w:rPr>
          <w:rFonts w:cs="Arial"/>
          <w:sz w:val="22"/>
          <w:szCs w:val="22"/>
          <w:lang w:val="en-US"/>
        </w:rPr>
      </w:pPr>
    </w:p>
    <w:p w14:paraId="259DDEC5" w14:textId="77777777" w:rsidR="00151A1C" w:rsidRPr="00151A1C" w:rsidRDefault="00075718" w:rsidP="00151A1C">
      <w:pPr>
        <w:pStyle w:val="BodyText"/>
        <w:rPr>
          <w:rFonts w:cs="Arial"/>
          <w:sz w:val="22"/>
          <w:szCs w:val="22"/>
          <w:lang w:val="en-US"/>
        </w:rPr>
      </w:pPr>
      <w:r w:rsidRPr="00D6146A">
        <w:rPr>
          <w:rFonts w:cs="Arial"/>
          <w:sz w:val="22"/>
          <w:szCs w:val="22"/>
          <w:lang w:val="en-US"/>
        </w:rPr>
        <w:t xml:space="preserve">Patients' ABSSSI relevant medical histories at baseline in the pooled analysis of Phase 3 trial data are summarised in </w:t>
      </w:r>
      <w:r w:rsidRPr="00D6146A">
        <w:rPr>
          <w:rFonts w:cs="Arial"/>
          <w:sz w:val="22"/>
          <w:szCs w:val="22"/>
          <w:lang w:val="en-US"/>
        </w:rPr>
        <w:fldChar w:fldCharType="begin"/>
      </w:r>
      <w:r w:rsidRPr="00D6146A">
        <w:rPr>
          <w:rFonts w:cs="Arial"/>
          <w:sz w:val="22"/>
          <w:szCs w:val="22"/>
          <w:lang w:val="en-US"/>
        </w:rPr>
        <w:instrText xml:space="preserve"> REF _Ref384208640 \h  \* MERGEFORMAT </w:instrText>
      </w:r>
      <w:r w:rsidRPr="00D6146A">
        <w:rPr>
          <w:rFonts w:cs="Arial"/>
          <w:sz w:val="22"/>
          <w:szCs w:val="22"/>
          <w:lang w:val="en-US"/>
        </w:rPr>
      </w:r>
      <w:r w:rsidRPr="00D6146A">
        <w:rPr>
          <w:rFonts w:cs="Arial"/>
          <w:sz w:val="22"/>
          <w:szCs w:val="22"/>
          <w:lang w:val="en-US"/>
        </w:rPr>
        <w:fldChar w:fldCharType="separate"/>
      </w:r>
    </w:p>
    <w:p w14:paraId="4107CEC7" w14:textId="407B3286" w:rsidR="00075718" w:rsidRPr="00D6146A" w:rsidRDefault="00151A1C" w:rsidP="00075718">
      <w:pPr>
        <w:pStyle w:val="BodyText"/>
        <w:rPr>
          <w:rFonts w:cs="Arial"/>
          <w:sz w:val="22"/>
          <w:szCs w:val="22"/>
          <w:lang w:val="en-US"/>
        </w:rPr>
      </w:pPr>
      <w:r w:rsidRPr="00D6146A">
        <w:rPr>
          <w:rFonts w:cs="Arial"/>
          <w:b/>
          <w:noProof/>
          <w:sz w:val="22"/>
          <w:szCs w:val="22"/>
        </w:rPr>
        <w:t xml:space="preserve">Table </w:t>
      </w:r>
      <w:r>
        <w:rPr>
          <w:rFonts w:cs="Arial"/>
          <w:b/>
          <w:noProof/>
          <w:sz w:val="22"/>
          <w:szCs w:val="22"/>
        </w:rPr>
        <w:t>63</w:t>
      </w:r>
      <w:r w:rsidR="00075718" w:rsidRPr="00D6146A">
        <w:rPr>
          <w:rFonts w:cs="Arial"/>
          <w:sz w:val="22"/>
          <w:szCs w:val="22"/>
          <w:lang w:val="en-US"/>
        </w:rPr>
        <w:fldChar w:fldCharType="end"/>
      </w:r>
      <w:r w:rsidR="00075718" w:rsidRPr="00D6146A">
        <w:rPr>
          <w:rFonts w:cs="Arial"/>
          <w:sz w:val="22"/>
          <w:szCs w:val="22"/>
          <w:lang w:val="en-US"/>
        </w:rPr>
        <w:t>.</w:t>
      </w:r>
    </w:p>
    <w:p w14:paraId="63948C05" w14:textId="77777777" w:rsidR="00075718" w:rsidRPr="00D6146A" w:rsidRDefault="00075718" w:rsidP="00075718">
      <w:pPr>
        <w:rPr>
          <w:rFonts w:cs="Arial"/>
          <w:sz w:val="22"/>
          <w:szCs w:val="22"/>
        </w:rPr>
      </w:pPr>
      <w:bookmarkStart w:id="332" w:name="_Ref384208640"/>
      <w:bookmarkStart w:id="333" w:name="_Toc396058447"/>
    </w:p>
    <w:p w14:paraId="54CC92F4" w14:textId="77777777" w:rsidR="00075718" w:rsidRPr="00D6146A" w:rsidRDefault="00075718" w:rsidP="00075718">
      <w:pPr>
        <w:rPr>
          <w:rFonts w:cs="Arial"/>
          <w:b/>
          <w:sz w:val="22"/>
          <w:szCs w:val="22"/>
        </w:rPr>
      </w:pPr>
      <w:r w:rsidRPr="00D6146A">
        <w:rPr>
          <w:rFonts w:cs="Arial"/>
          <w:b/>
          <w:sz w:val="22"/>
          <w:szCs w:val="22"/>
        </w:rPr>
        <w:t xml:space="preserve">Table </w:t>
      </w:r>
      <w:r w:rsidRPr="00D6146A">
        <w:rPr>
          <w:rFonts w:cs="Arial"/>
          <w:b/>
          <w:sz w:val="22"/>
          <w:szCs w:val="22"/>
        </w:rPr>
        <w:fldChar w:fldCharType="begin"/>
      </w:r>
      <w:r w:rsidRPr="00D6146A">
        <w:rPr>
          <w:rFonts w:cs="Arial"/>
          <w:b/>
          <w:sz w:val="22"/>
          <w:szCs w:val="22"/>
        </w:rPr>
        <w:instrText xml:space="preserve"> SEQ Table \* ARABIC </w:instrText>
      </w:r>
      <w:r w:rsidRPr="00D6146A">
        <w:rPr>
          <w:rFonts w:cs="Arial"/>
          <w:b/>
          <w:sz w:val="22"/>
          <w:szCs w:val="22"/>
        </w:rPr>
        <w:fldChar w:fldCharType="separate"/>
      </w:r>
      <w:r w:rsidR="00151A1C">
        <w:rPr>
          <w:rFonts w:cs="Arial"/>
          <w:b/>
          <w:noProof/>
          <w:sz w:val="22"/>
          <w:szCs w:val="22"/>
        </w:rPr>
        <w:t>63</w:t>
      </w:r>
      <w:r w:rsidRPr="00D6146A">
        <w:rPr>
          <w:rFonts w:cs="Arial"/>
          <w:b/>
          <w:sz w:val="22"/>
          <w:szCs w:val="22"/>
        </w:rPr>
        <w:fldChar w:fldCharType="end"/>
      </w:r>
      <w:bookmarkEnd w:id="332"/>
      <w:r w:rsidRPr="00D6146A">
        <w:rPr>
          <w:rFonts w:cs="Arial"/>
          <w:b/>
          <w:sz w:val="22"/>
          <w:szCs w:val="22"/>
        </w:rPr>
        <w:t>: Baseline ABSSSI relevant medical history in the pooled analysis of Phase 3 trial data (ITT population)</w:t>
      </w:r>
      <w:bookmarkEnd w:id="333"/>
    </w:p>
    <w:p w14:paraId="472E6D23" w14:textId="77777777" w:rsidR="00075718" w:rsidRPr="00D6146A" w:rsidRDefault="00075718" w:rsidP="00075718">
      <w:pPr>
        <w:rPr>
          <w:rFonts w:cs="Arial"/>
          <w:b/>
          <w:sz w:val="22"/>
          <w:szCs w:val="22"/>
        </w:rPr>
      </w:pPr>
    </w:p>
    <w:tbl>
      <w:tblPr>
        <w:tblStyle w:val="Table-HERONplain"/>
        <w:tblW w:w="0" w:type="auto"/>
        <w:tblLook w:val="04A0" w:firstRow="1" w:lastRow="0" w:firstColumn="1" w:lastColumn="0" w:noHBand="0" w:noVBand="1"/>
      </w:tblPr>
      <w:tblGrid>
        <w:gridCol w:w="5292"/>
        <w:gridCol w:w="1809"/>
        <w:gridCol w:w="1802"/>
      </w:tblGrid>
      <w:tr w:rsidR="00075718" w:rsidRPr="00D6146A" w14:paraId="47F5C91F" w14:textId="77777777" w:rsidTr="009B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5B1DB10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lastRenderedPageBreak/>
              <w:t>Characteristic</w:t>
            </w:r>
          </w:p>
        </w:tc>
        <w:tc>
          <w:tcPr>
            <w:tcW w:w="1832" w:type="dxa"/>
            <w:shd w:val="clear" w:color="auto" w:fill="auto"/>
            <w:hideMark/>
          </w:tcPr>
          <w:p w14:paraId="1D1D472A"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 (N=664)</w:t>
            </w:r>
          </w:p>
          <w:p w14:paraId="073FE623"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c>
          <w:tcPr>
            <w:tcW w:w="1833" w:type="dxa"/>
            <w:shd w:val="clear" w:color="auto" w:fill="auto"/>
            <w:hideMark/>
          </w:tcPr>
          <w:p w14:paraId="396C71F4"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 (N=669)</w:t>
            </w:r>
          </w:p>
          <w:p w14:paraId="105C820C"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r>
      <w:tr w:rsidR="00075718" w:rsidRPr="00D6146A" w14:paraId="3BA1BFAF" w14:textId="77777777" w:rsidTr="009B3534">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3B317E08"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Relevant surgical procedure that resulted in primary infection</w:t>
            </w:r>
          </w:p>
        </w:tc>
        <w:tc>
          <w:tcPr>
            <w:tcW w:w="1832" w:type="dxa"/>
            <w:vAlign w:val="top"/>
            <w:hideMark/>
          </w:tcPr>
          <w:p w14:paraId="74BCD59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8 (1.2) </w:t>
            </w:r>
          </w:p>
        </w:tc>
        <w:tc>
          <w:tcPr>
            <w:tcW w:w="1833" w:type="dxa"/>
            <w:vAlign w:val="top"/>
            <w:hideMark/>
          </w:tcPr>
          <w:p w14:paraId="0B5AF626"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6 (0.9) </w:t>
            </w:r>
          </w:p>
        </w:tc>
      </w:tr>
      <w:tr w:rsidR="00075718" w:rsidRPr="00D6146A" w14:paraId="73CE52C4"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47437909"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Recent trauma that resulted in primary infection</w:t>
            </w:r>
          </w:p>
        </w:tc>
        <w:tc>
          <w:tcPr>
            <w:tcW w:w="1832" w:type="dxa"/>
            <w:vAlign w:val="top"/>
            <w:hideMark/>
          </w:tcPr>
          <w:p w14:paraId="02872DA8"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256 (38.6) </w:t>
            </w:r>
          </w:p>
        </w:tc>
        <w:tc>
          <w:tcPr>
            <w:tcW w:w="1833" w:type="dxa"/>
            <w:vAlign w:val="top"/>
            <w:hideMark/>
          </w:tcPr>
          <w:p w14:paraId="16EF4247"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266 (39.8) </w:t>
            </w:r>
          </w:p>
        </w:tc>
      </w:tr>
      <w:tr w:rsidR="00075718" w:rsidRPr="00D6146A" w14:paraId="58F2D68C" w14:textId="77777777" w:rsidTr="009B3534">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4D4A2A2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Current or recent IV drug use</w:t>
            </w:r>
          </w:p>
        </w:tc>
        <w:tc>
          <w:tcPr>
            <w:tcW w:w="1832" w:type="dxa"/>
            <w:vAlign w:val="top"/>
            <w:hideMark/>
          </w:tcPr>
          <w:p w14:paraId="31400B3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183 (27.6) </w:t>
            </w:r>
          </w:p>
        </w:tc>
        <w:tc>
          <w:tcPr>
            <w:tcW w:w="1833" w:type="dxa"/>
            <w:vAlign w:val="top"/>
            <w:hideMark/>
          </w:tcPr>
          <w:p w14:paraId="00FBDA5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206 (30.8) </w:t>
            </w:r>
          </w:p>
        </w:tc>
      </w:tr>
      <w:tr w:rsidR="00075718" w:rsidRPr="00D6146A" w14:paraId="41993556"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771DAE7F"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Diabetes mellitus</w:t>
            </w:r>
          </w:p>
        </w:tc>
        <w:tc>
          <w:tcPr>
            <w:tcW w:w="1832" w:type="dxa"/>
            <w:vAlign w:val="top"/>
            <w:hideMark/>
          </w:tcPr>
          <w:p w14:paraId="48BC2A2F"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58 (8.7) </w:t>
            </w:r>
          </w:p>
        </w:tc>
        <w:tc>
          <w:tcPr>
            <w:tcW w:w="1833" w:type="dxa"/>
            <w:vAlign w:val="top"/>
            <w:hideMark/>
          </w:tcPr>
          <w:p w14:paraId="75AB2436"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67 (10.0) </w:t>
            </w:r>
          </w:p>
        </w:tc>
      </w:tr>
      <w:tr w:rsidR="00075718" w:rsidRPr="00D6146A" w14:paraId="32A60B7D" w14:textId="77777777" w:rsidTr="009B3534">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2D9FF8B0"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 xml:space="preserve">HIV positive </w:t>
            </w:r>
          </w:p>
        </w:tc>
        <w:tc>
          <w:tcPr>
            <w:tcW w:w="1832" w:type="dxa"/>
            <w:vAlign w:val="top"/>
            <w:hideMark/>
          </w:tcPr>
          <w:p w14:paraId="6D14469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13 (2.0) </w:t>
            </w:r>
          </w:p>
        </w:tc>
        <w:tc>
          <w:tcPr>
            <w:tcW w:w="1833" w:type="dxa"/>
            <w:vAlign w:val="top"/>
            <w:hideMark/>
          </w:tcPr>
          <w:p w14:paraId="3DE5C43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8 (1.2) </w:t>
            </w:r>
          </w:p>
        </w:tc>
      </w:tr>
      <w:tr w:rsidR="00075718" w:rsidRPr="00D6146A" w14:paraId="4930B509"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27137E2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Poor living conditions</w:t>
            </w:r>
          </w:p>
        </w:tc>
        <w:tc>
          <w:tcPr>
            <w:tcW w:w="1832" w:type="dxa"/>
            <w:vAlign w:val="top"/>
            <w:hideMark/>
          </w:tcPr>
          <w:p w14:paraId="31DB3313"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40 (6.0) </w:t>
            </w:r>
          </w:p>
        </w:tc>
        <w:tc>
          <w:tcPr>
            <w:tcW w:w="1833" w:type="dxa"/>
            <w:vAlign w:val="top"/>
            <w:hideMark/>
          </w:tcPr>
          <w:p w14:paraId="41432D61"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34 (5.1) </w:t>
            </w:r>
          </w:p>
        </w:tc>
      </w:tr>
      <w:tr w:rsidR="00075718" w:rsidRPr="00D6146A" w14:paraId="7A3DB235" w14:textId="77777777" w:rsidTr="009B3534">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6C9DE91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Concurrent secondary cSSSI/ABSSSI lesions</w:t>
            </w:r>
          </w:p>
        </w:tc>
        <w:tc>
          <w:tcPr>
            <w:tcW w:w="1832" w:type="dxa"/>
            <w:vAlign w:val="top"/>
            <w:hideMark/>
          </w:tcPr>
          <w:p w14:paraId="01041AD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96 (14.5) </w:t>
            </w:r>
          </w:p>
        </w:tc>
        <w:tc>
          <w:tcPr>
            <w:tcW w:w="1833" w:type="dxa"/>
            <w:vAlign w:val="top"/>
            <w:hideMark/>
          </w:tcPr>
          <w:p w14:paraId="15871502"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90 (13.5) </w:t>
            </w:r>
          </w:p>
        </w:tc>
      </w:tr>
      <w:tr w:rsidR="00075718" w:rsidRPr="00D6146A" w14:paraId="194B84E0"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2BEAA7B5"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 xml:space="preserve">Previous ABSSSI </w:t>
            </w:r>
          </w:p>
        </w:tc>
        <w:tc>
          <w:tcPr>
            <w:tcW w:w="1832" w:type="dxa"/>
            <w:vAlign w:val="top"/>
            <w:hideMark/>
          </w:tcPr>
          <w:p w14:paraId="6430A424"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146 (22.0) </w:t>
            </w:r>
          </w:p>
        </w:tc>
        <w:tc>
          <w:tcPr>
            <w:tcW w:w="1833" w:type="dxa"/>
            <w:vAlign w:val="top"/>
            <w:hideMark/>
          </w:tcPr>
          <w:p w14:paraId="3915EDA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144 (21.5) </w:t>
            </w:r>
          </w:p>
        </w:tc>
      </w:tr>
      <w:tr w:rsidR="00075718" w:rsidRPr="00D6146A" w14:paraId="3ACA25B4" w14:textId="77777777" w:rsidTr="009B3534">
        <w:tc>
          <w:tcPr>
            <w:cnfStyle w:val="001000000000" w:firstRow="0" w:lastRow="0" w:firstColumn="1" w:lastColumn="0" w:oddVBand="0" w:evenVBand="0" w:oddHBand="0" w:evenHBand="0" w:firstRowFirstColumn="0" w:firstRowLastColumn="0" w:lastRowFirstColumn="0" w:lastRowLastColumn="0"/>
            <w:tcW w:w="5464" w:type="dxa"/>
            <w:shd w:val="clear" w:color="auto" w:fill="auto"/>
            <w:hideMark/>
          </w:tcPr>
          <w:p w14:paraId="0135515B"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Other relevant diagnosis or procedure</w:t>
            </w:r>
          </w:p>
        </w:tc>
        <w:tc>
          <w:tcPr>
            <w:tcW w:w="1832" w:type="dxa"/>
            <w:vAlign w:val="top"/>
            <w:hideMark/>
          </w:tcPr>
          <w:p w14:paraId="757ECA93"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46 (6.9) </w:t>
            </w:r>
          </w:p>
        </w:tc>
        <w:tc>
          <w:tcPr>
            <w:tcW w:w="1833" w:type="dxa"/>
            <w:vAlign w:val="top"/>
            <w:hideMark/>
          </w:tcPr>
          <w:p w14:paraId="1C2E644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43 (6.4) </w:t>
            </w:r>
          </w:p>
        </w:tc>
      </w:tr>
    </w:tbl>
    <w:p w14:paraId="7815346B" w14:textId="01CD6A7F" w:rsidR="00075718" w:rsidRPr="006F3124" w:rsidRDefault="00075718" w:rsidP="00075718">
      <w:pPr>
        <w:pStyle w:val="TableNote-H58"/>
        <w:rPr>
          <w:rFonts w:ascii="Arial" w:hAnsi="Arial" w:cs="Arial"/>
          <w:sz w:val="18"/>
          <w:szCs w:val="18"/>
          <w:lang w:val="en-US"/>
        </w:rPr>
      </w:pPr>
      <w:r w:rsidRPr="006F3124">
        <w:rPr>
          <w:rFonts w:ascii="Arial" w:hAnsi="Arial" w:cs="Arial"/>
          <w:sz w:val="18"/>
          <w:szCs w:val="18"/>
          <w:lang w:val="en-US"/>
        </w:rPr>
        <w:t xml:space="preserve">SOURCE: </w:t>
      </w:r>
      <w:r w:rsidR="00D75730" w:rsidRPr="006F3124">
        <w:rPr>
          <w:rFonts w:ascii="Arial" w:hAnsi="Arial" w:cs="Arial"/>
          <w:sz w:val="18"/>
          <w:szCs w:val="18"/>
          <w:lang w:val="en-US"/>
        </w:rPr>
        <w:t>ISE 2013</w:t>
      </w:r>
      <w:r w:rsidR="00D75730">
        <w:rPr>
          <w:rFonts w:ascii="Arial" w:hAnsi="Arial" w:cs="Arial"/>
          <w:sz w:val="18"/>
          <w:szCs w:val="18"/>
          <w:lang w:val="en-US"/>
        </w:rPr>
        <w:t xml:space="preserve"> </w:t>
      </w:r>
      <w:r w:rsidR="00D75730">
        <w:rPr>
          <w:rFonts w:ascii="Arial" w:hAnsi="Arial" w:cs="Arial"/>
          <w:sz w:val="18"/>
          <w:szCs w:val="18"/>
          <w:lang w:val="en-US"/>
        </w:rPr>
        <w:fldChar w:fldCharType="begin"/>
      </w:r>
      <w:r w:rsidR="00D75730">
        <w:rPr>
          <w:rFonts w:ascii="Arial" w:hAnsi="Arial" w:cs="Arial"/>
          <w:sz w:val="18"/>
          <w:szCs w:val="18"/>
          <w:lang w:val="en-US"/>
        </w:rPr>
        <w:instrText xml:space="preserve"> REF _Ref284183626 \r \h </w:instrText>
      </w:r>
      <w:r w:rsidR="00D75730">
        <w:rPr>
          <w:rFonts w:ascii="Arial" w:hAnsi="Arial" w:cs="Arial"/>
          <w:sz w:val="18"/>
          <w:szCs w:val="18"/>
          <w:lang w:val="en-US"/>
        </w:rPr>
      </w:r>
      <w:r w:rsidR="00D75730">
        <w:rPr>
          <w:rFonts w:ascii="Arial" w:hAnsi="Arial" w:cs="Arial"/>
          <w:sz w:val="18"/>
          <w:szCs w:val="18"/>
          <w:lang w:val="en-US"/>
        </w:rPr>
        <w:fldChar w:fldCharType="separate"/>
      </w:r>
      <w:r w:rsidR="00151A1C">
        <w:rPr>
          <w:rFonts w:ascii="Arial" w:hAnsi="Arial" w:cs="Arial"/>
          <w:sz w:val="18"/>
          <w:szCs w:val="18"/>
          <w:lang w:val="en-US"/>
        </w:rPr>
        <w:t>51</w:t>
      </w:r>
      <w:r w:rsidR="00D75730">
        <w:rPr>
          <w:rFonts w:ascii="Arial" w:hAnsi="Arial" w:cs="Arial"/>
          <w:sz w:val="18"/>
          <w:szCs w:val="18"/>
          <w:lang w:val="en-US"/>
        </w:rPr>
        <w:fldChar w:fldCharType="end"/>
      </w:r>
      <w:r w:rsidRPr="006F3124">
        <w:rPr>
          <w:rFonts w:ascii="Arial" w:hAnsi="Arial" w:cs="Arial"/>
          <w:sz w:val="18"/>
          <w:szCs w:val="18"/>
          <w:lang w:val="en-US"/>
        </w:rPr>
        <w:t xml:space="preserve">: section 3.4 Table 53 </w:t>
      </w:r>
    </w:p>
    <w:p w14:paraId="6088D864" w14:textId="77777777" w:rsidR="00075718" w:rsidRPr="006F3124" w:rsidRDefault="00075718" w:rsidP="00075718">
      <w:pPr>
        <w:pStyle w:val="TableNote-H58"/>
        <w:rPr>
          <w:rFonts w:ascii="Arial" w:hAnsi="Arial" w:cs="Arial"/>
          <w:sz w:val="18"/>
          <w:szCs w:val="18"/>
          <w:lang w:val="en-US"/>
        </w:rPr>
      </w:pPr>
      <w:r w:rsidRPr="006F3124">
        <w:rPr>
          <w:rFonts w:ascii="Arial" w:hAnsi="Arial" w:cs="Arial"/>
          <w:sz w:val="18"/>
          <w:szCs w:val="18"/>
          <w:lang w:val="en-US"/>
        </w:rPr>
        <w:t>ABSSSI: Acute bacterial skin and skin structure infection; cSSSI: Complicated Skin and Skin Structure Infection; HIV: Human immunodeficiency virus; ITT: Intent-to-treat; IV; Intravenous; N: Number of patients in population; n: Number of patients in specific category</w:t>
      </w:r>
    </w:p>
    <w:p w14:paraId="7CE26757" w14:textId="77777777" w:rsidR="00075718" w:rsidRPr="006F3124" w:rsidRDefault="00075718" w:rsidP="00C35C1F">
      <w:pPr>
        <w:pStyle w:val="Heading5"/>
        <w:numPr>
          <w:ilvl w:val="0"/>
          <w:numId w:val="71"/>
        </w:numPr>
        <w:rPr>
          <w:rFonts w:ascii="Arial" w:hAnsi="Arial" w:cs="Arial"/>
          <w:b/>
          <w:color w:val="auto"/>
          <w:sz w:val="22"/>
          <w:szCs w:val="22"/>
          <w:lang w:val="en-US"/>
        </w:rPr>
      </w:pPr>
      <w:r w:rsidRPr="006F3124">
        <w:rPr>
          <w:rFonts w:ascii="Arial" w:hAnsi="Arial" w:cs="Arial"/>
          <w:b/>
          <w:color w:val="auto"/>
          <w:sz w:val="22"/>
          <w:szCs w:val="22"/>
          <w:lang w:val="en-US"/>
        </w:rPr>
        <w:t>Type and location of infections in the pooled analysis of Phase 3 trial data</w:t>
      </w:r>
    </w:p>
    <w:p w14:paraId="14A36DD8" w14:textId="77777777" w:rsidR="00075718" w:rsidRPr="00D6146A" w:rsidRDefault="00075718" w:rsidP="00075718">
      <w:pPr>
        <w:pStyle w:val="BodyText"/>
        <w:rPr>
          <w:rFonts w:cs="Arial"/>
          <w:sz w:val="22"/>
          <w:szCs w:val="22"/>
          <w:lang w:val="en-US"/>
        </w:rPr>
      </w:pPr>
    </w:p>
    <w:p w14:paraId="5CB9A70C" w14:textId="5891FB64" w:rsidR="00075718" w:rsidRPr="00D6146A" w:rsidRDefault="00075718" w:rsidP="00075718">
      <w:pPr>
        <w:pStyle w:val="BodyText"/>
        <w:rPr>
          <w:rFonts w:cs="Arial"/>
          <w:sz w:val="22"/>
          <w:szCs w:val="22"/>
          <w:lang w:val="en-US"/>
        </w:rPr>
      </w:pPr>
      <w:r w:rsidRPr="00D6146A">
        <w:rPr>
          <w:rFonts w:cs="Arial"/>
          <w:sz w:val="22"/>
          <w:szCs w:val="22"/>
          <w:lang w:val="en-US"/>
        </w:rPr>
        <w:t>Infection types occurred with similar frequency in both the tedizolid phosphate and linezolid treatment groups. The most common infection of patients enrolled in the study was cellulitis/erysipelas (45.3% vs. 45.9%), followed by major cutaneous abscess (25.3% vs. 24.8%) and wound infection (29.4% vs. 29.3%) (</w:t>
      </w:r>
      <w:r w:rsidRPr="00D6146A">
        <w:rPr>
          <w:rFonts w:cs="Arial"/>
          <w:sz w:val="22"/>
          <w:szCs w:val="22"/>
          <w:lang w:val="en-US"/>
        </w:rPr>
        <w:fldChar w:fldCharType="begin"/>
      </w:r>
      <w:r w:rsidRPr="00D6146A">
        <w:rPr>
          <w:rFonts w:cs="Arial"/>
          <w:sz w:val="22"/>
          <w:szCs w:val="22"/>
          <w:lang w:val="en-US"/>
        </w:rPr>
        <w:instrText xml:space="preserve"> REF _Ref384209061 \h  \* MERGEFORMAT </w:instrText>
      </w:r>
      <w:r w:rsidRPr="00D6146A">
        <w:rPr>
          <w:rFonts w:cs="Arial"/>
          <w:sz w:val="22"/>
          <w:szCs w:val="22"/>
          <w:lang w:val="en-US"/>
        </w:rPr>
      </w:r>
      <w:r w:rsidRPr="00D6146A">
        <w:rPr>
          <w:rFonts w:cs="Arial"/>
          <w:sz w:val="22"/>
          <w:szCs w:val="22"/>
          <w:lang w:val="en-US"/>
        </w:rPr>
        <w:fldChar w:fldCharType="separate"/>
      </w:r>
      <w:r w:rsidR="00151A1C" w:rsidRPr="00D6146A">
        <w:rPr>
          <w:rFonts w:cs="Arial"/>
          <w:sz w:val="22"/>
          <w:szCs w:val="22"/>
          <w:lang w:val="en-US"/>
        </w:rPr>
        <w:t xml:space="preserve">Table </w:t>
      </w:r>
      <w:r w:rsidR="00151A1C">
        <w:rPr>
          <w:rFonts w:cs="Arial"/>
          <w:sz w:val="22"/>
          <w:szCs w:val="22"/>
          <w:lang w:val="en-US"/>
        </w:rPr>
        <w:t>64</w:t>
      </w:r>
      <w:r w:rsidRPr="00D6146A">
        <w:rPr>
          <w:rFonts w:cs="Arial"/>
          <w:sz w:val="22"/>
          <w:szCs w:val="22"/>
          <w:lang w:val="en-US"/>
        </w:rPr>
        <w:fldChar w:fldCharType="end"/>
      </w:r>
      <w:r w:rsidRPr="00D75730">
        <w:rPr>
          <w:rFonts w:cs="Arial"/>
          <w:sz w:val="22"/>
          <w:szCs w:val="22"/>
          <w:lang w:val="en-US"/>
        </w:rPr>
        <w:t>)</w:t>
      </w:r>
      <w:r w:rsidR="006F3124" w:rsidRPr="00D75730">
        <w:rPr>
          <w:rFonts w:cs="Arial"/>
          <w:sz w:val="22"/>
          <w:szCs w:val="22"/>
          <w:lang w:val="en-US"/>
        </w:rPr>
        <w:t>(</w:t>
      </w:r>
      <w:r w:rsidR="00D75730" w:rsidRPr="00D75730">
        <w:rPr>
          <w:rFonts w:cs="Arial"/>
          <w:sz w:val="22"/>
          <w:szCs w:val="22"/>
          <w:lang w:val="en-US"/>
        </w:rPr>
        <w:t xml:space="preserve">ISE 2013 </w:t>
      </w:r>
      <w:r w:rsidR="00D75730" w:rsidRPr="00D75730">
        <w:rPr>
          <w:rFonts w:cs="Arial"/>
          <w:sz w:val="22"/>
          <w:szCs w:val="22"/>
          <w:lang w:val="en-US"/>
        </w:rPr>
        <w:fldChar w:fldCharType="begin"/>
      </w:r>
      <w:r w:rsidR="00D75730" w:rsidRPr="00D75730">
        <w:rPr>
          <w:rFonts w:cs="Arial"/>
          <w:sz w:val="22"/>
          <w:szCs w:val="22"/>
          <w:lang w:val="en-US"/>
        </w:rPr>
        <w:instrText xml:space="preserve"> REF _Ref284183626 \r \h </w:instrText>
      </w:r>
      <w:r w:rsidR="00D75730" w:rsidRPr="00D75730">
        <w:rPr>
          <w:rFonts w:cs="Arial"/>
          <w:sz w:val="22"/>
          <w:szCs w:val="22"/>
          <w:lang w:val="en-US"/>
        </w:rPr>
      </w:r>
      <w:r w:rsidR="00D75730" w:rsidRPr="00D75730">
        <w:rPr>
          <w:rFonts w:cs="Arial"/>
          <w:sz w:val="22"/>
          <w:szCs w:val="22"/>
          <w:lang w:val="en-US"/>
        </w:rPr>
        <w:fldChar w:fldCharType="separate"/>
      </w:r>
      <w:r w:rsidR="00151A1C">
        <w:rPr>
          <w:rFonts w:cs="Arial"/>
          <w:sz w:val="22"/>
          <w:szCs w:val="22"/>
          <w:lang w:val="en-US"/>
        </w:rPr>
        <w:t>51</w:t>
      </w:r>
      <w:r w:rsidR="00D75730" w:rsidRPr="00D75730">
        <w:rPr>
          <w:rFonts w:cs="Arial"/>
          <w:sz w:val="22"/>
          <w:szCs w:val="22"/>
          <w:lang w:val="en-US"/>
        </w:rPr>
        <w:fldChar w:fldCharType="end"/>
      </w:r>
      <w:r w:rsidR="006F3124" w:rsidRPr="00D75730">
        <w:rPr>
          <w:rFonts w:cs="Arial"/>
          <w:sz w:val="22"/>
          <w:szCs w:val="22"/>
          <w:lang w:val="en-US"/>
        </w:rPr>
        <w:t>)</w:t>
      </w:r>
      <w:r w:rsidR="001D3F4A" w:rsidRPr="00D75730">
        <w:rPr>
          <w:rFonts w:cs="Arial"/>
          <w:sz w:val="22"/>
          <w:szCs w:val="22"/>
          <w:lang w:val="en-US"/>
        </w:rPr>
        <w:t>.</w:t>
      </w:r>
    </w:p>
    <w:p w14:paraId="594A5E4F" w14:textId="77777777" w:rsidR="00075718" w:rsidRPr="00D6146A" w:rsidRDefault="00075718" w:rsidP="00075718">
      <w:pPr>
        <w:pStyle w:val="Caption"/>
        <w:rPr>
          <w:rFonts w:ascii="Arial" w:hAnsi="Arial" w:cs="Arial"/>
          <w:sz w:val="22"/>
          <w:szCs w:val="22"/>
          <w:lang w:val="en-US"/>
        </w:rPr>
      </w:pPr>
      <w:bookmarkStart w:id="334" w:name="_Ref384209061"/>
      <w:bookmarkStart w:id="335" w:name="_Toc396058448"/>
      <w:r w:rsidRPr="00D6146A">
        <w:rPr>
          <w:rFonts w:ascii="Arial" w:hAnsi="Arial" w:cs="Arial"/>
          <w:sz w:val="22"/>
          <w:szCs w:val="22"/>
          <w:lang w:val="en-US"/>
        </w:rPr>
        <w:lastRenderedPageBreak/>
        <w:t xml:space="preserve">Table </w:t>
      </w:r>
      <w:r w:rsidRPr="00D6146A">
        <w:rPr>
          <w:rFonts w:ascii="Arial" w:hAnsi="Arial" w:cs="Arial"/>
          <w:sz w:val="22"/>
          <w:szCs w:val="22"/>
          <w:lang w:val="en-US"/>
        </w:rPr>
        <w:fldChar w:fldCharType="begin"/>
      </w:r>
      <w:r w:rsidRPr="00D6146A">
        <w:rPr>
          <w:rFonts w:ascii="Arial" w:hAnsi="Arial" w:cs="Arial"/>
          <w:sz w:val="22"/>
          <w:szCs w:val="22"/>
          <w:lang w:val="en-US"/>
        </w:rPr>
        <w:instrText xml:space="preserve"> SEQ Table \* ARABIC </w:instrText>
      </w:r>
      <w:r w:rsidRPr="00D6146A">
        <w:rPr>
          <w:rFonts w:ascii="Arial" w:hAnsi="Arial" w:cs="Arial"/>
          <w:sz w:val="22"/>
          <w:szCs w:val="22"/>
          <w:lang w:val="en-US"/>
        </w:rPr>
        <w:fldChar w:fldCharType="separate"/>
      </w:r>
      <w:r w:rsidR="00151A1C">
        <w:rPr>
          <w:rFonts w:ascii="Arial" w:hAnsi="Arial" w:cs="Arial"/>
          <w:noProof/>
          <w:sz w:val="22"/>
          <w:szCs w:val="22"/>
          <w:lang w:val="en-US"/>
        </w:rPr>
        <w:t>64</w:t>
      </w:r>
      <w:r w:rsidRPr="00D6146A">
        <w:rPr>
          <w:rFonts w:ascii="Arial" w:hAnsi="Arial" w:cs="Arial"/>
          <w:sz w:val="22"/>
          <w:szCs w:val="22"/>
          <w:lang w:val="en-US"/>
        </w:rPr>
        <w:fldChar w:fldCharType="end"/>
      </w:r>
      <w:bookmarkEnd w:id="334"/>
      <w:r w:rsidRPr="00D6146A">
        <w:rPr>
          <w:rFonts w:ascii="Arial" w:hAnsi="Arial" w:cs="Arial"/>
          <w:sz w:val="22"/>
          <w:szCs w:val="22"/>
          <w:lang w:val="en-US"/>
        </w:rPr>
        <w:t>: ABSSSI infections in the pooled analysis of Phase 3 trial data (ITT population)</w:t>
      </w:r>
      <w:bookmarkEnd w:id="335"/>
    </w:p>
    <w:tbl>
      <w:tblPr>
        <w:tblStyle w:val="Table-HERONplain"/>
        <w:tblW w:w="0" w:type="auto"/>
        <w:tblLook w:val="04A0" w:firstRow="1" w:lastRow="0" w:firstColumn="1" w:lastColumn="0" w:noHBand="0" w:noVBand="1"/>
      </w:tblPr>
      <w:tblGrid>
        <w:gridCol w:w="4036"/>
        <w:gridCol w:w="2436"/>
        <w:gridCol w:w="2431"/>
      </w:tblGrid>
      <w:tr w:rsidR="00075718" w:rsidRPr="00D6146A" w14:paraId="47CD5E02" w14:textId="77777777" w:rsidTr="009B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1510EC92"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Type of ABSSSI infection</w:t>
            </w:r>
          </w:p>
        </w:tc>
        <w:tc>
          <w:tcPr>
            <w:tcW w:w="2480" w:type="dxa"/>
            <w:shd w:val="clear" w:color="auto" w:fill="auto"/>
            <w:hideMark/>
          </w:tcPr>
          <w:p w14:paraId="455057C8"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w:t>
            </w:r>
          </w:p>
          <w:p w14:paraId="36447D15"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(N=664)</w:t>
            </w:r>
          </w:p>
          <w:p w14:paraId="7C7F57E8"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c>
          <w:tcPr>
            <w:tcW w:w="2481" w:type="dxa"/>
            <w:shd w:val="clear" w:color="auto" w:fill="auto"/>
            <w:hideMark/>
          </w:tcPr>
          <w:p w14:paraId="3C5C51D9"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w:t>
            </w:r>
          </w:p>
          <w:p w14:paraId="3CBCC155"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(N=669)</w:t>
            </w:r>
          </w:p>
          <w:p w14:paraId="3051A901"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r>
      <w:tr w:rsidR="00075718" w:rsidRPr="00D6146A" w14:paraId="06EB16BB" w14:textId="77777777" w:rsidTr="009B3534">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C9C59FB"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Cellulitis/erysipelas</w:t>
            </w:r>
          </w:p>
        </w:tc>
        <w:tc>
          <w:tcPr>
            <w:tcW w:w="2480" w:type="dxa"/>
            <w:vAlign w:val="top"/>
            <w:hideMark/>
          </w:tcPr>
          <w:p w14:paraId="0534B134"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301 (45.3) </w:t>
            </w:r>
          </w:p>
        </w:tc>
        <w:tc>
          <w:tcPr>
            <w:tcW w:w="2481" w:type="dxa"/>
            <w:vAlign w:val="top"/>
            <w:hideMark/>
          </w:tcPr>
          <w:p w14:paraId="517EC226"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307 (45.9) </w:t>
            </w:r>
          </w:p>
        </w:tc>
      </w:tr>
      <w:tr w:rsidR="00075718" w:rsidRPr="00D6146A" w14:paraId="3BD91D89"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03D3BF22"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Major cutaneous abscess</w:t>
            </w:r>
          </w:p>
        </w:tc>
        <w:tc>
          <w:tcPr>
            <w:tcW w:w="2480" w:type="dxa"/>
            <w:vAlign w:val="top"/>
            <w:hideMark/>
          </w:tcPr>
          <w:p w14:paraId="6D581B7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168 (25.3) </w:t>
            </w:r>
          </w:p>
        </w:tc>
        <w:tc>
          <w:tcPr>
            <w:tcW w:w="2481" w:type="dxa"/>
            <w:vAlign w:val="top"/>
            <w:hideMark/>
          </w:tcPr>
          <w:p w14:paraId="6823AE0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166 (24.8) </w:t>
            </w:r>
          </w:p>
        </w:tc>
      </w:tr>
      <w:tr w:rsidR="00075718" w:rsidRPr="00D6146A" w14:paraId="38B63319" w14:textId="77777777" w:rsidTr="009B3534">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134EF16E"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Wound infection:</w:t>
            </w:r>
          </w:p>
        </w:tc>
        <w:tc>
          <w:tcPr>
            <w:tcW w:w="2480" w:type="dxa"/>
            <w:vAlign w:val="top"/>
            <w:hideMark/>
          </w:tcPr>
          <w:p w14:paraId="5690C893"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195 (29.4) </w:t>
            </w:r>
          </w:p>
        </w:tc>
        <w:tc>
          <w:tcPr>
            <w:tcW w:w="2481" w:type="dxa"/>
            <w:vAlign w:val="top"/>
            <w:hideMark/>
          </w:tcPr>
          <w:p w14:paraId="0B6B9169"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196 (29.3) </w:t>
            </w:r>
          </w:p>
        </w:tc>
      </w:tr>
      <w:tr w:rsidR="00075718" w:rsidRPr="00D6146A" w14:paraId="42620835" w14:textId="77777777" w:rsidTr="009B3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40D32AA3" w14:textId="77777777" w:rsidR="00075718" w:rsidRPr="00D6146A" w:rsidRDefault="00075718" w:rsidP="00D6146A">
            <w:pPr>
              <w:pStyle w:val="TableBodyText-H54"/>
              <w:ind w:left="720"/>
              <w:rPr>
                <w:rFonts w:ascii="Arial" w:hAnsi="Arial" w:cs="Arial"/>
                <w:sz w:val="22"/>
                <w:szCs w:val="22"/>
                <w:lang w:val="en-US"/>
              </w:rPr>
            </w:pPr>
            <w:r w:rsidRPr="00D6146A">
              <w:rPr>
                <w:rFonts w:ascii="Arial" w:hAnsi="Arial" w:cs="Arial"/>
                <w:sz w:val="22"/>
                <w:szCs w:val="22"/>
                <w:lang w:val="en-US"/>
              </w:rPr>
              <w:t xml:space="preserve">Post traumatic wound </w:t>
            </w:r>
          </w:p>
        </w:tc>
        <w:tc>
          <w:tcPr>
            <w:tcW w:w="2480" w:type="dxa"/>
            <w:vAlign w:val="top"/>
            <w:hideMark/>
          </w:tcPr>
          <w:p w14:paraId="00177FE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187 (28.2) </w:t>
            </w:r>
          </w:p>
        </w:tc>
        <w:tc>
          <w:tcPr>
            <w:tcW w:w="2481" w:type="dxa"/>
            <w:vAlign w:val="top"/>
            <w:hideMark/>
          </w:tcPr>
          <w:p w14:paraId="2092FF8A"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190 (28.4) </w:t>
            </w:r>
          </w:p>
        </w:tc>
      </w:tr>
      <w:tr w:rsidR="00075718" w:rsidRPr="00D6146A" w14:paraId="5A1E3CD2" w14:textId="77777777" w:rsidTr="009B3534">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45E1ADC6" w14:textId="77777777" w:rsidR="00075718" w:rsidRPr="00D6146A" w:rsidRDefault="00075718" w:rsidP="00D6146A">
            <w:pPr>
              <w:pStyle w:val="TableBodyText-H54"/>
              <w:ind w:left="720"/>
              <w:rPr>
                <w:rFonts w:ascii="Arial" w:hAnsi="Arial" w:cs="Arial"/>
                <w:sz w:val="22"/>
                <w:szCs w:val="22"/>
                <w:lang w:val="en-US"/>
              </w:rPr>
            </w:pPr>
            <w:r w:rsidRPr="00D6146A">
              <w:rPr>
                <w:rFonts w:ascii="Arial" w:hAnsi="Arial" w:cs="Arial"/>
                <w:sz w:val="22"/>
                <w:szCs w:val="22"/>
                <w:lang w:val="en-US"/>
              </w:rPr>
              <w:t xml:space="preserve">Superficial incisional surgical site infection </w:t>
            </w:r>
          </w:p>
        </w:tc>
        <w:tc>
          <w:tcPr>
            <w:tcW w:w="2480" w:type="dxa"/>
            <w:vAlign w:val="top"/>
            <w:hideMark/>
          </w:tcPr>
          <w:p w14:paraId="7DD45A92"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8 (1.2) </w:t>
            </w:r>
          </w:p>
        </w:tc>
        <w:tc>
          <w:tcPr>
            <w:tcW w:w="2481" w:type="dxa"/>
            <w:vAlign w:val="top"/>
            <w:hideMark/>
          </w:tcPr>
          <w:p w14:paraId="56A3847B"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6 (0.9) </w:t>
            </w:r>
          </w:p>
        </w:tc>
      </w:tr>
    </w:tbl>
    <w:p w14:paraId="6954A7A5" w14:textId="2F3C8DA0" w:rsidR="00075718" w:rsidRPr="006F3124" w:rsidRDefault="00075718" w:rsidP="00075718">
      <w:pPr>
        <w:pStyle w:val="TableNote-H58"/>
        <w:rPr>
          <w:rFonts w:ascii="Arial" w:hAnsi="Arial" w:cs="Arial"/>
          <w:sz w:val="18"/>
          <w:szCs w:val="18"/>
          <w:lang w:val="en-US"/>
        </w:rPr>
      </w:pPr>
      <w:r w:rsidRPr="006F3124">
        <w:rPr>
          <w:rFonts w:ascii="Arial" w:hAnsi="Arial" w:cs="Arial"/>
          <w:sz w:val="18"/>
          <w:szCs w:val="18"/>
          <w:lang w:val="en-US"/>
        </w:rPr>
        <w:t xml:space="preserve">SOURCE: </w:t>
      </w:r>
      <w:r w:rsidR="00D75730" w:rsidRPr="006F3124">
        <w:rPr>
          <w:rFonts w:ascii="Arial" w:hAnsi="Arial" w:cs="Arial"/>
          <w:sz w:val="18"/>
          <w:szCs w:val="18"/>
          <w:lang w:val="en-US"/>
        </w:rPr>
        <w:t>ISE 2013</w:t>
      </w:r>
      <w:r w:rsidR="00D75730">
        <w:rPr>
          <w:rFonts w:ascii="Arial" w:hAnsi="Arial" w:cs="Arial"/>
          <w:sz w:val="18"/>
          <w:szCs w:val="18"/>
          <w:lang w:val="en-US"/>
        </w:rPr>
        <w:t xml:space="preserve"> </w:t>
      </w:r>
      <w:r w:rsidR="00D75730">
        <w:rPr>
          <w:rFonts w:ascii="Arial" w:hAnsi="Arial" w:cs="Arial"/>
          <w:sz w:val="18"/>
          <w:szCs w:val="18"/>
          <w:lang w:val="en-US"/>
        </w:rPr>
        <w:fldChar w:fldCharType="begin"/>
      </w:r>
      <w:r w:rsidR="00D75730">
        <w:rPr>
          <w:rFonts w:ascii="Arial" w:hAnsi="Arial" w:cs="Arial"/>
          <w:sz w:val="18"/>
          <w:szCs w:val="18"/>
          <w:lang w:val="en-US"/>
        </w:rPr>
        <w:instrText xml:space="preserve"> REF _Ref284183626 \r \h </w:instrText>
      </w:r>
      <w:r w:rsidR="00D75730">
        <w:rPr>
          <w:rFonts w:ascii="Arial" w:hAnsi="Arial" w:cs="Arial"/>
          <w:sz w:val="18"/>
          <w:szCs w:val="18"/>
          <w:lang w:val="en-US"/>
        </w:rPr>
      </w:r>
      <w:r w:rsidR="00D75730">
        <w:rPr>
          <w:rFonts w:ascii="Arial" w:hAnsi="Arial" w:cs="Arial"/>
          <w:sz w:val="18"/>
          <w:szCs w:val="18"/>
          <w:lang w:val="en-US"/>
        </w:rPr>
        <w:fldChar w:fldCharType="separate"/>
      </w:r>
      <w:r w:rsidR="00151A1C">
        <w:rPr>
          <w:rFonts w:ascii="Arial" w:hAnsi="Arial" w:cs="Arial"/>
          <w:sz w:val="18"/>
          <w:szCs w:val="18"/>
          <w:lang w:val="en-US"/>
        </w:rPr>
        <w:t>51</w:t>
      </w:r>
      <w:r w:rsidR="00D75730">
        <w:rPr>
          <w:rFonts w:ascii="Arial" w:hAnsi="Arial" w:cs="Arial"/>
          <w:sz w:val="18"/>
          <w:szCs w:val="18"/>
          <w:lang w:val="en-US"/>
        </w:rPr>
        <w:fldChar w:fldCharType="end"/>
      </w:r>
      <w:r w:rsidRPr="006F3124">
        <w:rPr>
          <w:rFonts w:ascii="Arial" w:hAnsi="Arial" w:cs="Arial"/>
          <w:sz w:val="18"/>
          <w:szCs w:val="18"/>
          <w:lang w:val="en-US"/>
        </w:rPr>
        <w:t>: section 3.4 Table 54 ABSSSI: Acute bacterial skin and skin structure infection; ITT: Intent-to-treat; N: Number of patients in population; n: Number of patients in specific category</w:t>
      </w:r>
    </w:p>
    <w:p w14:paraId="6FB05B07" w14:textId="22D98B68" w:rsidR="00075718" w:rsidRPr="00D6146A" w:rsidRDefault="00075718" w:rsidP="00075718">
      <w:pPr>
        <w:pStyle w:val="BodyText"/>
        <w:rPr>
          <w:rFonts w:cs="Arial"/>
          <w:sz w:val="22"/>
          <w:szCs w:val="22"/>
          <w:lang w:val="en-US"/>
        </w:rPr>
      </w:pPr>
      <w:r w:rsidRPr="00D6146A">
        <w:rPr>
          <w:rFonts w:cs="Arial"/>
          <w:sz w:val="22"/>
          <w:szCs w:val="22"/>
          <w:lang w:val="en-US"/>
        </w:rPr>
        <w:t>The anatomic sites of infection were also similar in the tedizolid phosphate and linezolid treatment groups, with the most common locations being lower extremity (foot, leg, knee) (40.7% vs. 42.2%) and upper extremity (hand/arm) (34.0% vs. 33.8%). In addition, baseline median surface area of lesion was also similar in both the tedizolid phosphate and linezolid treatment groups (197.1 cm</w:t>
      </w:r>
      <w:r w:rsidRPr="00D6146A">
        <w:rPr>
          <w:rStyle w:val="BodyText-SuperScript-H14"/>
          <w:rFonts w:ascii="Arial" w:hAnsi="Arial" w:cs="Arial"/>
          <w:sz w:val="22"/>
          <w:szCs w:val="22"/>
          <w:lang w:val="en-US"/>
        </w:rPr>
        <w:t>2</w:t>
      </w:r>
      <w:r w:rsidRPr="00D6146A">
        <w:rPr>
          <w:rFonts w:cs="Arial"/>
          <w:sz w:val="22"/>
          <w:szCs w:val="22"/>
          <w:lang w:val="en-US"/>
        </w:rPr>
        <w:t xml:space="preserve"> vs. 210.0 cm</w:t>
      </w:r>
      <w:r w:rsidRPr="00D6146A">
        <w:rPr>
          <w:rStyle w:val="BodyText-SuperScript-H14"/>
          <w:rFonts w:ascii="Arial" w:hAnsi="Arial" w:cs="Arial"/>
          <w:sz w:val="22"/>
          <w:szCs w:val="22"/>
          <w:lang w:val="en-US"/>
        </w:rPr>
        <w:t>2</w:t>
      </w:r>
      <w:r w:rsidR="00D75730" w:rsidRPr="00D75730">
        <w:rPr>
          <w:rFonts w:cs="Arial"/>
          <w:sz w:val="22"/>
          <w:szCs w:val="22"/>
          <w:lang w:val="en-US"/>
        </w:rPr>
        <w:t xml:space="preserve">)(ISE 2013 </w:t>
      </w:r>
      <w:r w:rsidR="00D75730" w:rsidRPr="00D75730">
        <w:rPr>
          <w:rFonts w:cs="Arial"/>
          <w:sz w:val="22"/>
          <w:szCs w:val="22"/>
          <w:lang w:val="en-US"/>
        </w:rPr>
        <w:fldChar w:fldCharType="begin"/>
      </w:r>
      <w:r w:rsidR="00D75730" w:rsidRPr="00D75730">
        <w:rPr>
          <w:rFonts w:cs="Arial"/>
          <w:sz w:val="22"/>
          <w:szCs w:val="22"/>
          <w:lang w:val="en-US"/>
        </w:rPr>
        <w:instrText xml:space="preserve"> REF _Ref284183626 \r \h </w:instrText>
      </w:r>
      <w:r w:rsidR="00D75730" w:rsidRPr="00D75730">
        <w:rPr>
          <w:rFonts w:cs="Arial"/>
          <w:sz w:val="22"/>
          <w:szCs w:val="22"/>
          <w:lang w:val="en-US"/>
        </w:rPr>
      </w:r>
      <w:r w:rsidR="00D75730" w:rsidRPr="00D75730">
        <w:rPr>
          <w:rFonts w:cs="Arial"/>
          <w:sz w:val="22"/>
          <w:szCs w:val="22"/>
          <w:lang w:val="en-US"/>
        </w:rPr>
        <w:fldChar w:fldCharType="separate"/>
      </w:r>
      <w:r w:rsidR="00151A1C">
        <w:rPr>
          <w:rFonts w:cs="Arial"/>
          <w:sz w:val="22"/>
          <w:szCs w:val="22"/>
          <w:lang w:val="en-US"/>
        </w:rPr>
        <w:t>51</w:t>
      </w:r>
      <w:r w:rsidR="00D75730" w:rsidRPr="00D75730">
        <w:rPr>
          <w:rFonts w:cs="Arial"/>
          <w:sz w:val="22"/>
          <w:szCs w:val="22"/>
          <w:lang w:val="en-US"/>
        </w:rPr>
        <w:fldChar w:fldCharType="end"/>
      </w:r>
      <w:r w:rsidR="00D75730" w:rsidRPr="00D75730">
        <w:rPr>
          <w:rFonts w:cs="Arial"/>
          <w:sz w:val="22"/>
          <w:szCs w:val="22"/>
          <w:lang w:val="en-US"/>
        </w:rPr>
        <w:t>).</w:t>
      </w:r>
    </w:p>
    <w:p w14:paraId="5BA0FF92" w14:textId="77777777" w:rsidR="00075718" w:rsidRPr="00D6146A" w:rsidRDefault="00075718" w:rsidP="00C35C1F">
      <w:pPr>
        <w:pStyle w:val="Heading5"/>
        <w:numPr>
          <w:ilvl w:val="0"/>
          <w:numId w:val="71"/>
        </w:numPr>
        <w:rPr>
          <w:rFonts w:ascii="Arial" w:hAnsi="Arial" w:cs="Arial"/>
          <w:b/>
          <w:color w:val="auto"/>
          <w:sz w:val="22"/>
          <w:szCs w:val="22"/>
          <w:lang w:val="en-US"/>
        </w:rPr>
      </w:pPr>
      <w:r w:rsidRPr="00D6146A">
        <w:rPr>
          <w:rFonts w:ascii="Arial" w:hAnsi="Arial" w:cs="Arial"/>
          <w:b/>
          <w:color w:val="auto"/>
          <w:sz w:val="22"/>
          <w:szCs w:val="22"/>
          <w:lang w:val="en-US"/>
        </w:rPr>
        <w:t>Baseline infecting pathogens in the pooled analysis dataset of the Phase 3 trials</w:t>
      </w:r>
    </w:p>
    <w:p w14:paraId="4A7970C2" w14:textId="77777777" w:rsidR="00075718" w:rsidRPr="00D6146A" w:rsidRDefault="00075718" w:rsidP="00075718">
      <w:pPr>
        <w:pStyle w:val="BodyText"/>
        <w:rPr>
          <w:rFonts w:cs="Arial"/>
          <w:sz w:val="22"/>
          <w:szCs w:val="22"/>
          <w:lang w:val="en-US"/>
        </w:rPr>
      </w:pPr>
    </w:p>
    <w:p w14:paraId="1782DF45" w14:textId="77777777" w:rsidR="00151A1C" w:rsidRPr="00151A1C" w:rsidRDefault="00075718" w:rsidP="00151A1C">
      <w:pPr>
        <w:pStyle w:val="BodyText"/>
        <w:rPr>
          <w:rFonts w:cs="Arial"/>
          <w:sz w:val="22"/>
          <w:szCs w:val="22"/>
          <w:lang w:val="en-US"/>
        </w:rPr>
      </w:pPr>
      <w:r w:rsidRPr="00D6146A">
        <w:rPr>
          <w:rFonts w:cs="Arial"/>
          <w:sz w:val="22"/>
          <w:szCs w:val="22"/>
          <w:lang w:val="en-US"/>
        </w:rPr>
        <w:t xml:space="preserve">The majority of the infecting pathogens were Gram-positive aerobes in both the tedizolid phosphate and linezolid groups within the MITT population. In both treatment groups, </w:t>
      </w:r>
      <w:r w:rsidRPr="00D6146A">
        <w:rPr>
          <w:rStyle w:val="BodyText-italic-H12"/>
          <w:rFonts w:cs="Arial"/>
          <w:sz w:val="22"/>
          <w:szCs w:val="22"/>
          <w:lang w:val="en-US"/>
        </w:rPr>
        <w:t>S. aureus</w:t>
      </w:r>
      <w:r w:rsidRPr="00D6146A">
        <w:rPr>
          <w:rFonts w:cs="Arial"/>
          <w:sz w:val="22"/>
          <w:szCs w:val="22"/>
          <w:lang w:val="en-US"/>
        </w:rPr>
        <w:t xml:space="preserve"> represented slightly over 80% of the pathogens. MRSA was prevalent in 34.7% of cases in the tedizolid phosphate group and 35.4% in the linezolid group (</w:t>
      </w:r>
      <w:r w:rsidRPr="00D6146A">
        <w:rPr>
          <w:rFonts w:cs="Arial"/>
          <w:sz w:val="22"/>
          <w:szCs w:val="22"/>
          <w:lang w:val="en-US"/>
        </w:rPr>
        <w:fldChar w:fldCharType="begin"/>
      </w:r>
      <w:r w:rsidRPr="00D6146A">
        <w:rPr>
          <w:rFonts w:cs="Arial"/>
          <w:sz w:val="22"/>
          <w:szCs w:val="22"/>
          <w:lang w:val="en-US"/>
        </w:rPr>
        <w:instrText xml:space="preserve"> REF _Ref384210148 \h  \* MERGEFORMAT </w:instrText>
      </w:r>
      <w:r w:rsidRPr="00D6146A">
        <w:rPr>
          <w:rFonts w:cs="Arial"/>
          <w:sz w:val="22"/>
          <w:szCs w:val="22"/>
          <w:lang w:val="en-US"/>
        </w:rPr>
      </w:r>
      <w:r w:rsidRPr="00D6146A">
        <w:rPr>
          <w:rFonts w:cs="Arial"/>
          <w:sz w:val="22"/>
          <w:szCs w:val="22"/>
          <w:lang w:val="en-US"/>
        </w:rPr>
        <w:fldChar w:fldCharType="separate"/>
      </w:r>
    </w:p>
    <w:p w14:paraId="2FE7B1D2" w14:textId="5F83239E" w:rsidR="00075718" w:rsidRPr="00D6146A" w:rsidRDefault="00151A1C" w:rsidP="00075718">
      <w:pPr>
        <w:pStyle w:val="BodyText"/>
        <w:rPr>
          <w:rFonts w:cs="Arial"/>
          <w:sz w:val="22"/>
          <w:szCs w:val="22"/>
          <w:lang w:val="en-US"/>
        </w:rPr>
      </w:pPr>
      <w:r w:rsidRPr="00151A1C">
        <w:rPr>
          <w:rFonts w:cs="Arial"/>
          <w:sz w:val="22"/>
          <w:szCs w:val="22"/>
          <w:lang w:val="en-US"/>
        </w:rPr>
        <w:t>Table</w:t>
      </w:r>
      <w:r w:rsidRPr="00D6146A">
        <w:rPr>
          <w:rFonts w:cs="Arial"/>
          <w:b/>
          <w:noProof/>
          <w:sz w:val="22"/>
          <w:szCs w:val="22"/>
        </w:rPr>
        <w:t xml:space="preserve"> </w:t>
      </w:r>
      <w:r>
        <w:rPr>
          <w:rFonts w:cs="Arial"/>
          <w:b/>
          <w:noProof/>
          <w:sz w:val="22"/>
          <w:szCs w:val="22"/>
        </w:rPr>
        <w:t>65</w:t>
      </w:r>
      <w:r w:rsidR="00075718" w:rsidRPr="00D6146A">
        <w:rPr>
          <w:rFonts w:cs="Arial"/>
          <w:sz w:val="22"/>
          <w:szCs w:val="22"/>
          <w:lang w:val="en-US"/>
        </w:rPr>
        <w:fldChar w:fldCharType="end"/>
      </w:r>
      <w:r w:rsidR="00075718" w:rsidRPr="00D6146A">
        <w:rPr>
          <w:rFonts w:cs="Arial"/>
          <w:sz w:val="22"/>
          <w:szCs w:val="22"/>
          <w:lang w:val="en-US"/>
        </w:rPr>
        <w:t>)</w:t>
      </w:r>
      <w:r w:rsidR="006F3124">
        <w:rPr>
          <w:rFonts w:cs="Arial"/>
          <w:sz w:val="22"/>
          <w:szCs w:val="22"/>
          <w:lang w:val="en-US"/>
        </w:rPr>
        <w:t>(</w:t>
      </w:r>
      <w:r w:rsidR="00D75730" w:rsidRPr="00D75730">
        <w:rPr>
          <w:rFonts w:cs="Arial"/>
          <w:sz w:val="22"/>
          <w:szCs w:val="22"/>
          <w:lang w:val="en-US"/>
        </w:rPr>
        <w:t>ISE 2013</w:t>
      </w:r>
      <w:r w:rsidR="00D75730">
        <w:rPr>
          <w:rFonts w:cs="Arial"/>
          <w:sz w:val="22"/>
          <w:szCs w:val="22"/>
          <w:lang w:val="en-US"/>
        </w:rPr>
        <w:t xml:space="preserve"> </w:t>
      </w:r>
      <w:r w:rsidR="00D75730" w:rsidRPr="00D75730">
        <w:rPr>
          <w:rFonts w:cs="Arial"/>
          <w:sz w:val="22"/>
          <w:szCs w:val="22"/>
          <w:lang w:val="en-US"/>
        </w:rPr>
        <w:fldChar w:fldCharType="begin"/>
      </w:r>
      <w:r w:rsidR="00D75730" w:rsidRPr="00D75730">
        <w:rPr>
          <w:rFonts w:cs="Arial"/>
          <w:sz w:val="22"/>
          <w:szCs w:val="22"/>
          <w:lang w:val="en-US"/>
        </w:rPr>
        <w:instrText xml:space="preserve"> REF _Ref284183626 \r \h </w:instrText>
      </w:r>
      <w:r w:rsidR="00D75730" w:rsidRPr="00D75730">
        <w:rPr>
          <w:rFonts w:cs="Arial"/>
          <w:sz w:val="22"/>
          <w:szCs w:val="22"/>
          <w:lang w:val="en-US"/>
        </w:rPr>
      </w:r>
      <w:r w:rsidR="00D75730" w:rsidRPr="00D75730">
        <w:rPr>
          <w:rFonts w:cs="Arial"/>
          <w:sz w:val="22"/>
          <w:szCs w:val="22"/>
          <w:lang w:val="en-US"/>
        </w:rPr>
        <w:fldChar w:fldCharType="separate"/>
      </w:r>
      <w:r>
        <w:rPr>
          <w:rFonts w:cs="Arial"/>
          <w:sz w:val="22"/>
          <w:szCs w:val="22"/>
          <w:lang w:val="en-US"/>
        </w:rPr>
        <w:t>51</w:t>
      </w:r>
      <w:r w:rsidR="00D75730" w:rsidRPr="00D75730">
        <w:rPr>
          <w:rFonts w:cs="Arial"/>
          <w:sz w:val="22"/>
          <w:szCs w:val="22"/>
          <w:lang w:val="en-US"/>
        </w:rPr>
        <w:fldChar w:fldCharType="end"/>
      </w:r>
      <w:r w:rsidR="00D75730" w:rsidRPr="00D75730">
        <w:rPr>
          <w:rFonts w:cs="Arial"/>
          <w:sz w:val="22"/>
          <w:szCs w:val="22"/>
          <w:lang w:val="en-US"/>
        </w:rPr>
        <w:t>).</w:t>
      </w:r>
    </w:p>
    <w:p w14:paraId="723B5A4A" w14:textId="77777777" w:rsidR="006F3124" w:rsidRDefault="006F3124" w:rsidP="00075718">
      <w:pPr>
        <w:rPr>
          <w:rFonts w:cs="Arial"/>
          <w:b/>
          <w:sz w:val="22"/>
          <w:szCs w:val="22"/>
        </w:rPr>
      </w:pPr>
      <w:bookmarkStart w:id="336" w:name="_Ref384210148"/>
      <w:bookmarkStart w:id="337" w:name="_Toc396058449"/>
    </w:p>
    <w:p w14:paraId="669D9BFB" w14:textId="24A1E783" w:rsidR="00075718" w:rsidRPr="00D6146A" w:rsidRDefault="00075718" w:rsidP="00075718">
      <w:pPr>
        <w:rPr>
          <w:rFonts w:cs="Arial"/>
          <w:b/>
          <w:sz w:val="22"/>
          <w:szCs w:val="22"/>
        </w:rPr>
      </w:pPr>
      <w:r w:rsidRPr="00D6146A">
        <w:rPr>
          <w:rFonts w:cs="Arial"/>
          <w:b/>
          <w:sz w:val="22"/>
          <w:szCs w:val="22"/>
        </w:rPr>
        <w:t xml:space="preserve">Table </w:t>
      </w:r>
      <w:r w:rsidRPr="00D6146A">
        <w:rPr>
          <w:rFonts w:cs="Arial"/>
          <w:b/>
          <w:sz w:val="22"/>
          <w:szCs w:val="22"/>
        </w:rPr>
        <w:fldChar w:fldCharType="begin"/>
      </w:r>
      <w:r w:rsidRPr="00D6146A">
        <w:rPr>
          <w:rFonts w:cs="Arial"/>
          <w:b/>
          <w:sz w:val="22"/>
          <w:szCs w:val="22"/>
        </w:rPr>
        <w:instrText xml:space="preserve"> SEQ Table \* ARABIC </w:instrText>
      </w:r>
      <w:r w:rsidRPr="00D6146A">
        <w:rPr>
          <w:rFonts w:cs="Arial"/>
          <w:b/>
          <w:sz w:val="22"/>
          <w:szCs w:val="22"/>
        </w:rPr>
        <w:fldChar w:fldCharType="separate"/>
      </w:r>
      <w:r w:rsidR="00151A1C">
        <w:rPr>
          <w:rFonts w:cs="Arial"/>
          <w:b/>
          <w:noProof/>
          <w:sz w:val="22"/>
          <w:szCs w:val="22"/>
        </w:rPr>
        <w:t>65</w:t>
      </w:r>
      <w:r w:rsidRPr="00D6146A">
        <w:rPr>
          <w:rFonts w:cs="Arial"/>
          <w:b/>
          <w:sz w:val="22"/>
          <w:szCs w:val="22"/>
        </w:rPr>
        <w:fldChar w:fldCharType="end"/>
      </w:r>
      <w:bookmarkEnd w:id="336"/>
      <w:r w:rsidRPr="00D6146A">
        <w:rPr>
          <w:rFonts w:cs="Arial"/>
          <w:b/>
          <w:sz w:val="22"/>
          <w:szCs w:val="22"/>
        </w:rPr>
        <w:t>: Pathogenic organisms from primary ABSSSI site in the pooled analysis Phase 3 trial data (MITT population)</w:t>
      </w:r>
      <w:bookmarkEnd w:id="337"/>
    </w:p>
    <w:p w14:paraId="4775CC17" w14:textId="77777777" w:rsidR="00075718" w:rsidRPr="00D6146A" w:rsidRDefault="00075718" w:rsidP="00075718">
      <w:pPr>
        <w:rPr>
          <w:rFonts w:cs="Arial"/>
          <w:sz w:val="22"/>
          <w:szCs w:val="22"/>
        </w:rPr>
      </w:pPr>
    </w:p>
    <w:tbl>
      <w:tblPr>
        <w:tblStyle w:val="Table-HERONplain1"/>
        <w:tblW w:w="0" w:type="auto"/>
        <w:tblLook w:val="04A0" w:firstRow="1" w:lastRow="0" w:firstColumn="1" w:lastColumn="0" w:noHBand="0" w:noVBand="1"/>
      </w:tblPr>
      <w:tblGrid>
        <w:gridCol w:w="2980"/>
        <w:gridCol w:w="2965"/>
        <w:gridCol w:w="2958"/>
      </w:tblGrid>
      <w:tr w:rsidR="00075718" w:rsidRPr="00D6146A" w14:paraId="71E70B57" w14:textId="77777777" w:rsidTr="00257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0D237B61"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lastRenderedPageBreak/>
              <w:t xml:space="preserve">Infecting organism </w:t>
            </w:r>
          </w:p>
        </w:tc>
        <w:tc>
          <w:tcPr>
            <w:tcW w:w="3041" w:type="dxa"/>
            <w:shd w:val="clear" w:color="auto" w:fill="auto"/>
            <w:hideMark/>
          </w:tcPr>
          <w:p w14:paraId="2540F6BB"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 (N=406)</w:t>
            </w:r>
          </w:p>
          <w:p w14:paraId="48462A24"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c>
          <w:tcPr>
            <w:tcW w:w="3041" w:type="dxa"/>
            <w:shd w:val="clear" w:color="auto" w:fill="auto"/>
            <w:hideMark/>
          </w:tcPr>
          <w:p w14:paraId="46CB887C"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 (N=412)</w:t>
            </w:r>
          </w:p>
          <w:p w14:paraId="093FDBFC"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r>
      <w:tr w:rsidR="00075718" w:rsidRPr="00D6146A" w14:paraId="29FEC8B0" w14:textId="77777777" w:rsidTr="00257B24">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47AAFCAB"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Gram-positive (aerobes):</w:t>
            </w:r>
          </w:p>
        </w:tc>
        <w:tc>
          <w:tcPr>
            <w:tcW w:w="3041" w:type="dxa"/>
            <w:vAlign w:val="top"/>
            <w:hideMark/>
          </w:tcPr>
          <w:p w14:paraId="05AC13E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399 (98.3) </w:t>
            </w:r>
          </w:p>
        </w:tc>
        <w:tc>
          <w:tcPr>
            <w:tcW w:w="3041" w:type="dxa"/>
            <w:vAlign w:val="top"/>
            <w:hideMark/>
          </w:tcPr>
          <w:p w14:paraId="358427F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405 (98.3) </w:t>
            </w:r>
          </w:p>
        </w:tc>
      </w:tr>
      <w:tr w:rsidR="00075718" w:rsidRPr="00D6146A" w14:paraId="0C591A00"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2E65CF1F" w14:textId="77777777" w:rsidR="00075718" w:rsidRPr="00D6146A" w:rsidRDefault="00075718" w:rsidP="00D6146A">
            <w:pPr>
              <w:pStyle w:val="TableBodyText-H54"/>
              <w:ind w:left="313"/>
              <w:rPr>
                <w:rStyle w:val="BodyText-italic-H12"/>
                <w:rFonts w:ascii="Arial" w:hAnsi="Arial" w:cs="Arial"/>
                <w:sz w:val="22"/>
                <w:szCs w:val="22"/>
                <w:lang w:val="en-US"/>
              </w:rPr>
            </w:pPr>
            <w:r w:rsidRPr="00D6146A">
              <w:rPr>
                <w:rStyle w:val="BodyText-italic-H12"/>
                <w:rFonts w:ascii="Arial" w:hAnsi="Arial" w:cs="Arial"/>
                <w:sz w:val="22"/>
                <w:szCs w:val="22"/>
                <w:lang w:val="en-US"/>
              </w:rPr>
              <w:t>S. aureus</w:t>
            </w:r>
          </w:p>
        </w:tc>
        <w:tc>
          <w:tcPr>
            <w:tcW w:w="3041" w:type="dxa"/>
            <w:vAlign w:val="top"/>
            <w:hideMark/>
          </w:tcPr>
          <w:p w14:paraId="12C7A12C"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329 (81.0) </w:t>
            </w:r>
          </w:p>
        </w:tc>
        <w:tc>
          <w:tcPr>
            <w:tcW w:w="3041" w:type="dxa"/>
            <w:vAlign w:val="top"/>
            <w:hideMark/>
          </w:tcPr>
          <w:p w14:paraId="0F7EBE59"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342 (83.0) </w:t>
            </w:r>
          </w:p>
        </w:tc>
      </w:tr>
      <w:tr w:rsidR="00075718" w:rsidRPr="00D6146A" w14:paraId="5938E9E0" w14:textId="77777777" w:rsidTr="00257B24">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51473848" w14:textId="77777777" w:rsidR="00075718" w:rsidRPr="00D6146A" w:rsidRDefault="00075718" w:rsidP="00D6146A">
            <w:pPr>
              <w:pStyle w:val="TableBodyText-H54"/>
              <w:ind w:left="313"/>
              <w:rPr>
                <w:rFonts w:ascii="Arial" w:hAnsi="Arial" w:cs="Arial"/>
                <w:sz w:val="22"/>
                <w:szCs w:val="22"/>
                <w:lang w:val="en-US"/>
              </w:rPr>
            </w:pPr>
            <w:r w:rsidRPr="00D6146A">
              <w:rPr>
                <w:rFonts w:ascii="Arial" w:hAnsi="Arial" w:cs="Arial"/>
                <w:sz w:val="22"/>
                <w:szCs w:val="22"/>
                <w:lang w:val="en-US"/>
              </w:rPr>
              <w:t>MRSA</w:t>
            </w:r>
          </w:p>
        </w:tc>
        <w:tc>
          <w:tcPr>
            <w:tcW w:w="3041" w:type="dxa"/>
            <w:vAlign w:val="top"/>
            <w:hideMark/>
          </w:tcPr>
          <w:p w14:paraId="34470A88"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141 (34.7) </w:t>
            </w:r>
          </w:p>
        </w:tc>
        <w:tc>
          <w:tcPr>
            <w:tcW w:w="3041" w:type="dxa"/>
            <w:vAlign w:val="top"/>
            <w:hideMark/>
          </w:tcPr>
          <w:p w14:paraId="246BDE39"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146 (35.4) </w:t>
            </w:r>
          </w:p>
        </w:tc>
      </w:tr>
      <w:tr w:rsidR="00075718" w:rsidRPr="00D6146A" w14:paraId="58B851FB"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777126EA" w14:textId="77777777" w:rsidR="00075718" w:rsidRPr="00D6146A" w:rsidRDefault="00075718" w:rsidP="00D6146A">
            <w:pPr>
              <w:pStyle w:val="TableBodyText-H54"/>
              <w:ind w:left="313"/>
              <w:rPr>
                <w:rFonts w:ascii="Arial" w:hAnsi="Arial" w:cs="Arial"/>
                <w:sz w:val="22"/>
                <w:szCs w:val="22"/>
                <w:lang w:val="en-US"/>
              </w:rPr>
            </w:pPr>
            <w:r w:rsidRPr="00D6146A">
              <w:rPr>
                <w:rFonts w:ascii="Arial" w:hAnsi="Arial" w:cs="Arial"/>
                <w:sz w:val="22"/>
                <w:szCs w:val="22"/>
                <w:lang w:val="en-US"/>
              </w:rPr>
              <w:t>MSSA</w:t>
            </w:r>
          </w:p>
        </w:tc>
        <w:tc>
          <w:tcPr>
            <w:tcW w:w="3041" w:type="dxa"/>
            <w:vAlign w:val="top"/>
            <w:hideMark/>
          </w:tcPr>
          <w:p w14:paraId="4AEED877"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188 (46.3) </w:t>
            </w:r>
          </w:p>
        </w:tc>
        <w:tc>
          <w:tcPr>
            <w:tcW w:w="3041" w:type="dxa"/>
            <w:vAlign w:val="top"/>
            <w:hideMark/>
          </w:tcPr>
          <w:p w14:paraId="47F33801"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198 (48.1) </w:t>
            </w:r>
          </w:p>
        </w:tc>
      </w:tr>
      <w:tr w:rsidR="00075718" w:rsidRPr="00D6146A" w14:paraId="14AB6987" w14:textId="77777777" w:rsidTr="00257B24">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322DFF4C" w14:textId="77777777" w:rsidR="00075718" w:rsidRPr="00D6146A" w:rsidRDefault="00075718" w:rsidP="00D6146A">
            <w:pPr>
              <w:pStyle w:val="TableBodyText-H54"/>
              <w:ind w:left="313"/>
              <w:rPr>
                <w:rFonts w:ascii="Arial" w:hAnsi="Arial" w:cs="Arial"/>
                <w:sz w:val="22"/>
                <w:szCs w:val="22"/>
                <w:lang w:val="en-US"/>
              </w:rPr>
            </w:pPr>
            <w:r w:rsidRPr="00D6146A">
              <w:rPr>
                <w:rFonts w:ascii="Arial" w:hAnsi="Arial" w:cs="Arial"/>
                <w:sz w:val="22"/>
                <w:szCs w:val="22"/>
                <w:lang w:val="en-US"/>
              </w:rPr>
              <w:t xml:space="preserve">Other Gram-positive (aerobes) </w:t>
            </w:r>
          </w:p>
        </w:tc>
        <w:tc>
          <w:tcPr>
            <w:tcW w:w="3041" w:type="dxa"/>
            <w:hideMark/>
          </w:tcPr>
          <w:p w14:paraId="29A7DCC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114 (27.7) </w:t>
            </w:r>
          </w:p>
        </w:tc>
        <w:tc>
          <w:tcPr>
            <w:tcW w:w="3041" w:type="dxa"/>
            <w:hideMark/>
          </w:tcPr>
          <w:p w14:paraId="27CD93CA"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103 (24.9) </w:t>
            </w:r>
          </w:p>
        </w:tc>
      </w:tr>
      <w:tr w:rsidR="00075718" w:rsidRPr="00D6146A" w14:paraId="545B9BFB"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0EFC1BE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Gram-positive (anaerobes)</w:t>
            </w:r>
          </w:p>
        </w:tc>
        <w:tc>
          <w:tcPr>
            <w:tcW w:w="3041" w:type="dxa"/>
            <w:vAlign w:val="top"/>
            <w:hideMark/>
          </w:tcPr>
          <w:p w14:paraId="78C79880"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10 (2.5) </w:t>
            </w:r>
          </w:p>
        </w:tc>
        <w:tc>
          <w:tcPr>
            <w:tcW w:w="3041" w:type="dxa"/>
            <w:vAlign w:val="top"/>
            <w:hideMark/>
          </w:tcPr>
          <w:p w14:paraId="1C32650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13 (3.2) </w:t>
            </w:r>
          </w:p>
        </w:tc>
      </w:tr>
      <w:tr w:rsidR="00075718" w:rsidRPr="00D6146A" w14:paraId="4BA05139" w14:textId="77777777" w:rsidTr="00257B24">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597BDA7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Gram-negative organisms (aerobes)</w:t>
            </w:r>
          </w:p>
        </w:tc>
        <w:tc>
          <w:tcPr>
            <w:tcW w:w="3041" w:type="dxa"/>
            <w:vAlign w:val="top"/>
            <w:hideMark/>
          </w:tcPr>
          <w:p w14:paraId="7F79628B"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9 (2.2) </w:t>
            </w:r>
          </w:p>
        </w:tc>
        <w:tc>
          <w:tcPr>
            <w:tcW w:w="3041" w:type="dxa"/>
            <w:vAlign w:val="top"/>
            <w:hideMark/>
          </w:tcPr>
          <w:p w14:paraId="6EC661B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7 (1.7) </w:t>
            </w:r>
          </w:p>
        </w:tc>
      </w:tr>
      <w:tr w:rsidR="00075718" w:rsidRPr="00D6146A" w14:paraId="7878ACD8"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hideMark/>
          </w:tcPr>
          <w:p w14:paraId="6058CF2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Gram-negative organisms (anaerobes)</w:t>
            </w:r>
          </w:p>
        </w:tc>
        <w:tc>
          <w:tcPr>
            <w:tcW w:w="3041" w:type="dxa"/>
            <w:vAlign w:val="top"/>
            <w:hideMark/>
          </w:tcPr>
          <w:p w14:paraId="4A0FBDA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0 </w:t>
            </w:r>
          </w:p>
        </w:tc>
        <w:tc>
          <w:tcPr>
            <w:tcW w:w="3041" w:type="dxa"/>
            <w:vAlign w:val="top"/>
            <w:hideMark/>
          </w:tcPr>
          <w:p w14:paraId="58EC334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 xml:space="preserve">2 (0.5) </w:t>
            </w:r>
          </w:p>
        </w:tc>
      </w:tr>
    </w:tbl>
    <w:p w14:paraId="488BCA30" w14:textId="7D7EFCD6" w:rsidR="00075718" w:rsidRPr="006F3124" w:rsidRDefault="00075718" w:rsidP="00B674BE">
      <w:pPr>
        <w:pStyle w:val="TableNote-H58"/>
        <w:spacing w:before="0" w:after="0"/>
        <w:rPr>
          <w:rFonts w:ascii="Arial" w:hAnsi="Arial" w:cs="Arial"/>
          <w:sz w:val="18"/>
          <w:szCs w:val="18"/>
          <w:lang w:val="en-US"/>
        </w:rPr>
      </w:pPr>
      <w:r w:rsidRPr="006F3124">
        <w:rPr>
          <w:rFonts w:ascii="Arial" w:hAnsi="Arial" w:cs="Arial"/>
          <w:sz w:val="18"/>
          <w:szCs w:val="18"/>
          <w:lang w:val="en-US"/>
        </w:rPr>
        <w:t xml:space="preserve">SOURCE: </w:t>
      </w:r>
      <w:r w:rsidR="00D75730" w:rsidRPr="006F3124">
        <w:rPr>
          <w:rFonts w:ascii="Arial" w:hAnsi="Arial" w:cs="Arial"/>
          <w:sz w:val="18"/>
          <w:szCs w:val="18"/>
          <w:lang w:val="en-US"/>
        </w:rPr>
        <w:t>ISE 2013</w:t>
      </w:r>
      <w:r w:rsidR="00D75730">
        <w:rPr>
          <w:rFonts w:ascii="Arial" w:hAnsi="Arial" w:cs="Arial"/>
          <w:sz w:val="18"/>
          <w:szCs w:val="18"/>
          <w:lang w:val="en-US"/>
        </w:rPr>
        <w:t xml:space="preserve"> </w:t>
      </w:r>
      <w:r w:rsidR="00D75730">
        <w:rPr>
          <w:rFonts w:ascii="Arial" w:hAnsi="Arial" w:cs="Arial"/>
          <w:sz w:val="18"/>
          <w:szCs w:val="18"/>
          <w:lang w:val="en-US"/>
        </w:rPr>
        <w:fldChar w:fldCharType="begin"/>
      </w:r>
      <w:r w:rsidR="00D75730">
        <w:rPr>
          <w:rFonts w:ascii="Arial" w:hAnsi="Arial" w:cs="Arial"/>
          <w:sz w:val="18"/>
          <w:szCs w:val="18"/>
          <w:lang w:val="en-US"/>
        </w:rPr>
        <w:instrText xml:space="preserve"> REF _Ref284183626 \r \h </w:instrText>
      </w:r>
      <w:r w:rsidR="00D75730">
        <w:rPr>
          <w:rFonts w:ascii="Arial" w:hAnsi="Arial" w:cs="Arial"/>
          <w:sz w:val="18"/>
          <w:szCs w:val="18"/>
          <w:lang w:val="en-US"/>
        </w:rPr>
      </w:r>
      <w:r w:rsidR="00D75730">
        <w:rPr>
          <w:rFonts w:ascii="Arial" w:hAnsi="Arial" w:cs="Arial"/>
          <w:sz w:val="18"/>
          <w:szCs w:val="18"/>
          <w:lang w:val="en-US"/>
        </w:rPr>
        <w:fldChar w:fldCharType="separate"/>
      </w:r>
      <w:r w:rsidR="00151A1C">
        <w:rPr>
          <w:rFonts w:ascii="Arial" w:hAnsi="Arial" w:cs="Arial"/>
          <w:sz w:val="18"/>
          <w:szCs w:val="18"/>
          <w:lang w:val="en-US"/>
        </w:rPr>
        <w:t>51</w:t>
      </w:r>
      <w:r w:rsidR="00D75730">
        <w:rPr>
          <w:rFonts w:ascii="Arial" w:hAnsi="Arial" w:cs="Arial"/>
          <w:sz w:val="18"/>
          <w:szCs w:val="18"/>
          <w:lang w:val="en-US"/>
        </w:rPr>
        <w:fldChar w:fldCharType="end"/>
      </w:r>
      <w:r w:rsidRPr="006F3124">
        <w:rPr>
          <w:rFonts w:ascii="Arial" w:hAnsi="Arial" w:cs="Arial"/>
          <w:sz w:val="18"/>
          <w:szCs w:val="18"/>
          <w:lang w:val="en-US"/>
        </w:rPr>
        <w:t xml:space="preserve">: section 3.4 Table 59 </w:t>
      </w:r>
    </w:p>
    <w:p w14:paraId="35D866AF" w14:textId="77777777" w:rsidR="00075718" w:rsidRPr="006F3124" w:rsidRDefault="00075718" w:rsidP="00B674BE">
      <w:pPr>
        <w:pStyle w:val="TableNote-H58"/>
        <w:spacing w:before="0" w:after="0"/>
        <w:rPr>
          <w:rFonts w:ascii="Arial" w:hAnsi="Arial" w:cs="Arial"/>
          <w:sz w:val="18"/>
          <w:szCs w:val="18"/>
          <w:lang w:val="en-US"/>
        </w:rPr>
      </w:pPr>
      <w:r w:rsidRPr="006F3124">
        <w:rPr>
          <w:rFonts w:ascii="Arial" w:hAnsi="Arial" w:cs="Arial"/>
          <w:sz w:val="18"/>
          <w:szCs w:val="18"/>
          <w:lang w:val="en-US"/>
        </w:rPr>
        <w:t xml:space="preserve">Note: Patients with the same pathogen isolated from multiple specimens are counted only once for that pathogen. Patients with the same pathogen identified from both the blood and primary ABSSSI cultures are counted only once. Patients with both MRSA and MSSA are counted only once in overall </w:t>
      </w:r>
      <w:r w:rsidRPr="006F3124">
        <w:rPr>
          <w:rStyle w:val="BodyText-italic-H12"/>
          <w:rFonts w:ascii="Arial" w:hAnsi="Arial" w:cs="Arial"/>
          <w:bCs w:val="0"/>
          <w:sz w:val="18"/>
          <w:szCs w:val="18"/>
          <w:lang w:val="en-US"/>
        </w:rPr>
        <w:t>S. aureus</w:t>
      </w:r>
      <w:r w:rsidRPr="006F3124">
        <w:rPr>
          <w:rFonts w:ascii="Arial" w:hAnsi="Arial" w:cs="Arial"/>
          <w:sz w:val="18"/>
          <w:szCs w:val="18"/>
          <w:lang w:val="en-US"/>
        </w:rPr>
        <w:t xml:space="preserve"> row and untyped </w:t>
      </w:r>
      <w:r w:rsidRPr="006F3124">
        <w:rPr>
          <w:rStyle w:val="BodyText-italic-H12"/>
          <w:rFonts w:ascii="Arial" w:hAnsi="Arial" w:cs="Arial"/>
          <w:bCs w:val="0"/>
          <w:sz w:val="18"/>
          <w:szCs w:val="18"/>
          <w:lang w:val="en-US"/>
        </w:rPr>
        <w:t>S. aureus</w:t>
      </w:r>
      <w:r w:rsidRPr="006F3124">
        <w:rPr>
          <w:rFonts w:ascii="Arial" w:hAnsi="Arial" w:cs="Arial"/>
          <w:sz w:val="18"/>
          <w:szCs w:val="18"/>
          <w:lang w:val="en-US"/>
        </w:rPr>
        <w:t xml:space="preserve"> pathogens are only counted in the overall </w:t>
      </w:r>
      <w:r w:rsidRPr="006F3124">
        <w:rPr>
          <w:rStyle w:val="BodyText-italic-H12"/>
          <w:rFonts w:ascii="Arial" w:hAnsi="Arial" w:cs="Arial"/>
          <w:bCs w:val="0"/>
          <w:sz w:val="18"/>
          <w:szCs w:val="18"/>
          <w:lang w:val="en-US"/>
        </w:rPr>
        <w:t>S. aureus</w:t>
      </w:r>
      <w:r w:rsidRPr="006F3124">
        <w:rPr>
          <w:rFonts w:ascii="Arial" w:hAnsi="Arial" w:cs="Arial"/>
          <w:sz w:val="18"/>
          <w:szCs w:val="18"/>
          <w:lang w:val="en-US"/>
        </w:rPr>
        <w:t xml:space="preserve"> row</w:t>
      </w:r>
    </w:p>
    <w:p w14:paraId="49E819D8" w14:textId="77777777" w:rsidR="00075718" w:rsidRPr="006F3124" w:rsidRDefault="00075718" w:rsidP="00B674BE">
      <w:pPr>
        <w:pStyle w:val="TableNote-H58"/>
        <w:spacing w:before="0" w:after="0"/>
        <w:rPr>
          <w:rFonts w:ascii="Arial" w:hAnsi="Arial" w:cs="Arial"/>
          <w:sz w:val="18"/>
          <w:szCs w:val="18"/>
          <w:lang w:val="en-US"/>
        </w:rPr>
      </w:pPr>
      <w:r w:rsidRPr="006F3124">
        <w:rPr>
          <w:rFonts w:ascii="Arial" w:hAnsi="Arial" w:cs="Arial"/>
          <w:sz w:val="18"/>
          <w:szCs w:val="18"/>
          <w:lang w:val="en-US"/>
        </w:rPr>
        <w:t xml:space="preserve">ABSSSI: Acute bacterial skin and skin structure infection; MITT: Microbiological intent-to-treat; MRSA: Methicillin-resistant </w:t>
      </w:r>
      <w:r w:rsidRPr="006F3124">
        <w:rPr>
          <w:rStyle w:val="BodyText-italic-H12"/>
          <w:rFonts w:ascii="Arial" w:hAnsi="Arial" w:cs="Arial"/>
          <w:bCs w:val="0"/>
          <w:sz w:val="18"/>
          <w:szCs w:val="18"/>
          <w:lang w:val="en-US"/>
        </w:rPr>
        <w:t>S. aureus</w:t>
      </w:r>
      <w:r w:rsidRPr="006F3124">
        <w:rPr>
          <w:rFonts w:ascii="Arial" w:hAnsi="Arial" w:cs="Arial"/>
          <w:sz w:val="18"/>
          <w:szCs w:val="18"/>
          <w:lang w:val="en-US"/>
        </w:rPr>
        <w:t>; MSSA: Methicillin-</w:t>
      </w:r>
      <w:r w:rsidRPr="006F3124">
        <w:rPr>
          <w:rStyle w:val="CommentReference"/>
          <w:rFonts w:ascii="Arial" w:eastAsiaTheme="majorEastAsia" w:hAnsi="Arial" w:cs="Arial"/>
          <w:sz w:val="18"/>
          <w:szCs w:val="18"/>
          <w:lang w:val="en-US"/>
        </w:rPr>
        <w:t>susceptible</w:t>
      </w:r>
      <w:r w:rsidRPr="006F3124">
        <w:rPr>
          <w:rFonts w:ascii="Arial" w:hAnsi="Arial" w:cs="Arial"/>
          <w:sz w:val="18"/>
          <w:szCs w:val="18"/>
          <w:lang w:val="en-US"/>
        </w:rPr>
        <w:t xml:space="preserve"> </w:t>
      </w:r>
      <w:r w:rsidRPr="006F3124">
        <w:rPr>
          <w:rStyle w:val="BodyText-italic-H12"/>
          <w:rFonts w:ascii="Arial" w:hAnsi="Arial" w:cs="Arial"/>
          <w:bCs w:val="0"/>
          <w:sz w:val="18"/>
          <w:szCs w:val="18"/>
          <w:lang w:val="en-US"/>
        </w:rPr>
        <w:t xml:space="preserve">S. aureus; </w:t>
      </w:r>
      <w:r w:rsidRPr="006F3124">
        <w:rPr>
          <w:rFonts w:ascii="Arial" w:hAnsi="Arial" w:cs="Arial"/>
          <w:sz w:val="18"/>
          <w:szCs w:val="18"/>
          <w:lang w:val="en-US"/>
        </w:rPr>
        <w:t>N: Number of patients in population; n: Number of patients in specific category</w:t>
      </w:r>
    </w:p>
    <w:p w14:paraId="68345E3D" w14:textId="77777777" w:rsidR="00075718" w:rsidRPr="00D6146A" w:rsidRDefault="00075718" w:rsidP="00C35C1F">
      <w:pPr>
        <w:pStyle w:val="Heading4"/>
        <w:keepLines w:val="0"/>
        <w:numPr>
          <w:ilvl w:val="0"/>
          <w:numId w:val="71"/>
        </w:numPr>
        <w:spacing w:before="240" w:after="120"/>
        <w:rPr>
          <w:rFonts w:ascii="Arial" w:hAnsi="Arial" w:cs="Arial"/>
          <w:i w:val="0"/>
          <w:color w:val="auto"/>
          <w:sz w:val="22"/>
          <w:szCs w:val="22"/>
          <w:lang w:val="en-US"/>
        </w:rPr>
      </w:pPr>
      <w:r w:rsidRPr="00D6146A">
        <w:rPr>
          <w:rFonts w:ascii="Arial" w:hAnsi="Arial" w:cs="Arial"/>
          <w:i w:val="0"/>
          <w:color w:val="auto"/>
          <w:sz w:val="22"/>
          <w:szCs w:val="22"/>
          <w:lang w:val="en-US"/>
        </w:rPr>
        <w:t>Baseline demographics and disease characteristics for patients with MRSA infections in the pooled analysis of Phase 3 trial data</w:t>
      </w:r>
    </w:p>
    <w:p w14:paraId="3C104425" w14:textId="379F39B7" w:rsidR="00075718" w:rsidRPr="00D6146A" w:rsidRDefault="00075718" w:rsidP="00075718">
      <w:pPr>
        <w:pStyle w:val="BodyText"/>
        <w:rPr>
          <w:rFonts w:cs="Arial"/>
          <w:sz w:val="22"/>
          <w:szCs w:val="22"/>
          <w:lang w:val="en-US"/>
        </w:rPr>
      </w:pPr>
      <w:r w:rsidRPr="00D6146A">
        <w:rPr>
          <w:rFonts w:cs="Arial"/>
          <w:sz w:val="22"/>
          <w:szCs w:val="22"/>
          <w:lang w:val="en-US"/>
        </w:rPr>
        <w:t>There were a number of minor differences between the tedizolid phosphate group and the linezolid group in the pooled dataset (</w:t>
      </w:r>
      <w:r w:rsidRPr="00D6146A">
        <w:rPr>
          <w:rFonts w:cs="Arial"/>
          <w:sz w:val="22"/>
          <w:szCs w:val="22"/>
          <w:lang w:val="en-US"/>
        </w:rPr>
        <w:fldChar w:fldCharType="begin"/>
      </w:r>
      <w:r w:rsidRPr="00D6146A">
        <w:rPr>
          <w:rFonts w:cs="Arial"/>
          <w:sz w:val="22"/>
          <w:szCs w:val="22"/>
          <w:lang w:val="en-US"/>
        </w:rPr>
        <w:instrText xml:space="preserve"> REF _Ref384213572 \h  \* MERGEFORMAT </w:instrText>
      </w:r>
      <w:r w:rsidRPr="00D6146A">
        <w:rPr>
          <w:rFonts w:cs="Arial"/>
          <w:sz w:val="22"/>
          <w:szCs w:val="22"/>
          <w:lang w:val="en-US"/>
        </w:rPr>
      </w:r>
      <w:r w:rsidRPr="00D6146A">
        <w:rPr>
          <w:rFonts w:cs="Arial"/>
          <w:sz w:val="22"/>
          <w:szCs w:val="22"/>
          <w:lang w:val="en-US"/>
        </w:rPr>
        <w:fldChar w:fldCharType="separate"/>
      </w:r>
      <w:r w:rsidR="00151A1C" w:rsidRPr="00D6146A">
        <w:rPr>
          <w:rFonts w:cs="Arial"/>
          <w:sz w:val="22"/>
          <w:szCs w:val="22"/>
          <w:lang w:val="en-US"/>
        </w:rPr>
        <w:t xml:space="preserve">Table </w:t>
      </w:r>
      <w:r w:rsidR="00151A1C">
        <w:rPr>
          <w:rFonts w:cs="Arial"/>
          <w:sz w:val="22"/>
          <w:szCs w:val="22"/>
          <w:lang w:val="en-US"/>
        </w:rPr>
        <w:t>66</w:t>
      </w:r>
      <w:r w:rsidRPr="00D6146A">
        <w:rPr>
          <w:rFonts w:cs="Arial"/>
          <w:sz w:val="22"/>
          <w:szCs w:val="22"/>
          <w:lang w:val="en-US"/>
        </w:rPr>
        <w:fldChar w:fldCharType="end"/>
      </w:r>
      <w:r w:rsidRPr="00D6146A">
        <w:rPr>
          <w:rFonts w:cs="Arial"/>
          <w:sz w:val="22"/>
          <w:szCs w:val="22"/>
          <w:lang w:val="en-US"/>
        </w:rPr>
        <w:t>).</w:t>
      </w:r>
      <w:r w:rsidR="00B674BE" w:rsidRPr="00D6146A">
        <w:rPr>
          <w:rFonts w:cs="Arial"/>
          <w:sz w:val="22"/>
          <w:szCs w:val="22"/>
          <w:lang w:val="en-US"/>
        </w:rPr>
        <w:t xml:space="preserve"> </w:t>
      </w:r>
    </w:p>
    <w:p w14:paraId="57130E31" w14:textId="77777777" w:rsidR="00075718" w:rsidRPr="00D6146A" w:rsidRDefault="00075718" w:rsidP="00075718">
      <w:pPr>
        <w:pStyle w:val="Caption"/>
        <w:rPr>
          <w:rFonts w:ascii="Arial" w:hAnsi="Arial" w:cs="Arial"/>
          <w:sz w:val="22"/>
          <w:szCs w:val="22"/>
          <w:lang w:val="en-US"/>
        </w:rPr>
      </w:pPr>
      <w:bookmarkStart w:id="338" w:name="_Ref384213572"/>
      <w:bookmarkStart w:id="339" w:name="_Toc396058450"/>
      <w:r w:rsidRPr="00D6146A">
        <w:rPr>
          <w:rFonts w:ascii="Arial" w:hAnsi="Arial" w:cs="Arial"/>
          <w:sz w:val="22"/>
          <w:szCs w:val="22"/>
          <w:lang w:val="en-US"/>
        </w:rPr>
        <w:lastRenderedPageBreak/>
        <w:t xml:space="preserve">Table </w:t>
      </w:r>
      <w:r w:rsidRPr="00D6146A">
        <w:rPr>
          <w:rFonts w:ascii="Arial" w:hAnsi="Arial" w:cs="Arial"/>
          <w:sz w:val="22"/>
          <w:szCs w:val="22"/>
          <w:lang w:val="en-US"/>
        </w:rPr>
        <w:fldChar w:fldCharType="begin"/>
      </w:r>
      <w:r w:rsidRPr="00D6146A">
        <w:rPr>
          <w:rFonts w:ascii="Arial" w:hAnsi="Arial" w:cs="Arial"/>
          <w:sz w:val="22"/>
          <w:szCs w:val="22"/>
          <w:lang w:val="en-US"/>
        </w:rPr>
        <w:instrText xml:space="preserve"> SEQ Table \* ARABIC </w:instrText>
      </w:r>
      <w:r w:rsidRPr="00D6146A">
        <w:rPr>
          <w:rFonts w:ascii="Arial" w:hAnsi="Arial" w:cs="Arial"/>
          <w:sz w:val="22"/>
          <w:szCs w:val="22"/>
          <w:lang w:val="en-US"/>
        </w:rPr>
        <w:fldChar w:fldCharType="separate"/>
      </w:r>
      <w:r w:rsidR="00151A1C">
        <w:rPr>
          <w:rFonts w:ascii="Arial" w:hAnsi="Arial" w:cs="Arial"/>
          <w:noProof/>
          <w:sz w:val="22"/>
          <w:szCs w:val="22"/>
          <w:lang w:val="en-US"/>
        </w:rPr>
        <w:t>66</w:t>
      </w:r>
      <w:r w:rsidRPr="00D6146A">
        <w:rPr>
          <w:rFonts w:ascii="Arial" w:hAnsi="Arial" w:cs="Arial"/>
          <w:sz w:val="22"/>
          <w:szCs w:val="22"/>
          <w:lang w:val="en-US"/>
        </w:rPr>
        <w:fldChar w:fldCharType="end"/>
      </w:r>
      <w:bookmarkEnd w:id="338"/>
      <w:r w:rsidRPr="00D6146A">
        <w:rPr>
          <w:rFonts w:ascii="Arial" w:hAnsi="Arial" w:cs="Arial"/>
          <w:sz w:val="22"/>
          <w:szCs w:val="22"/>
          <w:lang w:val="en-US"/>
        </w:rPr>
        <w:t>: Selected baseline demographics in patients with MRSA infections in the pooled analysis of Phase 3 trial data (ITT population)</w:t>
      </w:r>
      <w:bookmarkEnd w:id="339"/>
    </w:p>
    <w:tbl>
      <w:tblPr>
        <w:tblStyle w:val="Table-HERONplain"/>
        <w:tblW w:w="4942" w:type="pct"/>
        <w:tblInd w:w="108" w:type="dxa"/>
        <w:tblLook w:val="04A0" w:firstRow="1" w:lastRow="0" w:firstColumn="1" w:lastColumn="0" w:noHBand="0" w:noVBand="1"/>
      </w:tblPr>
      <w:tblGrid>
        <w:gridCol w:w="1911"/>
        <w:gridCol w:w="3500"/>
        <w:gridCol w:w="3500"/>
      </w:tblGrid>
      <w:tr w:rsidR="00075718" w:rsidRPr="00D6146A" w14:paraId="3AB590A1" w14:textId="77777777" w:rsidTr="00257B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111443F9"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Characteristic</w:t>
            </w:r>
          </w:p>
        </w:tc>
        <w:tc>
          <w:tcPr>
            <w:tcW w:w="1964" w:type="pct"/>
            <w:shd w:val="clear" w:color="auto" w:fill="auto"/>
            <w:hideMark/>
          </w:tcPr>
          <w:p w14:paraId="51805696"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w:t>
            </w:r>
          </w:p>
          <w:p w14:paraId="43869BFF"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(N=141)</w:t>
            </w:r>
          </w:p>
          <w:p w14:paraId="1E1B67DF"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c>
          <w:tcPr>
            <w:tcW w:w="1964" w:type="pct"/>
            <w:shd w:val="clear" w:color="auto" w:fill="auto"/>
            <w:hideMark/>
          </w:tcPr>
          <w:p w14:paraId="1C6C8E83"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w:t>
            </w:r>
          </w:p>
          <w:p w14:paraId="0BA3E96C"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(N=146)</w:t>
            </w:r>
          </w:p>
          <w:p w14:paraId="2A3E7FB2"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r>
      <w:tr w:rsidR="00075718" w:rsidRPr="00D6146A" w14:paraId="05888C76" w14:textId="77777777" w:rsidTr="00257B2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627A3678"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Sex, n (%)</w:t>
            </w:r>
          </w:p>
        </w:tc>
      </w:tr>
      <w:tr w:rsidR="00075718" w:rsidRPr="00D6146A" w14:paraId="3E653290" w14:textId="77777777" w:rsidTr="00257B2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62814FC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Female</w:t>
            </w:r>
          </w:p>
        </w:tc>
        <w:tc>
          <w:tcPr>
            <w:tcW w:w="1964" w:type="pct"/>
            <w:vAlign w:val="top"/>
            <w:hideMark/>
          </w:tcPr>
          <w:p w14:paraId="15DF4983"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41 (29.1)</w:t>
            </w:r>
          </w:p>
        </w:tc>
        <w:tc>
          <w:tcPr>
            <w:tcW w:w="1964" w:type="pct"/>
            <w:vAlign w:val="top"/>
            <w:hideMark/>
          </w:tcPr>
          <w:p w14:paraId="3213D87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59 (40.4)</w:t>
            </w:r>
          </w:p>
        </w:tc>
      </w:tr>
      <w:tr w:rsidR="00075718" w:rsidRPr="00D6146A" w14:paraId="660BD5B5" w14:textId="77777777" w:rsidTr="00257B24">
        <w:trPr>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4B51A184"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Male</w:t>
            </w:r>
          </w:p>
        </w:tc>
        <w:tc>
          <w:tcPr>
            <w:tcW w:w="1964" w:type="pct"/>
            <w:vAlign w:val="top"/>
            <w:hideMark/>
          </w:tcPr>
          <w:p w14:paraId="15AE31AD"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100 (70.9)</w:t>
            </w:r>
          </w:p>
        </w:tc>
        <w:tc>
          <w:tcPr>
            <w:tcW w:w="1964" w:type="pct"/>
            <w:vAlign w:val="top"/>
            <w:hideMark/>
          </w:tcPr>
          <w:p w14:paraId="56B482D4"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87 (59.6)</w:t>
            </w:r>
          </w:p>
        </w:tc>
      </w:tr>
      <w:tr w:rsidR="00075718" w:rsidRPr="00D6146A" w14:paraId="2F13206B" w14:textId="77777777" w:rsidTr="00257B2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top"/>
            <w:hideMark/>
          </w:tcPr>
          <w:p w14:paraId="6F1260A9"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Age, years</w:t>
            </w:r>
          </w:p>
        </w:tc>
      </w:tr>
      <w:tr w:rsidR="00075718" w:rsidRPr="00D6146A" w14:paraId="42D8EF59" w14:textId="77777777" w:rsidTr="00257B24">
        <w:trPr>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0BCF6771"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Median</w:t>
            </w:r>
          </w:p>
        </w:tc>
        <w:tc>
          <w:tcPr>
            <w:tcW w:w="1964" w:type="pct"/>
            <w:vAlign w:val="top"/>
            <w:hideMark/>
          </w:tcPr>
          <w:p w14:paraId="2EC000DD"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40.0</w:t>
            </w:r>
          </w:p>
        </w:tc>
        <w:tc>
          <w:tcPr>
            <w:tcW w:w="1964" w:type="pct"/>
            <w:vAlign w:val="top"/>
            <w:hideMark/>
          </w:tcPr>
          <w:p w14:paraId="16EDFB93"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36.0</w:t>
            </w:r>
          </w:p>
        </w:tc>
      </w:tr>
      <w:tr w:rsidR="00075718" w:rsidRPr="00D6146A" w14:paraId="22023054" w14:textId="77777777" w:rsidTr="00257B2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176304F9"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Min, max</w:t>
            </w:r>
          </w:p>
        </w:tc>
        <w:tc>
          <w:tcPr>
            <w:tcW w:w="1964" w:type="pct"/>
            <w:vAlign w:val="top"/>
            <w:hideMark/>
          </w:tcPr>
          <w:p w14:paraId="4CC27D8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(17, 77)</w:t>
            </w:r>
          </w:p>
        </w:tc>
        <w:tc>
          <w:tcPr>
            <w:tcW w:w="1964" w:type="pct"/>
            <w:vAlign w:val="top"/>
            <w:hideMark/>
          </w:tcPr>
          <w:p w14:paraId="5C5773CC"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(18, 71)</w:t>
            </w:r>
          </w:p>
        </w:tc>
      </w:tr>
      <w:tr w:rsidR="00075718" w:rsidRPr="00D6146A" w14:paraId="57D87A7E" w14:textId="77777777" w:rsidTr="00257B2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hideMark/>
          </w:tcPr>
          <w:p w14:paraId="4904CA7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BMI, kg/m</w:t>
            </w:r>
            <w:r w:rsidRPr="00D6146A">
              <w:rPr>
                <w:rStyle w:val="BodyText-SuperScript-H14"/>
                <w:rFonts w:ascii="Arial" w:eastAsiaTheme="majorEastAsia" w:hAnsi="Arial" w:cs="Arial"/>
                <w:sz w:val="22"/>
                <w:szCs w:val="22"/>
                <w:lang w:val="en-US"/>
              </w:rPr>
              <w:t>2</w:t>
            </w:r>
          </w:p>
        </w:tc>
      </w:tr>
      <w:tr w:rsidR="00075718" w:rsidRPr="00D6146A" w14:paraId="0FD82CA6" w14:textId="77777777" w:rsidTr="00257B2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26E01B40"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&lt;30</w:t>
            </w:r>
          </w:p>
        </w:tc>
        <w:tc>
          <w:tcPr>
            <w:tcW w:w="1964" w:type="pct"/>
            <w:vAlign w:val="top"/>
            <w:hideMark/>
          </w:tcPr>
          <w:p w14:paraId="7E823A2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101 (71.6)</w:t>
            </w:r>
          </w:p>
        </w:tc>
        <w:tc>
          <w:tcPr>
            <w:tcW w:w="1964" w:type="pct"/>
            <w:vAlign w:val="top"/>
            <w:hideMark/>
          </w:tcPr>
          <w:p w14:paraId="64FE6E3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98 (67.1)</w:t>
            </w:r>
          </w:p>
        </w:tc>
      </w:tr>
      <w:tr w:rsidR="00075718" w:rsidRPr="00D6146A" w14:paraId="05CD6588" w14:textId="77777777" w:rsidTr="00257B24">
        <w:trPr>
          <w:trHeight w:val="284"/>
        </w:trPr>
        <w:tc>
          <w:tcPr>
            <w:cnfStyle w:val="001000000000" w:firstRow="0" w:lastRow="0" w:firstColumn="1" w:lastColumn="0" w:oddVBand="0" w:evenVBand="0" w:oddHBand="0" w:evenHBand="0" w:firstRowFirstColumn="0" w:firstRowLastColumn="0" w:lastRowFirstColumn="0" w:lastRowLastColumn="0"/>
            <w:tcW w:w="1072" w:type="pct"/>
            <w:shd w:val="clear" w:color="auto" w:fill="auto"/>
            <w:hideMark/>
          </w:tcPr>
          <w:p w14:paraId="733593E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≥30</w:t>
            </w:r>
          </w:p>
        </w:tc>
        <w:tc>
          <w:tcPr>
            <w:tcW w:w="1964" w:type="pct"/>
            <w:vAlign w:val="top"/>
            <w:hideMark/>
          </w:tcPr>
          <w:p w14:paraId="6977D63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40 (28.4)</w:t>
            </w:r>
          </w:p>
        </w:tc>
        <w:tc>
          <w:tcPr>
            <w:tcW w:w="1964" w:type="pct"/>
            <w:vAlign w:val="top"/>
            <w:hideMark/>
          </w:tcPr>
          <w:p w14:paraId="3561D8F8"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48 (32.9)</w:t>
            </w:r>
          </w:p>
        </w:tc>
      </w:tr>
    </w:tbl>
    <w:p w14:paraId="33BCD82A" w14:textId="4A73F525" w:rsidR="00075718" w:rsidRPr="006F3124" w:rsidRDefault="00075718" w:rsidP="00B674BE">
      <w:pPr>
        <w:pStyle w:val="TableNote-H58"/>
        <w:spacing w:before="0" w:after="0"/>
        <w:rPr>
          <w:rFonts w:ascii="Arial" w:hAnsi="Arial" w:cs="Arial"/>
          <w:sz w:val="18"/>
          <w:szCs w:val="18"/>
          <w:lang w:val="en-US"/>
        </w:rPr>
      </w:pPr>
      <w:r w:rsidRPr="006F3124">
        <w:rPr>
          <w:rFonts w:ascii="Arial" w:hAnsi="Arial" w:cs="Arial"/>
          <w:sz w:val="18"/>
          <w:szCs w:val="18"/>
          <w:lang w:val="en-US"/>
        </w:rPr>
        <w:t xml:space="preserve">SOURCE: </w:t>
      </w:r>
      <w:r w:rsidR="00B674BE" w:rsidRPr="006F3124">
        <w:rPr>
          <w:rFonts w:ascii="Arial" w:hAnsi="Arial" w:cs="Arial"/>
          <w:sz w:val="18"/>
          <w:szCs w:val="18"/>
          <w:lang w:val="en-US"/>
        </w:rPr>
        <w:t>ISE 2013</w:t>
      </w:r>
      <w:r w:rsidR="00B674BE">
        <w:rPr>
          <w:rFonts w:ascii="Arial" w:hAnsi="Arial" w:cs="Arial"/>
          <w:sz w:val="18"/>
          <w:szCs w:val="18"/>
          <w:lang w:val="en-US"/>
        </w:rPr>
        <w:t xml:space="preserve"> </w:t>
      </w:r>
      <w:r w:rsidR="00B674BE">
        <w:rPr>
          <w:rFonts w:ascii="Arial" w:hAnsi="Arial" w:cs="Arial"/>
          <w:sz w:val="18"/>
          <w:szCs w:val="18"/>
          <w:lang w:val="en-US"/>
        </w:rPr>
        <w:fldChar w:fldCharType="begin"/>
      </w:r>
      <w:r w:rsidR="00B674BE">
        <w:rPr>
          <w:rFonts w:ascii="Arial" w:hAnsi="Arial" w:cs="Arial"/>
          <w:sz w:val="18"/>
          <w:szCs w:val="18"/>
          <w:lang w:val="en-US"/>
        </w:rPr>
        <w:instrText xml:space="preserve"> REF _Ref284183626 \r \h </w:instrText>
      </w:r>
      <w:r w:rsidR="00B674BE">
        <w:rPr>
          <w:rFonts w:ascii="Arial" w:hAnsi="Arial" w:cs="Arial"/>
          <w:sz w:val="18"/>
          <w:szCs w:val="18"/>
          <w:lang w:val="en-US"/>
        </w:rPr>
      </w:r>
      <w:r w:rsidR="00B674BE">
        <w:rPr>
          <w:rFonts w:ascii="Arial" w:hAnsi="Arial" w:cs="Arial"/>
          <w:sz w:val="18"/>
          <w:szCs w:val="18"/>
          <w:lang w:val="en-US"/>
        </w:rPr>
        <w:fldChar w:fldCharType="separate"/>
      </w:r>
      <w:r w:rsidR="00151A1C">
        <w:rPr>
          <w:rFonts w:ascii="Arial" w:hAnsi="Arial" w:cs="Arial"/>
          <w:sz w:val="18"/>
          <w:szCs w:val="18"/>
          <w:lang w:val="en-US"/>
        </w:rPr>
        <w:t>51</w:t>
      </w:r>
      <w:r w:rsidR="00B674BE">
        <w:rPr>
          <w:rFonts w:ascii="Arial" w:hAnsi="Arial" w:cs="Arial"/>
          <w:sz w:val="18"/>
          <w:szCs w:val="18"/>
          <w:lang w:val="en-US"/>
        </w:rPr>
        <w:fldChar w:fldCharType="end"/>
      </w:r>
      <w:r w:rsidR="00B674BE" w:rsidRPr="006F3124">
        <w:rPr>
          <w:rFonts w:ascii="Arial" w:hAnsi="Arial" w:cs="Arial"/>
          <w:sz w:val="18"/>
          <w:szCs w:val="18"/>
          <w:lang w:val="en-US"/>
        </w:rPr>
        <w:t xml:space="preserve"> </w:t>
      </w:r>
      <w:r w:rsidR="00B674BE">
        <w:rPr>
          <w:rFonts w:ascii="Arial" w:hAnsi="Arial" w:cs="Arial"/>
          <w:sz w:val="18"/>
          <w:szCs w:val="18"/>
          <w:lang w:val="en-US"/>
        </w:rPr>
        <w:t>MRSA -Baseline characteristics</w:t>
      </w:r>
      <w:r w:rsidRPr="006F3124">
        <w:rPr>
          <w:rFonts w:ascii="Arial" w:hAnsi="Arial" w:cs="Arial"/>
          <w:sz w:val="18"/>
          <w:szCs w:val="18"/>
          <w:lang w:val="en-US"/>
        </w:rPr>
        <w:t xml:space="preserve">: Table 1 </w:t>
      </w:r>
    </w:p>
    <w:p w14:paraId="6EBDA137" w14:textId="77777777" w:rsidR="00075718" w:rsidRPr="006F3124" w:rsidRDefault="00075718" w:rsidP="00B674BE">
      <w:pPr>
        <w:pStyle w:val="TableNote-H58"/>
        <w:spacing w:before="0" w:after="0"/>
        <w:rPr>
          <w:rFonts w:ascii="Arial" w:hAnsi="Arial" w:cs="Arial"/>
          <w:sz w:val="18"/>
          <w:szCs w:val="18"/>
          <w:lang w:val="en-US"/>
        </w:rPr>
      </w:pPr>
      <w:r w:rsidRPr="006F3124">
        <w:rPr>
          <w:rFonts w:ascii="Arial" w:hAnsi="Arial" w:cs="Arial"/>
          <w:sz w:val="18"/>
          <w:szCs w:val="18"/>
          <w:lang w:val="en-US"/>
        </w:rPr>
        <w:t xml:space="preserve">BMI: Body mass index; ITT: Intent-to-treat; MRSA: Methicillin-resistant </w:t>
      </w:r>
      <w:r w:rsidRPr="006F3124">
        <w:rPr>
          <w:rStyle w:val="BodyText-italic-H12"/>
          <w:rFonts w:ascii="Arial" w:hAnsi="Arial" w:cs="Arial"/>
          <w:bCs w:val="0"/>
          <w:sz w:val="18"/>
          <w:szCs w:val="18"/>
          <w:lang w:val="en-US"/>
        </w:rPr>
        <w:t xml:space="preserve">S. aureus; </w:t>
      </w:r>
      <w:r w:rsidRPr="006F3124">
        <w:rPr>
          <w:rFonts w:ascii="Arial" w:hAnsi="Arial" w:cs="Arial"/>
          <w:sz w:val="18"/>
          <w:szCs w:val="18"/>
          <w:lang w:val="en-US"/>
        </w:rPr>
        <w:t>N: Number of patients in population; n: Number of patients in specific category</w:t>
      </w:r>
    </w:p>
    <w:p w14:paraId="652ABB3C" w14:textId="77777777" w:rsidR="00B674BE" w:rsidRDefault="00B674BE" w:rsidP="00075718">
      <w:pPr>
        <w:pStyle w:val="BodyText"/>
        <w:rPr>
          <w:rFonts w:cs="Arial"/>
          <w:sz w:val="22"/>
          <w:szCs w:val="22"/>
          <w:lang w:val="en-US"/>
        </w:rPr>
      </w:pPr>
    </w:p>
    <w:p w14:paraId="67BDA7CA" w14:textId="77777777" w:rsidR="00151A1C" w:rsidRPr="00151A1C" w:rsidRDefault="00075718" w:rsidP="00151A1C">
      <w:pPr>
        <w:pStyle w:val="BodyText"/>
        <w:rPr>
          <w:rFonts w:cs="Arial"/>
          <w:sz w:val="22"/>
          <w:szCs w:val="22"/>
          <w:lang w:val="en-US"/>
        </w:rPr>
      </w:pPr>
      <w:r w:rsidRPr="00B674BE">
        <w:rPr>
          <w:rFonts w:cs="Arial"/>
          <w:sz w:val="22"/>
          <w:szCs w:val="22"/>
          <w:lang w:val="en-US"/>
        </w:rPr>
        <w:t xml:space="preserve">Baseline disease characteristics, comorbidities, and risk factors in patients with MRSA infections are reported in </w:t>
      </w:r>
      <w:r w:rsidRPr="00B674BE">
        <w:rPr>
          <w:rFonts w:cs="Arial"/>
          <w:sz w:val="22"/>
          <w:szCs w:val="22"/>
          <w:lang w:val="en-US"/>
        </w:rPr>
        <w:fldChar w:fldCharType="begin"/>
      </w:r>
      <w:r w:rsidRPr="00B674BE">
        <w:rPr>
          <w:rFonts w:cs="Arial"/>
          <w:sz w:val="22"/>
          <w:szCs w:val="22"/>
          <w:lang w:val="en-US"/>
        </w:rPr>
        <w:instrText xml:space="preserve"> REF _Ref384214637 \h  \* MERGEFORMAT </w:instrText>
      </w:r>
      <w:r w:rsidRPr="00B674BE">
        <w:rPr>
          <w:rFonts w:cs="Arial"/>
          <w:sz w:val="22"/>
          <w:szCs w:val="22"/>
          <w:lang w:val="en-US"/>
        </w:rPr>
      </w:r>
      <w:r w:rsidRPr="00B674BE">
        <w:rPr>
          <w:rFonts w:cs="Arial"/>
          <w:sz w:val="22"/>
          <w:szCs w:val="22"/>
          <w:lang w:val="en-US"/>
        </w:rPr>
        <w:fldChar w:fldCharType="separate"/>
      </w:r>
    </w:p>
    <w:p w14:paraId="7BDEB2A3" w14:textId="06F5D23D" w:rsidR="00075718" w:rsidRPr="00B674BE" w:rsidRDefault="00151A1C" w:rsidP="00075718">
      <w:pPr>
        <w:pStyle w:val="BodyText"/>
        <w:rPr>
          <w:rFonts w:cs="Arial"/>
          <w:sz w:val="22"/>
          <w:szCs w:val="22"/>
          <w:lang w:val="en-US"/>
        </w:rPr>
      </w:pPr>
      <w:r w:rsidRPr="00151A1C">
        <w:rPr>
          <w:rFonts w:cs="Arial"/>
          <w:sz w:val="22"/>
          <w:szCs w:val="22"/>
          <w:lang w:val="en-US"/>
        </w:rPr>
        <w:t>Table</w:t>
      </w:r>
      <w:r w:rsidRPr="00151A1C">
        <w:rPr>
          <w:rFonts w:cs="Arial"/>
          <w:noProof/>
          <w:sz w:val="22"/>
          <w:szCs w:val="22"/>
          <w:lang w:val="en-US"/>
        </w:rPr>
        <w:t xml:space="preserve"> </w:t>
      </w:r>
      <w:r>
        <w:rPr>
          <w:rFonts w:cs="Arial"/>
          <w:b/>
          <w:noProof/>
          <w:sz w:val="22"/>
          <w:szCs w:val="22"/>
          <w:lang w:val="en-US"/>
        </w:rPr>
        <w:t>67</w:t>
      </w:r>
      <w:r w:rsidR="00075718" w:rsidRPr="00B674BE">
        <w:rPr>
          <w:rFonts w:cs="Arial"/>
          <w:sz w:val="22"/>
          <w:szCs w:val="22"/>
          <w:lang w:val="en-US"/>
        </w:rPr>
        <w:fldChar w:fldCharType="end"/>
      </w:r>
      <w:r w:rsidR="00075718" w:rsidRPr="00B674BE">
        <w:rPr>
          <w:rFonts w:cs="Arial"/>
          <w:sz w:val="22"/>
          <w:szCs w:val="22"/>
          <w:lang w:val="en-US"/>
        </w:rPr>
        <w:t xml:space="preserve">. Overall, disease characteristics, comorbidities, and risk factors were comparable between the tedizolid phosphate group and the linezolid group. </w:t>
      </w:r>
    </w:p>
    <w:p w14:paraId="46A5D048" w14:textId="77777777" w:rsidR="006F3124" w:rsidRDefault="006F3124" w:rsidP="006F3124">
      <w:pPr>
        <w:rPr>
          <w:rFonts w:cs="Arial"/>
          <w:sz w:val="22"/>
          <w:szCs w:val="22"/>
        </w:rPr>
      </w:pPr>
      <w:bookmarkStart w:id="340" w:name="_Ref384214637"/>
      <w:bookmarkStart w:id="341" w:name="_Toc396058451"/>
    </w:p>
    <w:p w14:paraId="7F9FF02F" w14:textId="105FCF71" w:rsidR="00075718" w:rsidRPr="006F3124" w:rsidRDefault="00075718" w:rsidP="006F3124">
      <w:pPr>
        <w:rPr>
          <w:rFonts w:cs="Arial"/>
          <w:b/>
          <w:sz w:val="22"/>
          <w:szCs w:val="22"/>
        </w:rPr>
      </w:pPr>
      <w:r w:rsidRPr="006F3124">
        <w:rPr>
          <w:rFonts w:cs="Arial"/>
          <w:b/>
          <w:sz w:val="22"/>
          <w:szCs w:val="22"/>
          <w:lang w:val="en-US"/>
        </w:rPr>
        <w:t xml:space="preserve">Table </w:t>
      </w:r>
      <w:r w:rsidRPr="006F3124">
        <w:rPr>
          <w:rFonts w:cs="Arial"/>
          <w:b/>
          <w:sz w:val="22"/>
          <w:szCs w:val="22"/>
          <w:lang w:val="en-US"/>
        </w:rPr>
        <w:fldChar w:fldCharType="begin"/>
      </w:r>
      <w:r w:rsidRPr="006F3124">
        <w:rPr>
          <w:rFonts w:cs="Arial"/>
          <w:b/>
          <w:sz w:val="22"/>
          <w:szCs w:val="22"/>
          <w:lang w:val="en-US"/>
        </w:rPr>
        <w:instrText xml:space="preserve"> SEQ Table \* ARABIC </w:instrText>
      </w:r>
      <w:r w:rsidRPr="006F3124">
        <w:rPr>
          <w:rFonts w:cs="Arial"/>
          <w:b/>
          <w:sz w:val="22"/>
          <w:szCs w:val="22"/>
          <w:lang w:val="en-US"/>
        </w:rPr>
        <w:fldChar w:fldCharType="separate"/>
      </w:r>
      <w:r w:rsidR="00151A1C">
        <w:rPr>
          <w:rFonts w:cs="Arial"/>
          <w:b/>
          <w:noProof/>
          <w:sz w:val="22"/>
          <w:szCs w:val="22"/>
          <w:lang w:val="en-US"/>
        </w:rPr>
        <w:t>67</w:t>
      </w:r>
      <w:r w:rsidRPr="006F3124">
        <w:rPr>
          <w:rFonts w:cs="Arial"/>
          <w:b/>
          <w:sz w:val="22"/>
          <w:szCs w:val="22"/>
          <w:lang w:val="en-US"/>
        </w:rPr>
        <w:fldChar w:fldCharType="end"/>
      </w:r>
      <w:bookmarkEnd w:id="340"/>
      <w:r w:rsidRPr="006F3124">
        <w:rPr>
          <w:rFonts w:cs="Arial"/>
          <w:b/>
          <w:sz w:val="22"/>
          <w:szCs w:val="22"/>
          <w:lang w:val="en-US"/>
        </w:rPr>
        <w:t>: Baseline disease characteristics and risk factors in patients with MRSA infections in the pooled analysis of Phase 3 trial data (ITT population)</w:t>
      </w:r>
      <w:bookmarkEnd w:id="341"/>
    </w:p>
    <w:tbl>
      <w:tblPr>
        <w:tblStyle w:val="Table-HERONplain"/>
        <w:tblW w:w="0" w:type="auto"/>
        <w:tblLook w:val="04A0" w:firstRow="1" w:lastRow="0" w:firstColumn="1" w:lastColumn="0" w:noHBand="0" w:noVBand="1"/>
      </w:tblPr>
      <w:tblGrid>
        <w:gridCol w:w="3874"/>
        <w:gridCol w:w="2518"/>
        <w:gridCol w:w="2511"/>
      </w:tblGrid>
      <w:tr w:rsidR="00075718" w:rsidRPr="00D6146A" w14:paraId="742B3D1B" w14:textId="77777777" w:rsidTr="00257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35CE2E2A" w14:textId="77777777" w:rsidR="00075718" w:rsidRPr="00D6146A" w:rsidRDefault="00075718" w:rsidP="00D6146A">
            <w:pPr>
              <w:pStyle w:val="TableBodyText-H54"/>
              <w:rPr>
                <w:rFonts w:ascii="Arial" w:hAnsi="Arial" w:cs="Arial"/>
                <w:sz w:val="22"/>
                <w:szCs w:val="22"/>
                <w:lang w:val="en-US"/>
              </w:rPr>
            </w:pPr>
          </w:p>
        </w:tc>
        <w:tc>
          <w:tcPr>
            <w:tcW w:w="2582" w:type="dxa"/>
            <w:shd w:val="clear" w:color="auto" w:fill="auto"/>
            <w:hideMark/>
          </w:tcPr>
          <w:p w14:paraId="41CDDB19"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Tedizolid phosphate (N=141)</w:t>
            </w:r>
          </w:p>
          <w:p w14:paraId="115B1FC2"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c>
          <w:tcPr>
            <w:tcW w:w="2583" w:type="dxa"/>
            <w:shd w:val="clear" w:color="auto" w:fill="auto"/>
            <w:hideMark/>
          </w:tcPr>
          <w:p w14:paraId="6FDE0880"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Linezolid (N=146)</w:t>
            </w:r>
          </w:p>
          <w:p w14:paraId="33F90B17" w14:textId="77777777" w:rsidR="00075718" w:rsidRPr="00D6146A" w:rsidRDefault="00075718" w:rsidP="00D6146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n (%)</w:t>
            </w:r>
          </w:p>
        </w:tc>
      </w:tr>
      <w:tr w:rsidR="00075718" w:rsidRPr="00D6146A" w14:paraId="1AEEBDD7" w14:textId="77777777" w:rsidTr="00257B24">
        <w:tc>
          <w:tcPr>
            <w:cnfStyle w:val="001000000000" w:firstRow="0" w:lastRow="0" w:firstColumn="1" w:lastColumn="0" w:oddVBand="0" w:evenVBand="0" w:oddHBand="0" w:evenHBand="0" w:firstRowFirstColumn="0" w:firstRowLastColumn="0" w:lastRowFirstColumn="0" w:lastRowLastColumn="0"/>
            <w:tcW w:w="9129" w:type="dxa"/>
            <w:gridSpan w:val="3"/>
            <w:shd w:val="clear" w:color="auto" w:fill="auto"/>
            <w:hideMark/>
          </w:tcPr>
          <w:p w14:paraId="39D4272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Characteristic</w:t>
            </w:r>
          </w:p>
        </w:tc>
      </w:tr>
      <w:tr w:rsidR="00075718" w:rsidRPr="00D6146A" w14:paraId="442491D4"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53F59D32"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Lymphadenopathy</w:t>
            </w:r>
          </w:p>
        </w:tc>
        <w:tc>
          <w:tcPr>
            <w:tcW w:w="2582" w:type="dxa"/>
            <w:vAlign w:val="top"/>
            <w:hideMark/>
          </w:tcPr>
          <w:p w14:paraId="109C7AE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131 (92.9)</w:t>
            </w:r>
          </w:p>
        </w:tc>
        <w:tc>
          <w:tcPr>
            <w:tcW w:w="2583" w:type="dxa"/>
            <w:vAlign w:val="top"/>
            <w:hideMark/>
          </w:tcPr>
          <w:p w14:paraId="5E24C849"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129 (88.4)</w:t>
            </w:r>
          </w:p>
        </w:tc>
      </w:tr>
      <w:tr w:rsidR="00075718" w:rsidRPr="00D6146A" w14:paraId="657A06C9"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49FB4EC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Fever</w:t>
            </w:r>
          </w:p>
        </w:tc>
        <w:tc>
          <w:tcPr>
            <w:tcW w:w="2582" w:type="dxa"/>
            <w:vAlign w:val="top"/>
            <w:hideMark/>
          </w:tcPr>
          <w:p w14:paraId="4909FD3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13 (9.2)</w:t>
            </w:r>
          </w:p>
        </w:tc>
        <w:tc>
          <w:tcPr>
            <w:tcW w:w="2583" w:type="dxa"/>
            <w:vAlign w:val="top"/>
            <w:hideMark/>
          </w:tcPr>
          <w:p w14:paraId="1F42EC9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 (2.7)</w:t>
            </w:r>
          </w:p>
        </w:tc>
      </w:tr>
      <w:tr w:rsidR="00075718" w:rsidRPr="00D6146A" w14:paraId="67D9535F"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156328E2"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lastRenderedPageBreak/>
              <w:t>WBC ≥10 000 cells/mm</w:t>
            </w:r>
            <w:r w:rsidRPr="00D6146A">
              <w:rPr>
                <w:rStyle w:val="BodyText-SuperScript-H14"/>
                <w:rFonts w:ascii="Arial" w:eastAsiaTheme="majorEastAsia" w:hAnsi="Arial" w:cs="Arial"/>
                <w:sz w:val="22"/>
                <w:szCs w:val="22"/>
                <w:lang w:val="en-US"/>
              </w:rPr>
              <w:t>3</w:t>
            </w:r>
            <w:r w:rsidRPr="00D6146A">
              <w:rPr>
                <w:rFonts w:ascii="Arial" w:hAnsi="Arial" w:cs="Arial"/>
                <w:sz w:val="22"/>
                <w:szCs w:val="22"/>
                <w:lang w:val="en-US"/>
              </w:rPr>
              <w:t xml:space="preserve"> or &lt;4000 cells/mm</w:t>
            </w:r>
            <w:r w:rsidRPr="00D6146A">
              <w:rPr>
                <w:rStyle w:val="BodyText-SuperScript-H14"/>
                <w:rFonts w:ascii="Arial" w:eastAsiaTheme="majorEastAsia" w:hAnsi="Arial" w:cs="Arial"/>
                <w:sz w:val="22"/>
                <w:szCs w:val="22"/>
                <w:lang w:val="en-US"/>
              </w:rPr>
              <w:t>3</w:t>
            </w:r>
          </w:p>
        </w:tc>
        <w:tc>
          <w:tcPr>
            <w:tcW w:w="2582" w:type="dxa"/>
            <w:vAlign w:val="top"/>
            <w:hideMark/>
          </w:tcPr>
          <w:p w14:paraId="1824341B"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68 (48.2)</w:t>
            </w:r>
          </w:p>
        </w:tc>
        <w:tc>
          <w:tcPr>
            <w:tcW w:w="2583" w:type="dxa"/>
            <w:vAlign w:val="top"/>
            <w:hideMark/>
          </w:tcPr>
          <w:p w14:paraId="3FEFA6A8"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74 (50.7)</w:t>
            </w:r>
          </w:p>
        </w:tc>
      </w:tr>
      <w:tr w:rsidR="00075718" w:rsidRPr="00D6146A" w14:paraId="48B77E60"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1760434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Immature neutrophils &gt;10%</w:t>
            </w:r>
          </w:p>
        </w:tc>
        <w:tc>
          <w:tcPr>
            <w:tcW w:w="2582" w:type="dxa"/>
            <w:vAlign w:val="top"/>
            <w:hideMark/>
          </w:tcPr>
          <w:p w14:paraId="63018D26"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2 (1.4)</w:t>
            </w:r>
          </w:p>
        </w:tc>
        <w:tc>
          <w:tcPr>
            <w:tcW w:w="2583" w:type="dxa"/>
            <w:vAlign w:val="top"/>
            <w:hideMark/>
          </w:tcPr>
          <w:p w14:paraId="4D90D7E6"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2 (1.4)</w:t>
            </w:r>
          </w:p>
        </w:tc>
      </w:tr>
      <w:tr w:rsidR="00075718" w:rsidRPr="00D6146A" w14:paraId="133D7EF0"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9" w:type="dxa"/>
            <w:gridSpan w:val="3"/>
            <w:shd w:val="clear" w:color="auto" w:fill="auto"/>
            <w:hideMark/>
          </w:tcPr>
          <w:p w14:paraId="42781153"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Comorbidity</w:t>
            </w:r>
          </w:p>
        </w:tc>
      </w:tr>
      <w:tr w:rsidR="00075718" w:rsidRPr="00D6146A" w14:paraId="7DBBD32D"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393B723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Diabetes mellitus</w:t>
            </w:r>
          </w:p>
        </w:tc>
        <w:tc>
          <w:tcPr>
            <w:tcW w:w="2582" w:type="dxa"/>
            <w:vAlign w:val="top"/>
            <w:hideMark/>
          </w:tcPr>
          <w:p w14:paraId="389A58B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8 (5.7)</w:t>
            </w:r>
          </w:p>
        </w:tc>
        <w:tc>
          <w:tcPr>
            <w:tcW w:w="2583" w:type="dxa"/>
            <w:vAlign w:val="top"/>
            <w:hideMark/>
          </w:tcPr>
          <w:p w14:paraId="144A340F"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9 (6.2)</w:t>
            </w:r>
          </w:p>
        </w:tc>
      </w:tr>
      <w:tr w:rsidR="00075718" w:rsidRPr="00D6146A" w14:paraId="1ADE10BD"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29A15A3D"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Obesity (BMI ≥30 kg/m</w:t>
            </w:r>
            <w:r w:rsidRPr="00D6146A">
              <w:rPr>
                <w:rStyle w:val="BodyText-SuperScript-H14"/>
                <w:rFonts w:ascii="Arial" w:eastAsiaTheme="majorEastAsia" w:hAnsi="Arial" w:cs="Arial"/>
                <w:sz w:val="22"/>
                <w:szCs w:val="22"/>
                <w:lang w:val="en-US"/>
              </w:rPr>
              <w:t>2</w:t>
            </w:r>
            <w:r w:rsidRPr="00D6146A">
              <w:rPr>
                <w:rFonts w:ascii="Arial" w:hAnsi="Arial" w:cs="Arial"/>
                <w:sz w:val="22"/>
                <w:szCs w:val="22"/>
                <w:lang w:val="en-US"/>
              </w:rPr>
              <w:t>)</w:t>
            </w:r>
          </w:p>
        </w:tc>
        <w:tc>
          <w:tcPr>
            <w:tcW w:w="2582" w:type="dxa"/>
            <w:vAlign w:val="top"/>
            <w:hideMark/>
          </w:tcPr>
          <w:p w14:paraId="2E0F976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40 (28.4)</w:t>
            </w:r>
          </w:p>
        </w:tc>
        <w:tc>
          <w:tcPr>
            <w:tcW w:w="2583" w:type="dxa"/>
            <w:vAlign w:val="top"/>
            <w:hideMark/>
          </w:tcPr>
          <w:p w14:paraId="2730EC18"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48 (32.9)</w:t>
            </w:r>
          </w:p>
        </w:tc>
      </w:tr>
      <w:tr w:rsidR="00075718" w:rsidRPr="00D6146A" w14:paraId="27C50596"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5434E918"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Renal impairment</w:t>
            </w:r>
          </w:p>
        </w:tc>
        <w:tc>
          <w:tcPr>
            <w:tcW w:w="2582" w:type="dxa"/>
            <w:vAlign w:val="top"/>
            <w:hideMark/>
          </w:tcPr>
          <w:p w14:paraId="0CDF0DA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3 (2.1)</w:t>
            </w:r>
          </w:p>
        </w:tc>
        <w:tc>
          <w:tcPr>
            <w:tcW w:w="2583" w:type="dxa"/>
            <w:vAlign w:val="top"/>
            <w:hideMark/>
          </w:tcPr>
          <w:p w14:paraId="641C2BB1"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 (0.7)</w:t>
            </w:r>
          </w:p>
        </w:tc>
      </w:tr>
      <w:tr w:rsidR="00075718" w:rsidRPr="00D6146A" w14:paraId="6B5870D2"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4C740EA1"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Hepatic impairment</w:t>
            </w:r>
          </w:p>
        </w:tc>
        <w:tc>
          <w:tcPr>
            <w:tcW w:w="2582" w:type="dxa"/>
            <w:vAlign w:val="top"/>
            <w:hideMark/>
          </w:tcPr>
          <w:p w14:paraId="1B6206BD"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0</w:t>
            </w:r>
          </w:p>
        </w:tc>
        <w:tc>
          <w:tcPr>
            <w:tcW w:w="2583" w:type="dxa"/>
            <w:vAlign w:val="top"/>
            <w:hideMark/>
          </w:tcPr>
          <w:p w14:paraId="1AA948BE"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0</w:t>
            </w:r>
          </w:p>
        </w:tc>
      </w:tr>
      <w:tr w:rsidR="00075718" w:rsidRPr="00D6146A" w14:paraId="66EECCAD"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3AED134A"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Hepatitis C</w:t>
            </w:r>
          </w:p>
        </w:tc>
        <w:tc>
          <w:tcPr>
            <w:tcW w:w="2582" w:type="dxa"/>
            <w:vAlign w:val="top"/>
            <w:hideMark/>
          </w:tcPr>
          <w:p w14:paraId="3409C00C"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43 (30.5)</w:t>
            </w:r>
          </w:p>
        </w:tc>
        <w:tc>
          <w:tcPr>
            <w:tcW w:w="2583" w:type="dxa"/>
            <w:vAlign w:val="top"/>
            <w:hideMark/>
          </w:tcPr>
          <w:p w14:paraId="75194EBE"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41 (28.1)</w:t>
            </w:r>
          </w:p>
        </w:tc>
      </w:tr>
      <w:tr w:rsidR="00075718" w:rsidRPr="00D6146A" w14:paraId="54DB88B5"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722EFA3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HIV positive</w:t>
            </w:r>
          </w:p>
        </w:tc>
        <w:tc>
          <w:tcPr>
            <w:tcW w:w="2582" w:type="dxa"/>
            <w:vAlign w:val="top"/>
            <w:hideMark/>
          </w:tcPr>
          <w:p w14:paraId="0F41E301"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2 (1.4)</w:t>
            </w:r>
          </w:p>
        </w:tc>
        <w:tc>
          <w:tcPr>
            <w:tcW w:w="2583" w:type="dxa"/>
            <w:vAlign w:val="top"/>
            <w:hideMark/>
          </w:tcPr>
          <w:p w14:paraId="6DAE5ABA"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 (0.7)</w:t>
            </w:r>
          </w:p>
        </w:tc>
      </w:tr>
      <w:tr w:rsidR="00075718" w:rsidRPr="00D6146A" w14:paraId="4F8FD01A"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05185A67"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Secondary ABSSSI</w:t>
            </w:r>
          </w:p>
        </w:tc>
        <w:tc>
          <w:tcPr>
            <w:tcW w:w="2582" w:type="dxa"/>
            <w:vAlign w:val="top"/>
            <w:hideMark/>
          </w:tcPr>
          <w:p w14:paraId="1250E24F"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21 (14.9)</w:t>
            </w:r>
          </w:p>
        </w:tc>
        <w:tc>
          <w:tcPr>
            <w:tcW w:w="2583" w:type="dxa"/>
            <w:vAlign w:val="top"/>
            <w:hideMark/>
          </w:tcPr>
          <w:p w14:paraId="4406AFB7"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25 (17.1)</w:t>
            </w:r>
          </w:p>
        </w:tc>
      </w:tr>
      <w:tr w:rsidR="00075718" w:rsidRPr="00D6146A" w14:paraId="4390D7B5"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9" w:type="dxa"/>
            <w:gridSpan w:val="3"/>
            <w:shd w:val="clear" w:color="auto" w:fill="auto"/>
            <w:hideMark/>
          </w:tcPr>
          <w:p w14:paraId="5B2F605E"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Risk factor</w:t>
            </w:r>
          </w:p>
        </w:tc>
      </w:tr>
      <w:tr w:rsidR="00075718" w:rsidRPr="00D6146A" w14:paraId="6E138E41"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26B00143"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IV drug use</w:t>
            </w:r>
          </w:p>
        </w:tc>
        <w:tc>
          <w:tcPr>
            <w:tcW w:w="2582" w:type="dxa"/>
            <w:vAlign w:val="top"/>
            <w:hideMark/>
          </w:tcPr>
          <w:p w14:paraId="492D3E42"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38 (27.0)</w:t>
            </w:r>
          </w:p>
        </w:tc>
        <w:tc>
          <w:tcPr>
            <w:tcW w:w="2583" w:type="dxa"/>
            <w:vAlign w:val="top"/>
            <w:hideMark/>
          </w:tcPr>
          <w:p w14:paraId="67BA386D"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46 (31.5)</w:t>
            </w:r>
          </w:p>
        </w:tc>
      </w:tr>
      <w:tr w:rsidR="00075718" w:rsidRPr="00D6146A" w14:paraId="4939C97A"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7F453996"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Poor living conditions</w:t>
            </w:r>
          </w:p>
        </w:tc>
        <w:tc>
          <w:tcPr>
            <w:tcW w:w="2582" w:type="dxa"/>
            <w:vAlign w:val="top"/>
            <w:hideMark/>
          </w:tcPr>
          <w:p w14:paraId="1DBF37F0"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10 (7.1)</w:t>
            </w:r>
          </w:p>
        </w:tc>
        <w:tc>
          <w:tcPr>
            <w:tcW w:w="2583" w:type="dxa"/>
            <w:vAlign w:val="top"/>
            <w:hideMark/>
          </w:tcPr>
          <w:p w14:paraId="4BD1C32F" w14:textId="77777777" w:rsidR="00075718" w:rsidRPr="00D6146A" w:rsidRDefault="00075718" w:rsidP="00D6146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3 (2.1)</w:t>
            </w:r>
          </w:p>
        </w:tc>
      </w:tr>
      <w:tr w:rsidR="00075718" w:rsidRPr="00D6146A" w14:paraId="350A2487" w14:textId="77777777" w:rsidTr="00257B24">
        <w:tc>
          <w:tcPr>
            <w:cnfStyle w:val="001000000000" w:firstRow="0" w:lastRow="0" w:firstColumn="1" w:lastColumn="0" w:oddVBand="0" w:evenVBand="0" w:oddHBand="0" w:evenHBand="0" w:firstRowFirstColumn="0" w:firstRowLastColumn="0" w:lastRowFirstColumn="0" w:lastRowLastColumn="0"/>
            <w:tcW w:w="3964" w:type="dxa"/>
            <w:shd w:val="clear" w:color="auto" w:fill="auto"/>
            <w:hideMark/>
          </w:tcPr>
          <w:p w14:paraId="48F31A45" w14:textId="77777777" w:rsidR="00075718" w:rsidRPr="00D6146A" w:rsidRDefault="00075718" w:rsidP="00D6146A">
            <w:pPr>
              <w:pStyle w:val="TableBodyText-H54"/>
              <w:rPr>
                <w:rFonts w:ascii="Arial" w:hAnsi="Arial" w:cs="Arial"/>
                <w:sz w:val="22"/>
                <w:szCs w:val="22"/>
                <w:lang w:val="en-US"/>
              </w:rPr>
            </w:pPr>
            <w:r w:rsidRPr="00D6146A">
              <w:rPr>
                <w:rFonts w:ascii="Arial" w:hAnsi="Arial" w:cs="Arial"/>
                <w:sz w:val="22"/>
                <w:szCs w:val="22"/>
                <w:lang w:val="en-US"/>
              </w:rPr>
              <w:t xml:space="preserve">Previous ABSSSI </w:t>
            </w:r>
          </w:p>
        </w:tc>
        <w:tc>
          <w:tcPr>
            <w:tcW w:w="2582" w:type="dxa"/>
            <w:vAlign w:val="top"/>
            <w:hideMark/>
          </w:tcPr>
          <w:p w14:paraId="3143B7D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49 (34.8)</w:t>
            </w:r>
          </w:p>
        </w:tc>
        <w:tc>
          <w:tcPr>
            <w:tcW w:w="2583" w:type="dxa"/>
            <w:vAlign w:val="top"/>
            <w:hideMark/>
          </w:tcPr>
          <w:p w14:paraId="0DEF6BE0" w14:textId="77777777" w:rsidR="00075718" w:rsidRPr="00D6146A" w:rsidRDefault="00075718" w:rsidP="00D6146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D6146A">
              <w:rPr>
                <w:rFonts w:ascii="Arial" w:hAnsi="Arial" w:cs="Arial"/>
                <w:sz w:val="22"/>
                <w:szCs w:val="22"/>
                <w:lang w:val="en-US"/>
              </w:rPr>
              <w:t>44 (30.1)</w:t>
            </w:r>
          </w:p>
        </w:tc>
      </w:tr>
    </w:tbl>
    <w:p w14:paraId="612812B4" w14:textId="235B13EB" w:rsidR="00075718" w:rsidRPr="00370284" w:rsidRDefault="00075718" w:rsidP="00B674BE">
      <w:pPr>
        <w:pStyle w:val="TableNote-H58"/>
        <w:spacing w:before="0" w:after="0"/>
        <w:rPr>
          <w:rFonts w:ascii="Arial" w:hAnsi="Arial" w:cs="Arial"/>
          <w:sz w:val="18"/>
          <w:szCs w:val="18"/>
          <w:lang w:val="en-US"/>
        </w:rPr>
      </w:pPr>
      <w:r w:rsidRPr="00370284">
        <w:rPr>
          <w:rFonts w:ascii="Arial" w:hAnsi="Arial" w:cs="Arial"/>
          <w:sz w:val="18"/>
          <w:szCs w:val="18"/>
          <w:lang w:val="en-US"/>
        </w:rPr>
        <w:t xml:space="preserve">SOURCE: </w:t>
      </w:r>
      <w:r w:rsidR="00B674BE" w:rsidRPr="006F3124">
        <w:rPr>
          <w:rFonts w:ascii="Arial" w:hAnsi="Arial" w:cs="Arial"/>
          <w:sz w:val="18"/>
          <w:szCs w:val="18"/>
          <w:lang w:val="en-US"/>
        </w:rPr>
        <w:t>ISE 2013</w:t>
      </w:r>
      <w:r w:rsidR="00B674BE">
        <w:rPr>
          <w:rFonts w:ascii="Arial" w:hAnsi="Arial" w:cs="Arial"/>
          <w:sz w:val="18"/>
          <w:szCs w:val="18"/>
          <w:lang w:val="en-US"/>
        </w:rPr>
        <w:t xml:space="preserve"> </w:t>
      </w:r>
      <w:r w:rsidR="00B674BE">
        <w:rPr>
          <w:rFonts w:ascii="Arial" w:hAnsi="Arial" w:cs="Arial"/>
          <w:sz w:val="18"/>
          <w:szCs w:val="18"/>
          <w:lang w:val="en-US"/>
        </w:rPr>
        <w:fldChar w:fldCharType="begin"/>
      </w:r>
      <w:r w:rsidR="00B674BE">
        <w:rPr>
          <w:rFonts w:ascii="Arial" w:hAnsi="Arial" w:cs="Arial"/>
          <w:sz w:val="18"/>
          <w:szCs w:val="18"/>
          <w:lang w:val="en-US"/>
        </w:rPr>
        <w:instrText xml:space="preserve"> REF _Ref284183626 \r \h </w:instrText>
      </w:r>
      <w:r w:rsidR="00B674BE">
        <w:rPr>
          <w:rFonts w:ascii="Arial" w:hAnsi="Arial" w:cs="Arial"/>
          <w:sz w:val="18"/>
          <w:szCs w:val="18"/>
          <w:lang w:val="en-US"/>
        </w:rPr>
      </w:r>
      <w:r w:rsidR="00B674BE">
        <w:rPr>
          <w:rFonts w:ascii="Arial" w:hAnsi="Arial" w:cs="Arial"/>
          <w:sz w:val="18"/>
          <w:szCs w:val="18"/>
          <w:lang w:val="en-US"/>
        </w:rPr>
        <w:fldChar w:fldCharType="separate"/>
      </w:r>
      <w:r w:rsidR="00151A1C">
        <w:rPr>
          <w:rFonts w:ascii="Arial" w:hAnsi="Arial" w:cs="Arial"/>
          <w:sz w:val="18"/>
          <w:szCs w:val="18"/>
          <w:lang w:val="en-US"/>
        </w:rPr>
        <w:t>51</w:t>
      </w:r>
      <w:r w:rsidR="00B674BE">
        <w:rPr>
          <w:rFonts w:ascii="Arial" w:hAnsi="Arial" w:cs="Arial"/>
          <w:sz w:val="18"/>
          <w:szCs w:val="18"/>
          <w:lang w:val="en-US"/>
        </w:rPr>
        <w:fldChar w:fldCharType="end"/>
      </w:r>
      <w:r w:rsidR="00B674BE">
        <w:rPr>
          <w:rFonts w:ascii="Arial" w:hAnsi="Arial" w:cs="Arial"/>
          <w:sz w:val="18"/>
          <w:szCs w:val="18"/>
          <w:lang w:val="en-US"/>
        </w:rPr>
        <w:t xml:space="preserve"> MRSA - Baseline characteristics</w:t>
      </w:r>
      <w:r w:rsidRPr="00370284">
        <w:rPr>
          <w:rFonts w:ascii="Arial" w:hAnsi="Arial" w:cs="Arial"/>
          <w:sz w:val="18"/>
          <w:szCs w:val="18"/>
          <w:lang w:val="en-US"/>
        </w:rPr>
        <w:t xml:space="preserve">: Table 1 </w:t>
      </w:r>
    </w:p>
    <w:p w14:paraId="59625E0D" w14:textId="77777777" w:rsidR="00075718" w:rsidRPr="00370284" w:rsidRDefault="00075718" w:rsidP="00B674BE">
      <w:pPr>
        <w:pStyle w:val="TableNote-H58"/>
        <w:spacing w:before="0" w:after="0"/>
        <w:rPr>
          <w:rFonts w:ascii="Arial" w:hAnsi="Arial" w:cs="Arial"/>
          <w:sz w:val="18"/>
          <w:szCs w:val="18"/>
          <w:lang w:val="en-US"/>
        </w:rPr>
      </w:pPr>
      <w:r w:rsidRPr="00370284">
        <w:rPr>
          <w:rFonts w:ascii="Arial" w:hAnsi="Arial" w:cs="Arial"/>
          <w:sz w:val="18"/>
          <w:szCs w:val="18"/>
          <w:lang w:val="en-US"/>
        </w:rPr>
        <w:t xml:space="preserve">ABSSSI: Acute bacterial skin and skin structure infection; BMI: Body mass index; HIV: Human immunodeficiency virus; ITT: Intent-to-treat; IV: Intravenous; MRSA: Methicillin-resistant </w:t>
      </w:r>
      <w:r w:rsidRPr="00370284">
        <w:rPr>
          <w:rStyle w:val="BodyText-italic-H12"/>
          <w:rFonts w:ascii="Arial" w:hAnsi="Arial" w:cs="Arial"/>
          <w:bCs w:val="0"/>
          <w:sz w:val="18"/>
          <w:szCs w:val="18"/>
          <w:lang w:val="en-US"/>
        </w:rPr>
        <w:t>S. aureus</w:t>
      </w:r>
      <w:r w:rsidRPr="00370284">
        <w:rPr>
          <w:rFonts w:ascii="Arial" w:hAnsi="Arial" w:cs="Arial"/>
          <w:sz w:val="18"/>
          <w:szCs w:val="18"/>
          <w:lang w:val="en-US"/>
        </w:rPr>
        <w:t>; WBC: White blood cell; N: Number of patients in population; n: Number of patients in specific category</w:t>
      </w:r>
    </w:p>
    <w:p w14:paraId="2DBF10AF" w14:textId="77777777" w:rsidR="00075718" w:rsidRPr="00D6146A" w:rsidRDefault="00075718" w:rsidP="00C35C1F">
      <w:pPr>
        <w:pStyle w:val="Heading5"/>
        <w:numPr>
          <w:ilvl w:val="0"/>
          <w:numId w:val="71"/>
        </w:numPr>
        <w:rPr>
          <w:rFonts w:ascii="Arial" w:hAnsi="Arial" w:cs="Arial"/>
          <w:b/>
          <w:color w:val="auto"/>
          <w:sz w:val="22"/>
          <w:szCs w:val="22"/>
          <w:lang w:val="en-US"/>
        </w:rPr>
      </w:pPr>
      <w:r w:rsidRPr="00D6146A">
        <w:rPr>
          <w:rFonts w:ascii="Arial" w:hAnsi="Arial" w:cs="Arial"/>
          <w:b/>
          <w:color w:val="auto"/>
          <w:sz w:val="22"/>
          <w:szCs w:val="22"/>
          <w:lang w:val="en-US"/>
        </w:rPr>
        <w:t>Type and location of MRSA infections - pooled Phase 3 trials dataset</w:t>
      </w:r>
    </w:p>
    <w:p w14:paraId="15EFDC00" w14:textId="77777777" w:rsidR="00075718" w:rsidRPr="00D6146A" w:rsidRDefault="00075718" w:rsidP="00075718">
      <w:pPr>
        <w:pStyle w:val="BodyText"/>
        <w:rPr>
          <w:rFonts w:cs="Arial"/>
          <w:sz w:val="22"/>
          <w:szCs w:val="22"/>
          <w:lang w:val="en-US"/>
        </w:rPr>
      </w:pPr>
    </w:p>
    <w:p w14:paraId="2DD797FC" w14:textId="17C67819" w:rsidR="00075718" w:rsidRPr="00D6146A" w:rsidRDefault="00075718" w:rsidP="00075718">
      <w:pPr>
        <w:pStyle w:val="BodyText"/>
        <w:rPr>
          <w:rFonts w:cs="Arial"/>
          <w:sz w:val="22"/>
          <w:szCs w:val="22"/>
          <w:lang w:val="en-US"/>
        </w:rPr>
      </w:pPr>
      <w:r w:rsidRPr="00D6146A">
        <w:rPr>
          <w:rFonts w:cs="Arial"/>
          <w:sz w:val="22"/>
          <w:szCs w:val="22"/>
          <w:lang w:val="en-US"/>
        </w:rPr>
        <w:t xml:space="preserve">Infection types occurred with similar frequency in both treatment groups. The most common type of MRSA infection in patients enrolled in the Phase 3 studies was major cutaneous abscess (tedizolid phosphate group: 44.7%; linezolid group: 44.5%), followed by wound infection (tedizolid phosphate group: 32.6%; linezolid group: 30.1%) and cellulitis/erysipelas (tedizolid phosphate group: 22.7%; linezolid group: 25.3%). Location of infection differed between both groups, the most common locations were upper extremity </w:t>
      </w:r>
      <w:r w:rsidRPr="00D6146A">
        <w:rPr>
          <w:rFonts w:cs="Arial"/>
          <w:sz w:val="22"/>
          <w:szCs w:val="22"/>
          <w:lang w:val="en-US"/>
        </w:rPr>
        <w:lastRenderedPageBreak/>
        <w:t>(tedizolid phosphate group: 34.8%; linezolid group: 29.5%) and lower extremity (tedizolid phosphate group: 27.0%; linezolid group: 39.0%).</w:t>
      </w:r>
    </w:p>
    <w:p w14:paraId="3E055939" w14:textId="77777777" w:rsidR="00370284" w:rsidRDefault="00370284" w:rsidP="00370284">
      <w:pPr>
        <w:rPr>
          <w:rFonts w:cs="Arial"/>
          <w:b/>
          <w:sz w:val="22"/>
          <w:szCs w:val="22"/>
        </w:rPr>
      </w:pPr>
    </w:p>
    <w:p w14:paraId="28933975" w14:textId="77777777" w:rsidR="00370284" w:rsidRDefault="00370284">
      <w:pPr>
        <w:ind w:left="357" w:hanging="357"/>
        <w:jc w:val="both"/>
        <w:rPr>
          <w:rFonts w:cs="Arial"/>
          <w:b/>
          <w:sz w:val="22"/>
          <w:szCs w:val="22"/>
        </w:rPr>
      </w:pPr>
      <w:r>
        <w:rPr>
          <w:rFonts w:cs="Arial"/>
          <w:b/>
          <w:sz w:val="22"/>
          <w:szCs w:val="22"/>
        </w:rPr>
        <w:br w:type="page"/>
      </w:r>
    </w:p>
    <w:p w14:paraId="36291D95" w14:textId="6E3CABAF" w:rsidR="0048265F" w:rsidRDefault="0048265F" w:rsidP="00370284">
      <w:pPr>
        <w:rPr>
          <w:rFonts w:cs="Arial"/>
          <w:b/>
          <w:sz w:val="22"/>
          <w:szCs w:val="22"/>
          <w:lang w:eastAsia="ja-JP"/>
        </w:rPr>
      </w:pPr>
      <w:r w:rsidRPr="00370284">
        <w:rPr>
          <w:rFonts w:cs="Arial"/>
          <w:b/>
          <w:sz w:val="22"/>
          <w:szCs w:val="22"/>
          <w:lang w:eastAsia="ja-JP"/>
        </w:rPr>
        <w:lastRenderedPageBreak/>
        <w:t>Appendix C</w:t>
      </w:r>
      <w:r w:rsidRPr="00370284">
        <w:rPr>
          <w:rFonts w:cs="Arial"/>
          <w:b/>
          <w:sz w:val="22"/>
          <w:szCs w:val="22"/>
          <w:lang w:eastAsia="ja-JP"/>
        </w:rPr>
        <w:tab/>
        <w:t>Safety and tolerability data – ESTABLISH-1 and ESTABLISH-2</w:t>
      </w:r>
    </w:p>
    <w:p w14:paraId="33101219" w14:textId="77777777" w:rsidR="00370284" w:rsidRDefault="00370284" w:rsidP="00370284">
      <w:pPr>
        <w:rPr>
          <w:rFonts w:cs="Arial"/>
          <w:b/>
          <w:sz w:val="22"/>
          <w:szCs w:val="22"/>
          <w:lang w:eastAsia="ja-JP"/>
        </w:rPr>
      </w:pPr>
    </w:p>
    <w:p w14:paraId="623FBC1C" w14:textId="7A64A135" w:rsidR="00C35C1F" w:rsidRPr="0018487F" w:rsidRDefault="00C35C1F" w:rsidP="00C35C1F">
      <w:pPr>
        <w:rPr>
          <w:rFonts w:cs="Arial"/>
          <w:b/>
          <w:sz w:val="22"/>
          <w:szCs w:val="22"/>
          <w:u w:val="single"/>
        </w:rPr>
      </w:pPr>
      <w:r w:rsidRPr="0018487F">
        <w:rPr>
          <w:rFonts w:cs="Arial"/>
          <w:b/>
          <w:sz w:val="22"/>
          <w:szCs w:val="22"/>
          <w:u w:val="single"/>
        </w:rPr>
        <w:t xml:space="preserve">ESTABLISH-1 </w:t>
      </w:r>
    </w:p>
    <w:p w14:paraId="422076BB" w14:textId="77777777" w:rsidR="00C35C1F" w:rsidRPr="001D3F4A" w:rsidRDefault="00C35C1F" w:rsidP="001D3F4A">
      <w:pPr>
        <w:pStyle w:val="Heading3"/>
        <w:keepLines w:val="0"/>
        <w:spacing w:before="240" w:after="120"/>
        <w:rPr>
          <w:rFonts w:ascii="Arial" w:hAnsi="Arial" w:cs="Arial"/>
          <w:i/>
          <w:color w:val="auto"/>
          <w:sz w:val="22"/>
          <w:szCs w:val="22"/>
          <w:lang w:val="en-US"/>
        </w:rPr>
      </w:pPr>
      <w:bookmarkStart w:id="342" w:name="_Ref382557418"/>
      <w:bookmarkStart w:id="343" w:name="_Toc396058837"/>
      <w:r w:rsidRPr="001D3F4A">
        <w:rPr>
          <w:rFonts w:ascii="Arial" w:hAnsi="Arial" w:cs="Arial"/>
          <w:i/>
          <w:color w:val="auto"/>
          <w:sz w:val="22"/>
          <w:szCs w:val="22"/>
          <w:lang w:val="en-US"/>
        </w:rPr>
        <w:t>Oral tedizolid phosphate was generally well tolerated in ESTABLISH-1</w:t>
      </w:r>
      <w:bookmarkEnd w:id="342"/>
      <w:bookmarkEnd w:id="343"/>
    </w:p>
    <w:p w14:paraId="78367566" w14:textId="0B4CCD41" w:rsidR="00C35C1F" w:rsidRPr="001D3F4A" w:rsidRDefault="00C35C1F" w:rsidP="00C35C1F">
      <w:pPr>
        <w:pStyle w:val="BodyText"/>
        <w:rPr>
          <w:rFonts w:cs="Arial"/>
          <w:sz w:val="22"/>
          <w:szCs w:val="22"/>
          <w:lang w:val="en-US"/>
        </w:rPr>
      </w:pPr>
      <w:r w:rsidRPr="001D3F4A">
        <w:rPr>
          <w:rFonts w:cs="Arial"/>
          <w:sz w:val="22"/>
          <w:szCs w:val="22"/>
          <w:lang w:val="en-US"/>
        </w:rPr>
        <w:t>In ESTABLISH-1, 331/332 patients who were enrolled in the tedizolid phosphate group and all 335 patients in the linezolid group were included in the Safety population</w:t>
      </w:r>
      <w:r w:rsidR="00B674BE">
        <w:rPr>
          <w:rFonts w:cs="Arial"/>
          <w:sz w:val="22"/>
          <w:szCs w:val="22"/>
          <w:lang w:val="en-US"/>
        </w:rPr>
        <w:t xml:space="preserve"> (</w:t>
      </w:r>
      <w:r w:rsidR="00B674BE">
        <w:rPr>
          <w:rFonts w:cs="Arial"/>
          <w:sz w:val="22"/>
          <w:szCs w:val="22"/>
          <w:lang w:val="en-US"/>
        </w:rPr>
        <w:fldChar w:fldCharType="begin"/>
      </w:r>
      <w:r w:rsidR="00B674BE">
        <w:rPr>
          <w:rFonts w:cs="Arial"/>
          <w:sz w:val="22"/>
          <w:szCs w:val="22"/>
          <w:lang w:val="en-US"/>
        </w:rPr>
        <w:instrText xml:space="preserve"> REF _Ref284171334 \r \h </w:instrText>
      </w:r>
      <w:r w:rsidR="00B674BE">
        <w:rPr>
          <w:rFonts w:cs="Arial"/>
          <w:sz w:val="22"/>
          <w:szCs w:val="22"/>
          <w:lang w:val="en-US"/>
        </w:rPr>
      </w:r>
      <w:r w:rsidR="00B674BE">
        <w:rPr>
          <w:rFonts w:cs="Arial"/>
          <w:sz w:val="22"/>
          <w:szCs w:val="22"/>
          <w:lang w:val="en-US"/>
        </w:rPr>
        <w:fldChar w:fldCharType="separate"/>
      </w:r>
      <w:r w:rsidR="00151A1C">
        <w:rPr>
          <w:rFonts w:cs="Arial"/>
          <w:sz w:val="22"/>
          <w:szCs w:val="22"/>
          <w:lang w:val="en-US"/>
        </w:rPr>
        <w:t>41</w:t>
      </w:r>
      <w:r w:rsidR="00B674BE">
        <w:rPr>
          <w:rFonts w:cs="Arial"/>
          <w:sz w:val="22"/>
          <w:szCs w:val="22"/>
          <w:lang w:val="en-US"/>
        </w:rPr>
        <w:fldChar w:fldCharType="end"/>
      </w:r>
      <w:r w:rsidR="00B674BE">
        <w:rPr>
          <w:rFonts w:cs="Arial"/>
          <w:sz w:val="22"/>
          <w:szCs w:val="22"/>
          <w:lang w:val="en-US"/>
        </w:rPr>
        <w:t>).</w:t>
      </w:r>
      <w:r w:rsidR="00B674BE" w:rsidRPr="001D3F4A">
        <w:rPr>
          <w:rFonts w:cs="Arial"/>
          <w:sz w:val="22"/>
          <w:szCs w:val="22"/>
          <w:lang w:val="en-US"/>
        </w:rPr>
        <w:t xml:space="preserve"> </w:t>
      </w:r>
      <w:r w:rsidRPr="001D3F4A">
        <w:rPr>
          <w:rFonts w:cs="Arial"/>
          <w:sz w:val="22"/>
          <w:szCs w:val="22"/>
          <w:lang w:val="en-US"/>
        </w:rPr>
        <w:t xml:space="preserve">Overall, oral tedizolid phosphate was well tolerated by patients, with the majority of TEAEs experienced being mild or moderate in severity. Further, there was a lower incidence of gastrointestinal AEs, including nausea and vomiting, in the tedizolid phosphate group compared with linezolid group. </w:t>
      </w:r>
    </w:p>
    <w:p w14:paraId="5C42BEDE" w14:textId="77777777" w:rsidR="00C35C1F" w:rsidRPr="001D3F4A" w:rsidRDefault="00C35C1F" w:rsidP="00C35C1F">
      <w:pPr>
        <w:pStyle w:val="Heading5"/>
        <w:rPr>
          <w:rFonts w:ascii="Arial" w:hAnsi="Arial" w:cs="Arial"/>
          <w:b/>
          <w:color w:val="auto"/>
          <w:sz w:val="22"/>
          <w:szCs w:val="22"/>
          <w:lang w:val="en-US"/>
        </w:rPr>
      </w:pPr>
      <w:r w:rsidRPr="001D3F4A">
        <w:rPr>
          <w:rFonts w:ascii="Arial" w:hAnsi="Arial" w:cs="Arial"/>
          <w:b/>
          <w:color w:val="auto"/>
          <w:sz w:val="22"/>
          <w:szCs w:val="22"/>
          <w:lang w:val="en-US"/>
        </w:rPr>
        <w:t>Study drug exposure in ESTABLISH-1</w:t>
      </w:r>
    </w:p>
    <w:p w14:paraId="07A12B62" w14:textId="7E953246" w:rsidR="00C35C1F" w:rsidRPr="001D3F4A" w:rsidRDefault="00C35C1F" w:rsidP="00C35C1F">
      <w:pPr>
        <w:pStyle w:val="BodyText"/>
        <w:rPr>
          <w:rFonts w:cs="Arial"/>
          <w:sz w:val="22"/>
          <w:szCs w:val="22"/>
          <w:lang w:val="en-US"/>
        </w:rPr>
      </w:pPr>
      <w:r w:rsidRPr="001D3F4A">
        <w:rPr>
          <w:rFonts w:cs="Arial"/>
          <w:sz w:val="22"/>
          <w:szCs w:val="22"/>
          <w:lang w:val="en-US"/>
        </w:rPr>
        <w:t>In ESTABLISH-1, patients in both treated groups received a number of doses of study drug. The majority of patients in the tedizolid phosphate group received 5 doses to 6 doses (maximum 6 dose over 6 days) of tedizolid phosphate (310/331 patients [93.7%]). Similarly, the majority of patients in the linezolid group received 19 doses to 20 doses (maximum 20 doses over 10 days) of linezolid (281/335 patients [83.9%])</w:t>
      </w:r>
      <w:r w:rsidR="00B674BE">
        <w:rPr>
          <w:rFonts w:cs="Arial"/>
          <w:sz w:val="22"/>
          <w:szCs w:val="22"/>
          <w:lang w:val="en-US"/>
        </w:rPr>
        <w:t>(</w:t>
      </w:r>
      <w:r w:rsidR="00B674BE">
        <w:rPr>
          <w:rFonts w:cs="Arial"/>
          <w:sz w:val="22"/>
          <w:szCs w:val="22"/>
          <w:lang w:val="en-US"/>
        </w:rPr>
        <w:fldChar w:fldCharType="begin"/>
      </w:r>
      <w:r w:rsidR="00B674BE">
        <w:rPr>
          <w:rFonts w:cs="Arial"/>
          <w:sz w:val="22"/>
          <w:szCs w:val="22"/>
          <w:lang w:val="en-US"/>
        </w:rPr>
        <w:instrText xml:space="preserve"> REF _Ref284171334 \r \h </w:instrText>
      </w:r>
      <w:r w:rsidR="00B674BE">
        <w:rPr>
          <w:rFonts w:cs="Arial"/>
          <w:sz w:val="22"/>
          <w:szCs w:val="22"/>
          <w:lang w:val="en-US"/>
        </w:rPr>
      </w:r>
      <w:r w:rsidR="00B674BE">
        <w:rPr>
          <w:rFonts w:cs="Arial"/>
          <w:sz w:val="22"/>
          <w:szCs w:val="22"/>
          <w:lang w:val="en-US"/>
        </w:rPr>
        <w:fldChar w:fldCharType="separate"/>
      </w:r>
      <w:r w:rsidR="00151A1C">
        <w:rPr>
          <w:rFonts w:cs="Arial"/>
          <w:sz w:val="22"/>
          <w:szCs w:val="22"/>
          <w:lang w:val="en-US"/>
        </w:rPr>
        <w:t>41</w:t>
      </w:r>
      <w:r w:rsidR="00B674BE">
        <w:rPr>
          <w:rFonts w:cs="Arial"/>
          <w:sz w:val="22"/>
          <w:szCs w:val="22"/>
          <w:lang w:val="en-US"/>
        </w:rPr>
        <w:fldChar w:fldCharType="end"/>
      </w:r>
      <w:r w:rsidR="00B674BE">
        <w:rPr>
          <w:rFonts w:cs="Arial"/>
          <w:sz w:val="22"/>
          <w:szCs w:val="22"/>
          <w:lang w:val="en-US"/>
        </w:rPr>
        <w:t>).</w:t>
      </w:r>
    </w:p>
    <w:p w14:paraId="4D0A152F" w14:textId="77777777" w:rsidR="00C35C1F" w:rsidRPr="001D3F4A" w:rsidRDefault="00C35C1F" w:rsidP="00C35C1F">
      <w:pPr>
        <w:pStyle w:val="Heading5"/>
        <w:rPr>
          <w:rFonts w:ascii="Arial" w:hAnsi="Arial" w:cs="Arial"/>
          <w:b/>
          <w:color w:val="auto"/>
          <w:sz w:val="22"/>
          <w:szCs w:val="22"/>
          <w:lang w:val="en-US"/>
        </w:rPr>
      </w:pPr>
      <w:r w:rsidRPr="001D3F4A">
        <w:rPr>
          <w:rFonts w:ascii="Arial" w:hAnsi="Arial" w:cs="Arial"/>
          <w:b/>
          <w:color w:val="auto"/>
          <w:sz w:val="22"/>
          <w:szCs w:val="22"/>
          <w:lang w:val="en-US"/>
        </w:rPr>
        <w:t>Overview of adverse events in ESTABLISH-1</w:t>
      </w:r>
    </w:p>
    <w:p w14:paraId="16DB89F6" w14:textId="3473BBAA" w:rsidR="00C35C1F" w:rsidRPr="001D3F4A" w:rsidRDefault="00C35C1F" w:rsidP="00C35C1F">
      <w:pPr>
        <w:pStyle w:val="BodyText"/>
        <w:rPr>
          <w:rFonts w:cs="Arial"/>
          <w:sz w:val="22"/>
          <w:szCs w:val="22"/>
          <w:lang w:val="en-US"/>
        </w:rPr>
      </w:pPr>
      <w:r w:rsidRPr="001D3F4A">
        <w:rPr>
          <w:rFonts w:cs="Arial"/>
          <w:sz w:val="22"/>
          <w:szCs w:val="22"/>
          <w:lang w:val="en-US"/>
        </w:rPr>
        <w:t>Over the whole treatment period, the total number of TEAEs was comparable between the tedizolid phosphate group and linezolid group in the Safety population (40.8% vs. 43.3%) (</w:t>
      </w:r>
      <w:r w:rsidRPr="001D3F4A">
        <w:rPr>
          <w:rFonts w:cs="Arial"/>
          <w:sz w:val="22"/>
          <w:szCs w:val="22"/>
          <w:lang w:val="en-US"/>
        </w:rPr>
        <w:fldChar w:fldCharType="begin"/>
      </w:r>
      <w:r w:rsidRPr="001D3F4A">
        <w:rPr>
          <w:rFonts w:cs="Arial"/>
          <w:sz w:val="22"/>
          <w:szCs w:val="22"/>
          <w:lang w:val="en-US"/>
        </w:rPr>
        <w:instrText xml:space="preserve"> REF _Ref381629965 \h  \* MERGEFORMAT </w:instrText>
      </w:r>
      <w:r w:rsidRPr="001D3F4A">
        <w:rPr>
          <w:rFonts w:cs="Arial"/>
          <w:sz w:val="22"/>
          <w:szCs w:val="22"/>
          <w:lang w:val="en-US"/>
        </w:rPr>
      </w:r>
      <w:r w:rsidRPr="001D3F4A">
        <w:rPr>
          <w:rFonts w:cs="Arial"/>
          <w:sz w:val="22"/>
          <w:szCs w:val="22"/>
          <w:lang w:val="en-US"/>
        </w:rPr>
        <w:fldChar w:fldCharType="separate"/>
      </w:r>
      <w:r w:rsidR="00151A1C" w:rsidRPr="001D3F4A">
        <w:rPr>
          <w:rFonts w:cs="Arial"/>
          <w:sz w:val="22"/>
          <w:szCs w:val="22"/>
          <w:lang w:val="en-US"/>
        </w:rPr>
        <w:t xml:space="preserve">Figure </w:t>
      </w:r>
      <w:r w:rsidR="00151A1C">
        <w:rPr>
          <w:rFonts w:cs="Arial"/>
          <w:sz w:val="22"/>
          <w:szCs w:val="22"/>
          <w:lang w:val="en-US"/>
        </w:rPr>
        <w:t>15</w:t>
      </w:r>
      <w:r w:rsidRPr="001D3F4A">
        <w:rPr>
          <w:rFonts w:cs="Arial"/>
          <w:sz w:val="22"/>
          <w:szCs w:val="22"/>
          <w:lang w:val="en-US"/>
        </w:rPr>
        <w:fldChar w:fldCharType="end"/>
      </w:r>
      <w:r w:rsidRPr="001D3F4A">
        <w:rPr>
          <w:rFonts w:cs="Arial"/>
          <w:sz w:val="22"/>
          <w:szCs w:val="22"/>
          <w:lang w:val="en-US"/>
        </w:rPr>
        <w:t>;</w:t>
      </w:r>
      <w:r w:rsidRPr="001D3F4A">
        <w:rPr>
          <w:rFonts w:cs="Arial"/>
          <w:sz w:val="22"/>
          <w:szCs w:val="22"/>
        </w:rPr>
        <w:t xml:space="preserve"> </w:t>
      </w:r>
      <w:r w:rsidRPr="001D3F4A">
        <w:rPr>
          <w:rFonts w:cs="Arial"/>
          <w:sz w:val="22"/>
          <w:szCs w:val="22"/>
        </w:rPr>
        <w:fldChar w:fldCharType="begin"/>
      </w:r>
      <w:r w:rsidRPr="001D3F4A">
        <w:rPr>
          <w:rFonts w:cs="Arial"/>
          <w:sz w:val="22"/>
          <w:szCs w:val="22"/>
        </w:rPr>
        <w:instrText xml:space="preserve"> REF _Ref381364609 \h </w:instrText>
      </w:r>
      <w:r w:rsidRPr="001D3F4A">
        <w:rPr>
          <w:rFonts w:cs="Arial"/>
          <w:sz w:val="22"/>
          <w:szCs w:val="22"/>
        </w:rPr>
      </w:r>
      <w:r w:rsidRPr="001D3F4A">
        <w:rPr>
          <w:rFonts w:cs="Arial"/>
          <w:sz w:val="22"/>
          <w:szCs w:val="22"/>
        </w:rPr>
        <w:fldChar w:fldCharType="separate"/>
      </w:r>
      <w:r w:rsidR="00151A1C" w:rsidRPr="002646C1">
        <w:rPr>
          <w:rFonts w:cs="Arial"/>
          <w:sz w:val="22"/>
          <w:szCs w:val="22"/>
          <w:lang w:val="en-US"/>
        </w:rPr>
        <w:t xml:space="preserve">Table </w:t>
      </w:r>
      <w:r w:rsidR="00151A1C">
        <w:rPr>
          <w:rFonts w:cs="Arial"/>
          <w:noProof/>
          <w:sz w:val="22"/>
          <w:szCs w:val="22"/>
          <w:lang w:val="en-US"/>
        </w:rPr>
        <w:t>68</w:t>
      </w:r>
      <w:r w:rsidRPr="001D3F4A">
        <w:rPr>
          <w:rFonts w:cs="Arial"/>
          <w:sz w:val="22"/>
          <w:szCs w:val="22"/>
        </w:rPr>
        <w:fldChar w:fldCharType="end"/>
      </w:r>
      <w:r w:rsidRPr="001D3F4A">
        <w:rPr>
          <w:rFonts w:cs="Arial"/>
          <w:sz w:val="22"/>
          <w:szCs w:val="22"/>
          <w:lang w:val="en-US"/>
        </w:rPr>
        <w:t>). Further, fewer patients in the tedizolid phosphate group experienced TEAEs that were classified as drug-related (defined as those with a possible, probable, or definite relationship to study drug based on the investigator’s assessment) compared with the linezolid group (24.2 vs. 31.0%) (</w:t>
      </w:r>
      <w:r w:rsidRPr="001D3F4A">
        <w:rPr>
          <w:rFonts w:cs="Arial"/>
          <w:sz w:val="22"/>
          <w:szCs w:val="22"/>
          <w:lang w:val="en-US"/>
        </w:rPr>
        <w:fldChar w:fldCharType="begin"/>
      </w:r>
      <w:r w:rsidRPr="001D3F4A">
        <w:rPr>
          <w:rFonts w:cs="Arial"/>
          <w:sz w:val="22"/>
          <w:szCs w:val="22"/>
          <w:lang w:val="en-US"/>
        </w:rPr>
        <w:instrText xml:space="preserve"> REF _Ref381629965 \h  \* MERGEFORMAT </w:instrText>
      </w:r>
      <w:r w:rsidRPr="001D3F4A">
        <w:rPr>
          <w:rFonts w:cs="Arial"/>
          <w:sz w:val="22"/>
          <w:szCs w:val="22"/>
          <w:lang w:val="en-US"/>
        </w:rPr>
      </w:r>
      <w:r w:rsidRPr="001D3F4A">
        <w:rPr>
          <w:rFonts w:cs="Arial"/>
          <w:sz w:val="22"/>
          <w:szCs w:val="22"/>
          <w:lang w:val="en-US"/>
        </w:rPr>
        <w:fldChar w:fldCharType="separate"/>
      </w:r>
      <w:r w:rsidR="00151A1C" w:rsidRPr="001D3F4A">
        <w:rPr>
          <w:rFonts w:cs="Arial"/>
          <w:sz w:val="22"/>
          <w:szCs w:val="22"/>
          <w:lang w:val="en-US"/>
        </w:rPr>
        <w:t xml:space="preserve">Figure </w:t>
      </w:r>
      <w:r w:rsidR="00151A1C">
        <w:rPr>
          <w:rFonts w:cs="Arial"/>
          <w:sz w:val="22"/>
          <w:szCs w:val="22"/>
          <w:lang w:val="en-US"/>
        </w:rPr>
        <w:t>15</w:t>
      </w:r>
      <w:r w:rsidRPr="001D3F4A">
        <w:rPr>
          <w:rFonts w:cs="Arial"/>
          <w:sz w:val="22"/>
          <w:szCs w:val="22"/>
          <w:lang w:val="en-US"/>
        </w:rPr>
        <w:fldChar w:fldCharType="end"/>
      </w:r>
      <w:r w:rsidRPr="001D3F4A">
        <w:rPr>
          <w:rFonts w:cs="Arial"/>
          <w:sz w:val="22"/>
          <w:szCs w:val="22"/>
          <w:lang w:val="en-US"/>
        </w:rPr>
        <w:t>;</w:t>
      </w:r>
      <w:r w:rsidRPr="001D3F4A">
        <w:rPr>
          <w:rFonts w:cs="Arial"/>
          <w:sz w:val="22"/>
          <w:szCs w:val="22"/>
        </w:rPr>
        <w:t xml:space="preserve"> </w:t>
      </w:r>
      <w:r w:rsidRPr="001D3F4A">
        <w:rPr>
          <w:rFonts w:cs="Arial"/>
          <w:sz w:val="22"/>
          <w:szCs w:val="22"/>
        </w:rPr>
        <w:fldChar w:fldCharType="begin"/>
      </w:r>
      <w:r w:rsidRPr="001D3F4A">
        <w:rPr>
          <w:rFonts w:cs="Arial"/>
          <w:sz w:val="22"/>
          <w:szCs w:val="22"/>
        </w:rPr>
        <w:instrText xml:space="preserve"> REF _Ref381364609 \h </w:instrText>
      </w:r>
      <w:r w:rsidRPr="001D3F4A">
        <w:rPr>
          <w:rFonts w:cs="Arial"/>
          <w:sz w:val="22"/>
          <w:szCs w:val="22"/>
        </w:rPr>
      </w:r>
      <w:r w:rsidRPr="001D3F4A">
        <w:rPr>
          <w:rFonts w:cs="Arial"/>
          <w:sz w:val="22"/>
          <w:szCs w:val="22"/>
        </w:rPr>
        <w:fldChar w:fldCharType="separate"/>
      </w:r>
      <w:r w:rsidR="00151A1C" w:rsidRPr="002646C1">
        <w:rPr>
          <w:rFonts w:cs="Arial"/>
          <w:sz w:val="22"/>
          <w:szCs w:val="22"/>
          <w:lang w:val="en-US"/>
        </w:rPr>
        <w:t xml:space="preserve">Table </w:t>
      </w:r>
      <w:r w:rsidR="00151A1C">
        <w:rPr>
          <w:rFonts w:cs="Arial"/>
          <w:noProof/>
          <w:sz w:val="22"/>
          <w:szCs w:val="22"/>
          <w:lang w:val="en-US"/>
        </w:rPr>
        <w:t>68</w:t>
      </w:r>
      <w:r w:rsidRPr="001D3F4A">
        <w:rPr>
          <w:rFonts w:cs="Arial"/>
          <w:sz w:val="22"/>
          <w:szCs w:val="22"/>
        </w:rPr>
        <w:fldChar w:fldCharType="end"/>
      </w:r>
      <w:r w:rsidRPr="001D3F4A">
        <w:rPr>
          <w:rFonts w:cs="Arial"/>
          <w:sz w:val="22"/>
          <w:szCs w:val="22"/>
          <w:lang w:val="en-US"/>
        </w:rPr>
        <w:t>)</w:t>
      </w:r>
      <w:r w:rsidR="00B674BE">
        <w:rPr>
          <w:rFonts w:cs="Arial"/>
          <w:sz w:val="22"/>
          <w:szCs w:val="22"/>
          <w:lang w:val="en-US"/>
        </w:rPr>
        <w:t>(</w:t>
      </w:r>
      <w:r w:rsidR="00B674BE">
        <w:rPr>
          <w:rFonts w:cs="Arial"/>
          <w:sz w:val="22"/>
          <w:szCs w:val="22"/>
          <w:lang w:val="en-US"/>
        </w:rPr>
        <w:fldChar w:fldCharType="begin"/>
      </w:r>
      <w:r w:rsidR="00B674BE">
        <w:rPr>
          <w:rFonts w:cs="Arial"/>
          <w:sz w:val="22"/>
          <w:szCs w:val="22"/>
          <w:lang w:val="en-US"/>
        </w:rPr>
        <w:instrText xml:space="preserve"> REF _Ref284173043 \r \h </w:instrText>
      </w:r>
      <w:r w:rsidR="00B674BE">
        <w:rPr>
          <w:rFonts w:cs="Arial"/>
          <w:sz w:val="22"/>
          <w:szCs w:val="22"/>
          <w:lang w:val="en-US"/>
        </w:rPr>
      </w:r>
      <w:r w:rsidR="00B674BE">
        <w:rPr>
          <w:rFonts w:cs="Arial"/>
          <w:sz w:val="22"/>
          <w:szCs w:val="22"/>
          <w:lang w:val="en-US"/>
        </w:rPr>
        <w:fldChar w:fldCharType="separate"/>
      </w:r>
      <w:r w:rsidR="00151A1C">
        <w:rPr>
          <w:rFonts w:cs="Arial"/>
          <w:sz w:val="22"/>
          <w:szCs w:val="22"/>
          <w:lang w:val="en-US"/>
        </w:rPr>
        <w:t>38</w:t>
      </w:r>
      <w:r w:rsidR="00B674BE">
        <w:rPr>
          <w:rFonts w:cs="Arial"/>
          <w:sz w:val="22"/>
          <w:szCs w:val="22"/>
          <w:lang w:val="en-US"/>
        </w:rPr>
        <w:fldChar w:fldCharType="end"/>
      </w:r>
      <w:r w:rsidR="00B674BE">
        <w:rPr>
          <w:rFonts w:cs="Arial"/>
          <w:sz w:val="22"/>
          <w:szCs w:val="22"/>
          <w:lang w:val="en-US"/>
        </w:rPr>
        <w:t>;</w:t>
      </w:r>
      <w:r w:rsidR="00B674BE">
        <w:rPr>
          <w:rFonts w:cs="Arial"/>
          <w:sz w:val="22"/>
          <w:szCs w:val="22"/>
          <w:lang w:val="en-US"/>
        </w:rPr>
        <w:fldChar w:fldCharType="begin"/>
      </w:r>
      <w:r w:rsidR="00B674BE">
        <w:rPr>
          <w:rFonts w:cs="Arial"/>
          <w:sz w:val="22"/>
          <w:szCs w:val="22"/>
          <w:lang w:val="en-US"/>
        </w:rPr>
        <w:instrText xml:space="preserve"> REF _Ref284171334 \r \h </w:instrText>
      </w:r>
      <w:r w:rsidR="00B674BE">
        <w:rPr>
          <w:rFonts w:cs="Arial"/>
          <w:sz w:val="22"/>
          <w:szCs w:val="22"/>
          <w:lang w:val="en-US"/>
        </w:rPr>
      </w:r>
      <w:r w:rsidR="00B674BE">
        <w:rPr>
          <w:rFonts w:cs="Arial"/>
          <w:sz w:val="22"/>
          <w:szCs w:val="22"/>
          <w:lang w:val="en-US"/>
        </w:rPr>
        <w:fldChar w:fldCharType="separate"/>
      </w:r>
      <w:r w:rsidR="00151A1C">
        <w:rPr>
          <w:rFonts w:cs="Arial"/>
          <w:sz w:val="22"/>
          <w:szCs w:val="22"/>
          <w:lang w:val="en-US"/>
        </w:rPr>
        <w:t>41</w:t>
      </w:r>
      <w:r w:rsidR="00B674BE">
        <w:rPr>
          <w:rFonts w:cs="Arial"/>
          <w:sz w:val="22"/>
          <w:szCs w:val="22"/>
          <w:lang w:val="en-US"/>
        </w:rPr>
        <w:fldChar w:fldCharType="end"/>
      </w:r>
      <w:r w:rsidR="00B674BE">
        <w:rPr>
          <w:rFonts w:cs="Arial"/>
          <w:sz w:val="22"/>
          <w:szCs w:val="22"/>
          <w:lang w:val="en-US"/>
        </w:rPr>
        <w:t>)</w:t>
      </w:r>
    </w:p>
    <w:p w14:paraId="7F486CB1" w14:textId="77777777" w:rsidR="00C35C1F" w:rsidRPr="001D3F4A" w:rsidRDefault="00C35C1F" w:rsidP="00C35C1F">
      <w:pPr>
        <w:pStyle w:val="Caption"/>
        <w:rPr>
          <w:rFonts w:ascii="Arial" w:hAnsi="Arial" w:cs="Arial"/>
          <w:sz w:val="22"/>
          <w:szCs w:val="22"/>
          <w:lang w:val="en-US"/>
        </w:rPr>
      </w:pPr>
      <w:bookmarkStart w:id="344" w:name="_Ref381629965"/>
      <w:bookmarkStart w:id="345" w:name="_Toc396058383"/>
      <w:r w:rsidRPr="001D3F4A">
        <w:rPr>
          <w:rFonts w:ascii="Arial" w:hAnsi="Arial" w:cs="Arial"/>
          <w:sz w:val="22"/>
          <w:szCs w:val="22"/>
          <w:lang w:val="en-US"/>
        </w:rPr>
        <w:lastRenderedPageBreak/>
        <w:t xml:space="preserve">Figure </w:t>
      </w:r>
      <w:r w:rsidRPr="001D3F4A">
        <w:rPr>
          <w:rFonts w:ascii="Arial" w:hAnsi="Arial" w:cs="Arial"/>
          <w:sz w:val="22"/>
          <w:szCs w:val="22"/>
          <w:lang w:val="en-US"/>
        </w:rPr>
        <w:fldChar w:fldCharType="begin"/>
      </w:r>
      <w:r w:rsidRPr="001D3F4A">
        <w:rPr>
          <w:rFonts w:ascii="Arial" w:hAnsi="Arial" w:cs="Arial"/>
          <w:sz w:val="22"/>
          <w:szCs w:val="22"/>
          <w:lang w:val="en-US"/>
        </w:rPr>
        <w:instrText xml:space="preserve"> SEQ Figure \* ARABIC </w:instrText>
      </w:r>
      <w:r w:rsidRPr="001D3F4A">
        <w:rPr>
          <w:rFonts w:ascii="Arial" w:hAnsi="Arial" w:cs="Arial"/>
          <w:sz w:val="22"/>
          <w:szCs w:val="22"/>
          <w:lang w:val="en-US"/>
        </w:rPr>
        <w:fldChar w:fldCharType="separate"/>
      </w:r>
      <w:r w:rsidR="00151A1C">
        <w:rPr>
          <w:rFonts w:ascii="Arial" w:hAnsi="Arial" w:cs="Arial"/>
          <w:noProof/>
          <w:sz w:val="22"/>
          <w:szCs w:val="22"/>
          <w:lang w:val="en-US"/>
        </w:rPr>
        <w:t>15</w:t>
      </w:r>
      <w:r w:rsidRPr="001D3F4A">
        <w:rPr>
          <w:rFonts w:ascii="Arial" w:hAnsi="Arial" w:cs="Arial"/>
          <w:sz w:val="22"/>
          <w:szCs w:val="22"/>
          <w:lang w:val="en-US"/>
        </w:rPr>
        <w:fldChar w:fldCharType="end"/>
      </w:r>
      <w:bookmarkEnd w:id="344"/>
      <w:r w:rsidRPr="001D3F4A">
        <w:rPr>
          <w:rFonts w:ascii="Arial" w:hAnsi="Arial" w:cs="Arial"/>
          <w:sz w:val="22"/>
          <w:szCs w:val="22"/>
          <w:lang w:val="en-US"/>
        </w:rPr>
        <w:t>: Overview of AEs in ESTABLISH-1 (Safety population)</w:t>
      </w:r>
      <w:bookmarkEnd w:id="345"/>
    </w:p>
    <w:p w14:paraId="187EC9B3" w14:textId="77777777" w:rsidR="00C35C1F" w:rsidRPr="00D95C15" w:rsidRDefault="00C35C1F" w:rsidP="00C35C1F">
      <w:pPr>
        <w:pStyle w:val="Caption"/>
        <w:rPr>
          <w:lang w:val="en-US"/>
        </w:rPr>
      </w:pPr>
      <w:r w:rsidRPr="00D95C15">
        <w:rPr>
          <w:noProof/>
          <w:lang w:eastAsia="en-GB"/>
        </w:rPr>
        <w:drawing>
          <wp:inline distT="0" distB="0" distL="0" distR="0" wp14:anchorId="7EEF3B83" wp14:editId="3ACB1EF4">
            <wp:extent cx="5805170" cy="3061970"/>
            <wp:effectExtent l="0" t="0" r="0" b="0"/>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0C9432" w14:textId="067E8A57" w:rsidR="00C35C1F" w:rsidRPr="001D3F4A" w:rsidRDefault="00C35C1F" w:rsidP="001D3F4A">
      <w:pPr>
        <w:pStyle w:val="FigureNote-H23"/>
        <w:spacing w:before="0" w:after="0"/>
        <w:rPr>
          <w:rFonts w:ascii="Arial" w:hAnsi="Arial" w:cs="Arial"/>
          <w:sz w:val="18"/>
          <w:szCs w:val="18"/>
          <w:lang w:val="en-US"/>
        </w:rPr>
      </w:pPr>
      <w:r w:rsidRPr="001D3F4A">
        <w:rPr>
          <w:rFonts w:ascii="Arial" w:hAnsi="Arial" w:cs="Arial"/>
          <w:sz w:val="18"/>
          <w:szCs w:val="18"/>
          <w:lang w:val="en-US"/>
        </w:rPr>
        <w:t>SOURCE: ESTABLISH-1 CSR</w:t>
      </w:r>
      <w:r w:rsidR="00B674BE">
        <w:rPr>
          <w:rFonts w:ascii="Arial" w:hAnsi="Arial" w:cs="Arial"/>
          <w:sz w:val="18"/>
          <w:szCs w:val="18"/>
          <w:lang w:val="en-US"/>
        </w:rPr>
        <w:t xml:space="preserve"> </w:t>
      </w:r>
      <w:r w:rsidR="00B674BE">
        <w:rPr>
          <w:rFonts w:ascii="Arial" w:hAnsi="Arial" w:cs="Arial"/>
          <w:sz w:val="18"/>
          <w:szCs w:val="18"/>
          <w:lang w:val="en-US"/>
        </w:rPr>
        <w:fldChar w:fldCharType="begin"/>
      </w:r>
      <w:r w:rsidR="00B674BE">
        <w:rPr>
          <w:rFonts w:ascii="Arial" w:hAnsi="Arial" w:cs="Arial"/>
          <w:sz w:val="18"/>
          <w:szCs w:val="18"/>
          <w:lang w:val="en-US"/>
        </w:rPr>
        <w:instrText xml:space="preserve"> REF _Ref284171334 \r \h </w:instrText>
      </w:r>
      <w:r w:rsidR="00B674BE">
        <w:rPr>
          <w:rFonts w:ascii="Arial" w:hAnsi="Arial" w:cs="Arial"/>
          <w:sz w:val="18"/>
          <w:szCs w:val="18"/>
          <w:lang w:val="en-US"/>
        </w:rPr>
      </w:r>
      <w:r w:rsidR="00B674BE">
        <w:rPr>
          <w:rFonts w:ascii="Arial" w:hAnsi="Arial" w:cs="Arial"/>
          <w:sz w:val="18"/>
          <w:szCs w:val="18"/>
          <w:lang w:val="en-US"/>
        </w:rPr>
        <w:fldChar w:fldCharType="separate"/>
      </w:r>
      <w:r w:rsidR="00151A1C">
        <w:rPr>
          <w:rFonts w:ascii="Arial" w:hAnsi="Arial" w:cs="Arial"/>
          <w:sz w:val="18"/>
          <w:szCs w:val="18"/>
          <w:lang w:val="en-US"/>
        </w:rPr>
        <w:t>41</w:t>
      </w:r>
      <w:r w:rsidR="00B674BE">
        <w:rPr>
          <w:rFonts w:ascii="Arial" w:hAnsi="Arial" w:cs="Arial"/>
          <w:sz w:val="18"/>
          <w:szCs w:val="18"/>
          <w:lang w:val="en-US"/>
        </w:rPr>
        <w:fldChar w:fldCharType="end"/>
      </w:r>
      <w:r w:rsidRPr="001D3F4A">
        <w:rPr>
          <w:rFonts w:ascii="Arial" w:hAnsi="Arial" w:cs="Arial"/>
          <w:sz w:val="18"/>
          <w:szCs w:val="18"/>
          <w:lang w:val="en-US"/>
        </w:rPr>
        <w:t xml:space="preserve">: section </w:t>
      </w:r>
      <w:r w:rsidRPr="001D3F4A">
        <w:rPr>
          <w:rFonts w:ascii="Arial" w:eastAsia="Tahoma" w:hAnsi="Arial" w:cs="Arial"/>
          <w:sz w:val="18"/>
          <w:szCs w:val="18"/>
          <w:lang w:val="en-US"/>
        </w:rPr>
        <w:t>12.2.1, Table 12-3</w:t>
      </w:r>
      <w:r w:rsidRPr="001D3F4A">
        <w:rPr>
          <w:rFonts w:ascii="Arial" w:hAnsi="Arial" w:cs="Arial"/>
          <w:sz w:val="18"/>
          <w:szCs w:val="18"/>
          <w:lang w:val="en-US"/>
        </w:rPr>
        <w:t xml:space="preserve"> </w:t>
      </w:r>
    </w:p>
    <w:p w14:paraId="249E1689" w14:textId="77777777" w:rsidR="00C35C1F" w:rsidRPr="001D3F4A" w:rsidRDefault="00C35C1F" w:rsidP="001D3F4A">
      <w:pPr>
        <w:pStyle w:val="TableNote-H58"/>
        <w:spacing w:before="0" w:after="0"/>
        <w:rPr>
          <w:rFonts w:ascii="Arial" w:hAnsi="Arial" w:cs="Arial"/>
          <w:sz w:val="18"/>
          <w:szCs w:val="18"/>
          <w:lang w:val="en-US"/>
        </w:rPr>
      </w:pPr>
      <w:r w:rsidRPr="001D3F4A">
        <w:rPr>
          <w:rFonts w:ascii="Arial" w:hAnsi="Arial" w:cs="Arial"/>
          <w:sz w:val="18"/>
          <w:szCs w:val="18"/>
          <w:lang w:val="en-US"/>
        </w:rPr>
        <w:t xml:space="preserve">*Defined as those with a possible, probable, or definite relationship to study drug based on the investigator’s assessment </w:t>
      </w:r>
    </w:p>
    <w:p w14:paraId="5FD34D79" w14:textId="77777777" w:rsidR="00C35C1F" w:rsidRPr="001D3F4A" w:rsidRDefault="00C35C1F" w:rsidP="001D3F4A">
      <w:pPr>
        <w:pStyle w:val="TableNote-H58"/>
        <w:spacing w:before="0" w:after="0"/>
        <w:rPr>
          <w:rFonts w:ascii="Arial" w:hAnsi="Arial" w:cs="Arial"/>
          <w:sz w:val="18"/>
          <w:szCs w:val="18"/>
          <w:lang w:val="en-US"/>
        </w:rPr>
      </w:pPr>
      <w:r w:rsidRPr="001D3F4A">
        <w:rPr>
          <w:rFonts w:ascii="Arial" w:hAnsi="Arial" w:cs="Arial"/>
          <w:sz w:val="18"/>
          <w:szCs w:val="18"/>
          <w:lang w:val="en-US"/>
        </w:rPr>
        <w:t>AE: Adverse event; N: Number of patients in population TEAE: Treatment-emergent adverse event</w:t>
      </w:r>
    </w:p>
    <w:p w14:paraId="485014A4" w14:textId="77777777" w:rsidR="00C35C1F" w:rsidRDefault="00C35C1F" w:rsidP="00C35C1F">
      <w:pPr>
        <w:rPr>
          <w:bCs/>
          <w:sz w:val="12"/>
          <w:szCs w:val="12"/>
        </w:rPr>
      </w:pPr>
      <w:r>
        <w:br w:type="page"/>
      </w:r>
    </w:p>
    <w:p w14:paraId="4334B0D1" w14:textId="77777777" w:rsidR="00C35C1F" w:rsidRPr="002646C1" w:rsidRDefault="00C35C1F" w:rsidP="00C35C1F">
      <w:pPr>
        <w:pStyle w:val="Caption"/>
        <w:rPr>
          <w:rFonts w:ascii="Arial" w:hAnsi="Arial" w:cs="Arial"/>
          <w:sz w:val="22"/>
          <w:szCs w:val="22"/>
          <w:lang w:val="en-US"/>
        </w:rPr>
      </w:pPr>
      <w:bookmarkStart w:id="346" w:name="_Ref381364609"/>
      <w:bookmarkStart w:id="347" w:name="_Toc396058467"/>
      <w:r w:rsidRPr="002646C1">
        <w:rPr>
          <w:rFonts w:ascii="Arial" w:hAnsi="Arial" w:cs="Arial"/>
          <w:sz w:val="22"/>
          <w:szCs w:val="22"/>
          <w:lang w:val="en-US"/>
        </w:rPr>
        <w:lastRenderedPageBreak/>
        <w:t xml:space="preserve">Table </w:t>
      </w:r>
      <w:r w:rsidRPr="002646C1">
        <w:rPr>
          <w:rFonts w:ascii="Arial" w:hAnsi="Arial" w:cs="Arial"/>
          <w:sz w:val="22"/>
          <w:szCs w:val="22"/>
          <w:lang w:val="en-US"/>
        </w:rPr>
        <w:fldChar w:fldCharType="begin"/>
      </w:r>
      <w:r w:rsidRPr="002646C1">
        <w:rPr>
          <w:rFonts w:ascii="Arial" w:hAnsi="Arial" w:cs="Arial"/>
          <w:sz w:val="22"/>
          <w:szCs w:val="22"/>
          <w:lang w:val="en-US"/>
        </w:rPr>
        <w:instrText xml:space="preserve"> SEQ Table \* ARABIC </w:instrText>
      </w:r>
      <w:r w:rsidRPr="002646C1">
        <w:rPr>
          <w:rFonts w:ascii="Arial" w:hAnsi="Arial" w:cs="Arial"/>
          <w:sz w:val="22"/>
          <w:szCs w:val="22"/>
          <w:lang w:val="en-US"/>
        </w:rPr>
        <w:fldChar w:fldCharType="separate"/>
      </w:r>
      <w:r w:rsidR="00151A1C">
        <w:rPr>
          <w:rFonts w:ascii="Arial" w:hAnsi="Arial" w:cs="Arial"/>
          <w:noProof/>
          <w:sz w:val="22"/>
          <w:szCs w:val="22"/>
          <w:lang w:val="en-US"/>
        </w:rPr>
        <w:t>68</w:t>
      </w:r>
      <w:r w:rsidRPr="002646C1">
        <w:rPr>
          <w:rFonts w:ascii="Arial" w:hAnsi="Arial" w:cs="Arial"/>
          <w:sz w:val="22"/>
          <w:szCs w:val="22"/>
          <w:lang w:val="en-US"/>
        </w:rPr>
        <w:fldChar w:fldCharType="end"/>
      </w:r>
      <w:bookmarkEnd w:id="346"/>
      <w:r w:rsidRPr="002646C1">
        <w:rPr>
          <w:rFonts w:ascii="Arial" w:hAnsi="Arial" w:cs="Arial"/>
          <w:sz w:val="22"/>
          <w:szCs w:val="22"/>
          <w:lang w:val="en-US"/>
        </w:rPr>
        <w:t>: Overview of AEs in ESTABLISH-1 (Safety population)</w:t>
      </w:r>
      <w:bookmarkEnd w:id="347"/>
    </w:p>
    <w:tbl>
      <w:tblPr>
        <w:tblStyle w:val="Table-HERONplain"/>
        <w:tblW w:w="0" w:type="auto"/>
        <w:tblLook w:val="04A0" w:firstRow="1" w:lastRow="0" w:firstColumn="1" w:lastColumn="0" w:noHBand="0" w:noVBand="1"/>
      </w:tblPr>
      <w:tblGrid>
        <w:gridCol w:w="5968"/>
        <w:gridCol w:w="1474"/>
        <w:gridCol w:w="1461"/>
      </w:tblGrid>
      <w:tr w:rsidR="00C35C1F" w:rsidRPr="002646C1" w14:paraId="0B78C28A" w14:textId="77777777" w:rsidTr="00257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7702894"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Category</w:t>
            </w:r>
          </w:p>
        </w:tc>
        <w:tc>
          <w:tcPr>
            <w:tcW w:w="1485" w:type="dxa"/>
            <w:shd w:val="clear" w:color="auto" w:fill="auto"/>
            <w:hideMark/>
          </w:tcPr>
          <w:p w14:paraId="04D189C4"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Tedizolid phosphate</w:t>
            </w:r>
          </w:p>
          <w:p w14:paraId="759EC911"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(N=331)</w:t>
            </w:r>
          </w:p>
          <w:p w14:paraId="67947919"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 (%)</w:t>
            </w:r>
          </w:p>
        </w:tc>
        <w:tc>
          <w:tcPr>
            <w:tcW w:w="1479" w:type="dxa"/>
            <w:shd w:val="clear" w:color="auto" w:fill="auto"/>
            <w:hideMark/>
          </w:tcPr>
          <w:p w14:paraId="45F6B1E3"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Linezolid</w:t>
            </w:r>
          </w:p>
          <w:p w14:paraId="24132A55"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(N=335)</w:t>
            </w:r>
          </w:p>
          <w:p w14:paraId="0E4BC2B1"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 (%)</w:t>
            </w:r>
          </w:p>
        </w:tc>
      </w:tr>
      <w:tr w:rsidR="00C35C1F" w:rsidRPr="002646C1" w14:paraId="2C59E0DB"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2CBF17D"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AEs</w:t>
            </w:r>
          </w:p>
        </w:tc>
        <w:tc>
          <w:tcPr>
            <w:tcW w:w="1485" w:type="dxa"/>
            <w:vAlign w:val="top"/>
            <w:hideMark/>
          </w:tcPr>
          <w:p w14:paraId="54FC1B94"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137 (41.4)</w:t>
            </w:r>
          </w:p>
        </w:tc>
        <w:tc>
          <w:tcPr>
            <w:tcW w:w="1479" w:type="dxa"/>
            <w:vAlign w:val="top"/>
            <w:hideMark/>
          </w:tcPr>
          <w:p w14:paraId="66BAEE6E"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145 (43.3)</w:t>
            </w:r>
          </w:p>
        </w:tc>
      </w:tr>
      <w:tr w:rsidR="00C35C1F" w:rsidRPr="002646C1" w14:paraId="554F92BF"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F1404CF"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TEAEs:</w:t>
            </w:r>
          </w:p>
        </w:tc>
        <w:tc>
          <w:tcPr>
            <w:tcW w:w="1485" w:type="dxa"/>
            <w:vAlign w:val="top"/>
            <w:hideMark/>
          </w:tcPr>
          <w:p w14:paraId="0E09251C"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135 (40.8)</w:t>
            </w:r>
          </w:p>
        </w:tc>
        <w:tc>
          <w:tcPr>
            <w:tcW w:w="1479" w:type="dxa"/>
            <w:vAlign w:val="top"/>
            <w:hideMark/>
          </w:tcPr>
          <w:p w14:paraId="0FE16796"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145 (43.3)</w:t>
            </w:r>
          </w:p>
        </w:tc>
      </w:tr>
      <w:tr w:rsidR="00C35C1F" w:rsidRPr="002646C1" w14:paraId="01B6258B"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8BD9E7F" w14:textId="77777777" w:rsidR="00C35C1F" w:rsidRPr="002646C1" w:rsidRDefault="00C35C1F" w:rsidP="001D3F4A">
            <w:pPr>
              <w:pStyle w:val="TableBodyText-H54"/>
              <w:ind w:left="313"/>
              <w:rPr>
                <w:rFonts w:ascii="Arial" w:hAnsi="Arial" w:cs="Arial"/>
                <w:sz w:val="20"/>
                <w:lang w:val="en-US"/>
              </w:rPr>
            </w:pPr>
            <w:r w:rsidRPr="002646C1">
              <w:rPr>
                <w:rFonts w:ascii="Arial" w:hAnsi="Arial" w:cs="Arial"/>
                <w:sz w:val="20"/>
                <w:lang w:val="en-US"/>
              </w:rPr>
              <w:t>Mild TEAEs</w:t>
            </w:r>
          </w:p>
        </w:tc>
        <w:tc>
          <w:tcPr>
            <w:tcW w:w="1485" w:type="dxa"/>
            <w:hideMark/>
          </w:tcPr>
          <w:p w14:paraId="4D766AAB"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87 (26.3)</w:t>
            </w:r>
          </w:p>
        </w:tc>
        <w:tc>
          <w:tcPr>
            <w:tcW w:w="1479" w:type="dxa"/>
            <w:hideMark/>
          </w:tcPr>
          <w:p w14:paraId="52E6F79D"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102 (30.4)</w:t>
            </w:r>
          </w:p>
        </w:tc>
      </w:tr>
      <w:tr w:rsidR="00C35C1F" w:rsidRPr="002646C1" w14:paraId="11B72F79"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3CB015D" w14:textId="77777777" w:rsidR="00C35C1F" w:rsidRPr="002646C1" w:rsidRDefault="00C35C1F" w:rsidP="001D3F4A">
            <w:pPr>
              <w:pStyle w:val="TableBodyText-H54"/>
              <w:ind w:left="313"/>
              <w:rPr>
                <w:rFonts w:ascii="Arial" w:hAnsi="Arial" w:cs="Arial"/>
                <w:sz w:val="20"/>
                <w:lang w:val="en-US"/>
              </w:rPr>
            </w:pPr>
            <w:r w:rsidRPr="002646C1">
              <w:rPr>
                <w:rFonts w:ascii="Arial" w:hAnsi="Arial" w:cs="Arial"/>
                <w:sz w:val="20"/>
                <w:lang w:val="en-US"/>
              </w:rPr>
              <w:t>Moderate TEAEs</w:t>
            </w:r>
          </w:p>
        </w:tc>
        <w:tc>
          <w:tcPr>
            <w:tcW w:w="1485" w:type="dxa"/>
            <w:hideMark/>
          </w:tcPr>
          <w:p w14:paraId="5E002BA5"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40 (12.1)</w:t>
            </w:r>
          </w:p>
        </w:tc>
        <w:tc>
          <w:tcPr>
            <w:tcW w:w="1479" w:type="dxa"/>
            <w:hideMark/>
          </w:tcPr>
          <w:p w14:paraId="47974823"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38 (11.3)</w:t>
            </w:r>
          </w:p>
        </w:tc>
      </w:tr>
      <w:tr w:rsidR="00C35C1F" w:rsidRPr="002646C1" w14:paraId="13695480"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BA4F6BF" w14:textId="77777777" w:rsidR="00C35C1F" w:rsidRPr="002646C1" w:rsidRDefault="00C35C1F" w:rsidP="001D3F4A">
            <w:pPr>
              <w:pStyle w:val="TableBodyText-H54"/>
              <w:ind w:left="313"/>
              <w:rPr>
                <w:rFonts w:ascii="Arial" w:hAnsi="Arial" w:cs="Arial"/>
                <w:sz w:val="20"/>
                <w:lang w:val="en-US"/>
              </w:rPr>
            </w:pPr>
            <w:r w:rsidRPr="002646C1">
              <w:rPr>
                <w:rFonts w:ascii="Arial" w:hAnsi="Arial" w:cs="Arial"/>
                <w:sz w:val="20"/>
                <w:lang w:val="en-US"/>
              </w:rPr>
              <w:t>Severe TEAEs</w:t>
            </w:r>
          </w:p>
        </w:tc>
        <w:tc>
          <w:tcPr>
            <w:tcW w:w="1485" w:type="dxa"/>
            <w:hideMark/>
          </w:tcPr>
          <w:p w14:paraId="429AC34C"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8 (2.4)</w:t>
            </w:r>
          </w:p>
        </w:tc>
        <w:tc>
          <w:tcPr>
            <w:tcW w:w="1479" w:type="dxa"/>
            <w:hideMark/>
          </w:tcPr>
          <w:p w14:paraId="46430025"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hAnsi="Arial" w:cs="Arial"/>
                <w:sz w:val="20"/>
                <w:lang w:val="en-US"/>
              </w:rPr>
              <w:t>5 (1.5)</w:t>
            </w:r>
          </w:p>
        </w:tc>
      </w:tr>
      <w:tr w:rsidR="00C35C1F" w:rsidRPr="002646C1" w14:paraId="216383D4"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ADB69CC"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Drug-related* TEAE</w:t>
            </w:r>
          </w:p>
        </w:tc>
        <w:tc>
          <w:tcPr>
            <w:tcW w:w="1485" w:type="dxa"/>
            <w:vAlign w:val="top"/>
            <w:hideMark/>
          </w:tcPr>
          <w:p w14:paraId="5E7692E5"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80 (24.2)</w:t>
            </w:r>
          </w:p>
        </w:tc>
        <w:tc>
          <w:tcPr>
            <w:tcW w:w="1479" w:type="dxa"/>
            <w:vAlign w:val="top"/>
            <w:hideMark/>
          </w:tcPr>
          <w:p w14:paraId="05EE4897"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104 (31.0)</w:t>
            </w:r>
          </w:p>
        </w:tc>
      </w:tr>
      <w:tr w:rsidR="00C35C1F" w:rsidRPr="002646C1" w14:paraId="2D873B12"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1C50D9F"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TEAE leading to premature discontinuation of study drug</w:t>
            </w:r>
          </w:p>
        </w:tc>
        <w:tc>
          <w:tcPr>
            <w:tcW w:w="1485" w:type="dxa"/>
            <w:vAlign w:val="top"/>
            <w:hideMark/>
          </w:tcPr>
          <w:p w14:paraId="7FA849AD"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2 (0.6)</w:t>
            </w:r>
          </w:p>
        </w:tc>
        <w:tc>
          <w:tcPr>
            <w:tcW w:w="1479" w:type="dxa"/>
            <w:vAlign w:val="top"/>
            <w:hideMark/>
          </w:tcPr>
          <w:p w14:paraId="761F6589"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2 (0.6)</w:t>
            </w:r>
          </w:p>
        </w:tc>
      </w:tr>
      <w:tr w:rsidR="00C35C1F" w:rsidRPr="002646C1" w14:paraId="6429DF84"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7F1F695"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Serious TEAEs</w:t>
            </w:r>
          </w:p>
        </w:tc>
        <w:tc>
          <w:tcPr>
            <w:tcW w:w="1485" w:type="dxa"/>
            <w:vAlign w:val="top"/>
            <w:hideMark/>
          </w:tcPr>
          <w:p w14:paraId="588D9230"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5 (1.5)</w:t>
            </w:r>
          </w:p>
        </w:tc>
        <w:tc>
          <w:tcPr>
            <w:tcW w:w="1479" w:type="dxa"/>
            <w:vAlign w:val="top"/>
            <w:hideMark/>
          </w:tcPr>
          <w:p w14:paraId="4A2E1008"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4 (1.2)</w:t>
            </w:r>
          </w:p>
        </w:tc>
      </w:tr>
      <w:tr w:rsidR="00C35C1F" w:rsidRPr="002646C1" w14:paraId="12F1804A"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570B846"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Drug-related serious TEAEs</w:t>
            </w:r>
          </w:p>
        </w:tc>
        <w:tc>
          <w:tcPr>
            <w:tcW w:w="1485" w:type="dxa"/>
            <w:vAlign w:val="top"/>
            <w:hideMark/>
          </w:tcPr>
          <w:p w14:paraId="405A2FCB"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0</w:t>
            </w:r>
          </w:p>
        </w:tc>
        <w:tc>
          <w:tcPr>
            <w:tcW w:w="1479" w:type="dxa"/>
            <w:vAlign w:val="top"/>
            <w:hideMark/>
          </w:tcPr>
          <w:p w14:paraId="5EE85AD5"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 (0.3)</w:t>
            </w:r>
          </w:p>
        </w:tc>
      </w:tr>
      <w:tr w:rsidR="00C35C1F" w:rsidRPr="002646C1" w14:paraId="2373F711"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5D3415E"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Serious TEAE leading to death</w:t>
            </w:r>
          </w:p>
        </w:tc>
        <w:tc>
          <w:tcPr>
            <w:tcW w:w="1485" w:type="dxa"/>
            <w:vAlign w:val="top"/>
            <w:hideMark/>
          </w:tcPr>
          <w:p w14:paraId="247F8C9D"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1 (0.3)</w:t>
            </w:r>
          </w:p>
        </w:tc>
        <w:tc>
          <w:tcPr>
            <w:tcW w:w="1479" w:type="dxa"/>
            <w:vAlign w:val="top"/>
            <w:hideMark/>
          </w:tcPr>
          <w:p w14:paraId="4C42383A"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0</w:t>
            </w:r>
          </w:p>
        </w:tc>
      </w:tr>
      <w:tr w:rsidR="00C35C1F" w:rsidRPr="002646C1" w14:paraId="52DE9C41"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2DA1387"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Serious TEAE leading to premature discontinuation of study drug</w:t>
            </w:r>
          </w:p>
        </w:tc>
        <w:tc>
          <w:tcPr>
            <w:tcW w:w="1485" w:type="dxa"/>
            <w:vAlign w:val="top"/>
            <w:hideMark/>
          </w:tcPr>
          <w:p w14:paraId="732BFF67"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eastAsia="TimesNewRoman" w:hAnsi="Arial" w:cs="Arial"/>
                <w:sz w:val="20"/>
                <w:lang w:val="en-US"/>
              </w:rPr>
              <w:t>0</w:t>
            </w:r>
          </w:p>
        </w:tc>
        <w:tc>
          <w:tcPr>
            <w:tcW w:w="1479" w:type="dxa"/>
            <w:vAlign w:val="top"/>
            <w:hideMark/>
          </w:tcPr>
          <w:p w14:paraId="79F1F8B1"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eastAsia="TimesNewRoman" w:hAnsi="Arial" w:cs="Arial"/>
                <w:sz w:val="20"/>
                <w:lang w:val="en-US"/>
              </w:rPr>
              <w:t>0</w:t>
            </w:r>
          </w:p>
        </w:tc>
      </w:tr>
    </w:tbl>
    <w:p w14:paraId="411D507D" w14:textId="247F457F" w:rsidR="00C35C1F" w:rsidRPr="002646C1" w:rsidRDefault="00C35C1F" w:rsidP="002646C1">
      <w:pPr>
        <w:pStyle w:val="TableNote-H58"/>
        <w:spacing w:before="0" w:after="0"/>
        <w:rPr>
          <w:rFonts w:ascii="Arial" w:hAnsi="Arial" w:cs="Arial"/>
          <w:sz w:val="18"/>
          <w:szCs w:val="18"/>
          <w:lang w:val="en-US"/>
        </w:rPr>
      </w:pPr>
      <w:r w:rsidRPr="002646C1">
        <w:rPr>
          <w:rStyle w:val="CommentReference"/>
          <w:rFonts w:ascii="Arial" w:eastAsiaTheme="majorEastAsia" w:hAnsi="Arial" w:cs="Arial"/>
          <w:sz w:val="18"/>
          <w:szCs w:val="18"/>
          <w:lang w:val="en-US"/>
        </w:rPr>
        <w:t>SOURCE:</w:t>
      </w:r>
      <w:r w:rsidR="00582249">
        <w:rPr>
          <w:rStyle w:val="CommentReference"/>
          <w:rFonts w:ascii="Arial" w:eastAsiaTheme="majorEastAsia" w:hAnsi="Arial" w:cs="Arial"/>
          <w:sz w:val="18"/>
          <w:szCs w:val="18"/>
          <w:lang w:val="en-US"/>
        </w:rPr>
        <w:fldChar w:fldCharType="begin"/>
      </w:r>
      <w:r w:rsidR="00582249">
        <w:rPr>
          <w:rStyle w:val="CommentReference"/>
          <w:rFonts w:ascii="Arial" w:eastAsiaTheme="majorEastAsia" w:hAnsi="Arial" w:cs="Arial"/>
          <w:sz w:val="18"/>
          <w:szCs w:val="18"/>
          <w:lang w:val="en-US"/>
        </w:rPr>
        <w:instrText xml:space="preserve"> REF _Ref284485921 \r \h </w:instrText>
      </w:r>
      <w:r w:rsidR="00582249">
        <w:rPr>
          <w:rStyle w:val="CommentReference"/>
          <w:rFonts w:ascii="Arial" w:eastAsiaTheme="majorEastAsia" w:hAnsi="Arial" w:cs="Arial"/>
          <w:sz w:val="18"/>
          <w:szCs w:val="18"/>
          <w:lang w:val="en-US"/>
        </w:rPr>
      </w:r>
      <w:r w:rsidR="00582249">
        <w:rPr>
          <w:rStyle w:val="CommentReference"/>
          <w:rFonts w:ascii="Arial" w:eastAsiaTheme="majorEastAsia" w:hAnsi="Arial" w:cs="Arial"/>
          <w:sz w:val="18"/>
          <w:szCs w:val="18"/>
          <w:lang w:val="en-US"/>
        </w:rPr>
        <w:fldChar w:fldCharType="separate"/>
      </w:r>
      <w:r w:rsidR="00151A1C">
        <w:rPr>
          <w:rStyle w:val="CommentReference"/>
          <w:rFonts w:ascii="Arial" w:eastAsiaTheme="majorEastAsia" w:hAnsi="Arial" w:cs="Arial"/>
          <w:sz w:val="18"/>
          <w:szCs w:val="18"/>
          <w:lang w:val="en-US"/>
        </w:rPr>
        <w:t>39</w:t>
      </w:r>
      <w:r w:rsidR="00582249">
        <w:rPr>
          <w:rStyle w:val="CommentReference"/>
          <w:rFonts w:ascii="Arial" w:eastAsiaTheme="majorEastAsia" w:hAnsi="Arial" w:cs="Arial"/>
          <w:sz w:val="18"/>
          <w:szCs w:val="18"/>
          <w:lang w:val="en-US"/>
        </w:rPr>
        <w:fldChar w:fldCharType="end"/>
      </w:r>
      <w:r w:rsidR="00B674BE">
        <w:rPr>
          <w:rStyle w:val="CommentReference"/>
          <w:rFonts w:ascii="Arial" w:eastAsiaTheme="majorEastAsia" w:hAnsi="Arial" w:cs="Arial"/>
          <w:sz w:val="18"/>
          <w:szCs w:val="18"/>
          <w:lang w:val="en-US"/>
        </w:rPr>
        <w:t xml:space="preserve">; </w:t>
      </w:r>
      <w:r w:rsidRPr="002646C1">
        <w:rPr>
          <w:rFonts w:ascii="Arial" w:hAnsi="Arial" w:cs="Arial"/>
          <w:sz w:val="18"/>
          <w:szCs w:val="18"/>
          <w:lang w:val="en-US"/>
        </w:rPr>
        <w:t>ESTABLISH-1 CSR</w:t>
      </w:r>
      <w:r w:rsidR="00B674BE">
        <w:rPr>
          <w:rFonts w:ascii="Arial" w:hAnsi="Arial" w:cs="Arial"/>
          <w:sz w:val="18"/>
          <w:szCs w:val="18"/>
          <w:lang w:val="en-US"/>
        </w:rPr>
        <w:t xml:space="preserve"> </w:t>
      </w:r>
      <w:r w:rsidR="00B674BE">
        <w:rPr>
          <w:rFonts w:ascii="Arial" w:hAnsi="Arial" w:cs="Arial"/>
          <w:sz w:val="18"/>
          <w:szCs w:val="18"/>
          <w:lang w:val="en-US"/>
        </w:rPr>
        <w:fldChar w:fldCharType="begin"/>
      </w:r>
      <w:r w:rsidR="00B674BE">
        <w:rPr>
          <w:rFonts w:ascii="Arial" w:hAnsi="Arial" w:cs="Arial"/>
          <w:sz w:val="18"/>
          <w:szCs w:val="18"/>
          <w:lang w:val="en-US"/>
        </w:rPr>
        <w:instrText xml:space="preserve"> REF _Ref284171334 \r \h </w:instrText>
      </w:r>
      <w:r w:rsidR="00B674BE">
        <w:rPr>
          <w:rFonts w:ascii="Arial" w:hAnsi="Arial" w:cs="Arial"/>
          <w:sz w:val="18"/>
          <w:szCs w:val="18"/>
          <w:lang w:val="en-US"/>
        </w:rPr>
      </w:r>
      <w:r w:rsidR="00B674BE">
        <w:rPr>
          <w:rFonts w:ascii="Arial" w:hAnsi="Arial" w:cs="Arial"/>
          <w:sz w:val="18"/>
          <w:szCs w:val="18"/>
          <w:lang w:val="en-US"/>
        </w:rPr>
        <w:fldChar w:fldCharType="separate"/>
      </w:r>
      <w:r w:rsidR="00151A1C">
        <w:rPr>
          <w:rFonts w:ascii="Arial" w:hAnsi="Arial" w:cs="Arial"/>
          <w:sz w:val="18"/>
          <w:szCs w:val="18"/>
          <w:lang w:val="en-US"/>
        </w:rPr>
        <w:t>41</w:t>
      </w:r>
      <w:r w:rsidR="00B674BE">
        <w:rPr>
          <w:rFonts w:ascii="Arial" w:hAnsi="Arial" w:cs="Arial"/>
          <w:sz w:val="18"/>
          <w:szCs w:val="18"/>
          <w:lang w:val="en-US"/>
        </w:rPr>
        <w:fldChar w:fldCharType="end"/>
      </w:r>
      <w:r w:rsidRPr="002646C1">
        <w:rPr>
          <w:rFonts w:ascii="Arial" w:hAnsi="Arial" w:cs="Arial"/>
          <w:sz w:val="18"/>
          <w:szCs w:val="18"/>
          <w:lang w:val="en-US"/>
        </w:rPr>
        <w:t xml:space="preserve">: section </w:t>
      </w:r>
      <w:r w:rsidRPr="002646C1">
        <w:rPr>
          <w:rFonts w:ascii="Arial" w:eastAsia="Tahoma" w:hAnsi="Arial" w:cs="Arial"/>
          <w:sz w:val="18"/>
          <w:szCs w:val="18"/>
          <w:lang w:val="en-US"/>
        </w:rPr>
        <w:t>12.2.1, Table 12-3</w:t>
      </w:r>
      <w:r w:rsidRPr="002646C1">
        <w:rPr>
          <w:rFonts w:ascii="Arial" w:hAnsi="Arial" w:cs="Arial"/>
          <w:sz w:val="18"/>
          <w:szCs w:val="18"/>
          <w:lang w:val="en-US"/>
        </w:rPr>
        <w:t xml:space="preserve"> </w:t>
      </w:r>
    </w:p>
    <w:p w14:paraId="1C031FEE" w14:textId="38C162C1" w:rsidR="00C35C1F" w:rsidRDefault="00C35C1F" w:rsidP="002646C1">
      <w:pPr>
        <w:pStyle w:val="TableNote-H58"/>
        <w:spacing w:before="0" w:after="0"/>
        <w:rPr>
          <w:rStyle w:val="CommentReference"/>
          <w:rFonts w:ascii="Arial" w:eastAsiaTheme="majorEastAsia" w:hAnsi="Arial" w:cs="Arial"/>
          <w:sz w:val="18"/>
          <w:szCs w:val="18"/>
          <w:lang w:val="en-US"/>
        </w:rPr>
      </w:pPr>
      <w:r w:rsidRPr="002646C1">
        <w:rPr>
          <w:rStyle w:val="CommentReference"/>
          <w:rFonts w:ascii="Arial" w:eastAsiaTheme="majorEastAsia" w:hAnsi="Arial" w:cs="Arial"/>
          <w:sz w:val="18"/>
          <w:szCs w:val="18"/>
          <w:lang w:val="en-US"/>
        </w:rPr>
        <w:t>*</w:t>
      </w:r>
      <w:r w:rsidRPr="002646C1">
        <w:rPr>
          <w:rFonts w:ascii="Arial" w:hAnsi="Arial" w:cs="Arial"/>
          <w:sz w:val="18"/>
          <w:szCs w:val="18"/>
          <w:lang w:val="en-US"/>
        </w:rPr>
        <w:t>D</w:t>
      </w:r>
      <w:r w:rsidRPr="002646C1">
        <w:rPr>
          <w:rStyle w:val="CommentReference"/>
          <w:rFonts w:ascii="Arial" w:eastAsiaTheme="majorEastAsia" w:hAnsi="Arial" w:cs="Arial"/>
          <w:sz w:val="18"/>
          <w:szCs w:val="18"/>
          <w:lang w:val="en-US"/>
        </w:rPr>
        <w:t xml:space="preserve">efined as those with a possible, probable, or definite relationship to study drug based on the Investigator’s assessment AE: Adverse event; </w:t>
      </w:r>
      <w:r w:rsidRPr="002646C1">
        <w:rPr>
          <w:rFonts w:ascii="Arial" w:hAnsi="Arial" w:cs="Arial"/>
          <w:sz w:val="18"/>
          <w:szCs w:val="18"/>
          <w:lang w:val="en-US"/>
        </w:rPr>
        <w:t>N: Number of patients in population; n: Number of patients in specific category;</w:t>
      </w:r>
      <w:r w:rsidRPr="002646C1">
        <w:rPr>
          <w:rStyle w:val="CommentReference"/>
          <w:rFonts w:ascii="Arial" w:eastAsiaTheme="majorEastAsia" w:hAnsi="Arial" w:cs="Arial"/>
          <w:sz w:val="18"/>
          <w:szCs w:val="18"/>
          <w:lang w:val="en-US"/>
        </w:rPr>
        <w:t xml:space="preserve"> TEAE: Treatment-emergent adverse event</w:t>
      </w:r>
    </w:p>
    <w:p w14:paraId="6DF64E0B" w14:textId="77777777" w:rsidR="002646C1" w:rsidRPr="002646C1" w:rsidRDefault="002646C1" w:rsidP="002646C1">
      <w:pPr>
        <w:pStyle w:val="TableNote-H58"/>
        <w:spacing w:before="0" w:after="0"/>
        <w:rPr>
          <w:rFonts w:ascii="Arial" w:eastAsiaTheme="majorEastAsia" w:hAnsi="Arial" w:cs="Arial"/>
          <w:sz w:val="18"/>
          <w:szCs w:val="18"/>
          <w:lang w:val="en-US"/>
        </w:rPr>
      </w:pPr>
    </w:p>
    <w:p w14:paraId="3EECB026" w14:textId="65C92264" w:rsidR="00C35C1F" w:rsidRDefault="00C35C1F" w:rsidP="00C35C1F">
      <w:pPr>
        <w:pStyle w:val="BodyText"/>
        <w:rPr>
          <w:sz w:val="22"/>
          <w:szCs w:val="22"/>
          <w:lang w:val="en-US"/>
        </w:rPr>
      </w:pPr>
      <w:r w:rsidRPr="00F746B7">
        <w:rPr>
          <w:sz w:val="22"/>
          <w:szCs w:val="22"/>
          <w:lang w:val="en-US"/>
        </w:rPr>
        <w:t>The majority of TEAEs in both treatment groups were mild or moderate in severity. In the tedizolid phosphate group, 26.3% of patients experienced a mild TEAE compared with 30.4% of patients in the linezolid group. Further, in the tedizolid phosphate and linezolid treatment groups, a similar proportion of patients experienced moderate (12.1% vs. 11.3%) or severe TEAEs (2.4% vs. 1.5%)</w:t>
      </w:r>
      <w:r w:rsidR="00B674BE">
        <w:rPr>
          <w:sz w:val="22"/>
          <w:szCs w:val="22"/>
          <w:lang w:val="en-US"/>
        </w:rPr>
        <w:t>(</w:t>
      </w:r>
      <w:r w:rsidR="00B674BE">
        <w:rPr>
          <w:sz w:val="22"/>
          <w:szCs w:val="22"/>
          <w:lang w:val="en-US"/>
        </w:rPr>
        <w:fldChar w:fldCharType="begin"/>
      </w:r>
      <w:r w:rsidR="00B674BE">
        <w:rPr>
          <w:sz w:val="22"/>
          <w:szCs w:val="22"/>
          <w:lang w:val="en-US"/>
        </w:rPr>
        <w:instrText xml:space="preserve"> REF _Ref284171334 \r \h </w:instrText>
      </w:r>
      <w:r w:rsidR="00B674BE">
        <w:rPr>
          <w:sz w:val="22"/>
          <w:szCs w:val="22"/>
          <w:lang w:val="en-US"/>
        </w:rPr>
      </w:r>
      <w:r w:rsidR="00B674BE">
        <w:rPr>
          <w:sz w:val="22"/>
          <w:szCs w:val="22"/>
          <w:lang w:val="en-US"/>
        </w:rPr>
        <w:fldChar w:fldCharType="separate"/>
      </w:r>
      <w:r w:rsidR="00151A1C">
        <w:rPr>
          <w:sz w:val="22"/>
          <w:szCs w:val="22"/>
          <w:lang w:val="en-US"/>
        </w:rPr>
        <w:t>41</w:t>
      </w:r>
      <w:r w:rsidR="00B674BE">
        <w:rPr>
          <w:sz w:val="22"/>
          <w:szCs w:val="22"/>
          <w:lang w:val="en-US"/>
        </w:rPr>
        <w:fldChar w:fldCharType="end"/>
      </w:r>
      <w:r w:rsidR="00B674BE">
        <w:rPr>
          <w:sz w:val="22"/>
          <w:szCs w:val="22"/>
          <w:lang w:val="en-US"/>
        </w:rPr>
        <w:t>)</w:t>
      </w:r>
    </w:p>
    <w:p w14:paraId="35495951" w14:textId="77777777" w:rsidR="00B674BE" w:rsidRPr="00F746B7" w:rsidRDefault="00B674BE" w:rsidP="00C35C1F">
      <w:pPr>
        <w:pStyle w:val="BodyText"/>
        <w:rPr>
          <w:sz w:val="22"/>
          <w:szCs w:val="22"/>
          <w:lang w:val="en-US"/>
        </w:rPr>
      </w:pPr>
    </w:p>
    <w:p w14:paraId="192E6E9C" w14:textId="36A162D0" w:rsidR="00C35C1F" w:rsidRPr="00F746B7" w:rsidRDefault="00C35C1F" w:rsidP="00C35C1F">
      <w:pPr>
        <w:pStyle w:val="BodyText"/>
        <w:rPr>
          <w:sz w:val="22"/>
          <w:szCs w:val="22"/>
          <w:lang w:val="en-US"/>
        </w:rPr>
      </w:pPr>
      <w:r w:rsidRPr="00F746B7">
        <w:rPr>
          <w:sz w:val="22"/>
          <w:szCs w:val="22"/>
          <w:lang w:val="en-US"/>
        </w:rPr>
        <w:t>Commonly reported TEAEs according to System Organ Class (SOC) (occurring in ≥10% of patients in either treatment group) were gastrointestinal disorders, infections and infestations, and nervous system disorders (</w:t>
      </w:r>
      <w:r w:rsidRPr="00F746B7">
        <w:rPr>
          <w:sz w:val="22"/>
          <w:szCs w:val="22"/>
          <w:lang w:val="en-US"/>
        </w:rPr>
        <w:fldChar w:fldCharType="begin"/>
      </w:r>
      <w:r w:rsidRPr="00F746B7">
        <w:rPr>
          <w:sz w:val="22"/>
          <w:szCs w:val="22"/>
          <w:lang w:val="en-US"/>
        </w:rPr>
        <w:instrText xml:space="preserve"> REF _Ref381605543 \h  \* MERGEFORMAT </w:instrText>
      </w:r>
      <w:r w:rsidRPr="00F746B7">
        <w:rPr>
          <w:sz w:val="22"/>
          <w:szCs w:val="22"/>
          <w:lang w:val="en-US"/>
        </w:rPr>
      </w:r>
      <w:r w:rsidRPr="00F746B7">
        <w:rPr>
          <w:sz w:val="22"/>
          <w:szCs w:val="22"/>
          <w:lang w:val="en-US"/>
        </w:rPr>
        <w:fldChar w:fldCharType="separate"/>
      </w:r>
      <w:r w:rsidR="00151A1C" w:rsidRPr="00151A1C">
        <w:rPr>
          <w:sz w:val="22"/>
          <w:szCs w:val="22"/>
          <w:lang w:val="en-US"/>
        </w:rPr>
        <w:t>Table 69</w:t>
      </w:r>
      <w:r w:rsidRPr="00F746B7">
        <w:rPr>
          <w:sz w:val="22"/>
          <w:szCs w:val="22"/>
          <w:lang w:val="en-US"/>
        </w:rPr>
        <w:fldChar w:fldCharType="end"/>
      </w:r>
      <w:r w:rsidRPr="00F746B7">
        <w:rPr>
          <w:sz w:val="22"/>
          <w:szCs w:val="22"/>
          <w:lang w:val="en-US"/>
        </w:rPr>
        <w:t xml:space="preserve">). Infections and infestations is a SOC that encompasses both bacterial, viral, and fungal infections as well as worm </w:t>
      </w:r>
      <w:r w:rsidRPr="00F746B7">
        <w:rPr>
          <w:sz w:val="22"/>
          <w:szCs w:val="22"/>
          <w:lang w:val="en-US"/>
        </w:rPr>
        <w:lastRenderedPageBreak/>
        <w:t>and parasite infestations. There was a lower incidence of gastrointestinal disorders in patients treated with tedizolid phosphate compared with patients treated with linezolid (16.3% vs. 25.4%)</w:t>
      </w:r>
      <w:r w:rsidR="00B674BE">
        <w:rPr>
          <w:sz w:val="22"/>
          <w:szCs w:val="22"/>
          <w:lang w:val="en-US"/>
        </w:rPr>
        <w:t>(</w:t>
      </w:r>
      <w:r w:rsidR="00B674BE">
        <w:rPr>
          <w:sz w:val="22"/>
          <w:szCs w:val="22"/>
          <w:lang w:val="en-US"/>
        </w:rPr>
        <w:fldChar w:fldCharType="begin"/>
      </w:r>
      <w:r w:rsidR="00B674BE">
        <w:rPr>
          <w:sz w:val="22"/>
          <w:szCs w:val="22"/>
          <w:lang w:val="en-US"/>
        </w:rPr>
        <w:instrText xml:space="preserve"> REF _Ref284171334 \r \h </w:instrText>
      </w:r>
      <w:r w:rsidR="00B674BE">
        <w:rPr>
          <w:sz w:val="22"/>
          <w:szCs w:val="22"/>
          <w:lang w:val="en-US"/>
        </w:rPr>
      </w:r>
      <w:r w:rsidR="00B674BE">
        <w:rPr>
          <w:sz w:val="22"/>
          <w:szCs w:val="22"/>
          <w:lang w:val="en-US"/>
        </w:rPr>
        <w:fldChar w:fldCharType="separate"/>
      </w:r>
      <w:r w:rsidR="00151A1C">
        <w:rPr>
          <w:sz w:val="22"/>
          <w:szCs w:val="22"/>
          <w:lang w:val="en-US"/>
        </w:rPr>
        <w:t>41</w:t>
      </w:r>
      <w:r w:rsidR="00B674BE">
        <w:rPr>
          <w:sz w:val="22"/>
          <w:szCs w:val="22"/>
          <w:lang w:val="en-US"/>
        </w:rPr>
        <w:fldChar w:fldCharType="end"/>
      </w:r>
      <w:r w:rsidR="00B674BE">
        <w:rPr>
          <w:sz w:val="22"/>
          <w:szCs w:val="22"/>
          <w:lang w:val="en-US"/>
        </w:rPr>
        <w:t>)</w:t>
      </w:r>
    </w:p>
    <w:p w14:paraId="2556111E" w14:textId="77777777" w:rsidR="00C35C1F" w:rsidRPr="002646C1" w:rsidRDefault="00C35C1F" w:rsidP="00C35C1F">
      <w:pPr>
        <w:pStyle w:val="Caption"/>
        <w:rPr>
          <w:rFonts w:ascii="Arial" w:hAnsi="Arial" w:cs="Arial"/>
          <w:sz w:val="22"/>
          <w:szCs w:val="22"/>
          <w:lang w:val="en-US"/>
        </w:rPr>
      </w:pPr>
      <w:bookmarkStart w:id="348" w:name="_Ref381605543"/>
      <w:bookmarkStart w:id="349" w:name="_Toc396058468"/>
      <w:r w:rsidRPr="00F746B7">
        <w:rPr>
          <w:rFonts w:ascii="Arial" w:hAnsi="Arial" w:cs="Arial"/>
          <w:sz w:val="22"/>
          <w:szCs w:val="22"/>
          <w:lang w:val="en-US"/>
        </w:rPr>
        <w:t xml:space="preserve">Table </w:t>
      </w:r>
      <w:r w:rsidRPr="00F746B7">
        <w:rPr>
          <w:rFonts w:ascii="Arial" w:hAnsi="Arial" w:cs="Arial"/>
          <w:sz w:val="22"/>
          <w:szCs w:val="22"/>
          <w:lang w:val="en-US"/>
        </w:rPr>
        <w:fldChar w:fldCharType="begin"/>
      </w:r>
      <w:r w:rsidRPr="00F746B7">
        <w:rPr>
          <w:rFonts w:ascii="Arial" w:hAnsi="Arial" w:cs="Arial"/>
          <w:sz w:val="22"/>
          <w:szCs w:val="22"/>
          <w:lang w:val="en-US"/>
        </w:rPr>
        <w:instrText xml:space="preserve"> SEQ Table \* ARABIC </w:instrText>
      </w:r>
      <w:r w:rsidRPr="00F746B7">
        <w:rPr>
          <w:rFonts w:ascii="Arial" w:hAnsi="Arial" w:cs="Arial"/>
          <w:sz w:val="22"/>
          <w:szCs w:val="22"/>
          <w:lang w:val="en-US"/>
        </w:rPr>
        <w:fldChar w:fldCharType="separate"/>
      </w:r>
      <w:r w:rsidR="00151A1C">
        <w:rPr>
          <w:rFonts w:ascii="Arial" w:hAnsi="Arial" w:cs="Arial"/>
          <w:noProof/>
          <w:sz w:val="22"/>
          <w:szCs w:val="22"/>
          <w:lang w:val="en-US"/>
        </w:rPr>
        <w:t>69</w:t>
      </w:r>
      <w:r w:rsidRPr="00F746B7">
        <w:rPr>
          <w:rFonts w:ascii="Arial" w:hAnsi="Arial" w:cs="Arial"/>
          <w:sz w:val="22"/>
          <w:szCs w:val="22"/>
          <w:lang w:val="en-US"/>
        </w:rPr>
        <w:fldChar w:fldCharType="end"/>
      </w:r>
      <w:bookmarkEnd w:id="348"/>
      <w:r w:rsidRPr="00F746B7">
        <w:rPr>
          <w:rFonts w:ascii="Arial" w:hAnsi="Arial" w:cs="Arial"/>
          <w:sz w:val="22"/>
          <w:szCs w:val="22"/>
          <w:lang w:val="en-US"/>
        </w:rPr>
        <w:t>: TEAEs, by SOC, with</w:t>
      </w:r>
      <w:r w:rsidRPr="002646C1">
        <w:rPr>
          <w:rFonts w:ascii="Arial" w:hAnsi="Arial" w:cs="Arial"/>
          <w:sz w:val="22"/>
          <w:szCs w:val="22"/>
          <w:lang w:val="en-US"/>
        </w:rPr>
        <w:t xml:space="preserve"> ≥10% incidence in either treatment group in ESTABLISH-1 (Safety population)</w:t>
      </w:r>
      <w:bookmarkEnd w:id="349"/>
    </w:p>
    <w:tbl>
      <w:tblPr>
        <w:tblStyle w:val="Table-HERONplain"/>
        <w:tblW w:w="0" w:type="auto"/>
        <w:tblLook w:val="04A0" w:firstRow="1" w:lastRow="0" w:firstColumn="1" w:lastColumn="0" w:noHBand="0" w:noVBand="1"/>
      </w:tblPr>
      <w:tblGrid>
        <w:gridCol w:w="5968"/>
        <w:gridCol w:w="1474"/>
        <w:gridCol w:w="1461"/>
      </w:tblGrid>
      <w:tr w:rsidR="00C35C1F" w:rsidRPr="002646C1" w14:paraId="0D793756" w14:textId="77777777" w:rsidTr="00257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1DB7972" w14:textId="77777777" w:rsidR="00C35C1F" w:rsidRPr="002646C1" w:rsidRDefault="00C35C1F" w:rsidP="001D3F4A">
            <w:pPr>
              <w:pStyle w:val="TableBodyText-H54"/>
              <w:rPr>
                <w:rFonts w:ascii="Arial" w:hAnsi="Arial" w:cs="Arial"/>
                <w:sz w:val="20"/>
                <w:lang w:val="en-US"/>
              </w:rPr>
            </w:pPr>
            <w:r w:rsidRPr="002646C1">
              <w:rPr>
                <w:rFonts w:ascii="Arial" w:hAnsi="Arial" w:cs="Arial"/>
                <w:sz w:val="20"/>
                <w:lang w:val="en-US"/>
              </w:rPr>
              <w:t>SOC</w:t>
            </w:r>
          </w:p>
        </w:tc>
        <w:tc>
          <w:tcPr>
            <w:tcW w:w="1485" w:type="dxa"/>
            <w:shd w:val="clear" w:color="auto" w:fill="auto"/>
            <w:hideMark/>
          </w:tcPr>
          <w:p w14:paraId="0BCF0A8C"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Tedizolid phosphate</w:t>
            </w:r>
          </w:p>
          <w:p w14:paraId="20D4415A"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(N=331)</w:t>
            </w:r>
          </w:p>
          <w:p w14:paraId="09DBDEC8"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 (%)</w:t>
            </w:r>
          </w:p>
        </w:tc>
        <w:tc>
          <w:tcPr>
            <w:tcW w:w="1479" w:type="dxa"/>
            <w:shd w:val="clear" w:color="auto" w:fill="auto"/>
            <w:hideMark/>
          </w:tcPr>
          <w:p w14:paraId="52FE6444"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Linezolid</w:t>
            </w:r>
          </w:p>
          <w:p w14:paraId="045954BB"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(N=335)</w:t>
            </w:r>
          </w:p>
          <w:p w14:paraId="72143D1B" w14:textId="77777777" w:rsidR="00C35C1F" w:rsidRPr="002646C1"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2646C1">
              <w:rPr>
                <w:rFonts w:ascii="Arial" w:hAnsi="Arial" w:cs="Arial"/>
                <w:sz w:val="20"/>
                <w:lang w:val="en-US"/>
              </w:rPr>
              <w:t>n (%)</w:t>
            </w:r>
          </w:p>
        </w:tc>
      </w:tr>
      <w:tr w:rsidR="00C35C1F" w:rsidRPr="002646C1" w14:paraId="22953FBC"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E4CA1E6" w14:textId="77777777" w:rsidR="00C35C1F" w:rsidRPr="002646C1" w:rsidRDefault="00C35C1F" w:rsidP="001D3F4A">
            <w:pPr>
              <w:pStyle w:val="TableBodyText-H54"/>
              <w:rPr>
                <w:rFonts w:ascii="Arial" w:eastAsia="TimesNewRoman" w:hAnsi="Arial" w:cs="Arial"/>
                <w:sz w:val="20"/>
                <w:lang w:val="en-US"/>
              </w:rPr>
            </w:pPr>
            <w:r w:rsidRPr="002646C1">
              <w:rPr>
                <w:rFonts w:ascii="Arial" w:eastAsia="TimesNewRoman" w:hAnsi="Arial" w:cs="Arial"/>
                <w:sz w:val="20"/>
                <w:lang w:val="en-US"/>
              </w:rPr>
              <w:t>Gastrointestinal disorders</w:t>
            </w:r>
          </w:p>
        </w:tc>
        <w:tc>
          <w:tcPr>
            <w:tcW w:w="1485" w:type="dxa"/>
            <w:vAlign w:val="top"/>
            <w:hideMark/>
          </w:tcPr>
          <w:p w14:paraId="5CEBF594"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54 (16.3)</w:t>
            </w:r>
          </w:p>
        </w:tc>
        <w:tc>
          <w:tcPr>
            <w:tcW w:w="1479" w:type="dxa"/>
            <w:vAlign w:val="top"/>
            <w:hideMark/>
          </w:tcPr>
          <w:p w14:paraId="633926E0"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85 (25.4)</w:t>
            </w:r>
          </w:p>
        </w:tc>
      </w:tr>
      <w:tr w:rsidR="00C35C1F" w:rsidRPr="002646C1" w14:paraId="113656B5" w14:textId="77777777" w:rsidTr="00257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2BAD966" w14:textId="77777777" w:rsidR="00C35C1F" w:rsidRPr="002646C1" w:rsidRDefault="00C35C1F" w:rsidP="001D3F4A">
            <w:pPr>
              <w:pStyle w:val="TableBodyText-H54"/>
              <w:rPr>
                <w:rFonts w:ascii="Arial" w:eastAsia="TimesNewRoman" w:hAnsi="Arial" w:cs="Arial"/>
                <w:sz w:val="20"/>
                <w:lang w:val="en-US"/>
              </w:rPr>
            </w:pPr>
            <w:r w:rsidRPr="002646C1">
              <w:rPr>
                <w:rFonts w:ascii="Arial" w:hAnsi="Arial" w:cs="Arial"/>
                <w:sz w:val="20"/>
                <w:lang w:val="en-US"/>
              </w:rPr>
              <w:t>Infections and infestations</w:t>
            </w:r>
          </w:p>
        </w:tc>
        <w:tc>
          <w:tcPr>
            <w:tcW w:w="1485" w:type="dxa"/>
            <w:vAlign w:val="top"/>
            <w:hideMark/>
          </w:tcPr>
          <w:p w14:paraId="6533108B"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50 (15.1)</w:t>
            </w:r>
          </w:p>
        </w:tc>
        <w:tc>
          <w:tcPr>
            <w:tcW w:w="1479" w:type="dxa"/>
            <w:vAlign w:val="top"/>
            <w:hideMark/>
          </w:tcPr>
          <w:p w14:paraId="730E9350" w14:textId="77777777" w:rsidR="00C35C1F" w:rsidRPr="002646C1"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37 (11.0)</w:t>
            </w:r>
          </w:p>
        </w:tc>
      </w:tr>
      <w:tr w:rsidR="00C35C1F" w:rsidRPr="002646C1" w14:paraId="7179A092" w14:textId="77777777" w:rsidTr="00257B24">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CA90DEE" w14:textId="77777777" w:rsidR="00C35C1F" w:rsidRPr="002646C1" w:rsidRDefault="00C35C1F" w:rsidP="001D3F4A">
            <w:pPr>
              <w:pStyle w:val="TableBodyText-H54"/>
              <w:rPr>
                <w:rFonts w:ascii="Arial" w:eastAsia="TimesNewRoman" w:hAnsi="Arial" w:cs="Arial"/>
                <w:sz w:val="20"/>
                <w:lang w:val="en-US"/>
              </w:rPr>
            </w:pPr>
            <w:r w:rsidRPr="002646C1">
              <w:rPr>
                <w:rFonts w:ascii="Arial" w:hAnsi="Arial" w:cs="Arial"/>
                <w:sz w:val="20"/>
                <w:lang w:val="en-US"/>
              </w:rPr>
              <w:t>Nervous system disorders</w:t>
            </w:r>
          </w:p>
        </w:tc>
        <w:tc>
          <w:tcPr>
            <w:tcW w:w="1485" w:type="dxa"/>
            <w:vAlign w:val="top"/>
            <w:hideMark/>
          </w:tcPr>
          <w:p w14:paraId="2C885BCC"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36 (10.9)</w:t>
            </w:r>
          </w:p>
        </w:tc>
        <w:tc>
          <w:tcPr>
            <w:tcW w:w="1479" w:type="dxa"/>
            <w:vAlign w:val="top"/>
            <w:hideMark/>
          </w:tcPr>
          <w:p w14:paraId="0636702A" w14:textId="77777777" w:rsidR="00C35C1F" w:rsidRPr="002646C1"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2646C1">
              <w:rPr>
                <w:rFonts w:ascii="Arial" w:eastAsia="TimesNewRoman" w:hAnsi="Arial" w:cs="Arial"/>
                <w:sz w:val="20"/>
                <w:lang w:val="en-US"/>
              </w:rPr>
              <w:t>32 (9.6)</w:t>
            </w:r>
          </w:p>
        </w:tc>
      </w:tr>
    </w:tbl>
    <w:p w14:paraId="6211EC69" w14:textId="1B955A9B" w:rsidR="00C35C1F" w:rsidRPr="00B674BE" w:rsidRDefault="00C35C1F" w:rsidP="002646C1">
      <w:pPr>
        <w:pStyle w:val="TableNote-H58"/>
        <w:spacing w:before="0" w:after="0"/>
        <w:rPr>
          <w:rFonts w:ascii="Arial" w:hAnsi="Arial" w:cs="Arial"/>
          <w:sz w:val="18"/>
          <w:szCs w:val="18"/>
          <w:lang w:val="en-US"/>
        </w:rPr>
      </w:pPr>
      <w:r w:rsidRPr="00B674BE">
        <w:rPr>
          <w:rFonts w:ascii="Arial" w:hAnsi="Arial" w:cs="Arial"/>
          <w:sz w:val="18"/>
          <w:szCs w:val="18"/>
          <w:lang w:val="en-US"/>
        </w:rPr>
        <w:t>SOURCE: ESTABLISH-1 CSR</w:t>
      </w:r>
      <w:r w:rsidR="00B674BE">
        <w:rPr>
          <w:rFonts w:ascii="Arial" w:hAnsi="Arial" w:cs="Arial"/>
          <w:sz w:val="18"/>
          <w:szCs w:val="18"/>
          <w:lang w:val="en-US"/>
        </w:rPr>
        <w:t xml:space="preserve"> </w:t>
      </w:r>
      <w:r w:rsidR="00B674BE">
        <w:rPr>
          <w:rFonts w:ascii="Arial" w:hAnsi="Arial" w:cs="Arial"/>
          <w:sz w:val="18"/>
          <w:szCs w:val="18"/>
          <w:lang w:val="en-US"/>
        </w:rPr>
        <w:fldChar w:fldCharType="begin"/>
      </w:r>
      <w:r w:rsidR="00B674BE">
        <w:rPr>
          <w:rFonts w:ascii="Arial" w:hAnsi="Arial" w:cs="Arial"/>
          <w:sz w:val="18"/>
          <w:szCs w:val="18"/>
          <w:lang w:val="en-US"/>
        </w:rPr>
        <w:instrText xml:space="preserve"> REF _Ref284171334 \r \h </w:instrText>
      </w:r>
      <w:r w:rsidR="00B674BE">
        <w:rPr>
          <w:rFonts w:ascii="Arial" w:hAnsi="Arial" w:cs="Arial"/>
          <w:sz w:val="18"/>
          <w:szCs w:val="18"/>
          <w:lang w:val="en-US"/>
        </w:rPr>
      </w:r>
      <w:r w:rsidR="00B674BE">
        <w:rPr>
          <w:rFonts w:ascii="Arial" w:hAnsi="Arial" w:cs="Arial"/>
          <w:sz w:val="18"/>
          <w:szCs w:val="18"/>
          <w:lang w:val="en-US"/>
        </w:rPr>
        <w:fldChar w:fldCharType="separate"/>
      </w:r>
      <w:r w:rsidR="00151A1C">
        <w:rPr>
          <w:rFonts w:ascii="Arial" w:hAnsi="Arial" w:cs="Arial"/>
          <w:sz w:val="18"/>
          <w:szCs w:val="18"/>
          <w:lang w:val="en-US"/>
        </w:rPr>
        <w:t>41</w:t>
      </w:r>
      <w:r w:rsidR="00B674BE">
        <w:rPr>
          <w:rFonts w:ascii="Arial" w:hAnsi="Arial" w:cs="Arial"/>
          <w:sz w:val="18"/>
          <w:szCs w:val="18"/>
          <w:lang w:val="en-US"/>
        </w:rPr>
        <w:fldChar w:fldCharType="end"/>
      </w:r>
      <w:r w:rsidRPr="00B674BE">
        <w:rPr>
          <w:rFonts w:ascii="Arial" w:hAnsi="Arial" w:cs="Arial"/>
          <w:sz w:val="18"/>
          <w:szCs w:val="18"/>
          <w:lang w:val="en-US"/>
        </w:rPr>
        <w:t xml:space="preserve">: section </w:t>
      </w:r>
      <w:r w:rsidRPr="00B674BE">
        <w:rPr>
          <w:rFonts w:ascii="Arial" w:eastAsia="Tahoma" w:hAnsi="Arial" w:cs="Arial"/>
          <w:sz w:val="18"/>
          <w:szCs w:val="18"/>
          <w:lang w:val="en-US"/>
        </w:rPr>
        <w:t>14.3.1, Table 14.3.1.2.1</w:t>
      </w:r>
      <w:r w:rsidRPr="00B674BE">
        <w:rPr>
          <w:rFonts w:ascii="Arial" w:hAnsi="Arial" w:cs="Arial"/>
          <w:sz w:val="18"/>
          <w:szCs w:val="18"/>
          <w:lang w:val="en-US"/>
        </w:rPr>
        <w:t xml:space="preserve"> </w:t>
      </w:r>
    </w:p>
    <w:p w14:paraId="64A75D39" w14:textId="77777777" w:rsidR="00C35C1F" w:rsidRPr="00B674BE" w:rsidRDefault="00C35C1F" w:rsidP="002646C1">
      <w:pPr>
        <w:pStyle w:val="TableNote-H58"/>
        <w:spacing w:before="0" w:after="0"/>
        <w:rPr>
          <w:rFonts w:ascii="Arial" w:hAnsi="Arial" w:cs="Arial"/>
          <w:sz w:val="18"/>
          <w:szCs w:val="18"/>
          <w:lang w:val="en-US"/>
        </w:rPr>
      </w:pPr>
      <w:r w:rsidRPr="00B674BE">
        <w:rPr>
          <w:rFonts w:ascii="Arial" w:hAnsi="Arial" w:cs="Arial"/>
          <w:sz w:val="18"/>
          <w:szCs w:val="18"/>
          <w:lang w:val="en-US"/>
        </w:rPr>
        <w:t>N: Number of patients in population; n: Number of patients in specific category; SOC: System Organ Class; TEAE: Treatment-emergent adverse event</w:t>
      </w:r>
    </w:p>
    <w:p w14:paraId="301ECB1D" w14:textId="77777777" w:rsidR="009B5B6A" w:rsidRPr="00B674BE" w:rsidRDefault="009B5B6A" w:rsidP="00C35C1F">
      <w:pPr>
        <w:pStyle w:val="BodyText"/>
        <w:rPr>
          <w:rFonts w:cs="Arial"/>
          <w:sz w:val="18"/>
          <w:szCs w:val="18"/>
          <w:lang w:val="en-US"/>
        </w:rPr>
      </w:pPr>
    </w:p>
    <w:p w14:paraId="03B02ED3" w14:textId="240F9950" w:rsidR="00C35C1F" w:rsidRPr="00F746B7" w:rsidRDefault="00C35C1F" w:rsidP="00C35C1F">
      <w:pPr>
        <w:pStyle w:val="BodyText"/>
        <w:rPr>
          <w:rFonts w:cs="Arial"/>
          <w:sz w:val="22"/>
          <w:szCs w:val="22"/>
          <w:lang w:val="en-US"/>
        </w:rPr>
      </w:pPr>
      <w:r w:rsidRPr="00F746B7">
        <w:rPr>
          <w:rFonts w:cs="Arial"/>
          <w:sz w:val="22"/>
          <w:szCs w:val="22"/>
          <w:lang w:val="en-US"/>
        </w:rPr>
        <w:t xml:space="preserve">Commonly reported TEAEs (occurring in ≥2% of patients in either treatment group) were nausea, headache, </w:t>
      </w:r>
      <w:r w:rsidR="006F4C8B" w:rsidRPr="00F746B7">
        <w:rPr>
          <w:rFonts w:cs="Arial"/>
          <w:sz w:val="22"/>
          <w:szCs w:val="22"/>
          <w:lang w:val="en-US"/>
        </w:rPr>
        <w:t>diarrhoea</w:t>
      </w:r>
      <w:r w:rsidRPr="00F746B7">
        <w:rPr>
          <w:rFonts w:cs="Arial"/>
          <w:sz w:val="22"/>
          <w:szCs w:val="22"/>
          <w:lang w:val="en-US"/>
        </w:rPr>
        <w:t>, abscess, and vomiting (</w:t>
      </w:r>
      <w:r w:rsidRPr="00F746B7">
        <w:rPr>
          <w:rFonts w:cs="Arial"/>
          <w:sz w:val="22"/>
          <w:szCs w:val="22"/>
          <w:lang w:val="en-US"/>
        </w:rPr>
        <w:fldChar w:fldCharType="begin"/>
      </w:r>
      <w:r w:rsidRPr="00F746B7">
        <w:rPr>
          <w:rFonts w:cs="Arial"/>
          <w:sz w:val="22"/>
          <w:szCs w:val="22"/>
          <w:lang w:val="en-US"/>
        </w:rPr>
        <w:instrText xml:space="preserve"> REF _Ref381605569 \h  \* MERGEFORMAT </w:instrText>
      </w:r>
      <w:r w:rsidRPr="00F746B7">
        <w:rPr>
          <w:rFonts w:cs="Arial"/>
          <w:sz w:val="22"/>
          <w:szCs w:val="22"/>
          <w:lang w:val="en-US"/>
        </w:rPr>
      </w:r>
      <w:r w:rsidRPr="00F746B7">
        <w:rPr>
          <w:rFonts w:cs="Arial"/>
          <w:sz w:val="22"/>
          <w:szCs w:val="22"/>
          <w:lang w:val="en-US"/>
        </w:rPr>
        <w:fldChar w:fldCharType="separate"/>
      </w:r>
      <w:r w:rsidR="00151A1C" w:rsidRPr="00151A1C">
        <w:rPr>
          <w:rFonts w:cs="Arial"/>
          <w:sz w:val="22"/>
          <w:szCs w:val="22"/>
          <w:lang w:val="en-US"/>
        </w:rPr>
        <w:t>Table 70</w:t>
      </w:r>
      <w:r w:rsidRPr="00F746B7">
        <w:rPr>
          <w:rFonts w:cs="Arial"/>
          <w:sz w:val="22"/>
          <w:szCs w:val="22"/>
          <w:lang w:val="en-US"/>
        </w:rPr>
        <w:fldChar w:fldCharType="end"/>
      </w:r>
      <w:r w:rsidRPr="00F746B7">
        <w:rPr>
          <w:rFonts w:cs="Arial"/>
          <w:sz w:val="22"/>
          <w:szCs w:val="22"/>
          <w:lang w:val="en-US"/>
        </w:rPr>
        <w:t>). Although the overall incidence of TEAEs was similar between the treatment groups, a lower proportion of patients treated with tedizolid phosphate reported nausea, vomiting, dyspepsia, and pruritus compared with patients treated with linezolid</w:t>
      </w:r>
      <w:r w:rsidR="00B674BE">
        <w:rPr>
          <w:rFonts w:cs="Arial"/>
          <w:sz w:val="22"/>
          <w:szCs w:val="22"/>
          <w:lang w:val="en-US"/>
        </w:rPr>
        <w:t>(</w:t>
      </w:r>
      <w:r w:rsidR="00B674BE">
        <w:rPr>
          <w:rFonts w:cs="Arial"/>
          <w:sz w:val="22"/>
          <w:szCs w:val="22"/>
          <w:lang w:val="en-US"/>
        </w:rPr>
        <w:fldChar w:fldCharType="begin"/>
      </w:r>
      <w:r w:rsidR="00B674BE">
        <w:rPr>
          <w:rFonts w:cs="Arial"/>
          <w:sz w:val="22"/>
          <w:szCs w:val="22"/>
          <w:lang w:val="en-US"/>
        </w:rPr>
        <w:instrText xml:space="preserve"> REF _Ref284171334 \r \h </w:instrText>
      </w:r>
      <w:r w:rsidR="00B674BE">
        <w:rPr>
          <w:rFonts w:cs="Arial"/>
          <w:sz w:val="22"/>
          <w:szCs w:val="22"/>
          <w:lang w:val="en-US"/>
        </w:rPr>
      </w:r>
      <w:r w:rsidR="00B674BE">
        <w:rPr>
          <w:rFonts w:cs="Arial"/>
          <w:sz w:val="22"/>
          <w:szCs w:val="22"/>
          <w:lang w:val="en-US"/>
        </w:rPr>
        <w:fldChar w:fldCharType="separate"/>
      </w:r>
      <w:r w:rsidR="00151A1C">
        <w:rPr>
          <w:rFonts w:cs="Arial"/>
          <w:sz w:val="22"/>
          <w:szCs w:val="22"/>
          <w:lang w:val="en-US"/>
        </w:rPr>
        <w:t>41</w:t>
      </w:r>
      <w:r w:rsidR="00B674BE">
        <w:rPr>
          <w:rFonts w:cs="Arial"/>
          <w:sz w:val="22"/>
          <w:szCs w:val="22"/>
          <w:lang w:val="en-US"/>
        </w:rPr>
        <w:fldChar w:fldCharType="end"/>
      </w:r>
      <w:r w:rsidR="00B674BE">
        <w:rPr>
          <w:rFonts w:cs="Arial"/>
          <w:sz w:val="22"/>
          <w:szCs w:val="22"/>
          <w:lang w:val="en-US"/>
        </w:rPr>
        <w:t>).</w:t>
      </w:r>
    </w:p>
    <w:p w14:paraId="56E9B3F0" w14:textId="36D64360" w:rsidR="00C35C1F" w:rsidRDefault="00C35C1F" w:rsidP="00F746B7">
      <w:pPr>
        <w:rPr>
          <w:rFonts w:cs="Arial"/>
          <w:b/>
          <w:sz w:val="22"/>
          <w:szCs w:val="22"/>
          <w:lang w:val="en-US"/>
        </w:rPr>
      </w:pPr>
      <w:r w:rsidRPr="00F746B7">
        <w:rPr>
          <w:sz w:val="22"/>
          <w:szCs w:val="22"/>
        </w:rPr>
        <w:br w:type="page"/>
      </w:r>
      <w:bookmarkStart w:id="350" w:name="_Ref381605569"/>
      <w:bookmarkStart w:id="351" w:name="_Toc396058469"/>
      <w:r w:rsidRPr="00F746B7">
        <w:rPr>
          <w:rFonts w:cs="Arial"/>
          <w:b/>
          <w:sz w:val="22"/>
          <w:szCs w:val="22"/>
          <w:lang w:val="en-US"/>
        </w:rPr>
        <w:lastRenderedPageBreak/>
        <w:t xml:space="preserve">Table </w:t>
      </w:r>
      <w:r w:rsidRPr="00F746B7">
        <w:rPr>
          <w:rFonts w:cs="Arial"/>
          <w:b/>
          <w:sz w:val="22"/>
          <w:szCs w:val="22"/>
          <w:lang w:val="en-US"/>
        </w:rPr>
        <w:fldChar w:fldCharType="begin"/>
      </w:r>
      <w:r w:rsidRPr="00F746B7">
        <w:rPr>
          <w:rFonts w:cs="Arial"/>
          <w:b/>
          <w:sz w:val="22"/>
          <w:szCs w:val="22"/>
          <w:lang w:val="en-US"/>
        </w:rPr>
        <w:instrText xml:space="preserve"> SEQ Table \* ARABIC </w:instrText>
      </w:r>
      <w:r w:rsidRPr="00F746B7">
        <w:rPr>
          <w:rFonts w:cs="Arial"/>
          <w:b/>
          <w:sz w:val="22"/>
          <w:szCs w:val="22"/>
          <w:lang w:val="en-US"/>
        </w:rPr>
        <w:fldChar w:fldCharType="separate"/>
      </w:r>
      <w:r w:rsidR="00151A1C">
        <w:rPr>
          <w:rFonts w:cs="Arial"/>
          <w:b/>
          <w:noProof/>
          <w:sz w:val="22"/>
          <w:szCs w:val="22"/>
          <w:lang w:val="en-US"/>
        </w:rPr>
        <w:t>70</w:t>
      </w:r>
      <w:r w:rsidRPr="00F746B7">
        <w:rPr>
          <w:rFonts w:cs="Arial"/>
          <w:b/>
          <w:sz w:val="22"/>
          <w:szCs w:val="22"/>
          <w:lang w:val="en-US"/>
        </w:rPr>
        <w:fldChar w:fldCharType="end"/>
      </w:r>
      <w:bookmarkEnd w:id="350"/>
      <w:r w:rsidRPr="00F746B7">
        <w:rPr>
          <w:rFonts w:cs="Arial"/>
          <w:b/>
          <w:sz w:val="22"/>
          <w:szCs w:val="22"/>
          <w:lang w:val="en-US"/>
        </w:rPr>
        <w:t>: TEAEs, by Preferred Term, with ≥2% incidence in either treatment group in ESTABLISH-1 (Safety population)</w:t>
      </w:r>
      <w:bookmarkEnd w:id="351"/>
    </w:p>
    <w:p w14:paraId="54E37E35" w14:textId="77777777" w:rsidR="00F746B7" w:rsidRPr="00F746B7" w:rsidRDefault="00F746B7" w:rsidP="00F746B7">
      <w:pPr>
        <w:rPr>
          <w:b/>
          <w:sz w:val="22"/>
          <w:szCs w:val="22"/>
        </w:rPr>
      </w:pPr>
    </w:p>
    <w:tbl>
      <w:tblPr>
        <w:tblStyle w:val="Table-HERONplain"/>
        <w:tblW w:w="0" w:type="auto"/>
        <w:tblLook w:val="04A0" w:firstRow="1" w:lastRow="0" w:firstColumn="1" w:lastColumn="0" w:noHBand="0" w:noVBand="1"/>
      </w:tblPr>
      <w:tblGrid>
        <w:gridCol w:w="5967"/>
        <w:gridCol w:w="1474"/>
        <w:gridCol w:w="1462"/>
      </w:tblGrid>
      <w:tr w:rsidR="00C35C1F" w:rsidRPr="009B5B6A" w14:paraId="5B4366C4"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EA8D2C8" w14:textId="77777777" w:rsidR="00C35C1F" w:rsidRPr="009B5B6A" w:rsidRDefault="00C35C1F" w:rsidP="001D3F4A">
            <w:pPr>
              <w:pStyle w:val="TableBodyText-H54"/>
              <w:rPr>
                <w:rFonts w:ascii="Arial" w:hAnsi="Arial" w:cs="Arial"/>
                <w:sz w:val="20"/>
                <w:lang w:val="en-US"/>
              </w:rPr>
            </w:pPr>
            <w:r w:rsidRPr="009B5B6A">
              <w:rPr>
                <w:rFonts w:ascii="Arial" w:hAnsi="Arial" w:cs="Arial"/>
                <w:sz w:val="20"/>
                <w:lang w:val="en-US"/>
              </w:rPr>
              <w:t>Preferred Term</w:t>
            </w:r>
          </w:p>
        </w:tc>
        <w:tc>
          <w:tcPr>
            <w:tcW w:w="1485" w:type="dxa"/>
            <w:shd w:val="clear" w:color="auto" w:fill="auto"/>
            <w:hideMark/>
          </w:tcPr>
          <w:p w14:paraId="0DAB1F45"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Tedizolid phosphate</w:t>
            </w:r>
          </w:p>
          <w:p w14:paraId="78DB6105"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(N=331)</w:t>
            </w:r>
          </w:p>
          <w:p w14:paraId="1325FD8C"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 (%)</w:t>
            </w:r>
          </w:p>
        </w:tc>
        <w:tc>
          <w:tcPr>
            <w:tcW w:w="1479" w:type="dxa"/>
            <w:shd w:val="clear" w:color="auto" w:fill="auto"/>
            <w:hideMark/>
          </w:tcPr>
          <w:p w14:paraId="337C99BC"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Linezolid</w:t>
            </w:r>
          </w:p>
          <w:p w14:paraId="4E228BC6"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(N=335)</w:t>
            </w:r>
          </w:p>
          <w:p w14:paraId="1E5919E7"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 (%)</w:t>
            </w:r>
          </w:p>
        </w:tc>
      </w:tr>
      <w:tr w:rsidR="00C35C1F" w:rsidRPr="009B5B6A" w14:paraId="58D1BF00"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3CA61B7"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Patients with ≥1 TEAE:</w:t>
            </w:r>
          </w:p>
        </w:tc>
        <w:tc>
          <w:tcPr>
            <w:tcW w:w="1485" w:type="dxa"/>
            <w:vAlign w:val="top"/>
            <w:hideMark/>
          </w:tcPr>
          <w:p w14:paraId="461394A1"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Bold" w:hAnsi="Arial" w:cs="Arial"/>
                <w:sz w:val="20"/>
                <w:lang w:val="en-US"/>
              </w:rPr>
              <w:t>135 (40.8)</w:t>
            </w:r>
          </w:p>
        </w:tc>
        <w:tc>
          <w:tcPr>
            <w:tcW w:w="1479" w:type="dxa"/>
            <w:vAlign w:val="top"/>
            <w:hideMark/>
          </w:tcPr>
          <w:p w14:paraId="7839B495"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Bold" w:hAnsi="Arial" w:cs="Arial"/>
                <w:sz w:val="20"/>
                <w:lang w:val="en-US"/>
              </w:rPr>
              <w:t>145 (43.3)</w:t>
            </w:r>
          </w:p>
        </w:tc>
      </w:tr>
      <w:tr w:rsidR="00C35C1F" w:rsidRPr="009B5B6A" w14:paraId="7FC0EA8B"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1993B0B"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Nausea</w:t>
            </w:r>
          </w:p>
        </w:tc>
        <w:tc>
          <w:tcPr>
            <w:tcW w:w="1485" w:type="dxa"/>
            <w:vAlign w:val="top"/>
            <w:hideMark/>
          </w:tcPr>
          <w:p w14:paraId="6E7AD8E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28 (8.5)</w:t>
            </w:r>
          </w:p>
        </w:tc>
        <w:tc>
          <w:tcPr>
            <w:tcW w:w="1479" w:type="dxa"/>
            <w:vAlign w:val="top"/>
            <w:hideMark/>
          </w:tcPr>
          <w:p w14:paraId="79DF1F4E"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45 (13.4)</w:t>
            </w:r>
          </w:p>
        </w:tc>
      </w:tr>
      <w:tr w:rsidR="00C35C1F" w:rsidRPr="009B5B6A" w14:paraId="0B456E2E"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6F2D667"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Headache</w:t>
            </w:r>
          </w:p>
        </w:tc>
        <w:tc>
          <w:tcPr>
            <w:tcW w:w="1485" w:type="dxa"/>
            <w:vAlign w:val="top"/>
            <w:hideMark/>
          </w:tcPr>
          <w:p w14:paraId="4D17E34A"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21 (6.3)</w:t>
            </w:r>
          </w:p>
        </w:tc>
        <w:tc>
          <w:tcPr>
            <w:tcW w:w="1479" w:type="dxa"/>
            <w:vAlign w:val="top"/>
            <w:hideMark/>
          </w:tcPr>
          <w:p w14:paraId="28777EBA"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17 (5.1)</w:t>
            </w:r>
          </w:p>
        </w:tc>
      </w:tr>
      <w:tr w:rsidR="00C35C1F" w:rsidRPr="009B5B6A" w14:paraId="4F731F0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1A08E91" w14:textId="1DE3C1AF" w:rsidR="00C35C1F" w:rsidRPr="009B5B6A" w:rsidRDefault="006F4C8B" w:rsidP="001D3F4A">
            <w:pPr>
              <w:pStyle w:val="TableBodyText-H54"/>
              <w:ind w:left="313"/>
              <w:rPr>
                <w:rFonts w:ascii="Arial" w:eastAsia="TimesNewRoman" w:hAnsi="Arial" w:cs="Arial"/>
                <w:sz w:val="20"/>
                <w:lang w:val="en-US"/>
              </w:rPr>
            </w:pPr>
            <w:r>
              <w:rPr>
                <w:rFonts w:ascii="Arial" w:eastAsia="TimesNewRoman" w:hAnsi="Arial" w:cs="Arial"/>
                <w:sz w:val="20"/>
                <w:lang w:val="en-US"/>
              </w:rPr>
              <w:t>Diarrhoea</w:t>
            </w:r>
          </w:p>
        </w:tc>
        <w:tc>
          <w:tcPr>
            <w:tcW w:w="1485" w:type="dxa"/>
            <w:vAlign w:val="top"/>
            <w:hideMark/>
          </w:tcPr>
          <w:p w14:paraId="0789F877"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15 (4.5)</w:t>
            </w:r>
          </w:p>
        </w:tc>
        <w:tc>
          <w:tcPr>
            <w:tcW w:w="1479" w:type="dxa"/>
            <w:vAlign w:val="top"/>
            <w:hideMark/>
          </w:tcPr>
          <w:p w14:paraId="530DB204"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18 (5.4)</w:t>
            </w:r>
          </w:p>
        </w:tc>
      </w:tr>
      <w:tr w:rsidR="00C35C1F" w:rsidRPr="009B5B6A" w14:paraId="02625335"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E7B24EB"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Abscess</w:t>
            </w:r>
          </w:p>
        </w:tc>
        <w:tc>
          <w:tcPr>
            <w:tcW w:w="1485" w:type="dxa"/>
            <w:vAlign w:val="top"/>
            <w:hideMark/>
          </w:tcPr>
          <w:p w14:paraId="25441421"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14 (4.2)</w:t>
            </w:r>
          </w:p>
        </w:tc>
        <w:tc>
          <w:tcPr>
            <w:tcW w:w="1479" w:type="dxa"/>
            <w:vAlign w:val="top"/>
            <w:hideMark/>
          </w:tcPr>
          <w:p w14:paraId="3FC4F7C7"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8 (2.4)</w:t>
            </w:r>
          </w:p>
        </w:tc>
      </w:tr>
      <w:tr w:rsidR="00C35C1F" w:rsidRPr="009B5B6A" w14:paraId="6FBBDF99"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11EB76D"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Abscess limb</w:t>
            </w:r>
          </w:p>
        </w:tc>
        <w:tc>
          <w:tcPr>
            <w:tcW w:w="1485" w:type="dxa"/>
            <w:vAlign w:val="top"/>
            <w:hideMark/>
          </w:tcPr>
          <w:p w14:paraId="626F99A7"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12 (3.6)</w:t>
            </w:r>
          </w:p>
        </w:tc>
        <w:tc>
          <w:tcPr>
            <w:tcW w:w="1479" w:type="dxa"/>
            <w:vAlign w:val="top"/>
            <w:hideMark/>
          </w:tcPr>
          <w:p w14:paraId="6E669054"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10 (3.0)</w:t>
            </w:r>
          </w:p>
        </w:tc>
      </w:tr>
      <w:tr w:rsidR="00C35C1F" w:rsidRPr="009B5B6A" w14:paraId="5E2630C0"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57DDECE"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Vomiting</w:t>
            </w:r>
          </w:p>
        </w:tc>
        <w:tc>
          <w:tcPr>
            <w:tcW w:w="1485" w:type="dxa"/>
            <w:vAlign w:val="top"/>
            <w:hideMark/>
          </w:tcPr>
          <w:p w14:paraId="18D93FCF"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9 (2.7)</w:t>
            </w:r>
          </w:p>
        </w:tc>
        <w:tc>
          <w:tcPr>
            <w:tcW w:w="1479" w:type="dxa"/>
            <w:vAlign w:val="top"/>
            <w:hideMark/>
          </w:tcPr>
          <w:p w14:paraId="617199CD"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20 (6.0)</w:t>
            </w:r>
          </w:p>
        </w:tc>
      </w:tr>
      <w:tr w:rsidR="00C35C1F" w:rsidRPr="009B5B6A" w14:paraId="2C78776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A292970"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Cellulitis</w:t>
            </w:r>
          </w:p>
        </w:tc>
        <w:tc>
          <w:tcPr>
            <w:tcW w:w="1485" w:type="dxa"/>
            <w:vAlign w:val="top"/>
            <w:hideMark/>
          </w:tcPr>
          <w:p w14:paraId="182798EA"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8 (2.4)</w:t>
            </w:r>
          </w:p>
        </w:tc>
        <w:tc>
          <w:tcPr>
            <w:tcW w:w="1479" w:type="dxa"/>
            <w:vAlign w:val="top"/>
            <w:hideMark/>
          </w:tcPr>
          <w:p w14:paraId="4221F9C9"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8 (2.4)</w:t>
            </w:r>
          </w:p>
        </w:tc>
      </w:tr>
      <w:tr w:rsidR="00C35C1F" w:rsidRPr="009B5B6A" w14:paraId="76245B2B"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488722C"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Dizziness</w:t>
            </w:r>
          </w:p>
        </w:tc>
        <w:tc>
          <w:tcPr>
            <w:tcW w:w="1485" w:type="dxa"/>
            <w:vAlign w:val="top"/>
            <w:hideMark/>
          </w:tcPr>
          <w:p w14:paraId="2190C2B9"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8 (2.4)</w:t>
            </w:r>
          </w:p>
        </w:tc>
        <w:tc>
          <w:tcPr>
            <w:tcW w:w="1479" w:type="dxa"/>
            <w:vAlign w:val="top"/>
            <w:hideMark/>
          </w:tcPr>
          <w:p w14:paraId="498B0AA6"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7 (2.1)</w:t>
            </w:r>
          </w:p>
        </w:tc>
      </w:tr>
      <w:tr w:rsidR="00C35C1F" w:rsidRPr="009B5B6A" w14:paraId="5C54C5DE"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BCA6ACB"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Pruritus</w:t>
            </w:r>
          </w:p>
        </w:tc>
        <w:tc>
          <w:tcPr>
            <w:tcW w:w="1485" w:type="dxa"/>
            <w:vAlign w:val="top"/>
            <w:hideMark/>
          </w:tcPr>
          <w:p w14:paraId="4F6FD66C"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3 (0.9)</w:t>
            </w:r>
          </w:p>
        </w:tc>
        <w:tc>
          <w:tcPr>
            <w:tcW w:w="1479" w:type="dxa"/>
            <w:vAlign w:val="top"/>
            <w:hideMark/>
          </w:tcPr>
          <w:p w14:paraId="1081BDA3"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8 (2.4)</w:t>
            </w:r>
          </w:p>
        </w:tc>
      </w:tr>
      <w:tr w:rsidR="00C35C1F" w:rsidRPr="009B5B6A" w14:paraId="73484761"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B37C392" w14:textId="77777777" w:rsidR="00C35C1F" w:rsidRPr="009B5B6A" w:rsidRDefault="00C35C1F" w:rsidP="001D3F4A">
            <w:pPr>
              <w:pStyle w:val="TableBodyText-H54"/>
              <w:ind w:left="313"/>
              <w:rPr>
                <w:rFonts w:ascii="Arial" w:hAnsi="Arial" w:cs="Arial"/>
                <w:sz w:val="20"/>
                <w:lang w:val="en-US"/>
              </w:rPr>
            </w:pPr>
            <w:r w:rsidRPr="009B5B6A">
              <w:rPr>
                <w:rFonts w:ascii="Arial" w:eastAsia="TimesNewRoman" w:hAnsi="Arial" w:cs="Arial"/>
                <w:sz w:val="20"/>
                <w:lang w:val="en-US"/>
              </w:rPr>
              <w:t>Dyspepsia</w:t>
            </w:r>
          </w:p>
        </w:tc>
        <w:tc>
          <w:tcPr>
            <w:tcW w:w="1485" w:type="dxa"/>
            <w:vAlign w:val="top"/>
            <w:hideMark/>
          </w:tcPr>
          <w:p w14:paraId="65567D6C"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eastAsia="TimesNewRoman" w:hAnsi="Arial" w:cs="Arial"/>
                <w:sz w:val="20"/>
                <w:lang w:val="en-US"/>
              </w:rPr>
              <w:t>2 (0.6)</w:t>
            </w:r>
          </w:p>
        </w:tc>
        <w:tc>
          <w:tcPr>
            <w:tcW w:w="1479" w:type="dxa"/>
            <w:vAlign w:val="top"/>
            <w:hideMark/>
          </w:tcPr>
          <w:p w14:paraId="421679B7"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eastAsia="TimesNewRoman" w:hAnsi="Arial" w:cs="Arial"/>
                <w:sz w:val="20"/>
                <w:lang w:val="en-US"/>
              </w:rPr>
              <w:t>7 (2.1)</w:t>
            </w:r>
          </w:p>
        </w:tc>
      </w:tr>
    </w:tbl>
    <w:p w14:paraId="36E755A4" w14:textId="6442EE6D" w:rsidR="00C35C1F" w:rsidRPr="006D7EB2" w:rsidRDefault="00C35C1F" w:rsidP="009B5B6A">
      <w:pPr>
        <w:pStyle w:val="TableNote-H58"/>
        <w:spacing w:before="0" w:after="0"/>
        <w:rPr>
          <w:rFonts w:ascii="Arial" w:hAnsi="Arial" w:cs="Arial"/>
          <w:sz w:val="18"/>
          <w:szCs w:val="18"/>
          <w:lang w:val="en-US"/>
        </w:rPr>
      </w:pPr>
      <w:r w:rsidRPr="006D7EB2">
        <w:rPr>
          <w:rFonts w:ascii="Arial" w:hAnsi="Arial" w:cs="Arial"/>
          <w:sz w:val="18"/>
          <w:szCs w:val="18"/>
          <w:lang w:val="en-US"/>
        </w:rPr>
        <w:t>SOURCE: ESTABLISH-1 CSR</w:t>
      </w:r>
      <w:r w:rsidR="006D7EB2">
        <w:rPr>
          <w:rFonts w:ascii="Arial" w:hAnsi="Arial" w:cs="Arial"/>
          <w:sz w:val="18"/>
          <w:szCs w:val="18"/>
          <w:lang w:val="en-US"/>
        </w:rPr>
        <w:t xml:space="preserve"> </w:t>
      </w:r>
      <w:r w:rsidR="006D7EB2">
        <w:rPr>
          <w:rFonts w:ascii="Arial" w:hAnsi="Arial" w:cs="Arial"/>
          <w:sz w:val="18"/>
          <w:szCs w:val="18"/>
          <w:lang w:val="en-US"/>
        </w:rPr>
        <w:fldChar w:fldCharType="begin"/>
      </w:r>
      <w:r w:rsidR="006D7EB2">
        <w:rPr>
          <w:rFonts w:ascii="Arial" w:hAnsi="Arial" w:cs="Arial"/>
          <w:sz w:val="18"/>
          <w:szCs w:val="18"/>
          <w:lang w:val="en-US"/>
        </w:rPr>
        <w:instrText xml:space="preserve"> REF _Ref284171334 \r \h </w:instrText>
      </w:r>
      <w:r w:rsidR="006D7EB2">
        <w:rPr>
          <w:rFonts w:ascii="Arial" w:hAnsi="Arial" w:cs="Arial"/>
          <w:sz w:val="18"/>
          <w:szCs w:val="18"/>
          <w:lang w:val="en-US"/>
        </w:rPr>
      </w:r>
      <w:r w:rsidR="006D7EB2">
        <w:rPr>
          <w:rFonts w:ascii="Arial" w:hAnsi="Arial" w:cs="Arial"/>
          <w:sz w:val="18"/>
          <w:szCs w:val="18"/>
          <w:lang w:val="en-US"/>
        </w:rPr>
        <w:fldChar w:fldCharType="separate"/>
      </w:r>
      <w:r w:rsidR="00151A1C">
        <w:rPr>
          <w:rFonts w:ascii="Arial" w:hAnsi="Arial" w:cs="Arial"/>
          <w:sz w:val="18"/>
          <w:szCs w:val="18"/>
          <w:lang w:val="en-US"/>
        </w:rPr>
        <w:t>41</w:t>
      </w:r>
      <w:r w:rsidR="006D7EB2">
        <w:rPr>
          <w:rFonts w:ascii="Arial" w:hAnsi="Arial" w:cs="Arial"/>
          <w:sz w:val="18"/>
          <w:szCs w:val="18"/>
          <w:lang w:val="en-US"/>
        </w:rPr>
        <w:fldChar w:fldCharType="end"/>
      </w:r>
      <w:r w:rsidRPr="006D7EB2">
        <w:rPr>
          <w:rFonts w:ascii="Arial" w:hAnsi="Arial" w:cs="Arial"/>
          <w:sz w:val="18"/>
          <w:szCs w:val="18"/>
          <w:lang w:val="en-US"/>
        </w:rPr>
        <w:t xml:space="preserve">: section </w:t>
      </w:r>
      <w:r w:rsidRPr="006D7EB2">
        <w:rPr>
          <w:rFonts w:ascii="Arial" w:eastAsia="Tahoma" w:hAnsi="Arial" w:cs="Arial"/>
          <w:sz w:val="18"/>
          <w:szCs w:val="18"/>
          <w:lang w:val="en-US"/>
        </w:rPr>
        <w:t>14.3.1, Table 14.3.1.2</w:t>
      </w:r>
      <w:r w:rsidRPr="006D7EB2">
        <w:rPr>
          <w:rFonts w:ascii="Arial" w:hAnsi="Arial" w:cs="Arial"/>
          <w:sz w:val="18"/>
          <w:szCs w:val="18"/>
          <w:lang w:val="en-US"/>
        </w:rPr>
        <w:t xml:space="preserve"> </w:t>
      </w:r>
    </w:p>
    <w:p w14:paraId="63CD42BA" w14:textId="77777777" w:rsidR="00C35C1F" w:rsidRPr="006D7EB2" w:rsidRDefault="00C35C1F" w:rsidP="009B5B6A">
      <w:pPr>
        <w:pStyle w:val="TableNote-H58"/>
        <w:spacing w:before="0" w:after="0"/>
        <w:rPr>
          <w:rFonts w:ascii="Arial" w:hAnsi="Arial" w:cs="Arial"/>
          <w:sz w:val="18"/>
          <w:szCs w:val="18"/>
          <w:lang w:val="en-US"/>
        </w:rPr>
      </w:pPr>
      <w:r w:rsidRPr="006D7EB2">
        <w:rPr>
          <w:rFonts w:ascii="Arial" w:hAnsi="Arial" w:cs="Arial"/>
          <w:sz w:val="18"/>
          <w:szCs w:val="18"/>
          <w:lang w:val="en-US"/>
        </w:rPr>
        <w:t>N: Number of patients in population; n: Number of patients in specific category; TEAE: Treatment-emergent adverse event</w:t>
      </w:r>
    </w:p>
    <w:p w14:paraId="5485C4B8" w14:textId="77777777" w:rsidR="00C35C1F" w:rsidRPr="00F746B7" w:rsidRDefault="00C35C1F" w:rsidP="00C35C1F">
      <w:pPr>
        <w:pStyle w:val="Heading5"/>
        <w:rPr>
          <w:rFonts w:ascii="Arial" w:hAnsi="Arial" w:cs="Arial"/>
          <w:b/>
          <w:color w:val="auto"/>
          <w:sz w:val="22"/>
          <w:szCs w:val="22"/>
          <w:lang w:val="en-US"/>
        </w:rPr>
      </w:pPr>
      <w:r w:rsidRPr="00F746B7">
        <w:rPr>
          <w:rFonts w:ascii="Arial" w:hAnsi="Arial" w:cs="Arial"/>
          <w:b/>
          <w:color w:val="auto"/>
          <w:sz w:val="22"/>
          <w:szCs w:val="22"/>
          <w:lang w:val="en-US"/>
        </w:rPr>
        <w:t>Serious TEAEs in ESTABLISH-1</w:t>
      </w:r>
    </w:p>
    <w:p w14:paraId="2AD896F2" w14:textId="1A27FA11" w:rsidR="00C35C1F" w:rsidRPr="00257B24" w:rsidRDefault="00C35C1F" w:rsidP="00257B24">
      <w:pPr>
        <w:rPr>
          <w:rFonts w:cs="Arial"/>
          <w:sz w:val="22"/>
          <w:szCs w:val="22"/>
        </w:rPr>
      </w:pPr>
      <w:r w:rsidRPr="00F746B7">
        <w:rPr>
          <w:rFonts w:cs="Arial"/>
          <w:sz w:val="22"/>
          <w:szCs w:val="22"/>
          <w:lang w:val="en-US"/>
        </w:rPr>
        <w:t xml:space="preserve">The overall incidence of serious TEAEs was low and comparable between treatment groups. Serious TEAEs were reported by five patients (1.5%) in the tedizolid phosphate group and 4 patients (1.2%) in the </w:t>
      </w:r>
      <w:r w:rsidRPr="00257B24">
        <w:rPr>
          <w:rFonts w:cs="Arial"/>
          <w:sz w:val="22"/>
          <w:szCs w:val="22"/>
          <w:lang w:val="en-US"/>
        </w:rPr>
        <w:t>linezolid group (</w:t>
      </w:r>
      <w:r w:rsidR="00257B24" w:rsidRPr="00257B24">
        <w:rPr>
          <w:rFonts w:cs="Arial"/>
          <w:sz w:val="22"/>
          <w:szCs w:val="22"/>
          <w:lang w:val="en-US"/>
        </w:rPr>
        <w:fldChar w:fldCharType="begin"/>
      </w:r>
      <w:r w:rsidR="00257B24" w:rsidRPr="00257B24">
        <w:rPr>
          <w:rFonts w:cs="Arial"/>
          <w:sz w:val="22"/>
          <w:szCs w:val="22"/>
          <w:lang w:val="en-US"/>
        </w:rPr>
        <w:instrText xml:space="preserve"> REF _Ref284427382 \h </w:instrText>
      </w:r>
      <w:r w:rsidR="00257B24" w:rsidRPr="00257B24">
        <w:rPr>
          <w:rFonts w:cs="Arial"/>
          <w:sz w:val="22"/>
          <w:szCs w:val="22"/>
          <w:lang w:val="en-US"/>
        </w:rPr>
      </w:r>
      <w:r w:rsidR="00257B24" w:rsidRPr="00257B24">
        <w:rPr>
          <w:rFonts w:cs="Arial"/>
          <w:sz w:val="22"/>
          <w:szCs w:val="22"/>
          <w:lang w:val="en-US"/>
        </w:rPr>
        <w:fldChar w:fldCharType="separate"/>
      </w:r>
      <w:r w:rsidR="00151A1C" w:rsidRPr="00B674BE">
        <w:rPr>
          <w:rFonts w:cs="Arial"/>
          <w:b/>
          <w:sz w:val="22"/>
          <w:szCs w:val="22"/>
          <w:lang w:val="en-US"/>
        </w:rPr>
        <w:t xml:space="preserve">Table </w:t>
      </w:r>
      <w:r w:rsidR="00151A1C">
        <w:rPr>
          <w:rFonts w:cs="Arial"/>
          <w:b/>
          <w:noProof/>
          <w:sz w:val="22"/>
          <w:szCs w:val="22"/>
          <w:lang w:val="en-US"/>
        </w:rPr>
        <w:t>71</w:t>
      </w:r>
      <w:r w:rsidR="00257B24" w:rsidRPr="00257B24">
        <w:rPr>
          <w:rFonts w:cs="Arial"/>
          <w:sz w:val="22"/>
          <w:szCs w:val="22"/>
          <w:lang w:val="en-US"/>
        </w:rPr>
        <w:fldChar w:fldCharType="end"/>
      </w:r>
      <w:r w:rsidRPr="00257B24">
        <w:rPr>
          <w:rFonts w:cs="Arial"/>
          <w:sz w:val="22"/>
          <w:szCs w:val="22"/>
          <w:lang w:val="en-US"/>
        </w:rPr>
        <w:t>). No</w:t>
      </w:r>
      <w:r w:rsidRPr="00F746B7">
        <w:rPr>
          <w:rFonts w:cs="Arial"/>
          <w:sz w:val="22"/>
          <w:szCs w:val="22"/>
          <w:lang w:val="en-US"/>
        </w:rPr>
        <w:t xml:space="preserve"> serious TEAEs were classified as possibly related to tedizolid phosphate by the investigator (however, one serious TEAE was considered by the sponsor as probably related to tedizolid phosphate) and one serious TEAE was classified as related to linezolid</w:t>
      </w:r>
      <w:r w:rsidR="006D7EB2">
        <w:rPr>
          <w:rFonts w:cs="Arial"/>
          <w:sz w:val="22"/>
          <w:szCs w:val="22"/>
          <w:lang w:val="en-US"/>
        </w:rPr>
        <w:t xml:space="preserve"> (</w:t>
      </w:r>
      <w:bookmarkStart w:id="352" w:name="_Ref381371136"/>
      <w:r w:rsidR="006D7EB2">
        <w:rPr>
          <w:rFonts w:cs="Arial"/>
          <w:sz w:val="22"/>
          <w:szCs w:val="22"/>
          <w:lang w:val="en-US"/>
        </w:rPr>
        <w:fldChar w:fldCharType="begin"/>
      </w:r>
      <w:r w:rsidR="006D7EB2">
        <w:rPr>
          <w:rFonts w:cs="Arial"/>
          <w:sz w:val="22"/>
          <w:szCs w:val="22"/>
          <w:lang w:val="en-US"/>
        </w:rPr>
        <w:instrText xml:space="preserve"> REF _Ref284171334 \r \h </w:instrText>
      </w:r>
      <w:r w:rsidR="006D7EB2">
        <w:rPr>
          <w:rFonts w:cs="Arial"/>
          <w:sz w:val="22"/>
          <w:szCs w:val="22"/>
          <w:lang w:val="en-US"/>
        </w:rPr>
      </w:r>
      <w:r w:rsidR="006D7EB2">
        <w:rPr>
          <w:rFonts w:cs="Arial"/>
          <w:sz w:val="22"/>
          <w:szCs w:val="22"/>
          <w:lang w:val="en-US"/>
        </w:rPr>
        <w:fldChar w:fldCharType="separate"/>
      </w:r>
      <w:r w:rsidR="00151A1C">
        <w:rPr>
          <w:rFonts w:cs="Arial"/>
          <w:sz w:val="22"/>
          <w:szCs w:val="22"/>
          <w:lang w:val="en-US"/>
        </w:rPr>
        <w:t>41</w:t>
      </w:r>
      <w:r w:rsidR="006D7EB2">
        <w:rPr>
          <w:rFonts w:cs="Arial"/>
          <w:sz w:val="22"/>
          <w:szCs w:val="22"/>
          <w:lang w:val="en-US"/>
        </w:rPr>
        <w:fldChar w:fldCharType="end"/>
      </w:r>
      <w:r w:rsidR="006D7EB2">
        <w:rPr>
          <w:rFonts w:cs="Arial"/>
          <w:sz w:val="22"/>
          <w:szCs w:val="22"/>
          <w:lang w:val="en-US"/>
        </w:rPr>
        <w:t>).</w:t>
      </w:r>
    </w:p>
    <w:p w14:paraId="70E54764" w14:textId="77777777" w:rsidR="00B674BE" w:rsidRDefault="00B674BE" w:rsidP="00B674BE">
      <w:pPr>
        <w:rPr>
          <w:rFonts w:cs="Arial"/>
          <w:sz w:val="22"/>
          <w:szCs w:val="22"/>
        </w:rPr>
      </w:pPr>
      <w:bookmarkStart w:id="353" w:name="_Ref394409224"/>
      <w:bookmarkStart w:id="354" w:name="_Toc396058470"/>
    </w:p>
    <w:p w14:paraId="365B237E" w14:textId="5B308EDB" w:rsidR="00C35C1F" w:rsidRDefault="00C35C1F" w:rsidP="00B674BE">
      <w:pPr>
        <w:rPr>
          <w:rFonts w:cs="Arial"/>
          <w:b/>
          <w:sz w:val="22"/>
          <w:szCs w:val="22"/>
          <w:lang w:val="en-US"/>
        </w:rPr>
      </w:pPr>
      <w:bookmarkStart w:id="355" w:name="_Ref284427382"/>
      <w:r w:rsidRPr="00B674BE">
        <w:rPr>
          <w:rFonts w:cs="Arial"/>
          <w:b/>
          <w:sz w:val="22"/>
          <w:szCs w:val="22"/>
          <w:lang w:val="en-US"/>
        </w:rPr>
        <w:t xml:space="preserve">Table </w:t>
      </w:r>
      <w:r w:rsidRPr="00B674BE">
        <w:rPr>
          <w:rFonts w:cs="Arial"/>
          <w:b/>
          <w:sz w:val="22"/>
          <w:szCs w:val="22"/>
          <w:lang w:val="en-US"/>
        </w:rPr>
        <w:fldChar w:fldCharType="begin"/>
      </w:r>
      <w:r w:rsidRPr="00B674BE">
        <w:rPr>
          <w:rFonts w:cs="Arial"/>
          <w:b/>
          <w:sz w:val="22"/>
          <w:szCs w:val="22"/>
          <w:lang w:val="en-US"/>
        </w:rPr>
        <w:instrText xml:space="preserve"> SEQ Table \* ARABIC </w:instrText>
      </w:r>
      <w:r w:rsidRPr="00B674BE">
        <w:rPr>
          <w:rFonts w:cs="Arial"/>
          <w:b/>
          <w:sz w:val="22"/>
          <w:szCs w:val="22"/>
          <w:lang w:val="en-US"/>
        </w:rPr>
        <w:fldChar w:fldCharType="separate"/>
      </w:r>
      <w:r w:rsidR="00151A1C">
        <w:rPr>
          <w:rFonts w:cs="Arial"/>
          <w:b/>
          <w:noProof/>
          <w:sz w:val="22"/>
          <w:szCs w:val="22"/>
          <w:lang w:val="en-US"/>
        </w:rPr>
        <w:t>71</w:t>
      </w:r>
      <w:r w:rsidRPr="00B674BE">
        <w:rPr>
          <w:rFonts w:cs="Arial"/>
          <w:b/>
          <w:sz w:val="22"/>
          <w:szCs w:val="22"/>
          <w:lang w:val="en-US"/>
        </w:rPr>
        <w:fldChar w:fldCharType="end"/>
      </w:r>
      <w:bookmarkEnd w:id="352"/>
      <w:bookmarkEnd w:id="353"/>
      <w:bookmarkEnd w:id="355"/>
      <w:r w:rsidRPr="00B674BE">
        <w:rPr>
          <w:rFonts w:cs="Arial"/>
          <w:b/>
          <w:sz w:val="22"/>
          <w:szCs w:val="22"/>
          <w:lang w:val="en-US"/>
        </w:rPr>
        <w:t>: Serious TEAEs in ESTABLISH-1 (Safety population)</w:t>
      </w:r>
      <w:bookmarkEnd w:id="354"/>
    </w:p>
    <w:p w14:paraId="26F0AD62" w14:textId="77777777" w:rsidR="00B674BE" w:rsidRPr="00B674BE" w:rsidRDefault="00B674BE" w:rsidP="00B674BE">
      <w:pPr>
        <w:rPr>
          <w:rFonts w:cs="Arial"/>
          <w:b/>
          <w:sz w:val="22"/>
          <w:szCs w:val="22"/>
        </w:rPr>
      </w:pPr>
    </w:p>
    <w:tbl>
      <w:tblPr>
        <w:tblStyle w:val="Table-HERONplain"/>
        <w:tblW w:w="0" w:type="auto"/>
        <w:tblLook w:val="04A0" w:firstRow="1" w:lastRow="0" w:firstColumn="1" w:lastColumn="0" w:noHBand="0" w:noVBand="1"/>
      </w:tblPr>
      <w:tblGrid>
        <w:gridCol w:w="5970"/>
        <w:gridCol w:w="1473"/>
        <w:gridCol w:w="1460"/>
      </w:tblGrid>
      <w:tr w:rsidR="00C35C1F" w:rsidRPr="009B5B6A" w14:paraId="6903F98C"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16D5CA8" w14:textId="77777777" w:rsidR="00C35C1F" w:rsidRPr="009B5B6A" w:rsidRDefault="00C35C1F" w:rsidP="001D3F4A">
            <w:pPr>
              <w:pStyle w:val="TableBodyText-H54"/>
              <w:rPr>
                <w:rFonts w:ascii="Arial" w:hAnsi="Arial" w:cs="Arial"/>
                <w:sz w:val="20"/>
                <w:lang w:val="en-US"/>
              </w:rPr>
            </w:pPr>
            <w:r w:rsidRPr="009B5B6A">
              <w:rPr>
                <w:rFonts w:ascii="Arial" w:hAnsi="Arial" w:cs="Arial"/>
                <w:sz w:val="20"/>
                <w:lang w:val="en-US"/>
              </w:rPr>
              <w:lastRenderedPageBreak/>
              <w:t>System Organ Class</w:t>
            </w:r>
          </w:p>
          <w:p w14:paraId="3B88889A" w14:textId="77777777" w:rsidR="00C35C1F" w:rsidRPr="009B5B6A" w:rsidRDefault="00C35C1F" w:rsidP="001D3F4A">
            <w:pPr>
              <w:pStyle w:val="TableBodyText-H54"/>
              <w:ind w:left="313"/>
              <w:rPr>
                <w:rFonts w:ascii="Arial" w:hAnsi="Arial" w:cs="Arial"/>
                <w:sz w:val="20"/>
                <w:lang w:val="en-US"/>
              </w:rPr>
            </w:pPr>
            <w:r w:rsidRPr="009B5B6A">
              <w:rPr>
                <w:rFonts w:ascii="Arial" w:hAnsi="Arial" w:cs="Arial"/>
                <w:sz w:val="20"/>
                <w:lang w:val="en-US"/>
              </w:rPr>
              <w:t>Preferred term</w:t>
            </w:r>
          </w:p>
        </w:tc>
        <w:tc>
          <w:tcPr>
            <w:tcW w:w="1485" w:type="dxa"/>
            <w:shd w:val="clear" w:color="auto" w:fill="auto"/>
            <w:hideMark/>
          </w:tcPr>
          <w:p w14:paraId="7FED412D"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Tedizolid phosphate</w:t>
            </w:r>
          </w:p>
          <w:p w14:paraId="4BEA5541"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(N=331)</w:t>
            </w:r>
          </w:p>
          <w:p w14:paraId="77D58CD4"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 (%)</w:t>
            </w:r>
          </w:p>
        </w:tc>
        <w:tc>
          <w:tcPr>
            <w:tcW w:w="1479" w:type="dxa"/>
            <w:shd w:val="clear" w:color="auto" w:fill="auto"/>
            <w:hideMark/>
          </w:tcPr>
          <w:p w14:paraId="5688A8A3"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Linezolid</w:t>
            </w:r>
          </w:p>
          <w:p w14:paraId="53BA465C"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(N=335)</w:t>
            </w:r>
          </w:p>
          <w:p w14:paraId="2C2A2CC3" w14:textId="77777777" w:rsidR="00C35C1F" w:rsidRPr="009B5B6A"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9B5B6A">
              <w:rPr>
                <w:rFonts w:ascii="Arial" w:hAnsi="Arial" w:cs="Arial"/>
                <w:sz w:val="20"/>
                <w:lang w:val="en-US"/>
              </w:rPr>
              <w:t>n (%)</w:t>
            </w:r>
          </w:p>
        </w:tc>
      </w:tr>
      <w:tr w:rsidR="00C35C1F" w:rsidRPr="009B5B6A" w14:paraId="2E1F0EB2"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8895F5A" w14:textId="77777777" w:rsidR="00C35C1F" w:rsidRPr="009B5B6A" w:rsidRDefault="00C35C1F" w:rsidP="001D3F4A">
            <w:pPr>
              <w:pStyle w:val="TableBodyText-H54"/>
              <w:rPr>
                <w:rFonts w:ascii="Arial" w:eastAsia="TimesNewRoman,Bold" w:hAnsi="Arial" w:cs="Arial"/>
                <w:sz w:val="20"/>
                <w:lang w:val="en-US"/>
              </w:rPr>
            </w:pPr>
            <w:r w:rsidRPr="009B5B6A">
              <w:rPr>
                <w:rFonts w:ascii="Arial" w:eastAsia="TimesNewRoman,Bold" w:hAnsi="Arial" w:cs="Arial"/>
                <w:sz w:val="20"/>
                <w:lang w:val="en-US"/>
              </w:rPr>
              <w:t>Patients with ≥1 serious TEAE</w:t>
            </w:r>
          </w:p>
        </w:tc>
        <w:tc>
          <w:tcPr>
            <w:tcW w:w="1485" w:type="dxa"/>
            <w:vAlign w:val="top"/>
            <w:hideMark/>
          </w:tcPr>
          <w:p w14:paraId="291BE453"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9B5B6A">
              <w:rPr>
                <w:rFonts w:ascii="Arial" w:eastAsia="TimesNewRoman,Bold" w:hAnsi="Arial" w:cs="Arial"/>
                <w:sz w:val="20"/>
                <w:lang w:val="en-US"/>
              </w:rPr>
              <w:t>5 (1.5)</w:t>
            </w:r>
          </w:p>
        </w:tc>
        <w:tc>
          <w:tcPr>
            <w:tcW w:w="1479" w:type="dxa"/>
            <w:vAlign w:val="top"/>
            <w:hideMark/>
          </w:tcPr>
          <w:p w14:paraId="2E131BD2"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9B5B6A">
              <w:rPr>
                <w:rFonts w:ascii="Arial" w:eastAsia="TimesNewRoman,Bold" w:hAnsi="Arial" w:cs="Arial"/>
                <w:sz w:val="20"/>
                <w:lang w:val="en-US"/>
              </w:rPr>
              <w:t>4 (1.2)</w:t>
            </w:r>
          </w:p>
        </w:tc>
      </w:tr>
      <w:tr w:rsidR="00C35C1F" w:rsidRPr="009B5B6A" w14:paraId="3C268CD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883A079"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Cardiac disorders</w:t>
            </w:r>
          </w:p>
        </w:tc>
        <w:tc>
          <w:tcPr>
            <w:tcW w:w="1485" w:type="dxa"/>
            <w:vAlign w:val="top"/>
            <w:hideMark/>
          </w:tcPr>
          <w:p w14:paraId="6CB02BAE"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3D88977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1CCDBA31"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DF4DB55"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Cardiac arrest</w:t>
            </w:r>
          </w:p>
        </w:tc>
        <w:tc>
          <w:tcPr>
            <w:tcW w:w="1485" w:type="dxa"/>
            <w:vAlign w:val="top"/>
            <w:hideMark/>
          </w:tcPr>
          <w:p w14:paraId="258F2891"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0014109B"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092F053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B6C9FE7"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Gastrointestinal disorders</w:t>
            </w:r>
          </w:p>
        </w:tc>
        <w:tc>
          <w:tcPr>
            <w:tcW w:w="1485" w:type="dxa"/>
            <w:vAlign w:val="top"/>
            <w:hideMark/>
          </w:tcPr>
          <w:p w14:paraId="313F2794"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2 (0.6)</w:t>
            </w:r>
          </w:p>
        </w:tc>
        <w:tc>
          <w:tcPr>
            <w:tcW w:w="1479" w:type="dxa"/>
            <w:vAlign w:val="top"/>
            <w:hideMark/>
          </w:tcPr>
          <w:p w14:paraId="5EDE174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64CA1D85"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BE6BD7B"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Gastrointestinal hemorrhage</w:t>
            </w:r>
          </w:p>
        </w:tc>
        <w:tc>
          <w:tcPr>
            <w:tcW w:w="1485" w:type="dxa"/>
            <w:vAlign w:val="top"/>
            <w:hideMark/>
          </w:tcPr>
          <w:p w14:paraId="0DFFF69F"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FA4EAA2"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3A95CBBE"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8DB5AE6"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Vomiting</w:t>
            </w:r>
          </w:p>
        </w:tc>
        <w:tc>
          <w:tcPr>
            <w:tcW w:w="1485" w:type="dxa"/>
            <w:vAlign w:val="top"/>
            <w:hideMark/>
          </w:tcPr>
          <w:p w14:paraId="523AEC64"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398B931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4BEEFDB1"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FB60653"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Infections and infestations</w:t>
            </w:r>
          </w:p>
        </w:tc>
        <w:tc>
          <w:tcPr>
            <w:tcW w:w="1485" w:type="dxa"/>
            <w:vAlign w:val="top"/>
            <w:hideMark/>
          </w:tcPr>
          <w:p w14:paraId="251D70E0"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3 (0.9)</w:t>
            </w:r>
          </w:p>
        </w:tc>
        <w:tc>
          <w:tcPr>
            <w:tcW w:w="1479" w:type="dxa"/>
            <w:vAlign w:val="top"/>
            <w:hideMark/>
          </w:tcPr>
          <w:p w14:paraId="7580093A"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560D71C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A874073"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Abscess</w:t>
            </w:r>
          </w:p>
        </w:tc>
        <w:tc>
          <w:tcPr>
            <w:tcW w:w="1485" w:type="dxa"/>
            <w:vAlign w:val="top"/>
            <w:hideMark/>
          </w:tcPr>
          <w:p w14:paraId="21C04AC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690092D2"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6980EE47"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CD2EA49"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Endophthalmitis</w:t>
            </w:r>
          </w:p>
        </w:tc>
        <w:tc>
          <w:tcPr>
            <w:tcW w:w="1485" w:type="dxa"/>
            <w:vAlign w:val="top"/>
            <w:hideMark/>
          </w:tcPr>
          <w:p w14:paraId="2272CA30"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8C35AD9"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5985F8C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2420385"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Pneumonia</w:t>
            </w:r>
          </w:p>
        </w:tc>
        <w:tc>
          <w:tcPr>
            <w:tcW w:w="1485" w:type="dxa"/>
            <w:vAlign w:val="top"/>
            <w:hideMark/>
          </w:tcPr>
          <w:p w14:paraId="098DC41C"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1EA921E4"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1F835B65"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3A4BE30"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Septic shock</w:t>
            </w:r>
          </w:p>
        </w:tc>
        <w:tc>
          <w:tcPr>
            <w:tcW w:w="1485" w:type="dxa"/>
            <w:vAlign w:val="top"/>
            <w:hideMark/>
          </w:tcPr>
          <w:p w14:paraId="6220E225"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29093D0"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42FE4707"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D55FA73"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Investigations</w:t>
            </w:r>
          </w:p>
        </w:tc>
        <w:tc>
          <w:tcPr>
            <w:tcW w:w="1485" w:type="dxa"/>
            <w:vAlign w:val="top"/>
            <w:hideMark/>
          </w:tcPr>
          <w:p w14:paraId="3675CF91"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60A8B395"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31981519"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FF7A099"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Weight decreased</w:t>
            </w:r>
          </w:p>
        </w:tc>
        <w:tc>
          <w:tcPr>
            <w:tcW w:w="1485" w:type="dxa"/>
            <w:vAlign w:val="top"/>
            <w:hideMark/>
          </w:tcPr>
          <w:p w14:paraId="49D8EB3E"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1C58550"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6E47A9AB"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26E1B0D"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Metabolism and nutrition disorders</w:t>
            </w:r>
          </w:p>
        </w:tc>
        <w:tc>
          <w:tcPr>
            <w:tcW w:w="1485" w:type="dxa"/>
            <w:vAlign w:val="top"/>
            <w:hideMark/>
          </w:tcPr>
          <w:p w14:paraId="451099B0"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8E4D838"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63E6DF5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E44F058"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Dehydration</w:t>
            </w:r>
          </w:p>
        </w:tc>
        <w:tc>
          <w:tcPr>
            <w:tcW w:w="1485" w:type="dxa"/>
            <w:vAlign w:val="top"/>
            <w:hideMark/>
          </w:tcPr>
          <w:p w14:paraId="45C5371C"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39E01087"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68ADD7E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B12CD58"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Diabetic ketoacidosis</w:t>
            </w:r>
          </w:p>
        </w:tc>
        <w:tc>
          <w:tcPr>
            <w:tcW w:w="1485" w:type="dxa"/>
            <w:vAlign w:val="top"/>
            <w:hideMark/>
          </w:tcPr>
          <w:p w14:paraId="0B5C806A"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76B71502"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7C6349CB"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0407B3A"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Nervous system disorders</w:t>
            </w:r>
          </w:p>
        </w:tc>
        <w:tc>
          <w:tcPr>
            <w:tcW w:w="1485" w:type="dxa"/>
            <w:vAlign w:val="top"/>
            <w:hideMark/>
          </w:tcPr>
          <w:p w14:paraId="74C456C1"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2B411F87"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4179A69E"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812E317"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VIIth nerve paralysis</w:t>
            </w:r>
          </w:p>
        </w:tc>
        <w:tc>
          <w:tcPr>
            <w:tcW w:w="1485" w:type="dxa"/>
            <w:vAlign w:val="top"/>
            <w:hideMark/>
          </w:tcPr>
          <w:p w14:paraId="579EA406"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c>
          <w:tcPr>
            <w:tcW w:w="1479" w:type="dxa"/>
            <w:vAlign w:val="top"/>
            <w:hideMark/>
          </w:tcPr>
          <w:p w14:paraId="7C075CA2"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r>
      <w:tr w:rsidR="00C35C1F" w:rsidRPr="009B5B6A" w14:paraId="7B7AC82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2F9C74C"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Pregnancy, puerperium, and perinatal conditions</w:t>
            </w:r>
          </w:p>
        </w:tc>
        <w:tc>
          <w:tcPr>
            <w:tcW w:w="1485" w:type="dxa"/>
            <w:vAlign w:val="top"/>
            <w:hideMark/>
          </w:tcPr>
          <w:p w14:paraId="735FAEE2"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38C5131B"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1E8685D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05D55BD"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Abortion spontaneous</w:t>
            </w:r>
          </w:p>
        </w:tc>
        <w:tc>
          <w:tcPr>
            <w:tcW w:w="1485" w:type="dxa"/>
            <w:vAlign w:val="top"/>
            <w:hideMark/>
          </w:tcPr>
          <w:p w14:paraId="07AEF7EC"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5E69DE6B"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330B2D43"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9CA44B5" w14:textId="77777777" w:rsidR="00C35C1F" w:rsidRPr="009B5B6A" w:rsidRDefault="00C35C1F" w:rsidP="001D3F4A">
            <w:pPr>
              <w:pStyle w:val="TableBodyText-H54"/>
              <w:rPr>
                <w:rFonts w:ascii="Arial" w:eastAsia="TimesNewRoman" w:hAnsi="Arial" w:cs="Arial"/>
                <w:sz w:val="20"/>
                <w:lang w:val="en-US"/>
              </w:rPr>
            </w:pPr>
            <w:r w:rsidRPr="009B5B6A">
              <w:rPr>
                <w:rFonts w:ascii="Arial" w:eastAsia="TimesNewRoman" w:hAnsi="Arial" w:cs="Arial"/>
                <w:sz w:val="20"/>
                <w:lang w:val="en-US"/>
              </w:rPr>
              <w:t>Psychiatric disorders</w:t>
            </w:r>
          </w:p>
        </w:tc>
        <w:tc>
          <w:tcPr>
            <w:tcW w:w="1485" w:type="dxa"/>
            <w:vAlign w:val="top"/>
            <w:hideMark/>
          </w:tcPr>
          <w:p w14:paraId="4FBA89ED"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424A2F73"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2 (0.6)</w:t>
            </w:r>
          </w:p>
        </w:tc>
      </w:tr>
      <w:tr w:rsidR="00C35C1F" w:rsidRPr="009B5B6A" w14:paraId="177C3292"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ED43F0D"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Alcoholic psychosis</w:t>
            </w:r>
          </w:p>
        </w:tc>
        <w:tc>
          <w:tcPr>
            <w:tcW w:w="1485" w:type="dxa"/>
            <w:vAlign w:val="top"/>
            <w:hideMark/>
          </w:tcPr>
          <w:p w14:paraId="3F83BC26"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3BD5E342"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19C24742"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2ACCB7B" w14:textId="77777777" w:rsidR="00C35C1F" w:rsidRPr="009B5B6A" w:rsidRDefault="00C35C1F" w:rsidP="001D3F4A">
            <w:pPr>
              <w:pStyle w:val="TableBodyText-H54"/>
              <w:ind w:left="313"/>
              <w:rPr>
                <w:rFonts w:ascii="Arial" w:eastAsia="TimesNewRoman" w:hAnsi="Arial" w:cs="Arial"/>
                <w:sz w:val="20"/>
                <w:lang w:val="en-US"/>
              </w:rPr>
            </w:pPr>
            <w:r w:rsidRPr="009B5B6A">
              <w:rPr>
                <w:rFonts w:ascii="Arial" w:eastAsia="TimesNewRoman" w:hAnsi="Arial" w:cs="Arial"/>
                <w:sz w:val="20"/>
                <w:lang w:val="en-US"/>
              </w:rPr>
              <w:t>Major depression</w:t>
            </w:r>
          </w:p>
        </w:tc>
        <w:tc>
          <w:tcPr>
            <w:tcW w:w="1485" w:type="dxa"/>
            <w:vAlign w:val="top"/>
            <w:hideMark/>
          </w:tcPr>
          <w:p w14:paraId="0A06E941"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0</w:t>
            </w:r>
          </w:p>
        </w:tc>
        <w:tc>
          <w:tcPr>
            <w:tcW w:w="1479" w:type="dxa"/>
            <w:vAlign w:val="top"/>
            <w:hideMark/>
          </w:tcPr>
          <w:p w14:paraId="462F2599" w14:textId="77777777" w:rsidR="00C35C1F" w:rsidRPr="009B5B6A"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9B5B6A">
              <w:rPr>
                <w:rFonts w:ascii="Arial" w:eastAsia="TimesNewRoman" w:hAnsi="Arial" w:cs="Arial"/>
                <w:sz w:val="20"/>
                <w:lang w:val="en-US"/>
              </w:rPr>
              <w:t>1 (0.3)</w:t>
            </w:r>
          </w:p>
        </w:tc>
      </w:tr>
      <w:tr w:rsidR="00C35C1F" w:rsidRPr="009B5B6A" w14:paraId="507E6614"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D347F4D" w14:textId="77777777" w:rsidR="00C35C1F" w:rsidRPr="009B5B6A" w:rsidRDefault="00C35C1F" w:rsidP="001D3F4A">
            <w:pPr>
              <w:pStyle w:val="TableBodyText-H54"/>
              <w:ind w:left="313"/>
              <w:rPr>
                <w:rFonts w:ascii="Arial" w:hAnsi="Arial" w:cs="Arial"/>
                <w:sz w:val="20"/>
                <w:lang w:val="en-US"/>
              </w:rPr>
            </w:pPr>
            <w:r w:rsidRPr="009B5B6A">
              <w:rPr>
                <w:rFonts w:ascii="Arial" w:eastAsia="TimesNewRoman" w:hAnsi="Arial" w:cs="Arial"/>
                <w:sz w:val="20"/>
                <w:lang w:val="en-US"/>
              </w:rPr>
              <w:t>Suicidal ideation</w:t>
            </w:r>
          </w:p>
        </w:tc>
        <w:tc>
          <w:tcPr>
            <w:tcW w:w="1485" w:type="dxa"/>
            <w:vAlign w:val="top"/>
            <w:hideMark/>
          </w:tcPr>
          <w:p w14:paraId="72047C05"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B5B6A">
              <w:rPr>
                <w:rFonts w:ascii="Arial" w:eastAsia="TimesNewRoman" w:hAnsi="Arial" w:cs="Arial"/>
                <w:sz w:val="20"/>
                <w:lang w:val="en-US"/>
              </w:rPr>
              <w:t>0</w:t>
            </w:r>
          </w:p>
        </w:tc>
        <w:tc>
          <w:tcPr>
            <w:tcW w:w="1479" w:type="dxa"/>
            <w:vAlign w:val="top"/>
            <w:hideMark/>
          </w:tcPr>
          <w:p w14:paraId="3116BDDC" w14:textId="77777777" w:rsidR="00C35C1F" w:rsidRPr="009B5B6A"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9B5B6A">
              <w:rPr>
                <w:rFonts w:ascii="Arial" w:eastAsia="TimesNewRoman" w:hAnsi="Arial" w:cs="Arial"/>
                <w:sz w:val="20"/>
                <w:lang w:val="en-US"/>
              </w:rPr>
              <w:t>1 (0.3)</w:t>
            </w:r>
          </w:p>
        </w:tc>
      </w:tr>
    </w:tbl>
    <w:p w14:paraId="1C1F0035" w14:textId="40B94C4A" w:rsidR="00C35C1F" w:rsidRPr="009B5B6A" w:rsidRDefault="00C35C1F" w:rsidP="009B5B6A">
      <w:pPr>
        <w:pStyle w:val="TableNote-H58"/>
        <w:spacing w:before="0" w:after="0"/>
        <w:rPr>
          <w:rFonts w:ascii="Arial" w:hAnsi="Arial" w:cs="Arial"/>
          <w:sz w:val="16"/>
          <w:szCs w:val="16"/>
          <w:lang w:val="en-US"/>
        </w:rPr>
      </w:pPr>
      <w:r w:rsidRPr="009B5B6A">
        <w:rPr>
          <w:rFonts w:ascii="Arial" w:hAnsi="Arial" w:cs="Arial"/>
          <w:sz w:val="16"/>
          <w:szCs w:val="16"/>
          <w:lang w:val="en-US"/>
        </w:rPr>
        <w:t xml:space="preserve">SOURCE: </w:t>
      </w:r>
      <w:r w:rsidR="006D7EB2" w:rsidRPr="006D7EB2">
        <w:rPr>
          <w:rFonts w:ascii="Arial" w:hAnsi="Arial" w:cs="Arial"/>
          <w:sz w:val="18"/>
          <w:szCs w:val="18"/>
          <w:lang w:val="en-US"/>
        </w:rPr>
        <w:t>ESTABLISH-1 CSR</w:t>
      </w:r>
      <w:r w:rsidR="006D7EB2">
        <w:rPr>
          <w:rFonts w:ascii="Arial" w:hAnsi="Arial" w:cs="Arial"/>
          <w:sz w:val="18"/>
          <w:szCs w:val="18"/>
          <w:lang w:val="en-US"/>
        </w:rPr>
        <w:t xml:space="preserve"> </w:t>
      </w:r>
      <w:r w:rsidR="006D7EB2">
        <w:rPr>
          <w:rFonts w:ascii="Arial" w:hAnsi="Arial" w:cs="Arial"/>
          <w:sz w:val="18"/>
          <w:szCs w:val="18"/>
          <w:lang w:val="en-US"/>
        </w:rPr>
        <w:fldChar w:fldCharType="begin"/>
      </w:r>
      <w:r w:rsidR="006D7EB2">
        <w:rPr>
          <w:rFonts w:ascii="Arial" w:hAnsi="Arial" w:cs="Arial"/>
          <w:sz w:val="18"/>
          <w:szCs w:val="18"/>
          <w:lang w:val="en-US"/>
        </w:rPr>
        <w:instrText xml:space="preserve"> REF _Ref284171334 \r \h </w:instrText>
      </w:r>
      <w:r w:rsidR="006D7EB2">
        <w:rPr>
          <w:rFonts w:ascii="Arial" w:hAnsi="Arial" w:cs="Arial"/>
          <w:sz w:val="18"/>
          <w:szCs w:val="18"/>
          <w:lang w:val="en-US"/>
        </w:rPr>
      </w:r>
      <w:r w:rsidR="006D7EB2">
        <w:rPr>
          <w:rFonts w:ascii="Arial" w:hAnsi="Arial" w:cs="Arial"/>
          <w:sz w:val="18"/>
          <w:szCs w:val="18"/>
          <w:lang w:val="en-US"/>
        </w:rPr>
        <w:fldChar w:fldCharType="separate"/>
      </w:r>
      <w:r w:rsidR="00151A1C">
        <w:rPr>
          <w:rFonts w:ascii="Arial" w:hAnsi="Arial" w:cs="Arial"/>
          <w:sz w:val="18"/>
          <w:szCs w:val="18"/>
          <w:lang w:val="en-US"/>
        </w:rPr>
        <w:t>41</w:t>
      </w:r>
      <w:r w:rsidR="006D7EB2">
        <w:rPr>
          <w:rFonts w:ascii="Arial" w:hAnsi="Arial" w:cs="Arial"/>
          <w:sz w:val="18"/>
          <w:szCs w:val="18"/>
          <w:lang w:val="en-US"/>
        </w:rPr>
        <w:fldChar w:fldCharType="end"/>
      </w:r>
      <w:r w:rsidR="006D7EB2" w:rsidRPr="006D7EB2">
        <w:rPr>
          <w:rFonts w:ascii="Arial" w:hAnsi="Arial" w:cs="Arial"/>
          <w:sz w:val="18"/>
          <w:szCs w:val="18"/>
          <w:lang w:val="en-US"/>
        </w:rPr>
        <w:t>:</w:t>
      </w:r>
      <w:r w:rsidRPr="009B5B6A">
        <w:rPr>
          <w:rFonts w:ascii="Arial" w:hAnsi="Arial" w:cs="Arial"/>
          <w:sz w:val="16"/>
          <w:szCs w:val="16"/>
          <w:lang w:val="en-US"/>
        </w:rPr>
        <w:t xml:space="preserve"> section </w:t>
      </w:r>
      <w:r w:rsidRPr="009B5B6A">
        <w:rPr>
          <w:rFonts w:ascii="Arial" w:eastAsia="Tahoma" w:hAnsi="Arial" w:cs="Arial"/>
          <w:sz w:val="16"/>
          <w:szCs w:val="16"/>
          <w:lang w:val="en-US"/>
        </w:rPr>
        <w:t>14.3.1, Table 14.3.1.2</w:t>
      </w:r>
      <w:r w:rsidRPr="009B5B6A">
        <w:rPr>
          <w:rFonts w:ascii="Arial" w:hAnsi="Arial" w:cs="Arial"/>
          <w:sz w:val="16"/>
          <w:szCs w:val="16"/>
          <w:lang w:val="en-US"/>
        </w:rPr>
        <w:t xml:space="preserve"> </w:t>
      </w:r>
    </w:p>
    <w:p w14:paraId="6C57BD27" w14:textId="77777777" w:rsidR="00C35C1F" w:rsidRPr="009B5B6A" w:rsidRDefault="00C35C1F" w:rsidP="009B5B6A">
      <w:pPr>
        <w:pStyle w:val="TableNote-H58"/>
        <w:spacing w:before="0" w:after="0"/>
        <w:rPr>
          <w:rFonts w:ascii="Arial" w:hAnsi="Arial" w:cs="Arial"/>
          <w:sz w:val="16"/>
          <w:szCs w:val="16"/>
          <w:lang w:val="en-US"/>
        </w:rPr>
      </w:pPr>
      <w:r w:rsidRPr="009B5B6A">
        <w:rPr>
          <w:rFonts w:ascii="Arial" w:hAnsi="Arial" w:cs="Arial"/>
          <w:sz w:val="16"/>
          <w:szCs w:val="16"/>
          <w:lang w:val="en-US"/>
        </w:rPr>
        <w:lastRenderedPageBreak/>
        <w:t>*Sponsor considered this event to be related to study drug whereas the Investigator considered this event not related to the study; **Probably related to study drug according to Investigator</w:t>
      </w:r>
    </w:p>
    <w:p w14:paraId="7D008171" w14:textId="77777777" w:rsidR="00C35C1F" w:rsidRPr="009B5B6A" w:rsidRDefault="00C35C1F" w:rsidP="009B5B6A">
      <w:pPr>
        <w:pStyle w:val="TableNote-H58"/>
        <w:spacing w:before="0" w:after="0"/>
        <w:rPr>
          <w:rFonts w:ascii="Arial" w:hAnsi="Arial" w:cs="Arial"/>
          <w:sz w:val="16"/>
          <w:szCs w:val="16"/>
          <w:lang w:val="en-US"/>
        </w:rPr>
      </w:pPr>
      <w:r w:rsidRPr="009B5B6A">
        <w:rPr>
          <w:rFonts w:ascii="Arial" w:hAnsi="Arial" w:cs="Arial"/>
          <w:sz w:val="16"/>
          <w:szCs w:val="16"/>
          <w:lang w:val="en-US"/>
        </w:rPr>
        <w:t>N: Number of patients in population; n: Number of patients in specific category; TEAE: Treatment-emergent adverse event</w:t>
      </w:r>
    </w:p>
    <w:p w14:paraId="1772CB0F" w14:textId="77777777" w:rsidR="00C35C1F" w:rsidRPr="00F746B7" w:rsidRDefault="00C35C1F" w:rsidP="00C35C1F">
      <w:pPr>
        <w:pStyle w:val="Heading5"/>
        <w:rPr>
          <w:rFonts w:ascii="Arial" w:hAnsi="Arial" w:cs="Arial"/>
          <w:b/>
          <w:color w:val="auto"/>
          <w:sz w:val="22"/>
          <w:szCs w:val="22"/>
          <w:lang w:val="en-US"/>
        </w:rPr>
      </w:pPr>
      <w:bookmarkStart w:id="356" w:name="_Ref382386859"/>
      <w:r w:rsidRPr="00F746B7">
        <w:rPr>
          <w:rFonts w:ascii="Arial" w:hAnsi="Arial" w:cs="Arial"/>
          <w:b/>
          <w:color w:val="auto"/>
          <w:sz w:val="22"/>
          <w:szCs w:val="22"/>
          <w:lang w:val="en-US"/>
        </w:rPr>
        <w:t>Deaths in ESTABLISH-1</w:t>
      </w:r>
      <w:bookmarkEnd w:id="356"/>
    </w:p>
    <w:p w14:paraId="29E4AD6E" w14:textId="4EA7E776" w:rsidR="00C35C1F" w:rsidRPr="009B5B6A" w:rsidRDefault="00C35C1F" w:rsidP="00C35C1F">
      <w:pPr>
        <w:pStyle w:val="BodyText"/>
        <w:rPr>
          <w:rFonts w:cs="Arial"/>
          <w:sz w:val="22"/>
          <w:szCs w:val="22"/>
          <w:lang w:val="en-US"/>
        </w:rPr>
      </w:pPr>
      <w:r w:rsidRPr="009B5B6A">
        <w:rPr>
          <w:rFonts w:cs="Arial"/>
          <w:sz w:val="22"/>
          <w:szCs w:val="22"/>
          <w:lang w:val="en-US"/>
        </w:rPr>
        <w:t>One patient in the tedizolid phosphate group experienced a SAE that resulted in death. The death was considered as unrelated to the study drug</w:t>
      </w:r>
      <w:r w:rsidR="006D7EB2">
        <w:rPr>
          <w:rFonts w:cs="Arial"/>
          <w:sz w:val="22"/>
          <w:szCs w:val="22"/>
          <w:lang w:val="en-US"/>
        </w:rPr>
        <w:t xml:space="preserve"> (</w:t>
      </w:r>
      <w:r w:rsidR="006D7EB2">
        <w:rPr>
          <w:rFonts w:cs="Arial"/>
          <w:sz w:val="22"/>
          <w:szCs w:val="22"/>
          <w:lang w:val="en-US"/>
        </w:rPr>
        <w:fldChar w:fldCharType="begin"/>
      </w:r>
      <w:r w:rsidR="006D7EB2">
        <w:rPr>
          <w:rFonts w:cs="Arial"/>
          <w:sz w:val="22"/>
          <w:szCs w:val="22"/>
          <w:lang w:val="en-US"/>
        </w:rPr>
        <w:instrText xml:space="preserve"> REF _Ref284171334 \r \h </w:instrText>
      </w:r>
      <w:r w:rsidR="006D7EB2">
        <w:rPr>
          <w:rFonts w:cs="Arial"/>
          <w:sz w:val="22"/>
          <w:szCs w:val="22"/>
          <w:lang w:val="en-US"/>
        </w:rPr>
      </w:r>
      <w:r w:rsidR="006D7EB2">
        <w:rPr>
          <w:rFonts w:cs="Arial"/>
          <w:sz w:val="22"/>
          <w:szCs w:val="22"/>
          <w:lang w:val="en-US"/>
        </w:rPr>
        <w:fldChar w:fldCharType="separate"/>
      </w:r>
      <w:r w:rsidR="00151A1C">
        <w:rPr>
          <w:rFonts w:cs="Arial"/>
          <w:sz w:val="22"/>
          <w:szCs w:val="22"/>
          <w:lang w:val="en-US"/>
        </w:rPr>
        <w:t>41</w:t>
      </w:r>
      <w:r w:rsidR="006D7EB2">
        <w:rPr>
          <w:rFonts w:cs="Arial"/>
          <w:sz w:val="22"/>
          <w:szCs w:val="22"/>
          <w:lang w:val="en-US"/>
        </w:rPr>
        <w:fldChar w:fldCharType="end"/>
      </w:r>
      <w:r w:rsidR="006D7EB2">
        <w:rPr>
          <w:rFonts w:cs="Arial"/>
          <w:sz w:val="22"/>
          <w:szCs w:val="22"/>
          <w:lang w:val="en-US"/>
        </w:rPr>
        <w:t>).</w:t>
      </w:r>
      <w:r w:rsidR="006D7EB2" w:rsidRPr="009B5B6A">
        <w:rPr>
          <w:rFonts w:cs="Arial"/>
          <w:sz w:val="22"/>
          <w:szCs w:val="22"/>
          <w:lang w:val="en-US"/>
        </w:rPr>
        <w:t xml:space="preserve"> </w:t>
      </w:r>
    </w:p>
    <w:p w14:paraId="44DE2A87" w14:textId="77777777" w:rsidR="00C35C1F" w:rsidRPr="009B5B6A" w:rsidRDefault="00C35C1F" w:rsidP="009B5B6A">
      <w:pPr>
        <w:pStyle w:val="Heading4"/>
        <w:keepLines w:val="0"/>
        <w:spacing w:before="240" w:after="120"/>
        <w:rPr>
          <w:rFonts w:ascii="Arial" w:hAnsi="Arial" w:cs="Arial"/>
          <w:color w:val="auto"/>
          <w:sz w:val="22"/>
          <w:szCs w:val="22"/>
          <w:lang w:val="en-US"/>
        </w:rPr>
      </w:pPr>
      <w:bookmarkStart w:id="357" w:name="_Ref382237573"/>
      <w:r w:rsidRPr="009B5B6A">
        <w:rPr>
          <w:rFonts w:ascii="Arial" w:hAnsi="Arial" w:cs="Arial"/>
          <w:color w:val="auto"/>
          <w:sz w:val="22"/>
          <w:szCs w:val="22"/>
          <w:lang w:val="en-US"/>
        </w:rPr>
        <w:t>Tedizolid phosphate had a lower risk of gastrointestinal adverse events compared with linezolid based on the ESTABLISH-</w:t>
      </w:r>
      <w:bookmarkEnd w:id="357"/>
      <w:r w:rsidRPr="009B5B6A">
        <w:rPr>
          <w:rFonts w:ascii="Arial" w:hAnsi="Arial" w:cs="Arial"/>
          <w:color w:val="auto"/>
          <w:sz w:val="22"/>
          <w:szCs w:val="22"/>
          <w:lang w:val="en-US"/>
        </w:rPr>
        <w:t>1 safety data</w:t>
      </w:r>
    </w:p>
    <w:p w14:paraId="1A126785" w14:textId="77756287" w:rsidR="00C35C1F" w:rsidRPr="009B5B6A" w:rsidRDefault="00C35C1F" w:rsidP="00C35C1F">
      <w:pPr>
        <w:pStyle w:val="BodyText"/>
        <w:rPr>
          <w:rFonts w:cs="Arial"/>
          <w:sz w:val="22"/>
          <w:szCs w:val="22"/>
          <w:lang w:val="en-US"/>
        </w:rPr>
      </w:pPr>
      <w:r w:rsidRPr="009B5B6A">
        <w:rPr>
          <w:rFonts w:cs="Arial"/>
          <w:sz w:val="22"/>
          <w:szCs w:val="22"/>
          <w:lang w:val="en-US"/>
        </w:rPr>
        <w:t>Patients treated with tedizolid phosphate reported fewer gastrointestinal disorder TEAEs compared with patients treated with linezolid (</w:t>
      </w:r>
      <w:r w:rsidRPr="009B5B6A">
        <w:rPr>
          <w:rFonts w:cs="Arial"/>
          <w:sz w:val="22"/>
          <w:szCs w:val="22"/>
          <w:lang w:val="en-US"/>
        </w:rPr>
        <w:fldChar w:fldCharType="begin"/>
      </w:r>
      <w:r w:rsidRPr="009B5B6A">
        <w:rPr>
          <w:rFonts w:cs="Arial"/>
          <w:sz w:val="22"/>
          <w:szCs w:val="22"/>
          <w:lang w:val="en-US"/>
        </w:rPr>
        <w:instrText xml:space="preserve"> REF _Ref381630258 \h  \* MERGEFORMAT </w:instrText>
      </w:r>
      <w:r w:rsidRPr="009B5B6A">
        <w:rPr>
          <w:rFonts w:cs="Arial"/>
          <w:sz w:val="22"/>
          <w:szCs w:val="22"/>
          <w:lang w:val="en-US"/>
        </w:rPr>
      </w:r>
      <w:r w:rsidRPr="009B5B6A">
        <w:rPr>
          <w:rFonts w:cs="Arial"/>
          <w:sz w:val="22"/>
          <w:szCs w:val="22"/>
          <w:lang w:val="en-US"/>
        </w:rPr>
        <w:fldChar w:fldCharType="separate"/>
      </w:r>
      <w:r w:rsidR="00151A1C" w:rsidRPr="009B5B6A">
        <w:rPr>
          <w:rFonts w:cs="Arial"/>
          <w:sz w:val="22"/>
          <w:szCs w:val="22"/>
          <w:lang w:val="en-US"/>
        </w:rPr>
        <w:t xml:space="preserve">Figure </w:t>
      </w:r>
      <w:r w:rsidR="00151A1C">
        <w:rPr>
          <w:rFonts w:cs="Arial"/>
          <w:sz w:val="22"/>
          <w:szCs w:val="22"/>
          <w:lang w:val="en-US"/>
        </w:rPr>
        <w:t>16</w:t>
      </w:r>
      <w:r w:rsidRPr="009B5B6A">
        <w:rPr>
          <w:rFonts w:cs="Arial"/>
          <w:sz w:val="22"/>
          <w:szCs w:val="22"/>
          <w:lang w:val="en-US"/>
        </w:rPr>
        <w:fldChar w:fldCharType="end"/>
      </w:r>
      <w:r w:rsidRPr="009B5B6A">
        <w:rPr>
          <w:rFonts w:cs="Arial"/>
          <w:sz w:val="22"/>
          <w:szCs w:val="22"/>
          <w:lang w:val="en-US"/>
        </w:rPr>
        <w:t xml:space="preserve">; </w:t>
      </w:r>
      <w:r w:rsidRPr="009B5B6A">
        <w:rPr>
          <w:rFonts w:cs="Arial"/>
          <w:sz w:val="22"/>
          <w:szCs w:val="22"/>
          <w:lang w:val="en-US"/>
        </w:rPr>
        <w:fldChar w:fldCharType="begin"/>
      </w:r>
      <w:r w:rsidRPr="009B5B6A">
        <w:rPr>
          <w:rFonts w:cs="Arial"/>
          <w:sz w:val="22"/>
          <w:szCs w:val="22"/>
          <w:lang w:val="en-US"/>
        </w:rPr>
        <w:instrText xml:space="preserve"> REF _Ref381607036 \h  \* MERGEFORMAT </w:instrText>
      </w:r>
      <w:r w:rsidRPr="009B5B6A">
        <w:rPr>
          <w:rFonts w:cs="Arial"/>
          <w:sz w:val="22"/>
          <w:szCs w:val="22"/>
          <w:lang w:val="en-US"/>
        </w:rPr>
      </w:r>
      <w:r w:rsidRPr="009B5B6A">
        <w:rPr>
          <w:rFonts w:cs="Arial"/>
          <w:sz w:val="22"/>
          <w:szCs w:val="22"/>
          <w:lang w:val="en-US"/>
        </w:rPr>
        <w:fldChar w:fldCharType="separate"/>
      </w:r>
      <w:r w:rsidR="00151A1C" w:rsidRPr="009B5B6A">
        <w:rPr>
          <w:rFonts w:cs="Arial"/>
          <w:sz w:val="22"/>
          <w:szCs w:val="22"/>
          <w:lang w:val="en-US"/>
        </w:rPr>
        <w:t xml:space="preserve">Table </w:t>
      </w:r>
      <w:r w:rsidR="00151A1C">
        <w:rPr>
          <w:rFonts w:cs="Arial"/>
          <w:sz w:val="22"/>
          <w:szCs w:val="22"/>
          <w:lang w:val="en-US"/>
        </w:rPr>
        <w:t>72</w:t>
      </w:r>
      <w:r w:rsidRPr="009B5B6A">
        <w:rPr>
          <w:rFonts w:cs="Arial"/>
          <w:sz w:val="22"/>
          <w:szCs w:val="22"/>
          <w:lang w:val="en-US"/>
        </w:rPr>
        <w:fldChar w:fldCharType="end"/>
      </w:r>
      <w:r w:rsidRPr="009B5B6A">
        <w:rPr>
          <w:rFonts w:cs="Arial"/>
          <w:sz w:val="22"/>
          <w:szCs w:val="22"/>
          <w:lang w:val="en-US"/>
        </w:rPr>
        <w:t>). This was demonstrated for gastrointestinal disorders in general as well as diarrh</w:t>
      </w:r>
      <w:r w:rsidR="009B5B6A">
        <w:rPr>
          <w:rFonts w:cs="Arial"/>
          <w:sz w:val="22"/>
          <w:szCs w:val="22"/>
          <w:lang w:val="en-US"/>
        </w:rPr>
        <w:t>o</w:t>
      </w:r>
      <w:r w:rsidRPr="009B5B6A">
        <w:rPr>
          <w:rFonts w:cs="Arial"/>
          <w:sz w:val="22"/>
          <w:szCs w:val="22"/>
          <w:lang w:val="en-US"/>
        </w:rPr>
        <w:t>ea, dyspepsia, nausea, constipation, and vomiting</w:t>
      </w:r>
      <w:r w:rsidR="006D7EB2" w:rsidRPr="009B5B6A">
        <w:rPr>
          <w:rFonts w:cs="Arial"/>
          <w:sz w:val="22"/>
          <w:szCs w:val="22"/>
          <w:lang w:val="en-US"/>
        </w:rPr>
        <w:t xml:space="preserve"> </w:t>
      </w:r>
      <w:r w:rsidR="006D7EB2">
        <w:rPr>
          <w:rFonts w:cs="Arial"/>
          <w:sz w:val="22"/>
          <w:szCs w:val="22"/>
          <w:lang w:val="en-US"/>
        </w:rPr>
        <w:t>(</w:t>
      </w:r>
      <w:r w:rsidR="006D7EB2">
        <w:rPr>
          <w:rFonts w:cs="Arial"/>
          <w:sz w:val="22"/>
          <w:szCs w:val="22"/>
          <w:lang w:val="en-US"/>
        </w:rPr>
        <w:fldChar w:fldCharType="begin"/>
      </w:r>
      <w:r w:rsidR="006D7EB2">
        <w:rPr>
          <w:rFonts w:cs="Arial"/>
          <w:sz w:val="22"/>
          <w:szCs w:val="22"/>
          <w:lang w:val="en-US"/>
        </w:rPr>
        <w:instrText xml:space="preserve"> REF _Ref284171334 \r \h </w:instrText>
      </w:r>
      <w:r w:rsidR="006D7EB2">
        <w:rPr>
          <w:rFonts w:cs="Arial"/>
          <w:sz w:val="22"/>
          <w:szCs w:val="22"/>
          <w:lang w:val="en-US"/>
        </w:rPr>
      </w:r>
      <w:r w:rsidR="006D7EB2">
        <w:rPr>
          <w:rFonts w:cs="Arial"/>
          <w:sz w:val="22"/>
          <w:szCs w:val="22"/>
          <w:lang w:val="en-US"/>
        </w:rPr>
        <w:fldChar w:fldCharType="separate"/>
      </w:r>
      <w:r w:rsidR="00151A1C">
        <w:rPr>
          <w:rFonts w:cs="Arial"/>
          <w:sz w:val="22"/>
          <w:szCs w:val="22"/>
          <w:lang w:val="en-US"/>
        </w:rPr>
        <w:t>41</w:t>
      </w:r>
      <w:r w:rsidR="006D7EB2">
        <w:rPr>
          <w:rFonts w:cs="Arial"/>
          <w:sz w:val="22"/>
          <w:szCs w:val="22"/>
          <w:lang w:val="en-US"/>
        </w:rPr>
        <w:fldChar w:fldCharType="end"/>
      </w:r>
      <w:r w:rsidR="006D7EB2">
        <w:rPr>
          <w:rFonts w:cs="Arial"/>
          <w:sz w:val="22"/>
          <w:szCs w:val="22"/>
          <w:lang w:val="en-US"/>
        </w:rPr>
        <w:t>).</w:t>
      </w:r>
    </w:p>
    <w:p w14:paraId="4F1A1110" w14:textId="77777777" w:rsidR="00C35C1F" w:rsidRPr="009B5B6A" w:rsidRDefault="00C35C1F" w:rsidP="00C35C1F">
      <w:pPr>
        <w:pStyle w:val="Caption"/>
        <w:rPr>
          <w:rFonts w:ascii="Arial" w:hAnsi="Arial" w:cs="Arial"/>
          <w:sz w:val="22"/>
          <w:szCs w:val="22"/>
          <w:lang w:val="en-US"/>
        </w:rPr>
      </w:pPr>
      <w:bookmarkStart w:id="358" w:name="_Ref381630258"/>
      <w:bookmarkStart w:id="359" w:name="_Toc396058384"/>
      <w:r w:rsidRPr="009B5B6A">
        <w:rPr>
          <w:rFonts w:ascii="Arial" w:hAnsi="Arial" w:cs="Arial"/>
          <w:sz w:val="22"/>
          <w:szCs w:val="22"/>
          <w:lang w:val="en-US"/>
        </w:rPr>
        <w:t xml:space="preserve">Figure </w:t>
      </w:r>
      <w:r w:rsidRPr="009B5B6A">
        <w:rPr>
          <w:rFonts w:ascii="Arial" w:hAnsi="Arial" w:cs="Arial"/>
          <w:sz w:val="22"/>
          <w:szCs w:val="22"/>
          <w:lang w:val="en-US"/>
        </w:rPr>
        <w:fldChar w:fldCharType="begin"/>
      </w:r>
      <w:r w:rsidRPr="009B5B6A">
        <w:rPr>
          <w:rFonts w:ascii="Arial" w:hAnsi="Arial" w:cs="Arial"/>
          <w:sz w:val="22"/>
          <w:szCs w:val="22"/>
          <w:lang w:val="en-US"/>
        </w:rPr>
        <w:instrText xml:space="preserve"> SEQ Figure \* ARABIC </w:instrText>
      </w:r>
      <w:r w:rsidRPr="009B5B6A">
        <w:rPr>
          <w:rFonts w:ascii="Arial" w:hAnsi="Arial" w:cs="Arial"/>
          <w:sz w:val="22"/>
          <w:szCs w:val="22"/>
          <w:lang w:val="en-US"/>
        </w:rPr>
        <w:fldChar w:fldCharType="separate"/>
      </w:r>
      <w:r w:rsidR="00151A1C">
        <w:rPr>
          <w:rFonts w:ascii="Arial" w:hAnsi="Arial" w:cs="Arial"/>
          <w:noProof/>
          <w:sz w:val="22"/>
          <w:szCs w:val="22"/>
          <w:lang w:val="en-US"/>
        </w:rPr>
        <w:t>16</w:t>
      </w:r>
      <w:r w:rsidRPr="009B5B6A">
        <w:rPr>
          <w:rFonts w:ascii="Arial" w:hAnsi="Arial" w:cs="Arial"/>
          <w:sz w:val="22"/>
          <w:szCs w:val="22"/>
          <w:lang w:val="en-US"/>
        </w:rPr>
        <w:fldChar w:fldCharType="end"/>
      </w:r>
      <w:bookmarkEnd w:id="358"/>
      <w:r w:rsidRPr="009B5B6A">
        <w:rPr>
          <w:rFonts w:ascii="Arial" w:hAnsi="Arial" w:cs="Arial"/>
          <w:sz w:val="22"/>
          <w:szCs w:val="22"/>
          <w:lang w:val="en-US"/>
        </w:rPr>
        <w:t>: Gastrointestinal disorder TEAEs in ESTABLISH-1 (Safety population)</w:t>
      </w:r>
      <w:bookmarkEnd w:id="359"/>
    </w:p>
    <w:p w14:paraId="360D720C" w14:textId="77777777" w:rsidR="00C35C1F" w:rsidRPr="00D95C15" w:rsidRDefault="00C35C1F" w:rsidP="00C35C1F">
      <w:pPr>
        <w:pStyle w:val="BodyText"/>
        <w:rPr>
          <w:lang w:val="en-US"/>
        </w:rPr>
      </w:pPr>
      <w:r w:rsidRPr="00D95C15">
        <w:rPr>
          <w:noProof/>
          <w:lang w:eastAsia="en-GB"/>
        </w:rPr>
        <w:drawing>
          <wp:inline distT="0" distB="0" distL="0" distR="0" wp14:anchorId="1D6F54FA" wp14:editId="531BC898">
            <wp:extent cx="5730875" cy="3019425"/>
            <wp:effectExtent l="0" t="0" r="0" b="0"/>
            <wp:docPr id="2055" name="Chart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DD0B07" w14:textId="5627C470" w:rsidR="00C35C1F" w:rsidRPr="009B5B6A" w:rsidRDefault="00C35C1F" w:rsidP="009B5B6A">
      <w:pPr>
        <w:pStyle w:val="FigureNote-H23"/>
        <w:spacing w:before="0" w:after="0"/>
        <w:rPr>
          <w:rFonts w:ascii="Arial" w:hAnsi="Arial" w:cs="Arial"/>
          <w:sz w:val="18"/>
          <w:szCs w:val="18"/>
          <w:lang w:val="en-US"/>
        </w:rPr>
      </w:pPr>
      <w:r w:rsidRPr="009B5B6A">
        <w:rPr>
          <w:rFonts w:ascii="Arial" w:hAnsi="Arial" w:cs="Arial"/>
          <w:sz w:val="18"/>
          <w:szCs w:val="18"/>
          <w:lang w:val="en-US"/>
        </w:rPr>
        <w:lastRenderedPageBreak/>
        <w:t xml:space="preserve">SOURCE: </w:t>
      </w:r>
      <w:r w:rsidR="006D7EB2" w:rsidRPr="006D7EB2">
        <w:rPr>
          <w:rFonts w:ascii="Arial" w:hAnsi="Arial" w:cs="Arial"/>
          <w:sz w:val="18"/>
          <w:szCs w:val="18"/>
          <w:lang w:val="en-US"/>
        </w:rPr>
        <w:t>ESTABLISH-1 CSR</w:t>
      </w:r>
      <w:r w:rsidR="006D7EB2">
        <w:rPr>
          <w:rFonts w:ascii="Arial" w:hAnsi="Arial" w:cs="Arial"/>
          <w:sz w:val="18"/>
          <w:szCs w:val="18"/>
          <w:lang w:val="en-US"/>
        </w:rPr>
        <w:t xml:space="preserve"> </w:t>
      </w:r>
      <w:r w:rsidR="006D7EB2">
        <w:rPr>
          <w:rFonts w:ascii="Arial" w:hAnsi="Arial" w:cs="Arial"/>
          <w:sz w:val="18"/>
          <w:szCs w:val="18"/>
          <w:lang w:val="en-US"/>
        </w:rPr>
        <w:fldChar w:fldCharType="begin"/>
      </w:r>
      <w:r w:rsidR="006D7EB2">
        <w:rPr>
          <w:rFonts w:ascii="Arial" w:hAnsi="Arial" w:cs="Arial"/>
          <w:sz w:val="18"/>
          <w:szCs w:val="18"/>
          <w:lang w:val="en-US"/>
        </w:rPr>
        <w:instrText xml:space="preserve"> REF _Ref284171334 \r \h </w:instrText>
      </w:r>
      <w:r w:rsidR="006D7EB2">
        <w:rPr>
          <w:rFonts w:ascii="Arial" w:hAnsi="Arial" w:cs="Arial"/>
          <w:sz w:val="18"/>
          <w:szCs w:val="18"/>
          <w:lang w:val="en-US"/>
        </w:rPr>
      </w:r>
      <w:r w:rsidR="006D7EB2">
        <w:rPr>
          <w:rFonts w:ascii="Arial" w:hAnsi="Arial" w:cs="Arial"/>
          <w:sz w:val="18"/>
          <w:szCs w:val="18"/>
          <w:lang w:val="en-US"/>
        </w:rPr>
        <w:fldChar w:fldCharType="separate"/>
      </w:r>
      <w:r w:rsidR="00151A1C">
        <w:rPr>
          <w:rFonts w:ascii="Arial" w:hAnsi="Arial" w:cs="Arial"/>
          <w:sz w:val="18"/>
          <w:szCs w:val="18"/>
          <w:lang w:val="en-US"/>
        </w:rPr>
        <w:t>41</w:t>
      </w:r>
      <w:r w:rsidR="006D7EB2">
        <w:rPr>
          <w:rFonts w:ascii="Arial" w:hAnsi="Arial" w:cs="Arial"/>
          <w:sz w:val="18"/>
          <w:szCs w:val="18"/>
          <w:lang w:val="en-US"/>
        </w:rPr>
        <w:fldChar w:fldCharType="end"/>
      </w:r>
      <w:r w:rsidRPr="009B5B6A">
        <w:rPr>
          <w:rFonts w:ascii="Arial" w:hAnsi="Arial" w:cs="Arial"/>
          <w:sz w:val="18"/>
          <w:szCs w:val="18"/>
          <w:lang w:val="en-US"/>
        </w:rPr>
        <w:t xml:space="preserve">: section </w:t>
      </w:r>
      <w:r w:rsidRPr="009B5B6A">
        <w:rPr>
          <w:rFonts w:ascii="Arial" w:eastAsia="Tahoma" w:hAnsi="Arial" w:cs="Arial"/>
          <w:sz w:val="18"/>
          <w:szCs w:val="18"/>
          <w:lang w:val="en-US"/>
        </w:rPr>
        <w:t>14.3.1, Table 14.3.1.2.1</w:t>
      </w:r>
    </w:p>
    <w:p w14:paraId="06FCEF20" w14:textId="77777777" w:rsidR="00C35C1F" w:rsidRPr="009B5B6A" w:rsidRDefault="00C35C1F" w:rsidP="009B5B6A">
      <w:pPr>
        <w:pStyle w:val="TableNote-H58"/>
        <w:spacing w:before="0" w:after="0"/>
        <w:rPr>
          <w:rFonts w:ascii="Arial" w:hAnsi="Arial" w:cs="Arial"/>
          <w:sz w:val="18"/>
          <w:szCs w:val="18"/>
          <w:lang w:val="en-US"/>
        </w:rPr>
      </w:pPr>
      <w:r w:rsidRPr="009B5B6A">
        <w:rPr>
          <w:rFonts w:ascii="Arial" w:hAnsi="Arial" w:cs="Arial"/>
          <w:sz w:val="18"/>
          <w:szCs w:val="18"/>
          <w:lang w:val="en-US"/>
        </w:rPr>
        <w:t>N: Number of patients in population; TEAE: Treatment-emergent adverse event</w:t>
      </w:r>
    </w:p>
    <w:p w14:paraId="306E6176" w14:textId="77777777" w:rsidR="00C35C1F" w:rsidRPr="009B5B6A" w:rsidRDefault="00C35C1F" w:rsidP="00C35C1F">
      <w:pPr>
        <w:pStyle w:val="Caption"/>
        <w:rPr>
          <w:rFonts w:ascii="Arial" w:hAnsi="Arial" w:cs="Arial"/>
          <w:sz w:val="22"/>
          <w:szCs w:val="22"/>
          <w:lang w:val="en-US"/>
        </w:rPr>
      </w:pPr>
      <w:bookmarkStart w:id="360" w:name="_Ref381607036"/>
      <w:bookmarkStart w:id="361" w:name="_Toc396058471"/>
      <w:r w:rsidRPr="009B5B6A">
        <w:rPr>
          <w:rFonts w:ascii="Arial" w:hAnsi="Arial" w:cs="Arial"/>
          <w:sz w:val="22"/>
          <w:szCs w:val="22"/>
          <w:lang w:val="en-US"/>
        </w:rPr>
        <w:t xml:space="preserve">Table </w:t>
      </w:r>
      <w:r w:rsidRPr="009B5B6A">
        <w:rPr>
          <w:rFonts w:ascii="Arial" w:hAnsi="Arial" w:cs="Arial"/>
          <w:sz w:val="22"/>
          <w:szCs w:val="22"/>
          <w:lang w:val="en-US"/>
        </w:rPr>
        <w:fldChar w:fldCharType="begin"/>
      </w:r>
      <w:r w:rsidRPr="009B5B6A">
        <w:rPr>
          <w:rFonts w:ascii="Arial" w:hAnsi="Arial" w:cs="Arial"/>
          <w:sz w:val="22"/>
          <w:szCs w:val="22"/>
          <w:lang w:val="en-US"/>
        </w:rPr>
        <w:instrText xml:space="preserve"> SEQ Table \* ARABIC </w:instrText>
      </w:r>
      <w:r w:rsidRPr="009B5B6A">
        <w:rPr>
          <w:rFonts w:ascii="Arial" w:hAnsi="Arial" w:cs="Arial"/>
          <w:sz w:val="22"/>
          <w:szCs w:val="22"/>
          <w:lang w:val="en-US"/>
        </w:rPr>
        <w:fldChar w:fldCharType="separate"/>
      </w:r>
      <w:r w:rsidR="00151A1C">
        <w:rPr>
          <w:rFonts w:ascii="Arial" w:hAnsi="Arial" w:cs="Arial"/>
          <w:noProof/>
          <w:sz w:val="22"/>
          <w:szCs w:val="22"/>
          <w:lang w:val="en-US"/>
        </w:rPr>
        <w:t>72</w:t>
      </w:r>
      <w:r w:rsidRPr="009B5B6A">
        <w:rPr>
          <w:rFonts w:ascii="Arial" w:hAnsi="Arial" w:cs="Arial"/>
          <w:sz w:val="22"/>
          <w:szCs w:val="22"/>
          <w:lang w:val="en-US"/>
        </w:rPr>
        <w:fldChar w:fldCharType="end"/>
      </w:r>
      <w:bookmarkEnd w:id="360"/>
      <w:r w:rsidRPr="009B5B6A">
        <w:rPr>
          <w:rFonts w:ascii="Arial" w:hAnsi="Arial" w:cs="Arial"/>
          <w:sz w:val="22"/>
          <w:szCs w:val="22"/>
          <w:lang w:val="en-US"/>
        </w:rPr>
        <w:t>: Gastrointestinal disorder TEAEs in ESTABLISH-1 (Safety population)</w:t>
      </w:r>
      <w:bookmarkEnd w:id="361"/>
    </w:p>
    <w:tbl>
      <w:tblPr>
        <w:tblStyle w:val="Table-HERONplain"/>
        <w:tblW w:w="0" w:type="auto"/>
        <w:tblLook w:val="04A0" w:firstRow="1" w:lastRow="0" w:firstColumn="1" w:lastColumn="0" w:noHBand="0" w:noVBand="1"/>
      </w:tblPr>
      <w:tblGrid>
        <w:gridCol w:w="5963"/>
        <w:gridCol w:w="1477"/>
        <w:gridCol w:w="1463"/>
      </w:tblGrid>
      <w:tr w:rsidR="00C35C1F" w:rsidRPr="009E70B6" w14:paraId="25DFAC33"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159DC69C" w14:textId="77777777" w:rsidR="00C35C1F" w:rsidRPr="009E70B6" w:rsidRDefault="00C35C1F" w:rsidP="001D3F4A">
            <w:pPr>
              <w:pStyle w:val="TableBodyText-H54"/>
              <w:rPr>
                <w:rFonts w:ascii="Arial" w:hAnsi="Arial" w:cs="Arial"/>
                <w:sz w:val="22"/>
                <w:szCs w:val="22"/>
                <w:lang w:val="en-US"/>
              </w:rPr>
            </w:pPr>
            <w:r w:rsidRPr="009E70B6">
              <w:rPr>
                <w:rFonts w:ascii="Arial" w:hAnsi="Arial" w:cs="Arial"/>
                <w:sz w:val="22"/>
                <w:szCs w:val="22"/>
                <w:lang w:val="en-US"/>
              </w:rPr>
              <w:t>Category</w:t>
            </w:r>
          </w:p>
        </w:tc>
        <w:tc>
          <w:tcPr>
            <w:tcW w:w="1485" w:type="dxa"/>
            <w:shd w:val="clear" w:color="auto" w:fill="auto"/>
            <w:hideMark/>
          </w:tcPr>
          <w:p w14:paraId="60D900DF"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Tedizolid phosphate</w:t>
            </w:r>
          </w:p>
          <w:p w14:paraId="00035FAE"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(N=331)</w:t>
            </w:r>
          </w:p>
          <w:p w14:paraId="1C7A4292"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n (%)</w:t>
            </w:r>
          </w:p>
        </w:tc>
        <w:tc>
          <w:tcPr>
            <w:tcW w:w="1479" w:type="dxa"/>
            <w:shd w:val="clear" w:color="auto" w:fill="auto"/>
            <w:hideMark/>
          </w:tcPr>
          <w:p w14:paraId="1958A2E6"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Linezolid</w:t>
            </w:r>
          </w:p>
          <w:p w14:paraId="786E1A45"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(N=335)</w:t>
            </w:r>
          </w:p>
          <w:p w14:paraId="32F2C0EA" w14:textId="77777777" w:rsidR="00C35C1F" w:rsidRPr="009E70B6"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n (%)</w:t>
            </w:r>
          </w:p>
        </w:tc>
      </w:tr>
      <w:tr w:rsidR="00C35C1F" w:rsidRPr="009E70B6" w14:paraId="209B3D81"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10DDD62E" w14:textId="77777777" w:rsidR="00C35C1F" w:rsidRPr="009E70B6" w:rsidRDefault="00C35C1F" w:rsidP="001D3F4A">
            <w:pPr>
              <w:pStyle w:val="TableBodyText-H54"/>
              <w:rPr>
                <w:rFonts w:ascii="Arial" w:hAnsi="Arial" w:cs="Arial"/>
                <w:sz w:val="22"/>
                <w:szCs w:val="22"/>
                <w:lang w:val="en-US"/>
              </w:rPr>
            </w:pPr>
            <w:r w:rsidRPr="009E70B6">
              <w:rPr>
                <w:rFonts w:ascii="Arial" w:hAnsi="Arial" w:cs="Arial"/>
                <w:sz w:val="22"/>
                <w:szCs w:val="22"/>
                <w:lang w:val="en-US"/>
              </w:rPr>
              <w:t>Gastrointestinal disorder TEAEs:</w:t>
            </w:r>
          </w:p>
        </w:tc>
        <w:tc>
          <w:tcPr>
            <w:tcW w:w="1485" w:type="dxa"/>
            <w:hideMark/>
          </w:tcPr>
          <w:p w14:paraId="296E5849"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54 (16.3)</w:t>
            </w:r>
          </w:p>
        </w:tc>
        <w:tc>
          <w:tcPr>
            <w:tcW w:w="1479" w:type="dxa"/>
            <w:hideMark/>
          </w:tcPr>
          <w:p w14:paraId="093DBD7E"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85 (25.4)</w:t>
            </w:r>
          </w:p>
        </w:tc>
      </w:tr>
      <w:tr w:rsidR="00C35C1F" w:rsidRPr="009E70B6" w14:paraId="5AD85734"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E933036" w14:textId="77777777" w:rsidR="00C35C1F" w:rsidRPr="009E70B6" w:rsidRDefault="00C35C1F" w:rsidP="001D3F4A">
            <w:pPr>
              <w:pStyle w:val="TableBodyText-H54"/>
              <w:tabs>
                <w:tab w:val="left" w:pos="1506"/>
              </w:tabs>
              <w:ind w:left="313"/>
              <w:rPr>
                <w:rFonts w:ascii="Arial" w:hAnsi="Arial" w:cs="Arial"/>
                <w:sz w:val="22"/>
                <w:szCs w:val="22"/>
                <w:lang w:val="en-US"/>
              </w:rPr>
            </w:pPr>
            <w:r w:rsidRPr="009E70B6">
              <w:rPr>
                <w:rFonts w:ascii="Arial" w:hAnsi="Arial" w:cs="Arial"/>
                <w:sz w:val="22"/>
                <w:szCs w:val="22"/>
                <w:lang w:val="en-US"/>
              </w:rPr>
              <w:t>Nausea</w:t>
            </w:r>
          </w:p>
        </w:tc>
        <w:tc>
          <w:tcPr>
            <w:tcW w:w="1485" w:type="dxa"/>
            <w:vAlign w:val="top"/>
            <w:hideMark/>
          </w:tcPr>
          <w:p w14:paraId="6FAD8A37"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28 (8.5)</w:t>
            </w:r>
          </w:p>
        </w:tc>
        <w:tc>
          <w:tcPr>
            <w:tcW w:w="1479" w:type="dxa"/>
            <w:vAlign w:val="top"/>
            <w:hideMark/>
          </w:tcPr>
          <w:p w14:paraId="6F9C50E5"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45 (13.4)</w:t>
            </w:r>
          </w:p>
        </w:tc>
      </w:tr>
      <w:tr w:rsidR="00C35C1F" w:rsidRPr="009E70B6" w14:paraId="2F255B40"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8964307" w14:textId="4B0FFAE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Diarrh</w:t>
            </w:r>
            <w:r w:rsidR="009E70B6" w:rsidRPr="009E70B6">
              <w:rPr>
                <w:rFonts w:ascii="Arial" w:hAnsi="Arial" w:cs="Arial"/>
                <w:sz w:val="22"/>
                <w:szCs w:val="22"/>
                <w:lang w:val="en-US"/>
              </w:rPr>
              <w:t>o</w:t>
            </w:r>
            <w:r w:rsidRPr="009E70B6">
              <w:rPr>
                <w:rFonts w:ascii="Arial" w:hAnsi="Arial" w:cs="Arial"/>
                <w:sz w:val="22"/>
                <w:szCs w:val="22"/>
                <w:lang w:val="en-US"/>
              </w:rPr>
              <w:t>ea</w:t>
            </w:r>
          </w:p>
        </w:tc>
        <w:tc>
          <w:tcPr>
            <w:tcW w:w="1485" w:type="dxa"/>
            <w:hideMark/>
          </w:tcPr>
          <w:p w14:paraId="779634E9"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15 (4.5)</w:t>
            </w:r>
          </w:p>
        </w:tc>
        <w:tc>
          <w:tcPr>
            <w:tcW w:w="1479" w:type="dxa"/>
            <w:hideMark/>
          </w:tcPr>
          <w:p w14:paraId="5878D8E3"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18 (5.4)</w:t>
            </w:r>
          </w:p>
        </w:tc>
      </w:tr>
      <w:tr w:rsidR="00C35C1F" w:rsidRPr="009E70B6" w14:paraId="19C0ACBC"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72A7779"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Vomiting</w:t>
            </w:r>
          </w:p>
        </w:tc>
        <w:tc>
          <w:tcPr>
            <w:tcW w:w="1485" w:type="dxa"/>
            <w:hideMark/>
          </w:tcPr>
          <w:p w14:paraId="433632E6"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9 (2.7)</w:t>
            </w:r>
          </w:p>
        </w:tc>
        <w:tc>
          <w:tcPr>
            <w:tcW w:w="1479" w:type="dxa"/>
            <w:hideMark/>
          </w:tcPr>
          <w:p w14:paraId="114B8882"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20 (6.0)</w:t>
            </w:r>
          </w:p>
        </w:tc>
      </w:tr>
      <w:tr w:rsidR="00C35C1F" w:rsidRPr="009E70B6" w14:paraId="50691A23"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0FAF630B"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Constipation</w:t>
            </w:r>
          </w:p>
        </w:tc>
        <w:tc>
          <w:tcPr>
            <w:tcW w:w="1485" w:type="dxa"/>
            <w:hideMark/>
          </w:tcPr>
          <w:p w14:paraId="5677600E"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5 (1.5)</w:t>
            </w:r>
          </w:p>
        </w:tc>
        <w:tc>
          <w:tcPr>
            <w:tcW w:w="1479" w:type="dxa"/>
            <w:hideMark/>
          </w:tcPr>
          <w:p w14:paraId="3CACE8BB"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5 (1.5)</w:t>
            </w:r>
          </w:p>
        </w:tc>
      </w:tr>
      <w:tr w:rsidR="00C35C1F" w:rsidRPr="009E70B6" w14:paraId="4A98340F"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B1C8023"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Dyspepsia</w:t>
            </w:r>
          </w:p>
        </w:tc>
        <w:tc>
          <w:tcPr>
            <w:tcW w:w="1485" w:type="dxa"/>
            <w:hideMark/>
          </w:tcPr>
          <w:p w14:paraId="3F6CAD3C"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2 (0.6)</w:t>
            </w:r>
          </w:p>
        </w:tc>
        <w:tc>
          <w:tcPr>
            <w:tcW w:w="1479" w:type="dxa"/>
            <w:hideMark/>
          </w:tcPr>
          <w:p w14:paraId="473EADA3"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7 (2.1)</w:t>
            </w:r>
          </w:p>
        </w:tc>
      </w:tr>
      <w:tr w:rsidR="00C35C1F" w:rsidRPr="009E70B6" w14:paraId="7DECBBB9"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C12083A" w14:textId="77777777" w:rsidR="00C35C1F" w:rsidRPr="009E70B6" w:rsidRDefault="00C35C1F" w:rsidP="001D3F4A">
            <w:pPr>
              <w:pStyle w:val="TableBodyText-H54"/>
              <w:rPr>
                <w:rFonts w:ascii="Arial" w:hAnsi="Arial" w:cs="Arial"/>
                <w:sz w:val="22"/>
                <w:szCs w:val="22"/>
                <w:lang w:val="en-US"/>
              </w:rPr>
            </w:pPr>
            <w:r w:rsidRPr="009E70B6">
              <w:rPr>
                <w:rFonts w:ascii="Arial" w:hAnsi="Arial" w:cs="Arial"/>
                <w:sz w:val="22"/>
                <w:szCs w:val="22"/>
                <w:lang w:val="en-US"/>
              </w:rPr>
              <w:t>Gastrointestinal disorder serious TEAEs:</w:t>
            </w:r>
          </w:p>
        </w:tc>
        <w:tc>
          <w:tcPr>
            <w:tcW w:w="1485" w:type="dxa"/>
            <w:hideMark/>
          </w:tcPr>
          <w:p w14:paraId="6AD27EAC"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2 (0.6) </w:t>
            </w:r>
          </w:p>
        </w:tc>
        <w:tc>
          <w:tcPr>
            <w:tcW w:w="1479" w:type="dxa"/>
            <w:hideMark/>
          </w:tcPr>
          <w:p w14:paraId="28527204"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0</w:t>
            </w:r>
          </w:p>
        </w:tc>
      </w:tr>
      <w:tr w:rsidR="00C35C1F" w:rsidRPr="009E70B6" w14:paraId="55B4F44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DEA91DA"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 xml:space="preserve">Gastrointestinal hemorrhage </w:t>
            </w:r>
          </w:p>
        </w:tc>
        <w:tc>
          <w:tcPr>
            <w:tcW w:w="1485" w:type="dxa"/>
            <w:hideMark/>
          </w:tcPr>
          <w:p w14:paraId="2AEA5CE5"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1 (0.3) </w:t>
            </w:r>
          </w:p>
        </w:tc>
        <w:tc>
          <w:tcPr>
            <w:tcW w:w="1479" w:type="dxa"/>
            <w:hideMark/>
          </w:tcPr>
          <w:p w14:paraId="7BFA8B0A"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0</w:t>
            </w:r>
          </w:p>
        </w:tc>
      </w:tr>
      <w:tr w:rsidR="00C35C1F" w:rsidRPr="009E70B6" w14:paraId="216276CA"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A0BDBCD"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 xml:space="preserve">Vomiting </w:t>
            </w:r>
          </w:p>
        </w:tc>
        <w:tc>
          <w:tcPr>
            <w:tcW w:w="1485" w:type="dxa"/>
            <w:hideMark/>
          </w:tcPr>
          <w:p w14:paraId="53FC0E0E"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1 (0.3) </w:t>
            </w:r>
          </w:p>
        </w:tc>
        <w:tc>
          <w:tcPr>
            <w:tcW w:w="1479" w:type="dxa"/>
            <w:hideMark/>
          </w:tcPr>
          <w:p w14:paraId="07B40CFA"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0</w:t>
            </w:r>
          </w:p>
        </w:tc>
      </w:tr>
      <w:tr w:rsidR="00C35C1F" w:rsidRPr="009E70B6" w14:paraId="393E615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973DE0D" w14:textId="77777777" w:rsidR="00C35C1F" w:rsidRPr="009E70B6" w:rsidRDefault="00C35C1F" w:rsidP="001D3F4A">
            <w:pPr>
              <w:pStyle w:val="TableBodyText-H54"/>
              <w:rPr>
                <w:rFonts w:ascii="Arial" w:hAnsi="Arial" w:cs="Arial"/>
                <w:sz w:val="22"/>
                <w:szCs w:val="22"/>
                <w:lang w:val="en-US"/>
              </w:rPr>
            </w:pPr>
            <w:r w:rsidRPr="009E70B6">
              <w:rPr>
                <w:rFonts w:ascii="Arial" w:hAnsi="Arial" w:cs="Arial"/>
                <w:sz w:val="22"/>
                <w:szCs w:val="22"/>
                <w:lang w:val="en-US"/>
              </w:rPr>
              <w:t>Gastrointestinal disorders TEAEs leading to discontinuation:</w:t>
            </w:r>
          </w:p>
        </w:tc>
        <w:tc>
          <w:tcPr>
            <w:tcW w:w="1485" w:type="dxa"/>
            <w:hideMark/>
          </w:tcPr>
          <w:p w14:paraId="4D1A7B2E"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1 (0.3) </w:t>
            </w:r>
          </w:p>
        </w:tc>
        <w:tc>
          <w:tcPr>
            <w:tcW w:w="1479" w:type="dxa"/>
            <w:hideMark/>
          </w:tcPr>
          <w:p w14:paraId="0BF4611E"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2 (0.6)</w:t>
            </w:r>
          </w:p>
        </w:tc>
      </w:tr>
      <w:tr w:rsidR="00C35C1F" w:rsidRPr="009E70B6" w14:paraId="3F9F8A12"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929FFBC" w14:textId="5DC9EE36" w:rsidR="00C35C1F" w:rsidRPr="009E70B6" w:rsidRDefault="006F4C8B" w:rsidP="001D3F4A">
            <w:pPr>
              <w:pStyle w:val="TableBodyText-H54"/>
              <w:ind w:left="313"/>
              <w:rPr>
                <w:rFonts w:ascii="Arial" w:hAnsi="Arial" w:cs="Arial"/>
                <w:sz w:val="22"/>
                <w:szCs w:val="22"/>
                <w:lang w:val="en-US"/>
              </w:rPr>
            </w:pPr>
            <w:r>
              <w:rPr>
                <w:rFonts w:ascii="Arial" w:hAnsi="Arial" w:cs="Arial"/>
                <w:sz w:val="22"/>
                <w:szCs w:val="22"/>
                <w:lang w:val="en-US"/>
              </w:rPr>
              <w:t>Diarrhoea</w:t>
            </w:r>
          </w:p>
        </w:tc>
        <w:tc>
          <w:tcPr>
            <w:tcW w:w="1485" w:type="dxa"/>
            <w:hideMark/>
          </w:tcPr>
          <w:p w14:paraId="4B4485B2"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1 (0.3) </w:t>
            </w:r>
          </w:p>
        </w:tc>
        <w:tc>
          <w:tcPr>
            <w:tcW w:w="1479" w:type="dxa"/>
            <w:hideMark/>
          </w:tcPr>
          <w:p w14:paraId="1EC9D28F"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0</w:t>
            </w:r>
          </w:p>
        </w:tc>
      </w:tr>
      <w:tr w:rsidR="00C35C1F" w:rsidRPr="009E70B6" w14:paraId="28CBF3AF"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680B160"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Nausea</w:t>
            </w:r>
          </w:p>
        </w:tc>
        <w:tc>
          <w:tcPr>
            <w:tcW w:w="1485" w:type="dxa"/>
            <w:hideMark/>
          </w:tcPr>
          <w:p w14:paraId="72218BBC"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0 </w:t>
            </w:r>
          </w:p>
        </w:tc>
        <w:tc>
          <w:tcPr>
            <w:tcW w:w="1479" w:type="dxa"/>
            <w:hideMark/>
          </w:tcPr>
          <w:p w14:paraId="0BFA9FAA"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2 (0.6)</w:t>
            </w:r>
          </w:p>
        </w:tc>
      </w:tr>
      <w:tr w:rsidR="00C35C1F" w:rsidRPr="009E70B6" w14:paraId="72E246A7"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3503985" w14:textId="77777777" w:rsidR="00C35C1F" w:rsidRPr="009E70B6" w:rsidRDefault="00C35C1F" w:rsidP="001D3F4A">
            <w:pPr>
              <w:pStyle w:val="TableBodyText-H54"/>
              <w:ind w:left="313"/>
              <w:rPr>
                <w:rFonts w:ascii="Arial" w:hAnsi="Arial" w:cs="Arial"/>
                <w:sz w:val="22"/>
                <w:szCs w:val="22"/>
                <w:lang w:val="en-US"/>
              </w:rPr>
            </w:pPr>
            <w:r w:rsidRPr="009E70B6">
              <w:rPr>
                <w:rFonts w:ascii="Arial" w:hAnsi="Arial" w:cs="Arial"/>
                <w:sz w:val="22"/>
                <w:szCs w:val="22"/>
                <w:lang w:val="en-US"/>
              </w:rPr>
              <w:t>Vomiting</w:t>
            </w:r>
          </w:p>
        </w:tc>
        <w:tc>
          <w:tcPr>
            <w:tcW w:w="1485" w:type="dxa"/>
            <w:hideMark/>
          </w:tcPr>
          <w:p w14:paraId="27BB7EF5"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1 (0.3) </w:t>
            </w:r>
          </w:p>
        </w:tc>
        <w:tc>
          <w:tcPr>
            <w:tcW w:w="1479" w:type="dxa"/>
            <w:hideMark/>
          </w:tcPr>
          <w:p w14:paraId="5F023619" w14:textId="77777777" w:rsidR="00C35C1F" w:rsidRPr="009E70B6"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9E70B6">
              <w:rPr>
                <w:rFonts w:ascii="Arial" w:eastAsia="TimesNewRoman" w:hAnsi="Arial" w:cs="Arial"/>
                <w:sz w:val="22"/>
                <w:szCs w:val="22"/>
                <w:lang w:val="en-US"/>
              </w:rPr>
              <w:t xml:space="preserve">2 (0.6) </w:t>
            </w:r>
          </w:p>
        </w:tc>
      </w:tr>
      <w:tr w:rsidR="00C35C1F" w:rsidRPr="009E70B6" w14:paraId="528FA4BB"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DBD723F" w14:textId="77777777" w:rsidR="00C35C1F" w:rsidRPr="009E70B6" w:rsidRDefault="00C35C1F" w:rsidP="001D3F4A">
            <w:pPr>
              <w:pStyle w:val="TableBodyText-H54"/>
              <w:rPr>
                <w:rFonts w:ascii="Arial" w:hAnsi="Arial" w:cs="Arial"/>
                <w:sz w:val="22"/>
                <w:szCs w:val="22"/>
                <w:lang w:val="en-US"/>
              </w:rPr>
            </w:pPr>
            <w:r w:rsidRPr="009E70B6">
              <w:rPr>
                <w:rFonts w:ascii="Arial" w:hAnsi="Arial" w:cs="Arial"/>
                <w:sz w:val="22"/>
                <w:szCs w:val="22"/>
                <w:lang w:val="en-US"/>
              </w:rPr>
              <w:t>Gastrointestinal disorders leading to death</w:t>
            </w:r>
          </w:p>
        </w:tc>
        <w:tc>
          <w:tcPr>
            <w:tcW w:w="1485" w:type="dxa"/>
            <w:hideMark/>
          </w:tcPr>
          <w:p w14:paraId="17D4C536"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0</w:t>
            </w:r>
          </w:p>
        </w:tc>
        <w:tc>
          <w:tcPr>
            <w:tcW w:w="1479" w:type="dxa"/>
            <w:hideMark/>
          </w:tcPr>
          <w:p w14:paraId="589E78DD" w14:textId="77777777" w:rsidR="00C35C1F" w:rsidRPr="009E70B6"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sidRPr="009E70B6">
              <w:rPr>
                <w:rFonts w:ascii="Arial" w:hAnsi="Arial" w:cs="Arial"/>
                <w:sz w:val="22"/>
                <w:szCs w:val="22"/>
                <w:lang w:val="en-US"/>
              </w:rPr>
              <w:t>0</w:t>
            </w:r>
          </w:p>
        </w:tc>
      </w:tr>
    </w:tbl>
    <w:p w14:paraId="6BAF69BB" w14:textId="7151C4D7" w:rsidR="00C35C1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t xml:space="preserve">SOURCE: </w:t>
      </w:r>
      <w:r w:rsidR="006D7EB2" w:rsidRPr="006D7EB2">
        <w:rPr>
          <w:rFonts w:ascii="Arial" w:hAnsi="Arial" w:cs="Arial"/>
          <w:sz w:val="18"/>
          <w:szCs w:val="18"/>
          <w:lang w:val="en-US"/>
        </w:rPr>
        <w:t>ESTABLISH-1 CSR</w:t>
      </w:r>
      <w:r w:rsidR="006D7EB2">
        <w:rPr>
          <w:rFonts w:ascii="Arial" w:hAnsi="Arial" w:cs="Arial"/>
          <w:sz w:val="18"/>
          <w:szCs w:val="18"/>
          <w:lang w:val="en-US"/>
        </w:rPr>
        <w:t xml:space="preserve"> </w:t>
      </w:r>
      <w:r w:rsidR="006D7EB2">
        <w:rPr>
          <w:rFonts w:ascii="Arial" w:hAnsi="Arial" w:cs="Arial"/>
          <w:sz w:val="18"/>
          <w:szCs w:val="18"/>
          <w:lang w:val="en-US"/>
        </w:rPr>
        <w:fldChar w:fldCharType="begin"/>
      </w:r>
      <w:r w:rsidR="006D7EB2">
        <w:rPr>
          <w:rFonts w:ascii="Arial" w:hAnsi="Arial" w:cs="Arial"/>
          <w:sz w:val="18"/>
          <w:szCs w:val="18"/>
          <w:lang w:val="en-US"/>
        </w:rPr>
        <w:instrText xml:space="preserve"> REF _Ref284171334 \r \h </w:instrText>
      </w:r>
      <w:r w:rsidR="006D7EB2">
        <w:rPr>
          <w:rFonts w:ascii="Arial" w:hAnsi="Arial" w:cs="Arial"/>
          <w:sz w:val="18"/>
          <w:szCs w:val="18"/>
          <w:lang w:val="en-US"/>
        </w:rPr>
      </w:r>
      <w:r w:rsidR="006D7EB2">
        <w:rPr>
          <w:rFonts w:ascii="Arial" w:hAnsi="Arial" w:cs="Arial"/>
          <w:sz w:val="18"/>
          <w:szCs w:val="18"/>
          <w:lang w:val="en-US"/>
        </w:rPr>
        <w:fldChar w:fldCharType="separate"/>
      </w:r>
      <w:r w:rsidR="00151A1C">
        <w:rPr>
          <w:rFonts w:ascii="Arial" w:hAnsi="Arial" w:cs="Arial"/>
          <w:sz w:val="18"/>
          <w:szCs w:val="18"/>
          <w:lang w:val="en-US"/>
        </w:rPr>
        <w:t>41</w:t>
      </w:r>
      <w:r w:rsidR="006D7EB2">
        <w:rPr>
          <w:rFonts w:ascii="Arial" w:hAnsi="Arial" w:cs="Arial"/>
          <w:sz w:val="18"/>
          <w:szCs w:val="18"/>
          <w:lang w:val="en-US"/>
        </w:rPr>
        <w:fldChar w:fldCharType="end"/>
      </w:r>
      <w:r w:rsidR="006D7EB2" w:rsidRPr="006D7EB2">
        <w:rPr>
          <w:rFonts w:ascii="Arial" w:hAnsi="Arial" w:cs="Arial"/>
          <w:sz w:val="18"/>
          <w:szCs w:val="18"/>
          <w:lang w:val="en-US"/>
        </w:rPr>
        <w:t>:</w:t>
      </w:r>
      <w:r w:rsidRPr="0018487F">
        <w:rPr>
          <w:rFonts w:ascii="Arial" w:hAnsi="Arial" w:cs="Arial"/>
          <w:sz w:val="18"/>
          <w:szCs w:val="18"/>
          <w:lang w:val="en-US"/>
        </w:rPr>
        <w:t xml:space="preserve"> section </w:t>
      </w:r>
      <w:r w:rsidRPr="0018487F">
        <w:rPr>
          <w:rFonts w:ascii="Arial" w:eastAsia="Tahoma" w:hAnsi="Arial" w:cs="Arial"/>
          <w:sz w:val="18"/>
          <w:szCs w:val="18"/>
          <w:lang w:val="en-US"/>
        </w:rPr>
        <w:t>14.3.1, Table 14.3.1.7, Table 14.3.2</w:t>
      </w:r>
      <w:r w:rsidRPr="0018487F">
        <w:rPr>
          <w:rFonts w:ascii="Arial" w:hAnsi="Arial" w:cs="Arial"/>
          <w:sz w:val="18"/>
          <w:szCs w:val="18"/>
          <w:lang w:val="en-US"/>
        </w:rPr>
        <w:t xml:space="preserve"> </w:t>
      </w:r>
    </w:p>
    <w:p w14:paraId="437815EE" w14:textId="77777777" w:rsidR="00C35C1F" w:rsidRPr="00D95C15" w:rsidRDefault="00C35C1F" w:rsidP="0018487F">
      <w:pPr>
        <w:pStyle w:val="TableNote-H58"/>
        <w:spacing w:before="0" w:after="0"/>
        <w:rPr>
          <w:lang w:val="en-US"/>
        </w:rPr>
      </w:pPr>
      <w:r w:rsidRPr="0018487F">
        <w:rPr>
          <w:rFonts w:ascii="Arial" w:hAnsi="Arial" w:cs="Arial"/>
          <w:sz w:val="18"/>
          <w:szCs w:val="18"/>
          <w:lang w:val="en-US"/>
        </w:rPr>
        <w:t>N: Number of patients in population; n: Number of patients in specific category; TEAE: Treatment-emergent adverse event</w:t>
      </w:r>
      <w:r w:rsidRPr="00D95C15">
        <w:rPr>
          <w:lang w:val="en-US"/>
        </w:rPr>
        <w:tab/>
      </w:r>
    </w:p>
    <w:p w14:paraId="70EE33FC" w14:textId="77777777" w:rsidR="00C35C1F" w:rsidRPr="0018487F" w:rsidRDefault="00C35C1F" w:rsidP="0018487F">
      <w:pPr>
        <w:pStyle w:val="Heading4"/>
        <w:keepLines w:val="0"/>
        <w:spacing w:before="240" w:after="120"/>
        <w:rPr>
          <w:rFonts w:ascii="Arial" w:hAnsi="Arial" w:cs="Arial"/>
          <w:color w:val="auto"/>
          <w:sz w:val="22"/>
          <w:szCs w:val="22"/>
          <w:lang w:val="en-US"/>
        </w:rPr>
      </w:pPr>
      <w:bookmarkStart w:id="362" w:name="_Ref382237578"/>
      <w:r w:rsidRPr="0018487F">
        <w:rPr>
          <w:rFonts w:ascii="Arial" w:hAnsi="Arial" w:cs="Arial"/>
          <w:color w:val="auto"/>
          <w:sz w:val="22"/>
          <w:szCs w:val="22"/>
          <w:lang w:val="en-US"/>
        </w:rPr>
        <w:lastRenderedPageBreak/>
        <w:t>Tedizolid phosphate had a lower incidence of platelet counts considered below the LLN compared with linezolid, based on the ESTABLISH-1</w:t>
      </w:r>
      <w:bookmarkEnd w:id="362"/>
      <w:r w:rsidRPr="0018487F">
        <w:rPr>
          <w:rFonts w:ascii="Arial" w:hAnsi="Arial" w:cs="Arial"/>
          <w:color w:val="auto"/>
          <w:sz w:val="22"/>
          <w:szCs w:val="22"/>
          <w:lang w:val="en-US"/>
        </w:rPr>
        <w:t xml:space="preserve"> safety data</w:t>
      </w:r>
    </w:p>
    <w:p w14:paraId="7D4D334B" w14:textId="3897746C" w:rsidR="00C35C1F" w:rsidRPr="0018487F" w:rsidRDefault="00C35C1F" w:rsidP="0018487F">
      <w:pPr>
        <w:pStyle w:val="BodyText"/>
        <w:rPr>
          <w:rFonts w:cs="Arial"/>
          <w:sz w:val="22"/>
          <w:szCs w:val="22"/>
          <w:lang w:val="en-US"/>
        </w:rPr>
      </w:pPr>
      <w:r w:rsidRPr="0018487F">
        <w:rPr>
          <w:rFonts w:cs="Arial"/>
          <w:sz w:val="22"/>
          <w:szCs w:val="22"/>
          <w:lang w:val="en-US"/>
        </w:rPr>
        <w:t xml:space="preserve">Measurement of </w:t>
      </w:r>
      <w:r w:rsidR="00597B82">
        <w:rPr>
          <w:rFonts w:cs="Arial"/>
          <w:sz w:val="22"/>
          <w:szCs w:val="22"/>
          <w:lang w:val="en-US"/>
        </w:rPr>
        <w:t>haematology</w:t>
      </w:r>
      <w:r w:rsidRPr="0018487F">
        <w:rPr>
          <w:rFonts w:cs="Arial"/>
          <w:sz w:val="22"/>
          <w:szCs w:val="22"/>
          <w:lang w:val="en-US"/>
        </w:rPr>
        <w:t xml:space="preserve"> parameters in ESTABLISH-1 demonstrated that tedizolid phosphate was associated with lower incidence of abnormal post-baseline </w:t>
      </w:r>
      <w:r w:rsidR="00597B82">
        <w:rPr>
          <w:rFonts w:cs="Arial"/>
          <w:sz w:val="22"/>
          <w:szCs w:val="22"/>
          <w:lang w:val="en-US"/>
        </w:rPr>
        <w:t>haematology</w:t>
      </w:r>
      <w:r w:rsidRPr="0018487F">
        <w:rPr>
          <w:rFonts w:cs="Arial"/>
          <w:sz w:val="22"/>
          <w:szCs w:val="22"/>
          <w:lang w:val="en-US"/>
        </w:rPr>
        <w:t xml:space="preserve"> laboratory values compared with linezolid. Although platelet counts below the LLN were rare and sporadic, platelet counts below the LLN were reported in 9.2% of patients in the tedizolid phosphate group and in 14.9% of patients in the linezolid group. Of these patients, 2.3% and 4.9% in the tedizolid phosphate and linezolid groups, respectively, had substantially abnormal counts at some time during the study. For most of the patients, abnormal counts were isolated incidents (</w:t>
      </w:r>
      <w:r w:rsidRPr="0018487F">
        <w:rPr>
          <w:rFonts w:cs="Arial"/>
          <w:sz w:val="22"/>
          <w:szCs w:val="22"/>
          <w:lang w:val="en-US"/>
        </w:rPr>
        <w:fldChar w:fldCharType="begin"/>
      </w:r>
      <w:r w:rsidRPr="0018487F">
        <w:rPr>
          <w:rFonts w:cs="Arial"/>
          <w:sz w:val="22"/>
          <w:szCs w:val="22"/>
          <w:lang w:val="en-US"/>
        </w:rPr>
        <w:instrText xml:space="preserve"> REF _Ref381609217 \h  \* MERGEFORMAT </w:instrText>
      </w:r>
      <w:r w:rsidRPr="0018487F">
        <w:rPr>
          <w:rFonts w:cs="Arial"/>
          <w:sz w:val="22"/>
          <w:szCs w:val="22"/>
          <w:lang w:val="en-US"/>
        </w:rPr>
      </w:r>
      <w:r w:rsidRPr="0018487F">
        <w:rPr>
          <w:rFonts w:cs="Arial"/>
          <w:sz w:val="22"/>
          <w:szCs w:val="22"/>
          <w:lang w:val="en-US"/>
        </w:rPr>
        <w:fldChar w:fldCharType="separate"/>
      </w:r>
      <w:r w:rsidR="00151A1C" w:rsidRPr="0018487F">
        <w:rPr>
          <w:rFonts w:cs="Arial"/>
          <w:sz w:val="22"/>
          <w:szCs w:val="22"/>
          <w:lang w:val="en-US"/>
        </w:rPr>
        <w:t xml:space="preserve">Table </w:t>
      </w:r>
      <w:r w:rsidR="00151A1C">
        <w:rPr>
          <w:rFonts w:cs="Arial"/>
          <w:sz w:val="22"/>
          <w:szCs w:val="22"/>
          <w:lang w:val="en-US"/>
        </w:rPr>
        <w:t>73</w:t>
      </w:r>
      <w:r w:rsidRPr="0018487F">
        <w:rPr>
          <w:rFonts w:cs="Arial"/>
          <w:sz w:val="22"/>
          <w:szCs w:val="22"/>
          <w:lang w:val="en-US"/>
        </w:rPr>
        <w:fldChar w:fldCharType="end"/>
      </w:r>
      <w:r w:rsidRPr="0018487F">
        <w:rPr>
          <w:rFonts w:cs="Arial"/>
          <w:sz w:val="22"/>
          <w:szCs w:val="22"/>
          <w:lang w:val="en-US"/>
        </w:rPr>
        <w:t>). Further, the proportion of patients with post-baseline absolute neutrophil count (ANC) counts classed as below LLN was low in both the tedizolid phosphate and linezolid group (2.4% vs. 4.4%) (</w:t>
      </w:r>
      <w:r w:rsidRPr="0018487F">
        <w:rPr>
          <w:rFonts w:cs="Arial"/>
          <w:sz w:val="22"/>
          <w:szCs w:val="22"/>
          <w:lang w:val="en-US"/>
        </w:rPr>
        <w:fldChar w:fldCharType="begin"/>
      </w:r>
      <w:r w:rsidRPr="0018487F">
        <w:rPr>
          <w:rFonts w:cs="Arial"/>
          <w:sz w:val="22"/>
          <w:szCs w:val="22"/>
          <w:lang w:val="en-US"/>
        </w:rPr>
        <w:instrText xml:space="preserve"> REF _Ref381609217 \h  \* MERGEFORMAT </w:instrText>
      </w:r>
      <w:r w:rsidRPr="0018487F">
        <w:rPr>
          <w:rFonts w:cs="Arial"/>
          <w:sz w:val="22"/>
          <w:szCs w:val="22"/>
          <w:lang w:val="en-US"/>
        </w:rPr>
      </w:r>
      <w:r w:rsidRPr="0018487F">
        <w:rPr>
          <w:rFonts w:cs="Arial"/>
          <w:sz w:val="22"/>
          <w:szCs w:val="22"/>
          <w:lang w:val="en-US"/>
        </w:rPr>
        <w:fldChar w:fldCharType="separate"/>
      </w:r>
      <w:r w:rsidR="00151A1C" w:rsidRPr="0018487F">
        <w:rPr>
          <w:rFonts w:cs="Arial"/>
          <w:sz w:val="22"/>
          <w:szCs w:val="22"/>
          <w:lang w:val="en-US"/>
        </w:rPr>
        <w:t xml:space="preserve">Table </w:t>
      </w:r>
      <w:r w:rsidR="00151A1C">
        <w:rPr>
          <w:rFonts w:cs="Arial"/>
          <w:sz w:val="22"/>
          <w:szCs w:val="22"/>
          <w:lang w:val="en-US"/>
        </w:rPr>
        <w:t>73</w:t>
      </w:r>
      <w:r w:rsidRPr="0018487F">
        <w:rPr>
          <w:rFonts w:cs="Arial"/>
          <w:sz w:val="22"/>
          <w:szCs w:val="22"/>
          <w:lang w:val="en-US"/>
        </w:rPr>
        <w:fldChar w:fldCharType="end"/>
      </w:r>
      <w:r w:rsidRPr="0018487F">
        <w:rPr>
          <w:rFonts w:cs="Arial"/>
          <w:sz w:val="22"/>
          <w:szCs w:val="22"/>
          <w:lang w:val="en-US"/>
        </w:rPr>
        <w:t>)</w:t>
      </w:r>
      <w:r w:rsidR="006D7EB2">
        <w:rPr>
          <w:rFonts w:cs="Arial"/>
          <w:sz w:val="22"/>
          <w:szCs w:val="22"/>
          <w:lang w:val="en-US"/>
        </w:rPr>
        <w:t>(</w:t>
      </w:r>
      <w:r w:rsidR="006D7EB2">
        <w:rPr>
          <w:rFonts w:cs="Arial"/>
          <w:sz w:val="22"/>
          <w:szCs w:val="22"/>
          <w:lang w:val="en-US"/>
        </w:rPr>
        <w:fldChar w:fldCharType="begin"/>
      </w:r>
      <w:r w:rsidR="006D7EB2">
        <w:rPr>
          <w:rFonts w:cs="Arial"/>
          <w:sz w:val="22"/>
          <w:szCs w:val="22"/>
          <w:lang w:val="en-US"/>
        </w:rPr>
        <w:instrText xml:space="preserve"> REF _Ref284171334 \r \h </w:instrText>
      </w:r>
      <w:r w:rsidR="006D7EB2">
        <w:rPr>
          <w:rFonts w:cs="Arial"/>
          <w:sz w:val="22"/>
          <w:szCs w:val="22"/>
          <w:lang w:val="en-US"/>
        </w:rPr>
      </w:r>
      <w:r w:rsidR="006D7EB2">
        <w:rPr>
          <w:rFonts w:cs="Arial"/>
          <w:sz w:val="22"/>
          <w:szCs w:val="22"/>
          <w:lang w:val="en-US"/>
        </w:rPr>
        <w:fldChar w:fldCharType="separate"/>
      </w:r>
      <w:r w:rsidR="00151A1C">
        <w:rPr>
          <w:rFonts w:cs="Arial"/>
          <w:sz w:val="22"/>
          <w:szCs w:val="22"/>
          <w:lang w:val="en-US"/>
        </w:rPr>
        <w:t>41</w:t>
      </w:r>
      <w:r w:rsidR="006D7EB2">
        <w:rPr>
          <w:rFonts w:cs="Arial"/>
          <w:sz w:val="22"/>
          <w:szCs w:val="22"/>
          <w:lang w:val="en-US"/>
        </w:rPr>
        <w:fldChar w:fldCharType="end"/>
      </w:r>
      <w:r w:rsidR="006D7EB2">
        <w:rPr>
          <w:rFonts w:cs="Arial"/>
          <w:sz w:val="22"/>
          <w:szCs w:val="22"/>
          <w:lang w:val="en-US"/>
        </w:rPr>
        <w:t>).</w:t>
      </w:r>
    </w:p>
    <w:p w14:paraId="15B5C20E" w14:textId="740385DD" w:rsidR="00C35C1F" w:rsidRPr="00D95C15" w:rsidRDefault="00C35C1F" w:rsidP="0018487F">
      <w:pPr>
        <w:pStyle w:val="Caption"/>
        <w:jc w:val="left"/>
        <w:rPr>
          <w:lang w:val="en-US"/>
        </w:rPr>
      </w:pPr>
      <w:bookmarkStart w:id="363" w:name="_Ref381609217"/>
      <w:bookmarkStart w:id="364" w:name="_Toc396058472"/>
      <w:r w:rsidRPr="0018487F">
        <w:rPr>
          <w:rFonts w:ascii="Arial" w:hAnsi="Arial" w:cs="Arial"/>
          <w:sz w:val="22"/>
          <w:szCs w:val="22"/>
          <w:lang w:val="en-US"/>
        </w:rPr>
        <w:t xml:space="preserve">Table </w:t>
      </w:r>
      <w:r w:rsidRPr="0018487F">
        <w:rPr>
          <w:rFonts w:ascii="Arial" w:hAnsi="Arial" w:cs="Arial"/>
          <w:sz w:val="22"/>
          <w:szCs w:val="22"/>
          <w:lang w:val="en-US"/>
        </w:rPr>
        <w:fldChar w:fldCharType="begin"/>
      </w:r>
      <w:r w:rsidRPr="0018487F">
        <w:rPr>
          <w:rFonts w:ascii="Arial" w:hAnsi="Arial" w:cs="Arial"/>
          <w:sz w:val="22"/>
          <w:szCs w:val="22"/>
          <w:lang w:val="en-US"/>
        </w:rPr>
        <w:instrText xml:space="preserve"> SEQ Table \* ARABIC </w:instrText>
      </w:r>
      <w:r w:rsidRPr="0018487F">
        <w:rPr>
          <w:rFonts w:ascii="Arial" w:hAnsi="Arial" w:cs="Arial"/>
          <w:sz w:val="22"/>
          <w:szCs w:val="22"/>
          <w:lang w:val="en-US"/>
        </w:rPr>
        <w:fldChar w:fldCharType="separate"/>
      </w:r>
      <w:r w:rsidR="00151A1C">
        <w:rPr>
          <w:rFonts w:ascii="Arial" w:hAnsi="Arial" w:cs="Arial"/>
          <w:noProof/>
          <w:sz w:val="22"/>
          <w:szCs w:val="22"/>
          <w:lang w:val="en-US"/>
        </w:rPr>
        <w:t>73</w:t>
      </w:r>
      <w:r w:rsidRPr="0018487F">
        <w:rPr>
          <w:rFonts w:ascii="Arial" w:hAnsi="Arial" w:cs="Arial"/>
          <w:sz w:val="22"/>
          <w:szCs w:val="22"/>
          <w:lang w:val="en-US"/>
        </w:rPr>
        <w:fldChar w:fldCharType="end"/>
      </w:r>
      <w:bookmarkEnd w:id="363"/>
      <w:r w:rsidRPr="0018487F">
        <w:rPr>
          <w:rFonts w:ascii="Arial" w:hAnsi="Arial" w:cs="Arial"/>
          <w:sz w:val="22"/>
          <w:szCs w:val="22"/>
          <w:lang w:val="en-US"/>
        </w:rPr>
        <w:t xml:space="preserve">: Post-baseline </w:t>
      </w:r>
      <w:r w:rsidR="00597B82">
        <w:rPr>
          <w:rFonts w:ascii="Arial" w:hAnsi="Arial" w:cs="Arial"/>
          <w:sz w:val="22"/>
          <w:szCs w:val="22"/>
          <w:lang w:val="en-US"/>
        </w:rPr>
        <w:t>haematology</w:t>
      </w:r>
      <w:r w:rsidRPr="0018487F">
        <w:rPr>
          <w:rFonts w:ascii="Arial" w:hAnsi="Arial" w:cs="Arial"/>
          <w:sz w:val="22"/>
          <w:szCs w:val="22"/>
          <w:lang w:val="en-US"/>
        </w:rPr>
        <w:t xml:space="preserve"> laboratory values in ESTABLISH-1 (Safety population)</w:t>
      </w:r>
      <w:bookmarkEnd w:id="364"/>
      <w:r w:rsidRPr="00D95C15">
        <w:rPr>
          <w:lang w:val="en-US"/>
        </w:rPr>
        <w:tab/>
      </w:r>
    </w:p>
    <w:tbl>
      <w:tblPr>
        <w:tblStyle w:val="Table-HERONplain"/>
        <w:tblW w:w="0" w:type="auto"/>
        <w:tblLook w:val="04A0" w:firstRow="1" w:lastRow="0" w:firstColumn="1" w:lastColumn="0" w:noHBand="0" w:noVBand="1"/>
      </w:tblPr>
      <w:tblGrid>
        <w:gridCol w:w="5967"/>
        <w:gridCol w:w="1474"/>
        <w:gridCol w:w="1462"/>
      </w:tblGrid>
      <w:tr w:rsidR="00C35C1F" w:rsidRPr="0018487F" w14:paraId="1A5685D9"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8E245A9" w14:textId="3F5CD3BE"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 xml:space="preserve">Post-baseline </w:t>
            </w:r>
            <w:r w:rsidR="00597B82">
              <w:rPr>
                <w:rFonts w:ascii="Arial" w:hAnsi="Arial" w:cs="Arial"/>
                <w:sz w:val="20"/>
                <w:lang w:val="en-US"/>
              </w:rPr>
              <w:t>haematology</w:t>
            </w:r>
            <w:r w:rsidRPr="0018487F">
              <w:rPr>
                <w:rFonts w:ascii="Arial" w:hAnsi="Arial" w:cs="Arial"/>
                <w:sz w:val="20"/>
                <w:lang w:val="en-US"/>
              </w:rPr>
              <w:t xml:space="preserve"> laboratory values </w:t>
            </w:r>
          </w:p>
        </w:tc>
        <w:tc>
          <w:tcPr>
            <w:tcW w:w="1485" w:type="dxa"/>
            <w:shd w:val="clear" w:color="auto" w:fill="auto"/>
            <w:hideMark/>
          </w:tcPr>
          <w:p w14:paraId="1B97558A"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Tedizolid phosphate</w:t>
            </w:r>
          </w:p>
          <w:p w14:paraId="17B94D67"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 (%)</w:t>
            </w:r>
          </w:p>
        </w:tc>
        <w:tc>
          <w:tcPr>
            <w:tcW w:w="1479" w:type="dxa"/>
            <w:shd w:val="clear" w:color="auto" w:fill="auto"/>
            <w:hideMark/>
          </w:tcPr>
          <w:p w14:paraId="3ADB19B9"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Linezolid</w:t>
            </w:r>
          </w:p>
          <w:p w14:paraId="0276959E"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 (%)</w:t>
            </w:r>
          </w:p>
        </w:tc>
      </w:tr>
      <w:tr w:rsidR="00C35C1F" w:rsidRPr="0018487F" w14:paraId="38F30990"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4599933" w14:textId="3977CBF6" w:rsidR="00C35C1F" w:rsidRPr="0018487F" w:rsidRDefault="006F4C8B" w:rsidP="001D3F4A">
            <w:pPr>
              <w:pStyle w:val="TableBodyText-H54"/>
              <w:rPr>
                <w:rFonts w:ascii="Arial" w:hAnsi="Arial" w:cs="Arial"/>
                <w:sz w:val="20"/>
                <w:lang w:val="en-US"/>
              </w:rPr>
            </w:pPr>
            <w:r>
              <w:rPr>
                <w:rFonts w:ascii="Arial" w:hAnsi="Arial" w:cs="Arial"/>
                <w:sz w:val="20"/>
                <w:lang w:val="en-US"/>
              </w:rPr>
              <w:t>Haemoglobin</w:t>
            </w:r>
            <w:r w:rsidR="00C35C1F" w:rsidRPr="0018487F">
              <w:rPr>
                <w:rFonts w:ascii="Arial" w:hAnsi="Arial" w:cs="Arial"/>
                <w:sz w:val="20"/>
                <w:lang w:val="en-US"/>
              </w:rPr>
              <w:t>, N1</w:t>
            </w:r>
          </w:p>
        </w:tc>
        <w:tc>
          <w:tcPr>
            <w:tcW w:w="1485" w:type="dxa"/>
            <w:vAlign w:val="top"/>
            <w:hideMark/>
          </w:tcPr>
          <w:p w14:paraId="7C56E8F4"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310</w:t>
            </w:r>
          </w:p>
        </w:tc>
        <w:tc>
          <w:tcPr>
            <w:tcW w:w="1479" w:type="dxa"/>
            <w:vAlign w:val="top"/>
            <w:hideMark/>
          </w:tcPr>
          <w:p w14:paraId="2D33D805"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310</w:t>
            </w:r>
          </w:p>
        </w:tc>
      </w:tr>
      <w:tr w:rsidR="00C35C1F" w:rsidRPr="0018487F" w14:paraId="6805750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EC2B9AB"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Below LLN</w:t>
            </w:r>
          </w:p>
        </w:tc>
        <w:tc>
          <w:tcPr>
            <w:tcW w:w="1485" w:type="dxa"/>
            <w:vAlign w:val="top"/>
            <w:hideMark/>
          </w:tcPr>
          <w:p w14:paraId="6F59C596"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146 (47.1)</w:t>
            </w:r>
          </w:p>
        </w:tc>
        <w:tc>
          <w:tcPr>
            <w:tcW w:w="1479" w:type="dxa"/>
            <w:vAlign w:val="top"/>
            <w:hideMark/>
          </w:tcPr>
          <w:p w14:paraId="61FDFDFB"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148 (47.7)</w:t>
            </w:r>
          </w:p>
        </w:tc>
      </w:tr>
      <w:tr w:rsidR="00C35C1F" w:rsidRPr="0018487F" w14:paraId="0A05ACEB" w14:textId="77777777" w:rsidTr="00F257F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46673A4" w14:textId="77777777" w:rsidR="00C35C1F" w:rsidRPr="0018487F" w:rsidRDefault="00C35C1F" w:rsidP="001D3F4A">
            <w:pPr>
              <w:rPr>
                <w:rFonts w:cs="Arial"/>
                <w:b w:val="0"/>
                <w:sz w:val="20"/>
                <w:lang w:val="en-US"/>
              </w:rPr>
            </w:pPr>
            <w:r w:rsidRPr="0018487F">
              <w:rPr>
                <w:rFonts w:cs="Arial"/>
                <w:sz w:val="20"/>
                <w:lang w:val="en-US"/>
              </w:rPr>
              <w:t>Substantially abnormal</w:t>
            </w:r>
          </w:p>
        </w:tc>
        <w:tc>
          <w:tcPr>
            <w:tcW w:w="1485" w:type="dxa"/>
            <w:vAlign w:val="top"/>
            <w:hideMark/>
          </w:tcPr>
          <w:p w14:paraId="596F30F8"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0</w:t>
            </w:r>
          </w:p>
        </w:tc>
        <w:tc>
          <w:tcPr>
            <w:tcW w:w="1479" w:type="dxa"/>
            <w:vAlign w:val="top"/>
            <w:hideMark/>
          </w:tcPr>
          <w:p w14:paraId="19B6847F"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 (0.3)</w:t>
            </w:r>
          </w:p>
        </w:tc>
      </w:tr>
      <w:tr w:rsidR="00C35C1F" w:rsidRPr="0018487F" w14:paraId="24228F97"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16C7705E" w14:textId="77777777"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ANC, N1</w:t>
            </w:r>
          </w:p>
        </w:tc>
        <w:tc>
          <w:tcPr>
            <w:tcW w:w="1485" w:type="dxa"/>
            <w:vAlign w:val="top"/>
            <w:hideMark/>
          </w:tcPr>
          <w:p w14:paraId="7C2E7413"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295</w:t>
            </w:r>
          </w:p>
        </w:tc>
        <w:tc>
          <w:tcPr>
            <w:tcW w:w="1479" w:type="dxa"/>
            <w:vAlign w:val="top"/>
            <w:hideMark/>
          </w:tcPr>
          <w:p w14:paraId="1D280A5F"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296</w:t>
            </w:r>
          </w:p>
        </w:tc>
      </w:tr>
      <w:tr w:rsidR="00C35C1F" w:rsidRPr="0018487F" w14:paraId="2B4F5D71"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CEB6CB8"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Below LLN</w:t>
            </w:r>
          </w:p>
        </w:tc>
        <w:tc>
          <w:tcPr>
            <w:tcW w:w="1485" w:type="dxa"/>
            <w:vAlign w:val="top"/>
            <w:hideMark/>
          </w:tcPr>
          <w:p w14:paraId="4EB6B904"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7 (2.4)</w:t>
            </w:r>
          </w:p>
        </w:tc>
        <w:tc>
          <w:tcPr>
            <w:tcW w:w="1479" w:type="dxa"/>
            <w:vAlign w:val="top"/>
            <w:hideMark/>
          </w:tcPr>
          <w:p w14:paraId="52E4B70D"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13 (4.4)</w:t>
            </w:r>
          </w:p>
        </w:tc>
      </w:tr>
      <w:tr w:rsidR="00C35C1F" w:rsidRPr="0018487F" w14:paraId="2B4E5302"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EC08B39" w14:textId="77777777" w:rsidR="00C35C1F" w:rsidRPr="0018487F" w:rsidRDefault="00C35C1F" w:rsidP="001D3F4A">
            <w:pPr>
              <w:rPr>
                <w:rFonts w:cs="Arial"/>
                <w:b w:val="0"/>
                <w:sz w:val="20"/>
                <w:lang w:val="en-US"/>
              </w:rPr>
            </w:pPr>
            <w:r w:rsidRPr="0018487F">
              <w:rPr>
                <w:rFonts w:cs="Arial"/>
                <w:sz w:val="20"/>
                <w:lang w:val="en-US"/>
              </w:rPr>
              <w:t>Substantially abnormal</w:t>
            </w:r>
          </w:p>
        </w:tc>
        <w:tc>
          <w:tcPr>
            <w:tcW w:w="1485" w:type="dxa"/>
            <w:vAlign w:val="top"/>
            <w:hideMark/>
          </w:tcPr>
          <w:p w14:paraId="5BA9D502"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0</w:t>
            </w:r>
          </w:p>
        </w:tc>
        <w:tc>
          <w:tcPr>
            <w:tcW w:w="1479" w:type="dxa"/>
            <w:vAlign w:val="top"/>
            <w:hideMark/>
          </w:tcPr>
          <w:p w14:paraId="1D5D9C9F"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0</w:t>
            </w:r>
          </w:p>
        </w:tc>
      </w:tr>
      <w:tr w:rsidR="00C35C1F" w:rsidRPr="0018487F" w14:paraId="2A5142D3"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6D345FF" w14:textId="77777777"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Platelets, N1</w:t>
            </w:r>
          </w:p>
        </w:tc>
        <w:tc>
          <w:tcPr>
            <w:tcW w:w="1485" w:type="dxa"/>
            <w:vAlign w:val="top"/>
            <w:hideMark/>
          </w:tcPr>
          <w:p w14:paraId="22313269"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304</w:t>
            </w:r>
          </w:p>
        </w:tc>
        <w:tc>
          <w:tcPr>
            <w:tcW w:w="1479" w:type="dxa"/>
            <w:vAlign w:val="top"/>
            <w:hideMark/>
          </w:tcPr>
          <w:p w14:paraId="5467B9D7"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Bold" w:hAnsi="Arial" w:cs="Arial"/>
                <w:sz w:val="20"/>
                <w:lang w:val="en-US"/>
              </w:rPr>
              <w:t>308</w:t>
            </w:r>
          </w:p>
        </w:tc>
      </w:tr>
      <w:tr w:rsidR="00C35C1F" w:rsidRPr="0018487F" w14:paraId="7AEC52F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A7D6AB4"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Below LLN</w:t>
            </w:r>
          </w:p>
        </w:tc>
        <w:tc>
          <w:tcPr>
            <w:tcW w:w="1485" w:type="dxa"/>
            <w:vAlign w:val="top"/>
            <w:hideMark/>
          </w:tcPr>
          <w:p w14:paraId="08732AE6"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 xml:space="preserve">28 (9.2) </w:t>
            </w:r>
          </w:p>
        </w:tc>
        <w:tc>
          <w:tcPr>
            <w:tcW w:w="1479" w:type="dxa"/>
            <w:vAlign w:val="top"/>
            <w:hideMark/>
          </w:tcPr>
          <w:p w14:paraId="4541732D"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46 (14.9)</w:t>
            </w:r>
          </w:p>
        </w:tc>
      </w:tr>
      <w:tr w:rsidR="00C35C1F" w:rsidRPr="0018487F" w14:paraId="49779DA1" w14:textId="77777777" w:rsidTr="00F257F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737FB30" w14:textId="77777777" w:rsidR="00C35C1F" w:rsidRPr="0018487F" w:rsidRDefault="00C35C1F" w:rsidP="001D3F4A">
            <w:pPr>
              <w:rPr>
                <w:rFonts w:cs="Arial"/>
                <w:b w:val="0"/>
                <w:sz w:val="20"/>
                <w:lang w:val="en-US"/>
              </w:rPr>
            </w:pPr>
            <w:r w:rsidRPr="0018487F">
              <w:rPr>
                <w:rFonts w:cs="Arial"/>
                <w:sz w:val="20"/>
                <w:lang w:val="en-US"/>
              </w:rPr>
              <w:t>Substantially abnormal</w:t>
            </w:r>
          </w:p>
        </w:tc>
        <w:tc>
          <w:tcPr>
            <w:tcW w:w="1485" w:type="dxa"/>
            <w:hideMark/>
          </w:tcPr>
          <w:p w14:paraId="19AC4D76"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 xml:space="preserve">7 (2.3) </w:t>
            </w:r>
          </w:p>
        </w:tc>
        <w:tc>
          <w:tcPr>
            <w:tcW w:w="1479" w:type="dxa"/>
            <w:hideMark/>
          </w:tcPr>
          <w:p w14:paraId="0224665D"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15 (4.9)</w:t>
            </w:r>
          </w:p>
        </w:tc>
      </w:tr>
    </w:tbl>
    <w:p w14:paraId="0CE70AE7" w14:textId="6FE550DF" w:rsidR="00C35C1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t xml:space="preserve">SOURCE: </w:t>
      </w:r>
      <w:r w:rsidR="006D7EB2" w:rsidRPr="006D7EB2">
        <w:rPr>
          <w:rFonts w:ascii="Arial" w:hAnsi="Arial" w:cs="Arial"/>
          <w:sz w:val="18"/>
          <w:szCs w:val="18"/>
          <w:lang w:val="en-US"/>
        </w:rPr>
        <w:t>ESTABLISH-1 CSR</w:t>
      </w:r>
      <w:r w:rsidR="006D7EB2">
        <w:rPr>
          <w:rFonts w:ascii="Arial" w:hAnsi="Arial" w:cs="Arial"/>
          <w:sz w:val="18"/>
          <w:szCs w:val="18"/>
          <w:lang w:val="en-US"/>
        </w:rPr>
        <w:t xml:space="preserve"> </w:t>
      </w:r>
      <w:r w:rsidR="006D7EB2">
        <w:rPr>
          <w:rFonts w:ascii="Arial" w:hAnsi="Arial" w:cs="Arial"/>
          <w:sz w:val="18"/>
          <w:szCs w:val="18"/>
          <w:lang w:val="en-US"/>
        </w:rPr>
        <w:fldChar w:fldCharType="begin"/>
      </w:r>
      <w:r w:rsidR="006D7EB2">
        <w:rPr>
          <w:rFonts w:ascii="Arial" w:hAnsi="Arial" w:cs="Arial"/>
          <w:sz w:val="18"/>
          <w:szCs w:val="18"/>
          <w:lang w:val="en-US"/>
        </w:rPr>
        <w:instrText xml:space="preserve"> REF _Ref284171334 \r \h </w:instrText>
      </w:r>
      <w:r w:rsidR="006D7EB2">
        <w:rPr>
          <w:rFonts w:ascii="Arial" w:hAnsi="Arial" w:cs="Arial"/>
          <w:sz w:val="18"/>
          <w:szCs w:val="18"/>
          <w:lang w:val="en-US"/>
        </w:rPr>
      </w:r>
      <w:r w:rsidR="006D7EB2">
        <w:rPr>
          <w:rFonts w:ascii="Arial" w:hAnsi="Arial" w:cs="Arial"/>
          <w:sz w:val="18"/>
          <w:szCs w:val="18"/>
          <w:lang w:val="en-US"/>
        </w:rPr>
        <w:fldChar w:fldCharType="separate"/>
      </w:r>
      <w:r w:rsidR="00151A1C">
        <w:rPr>
          <w:rFonts w:ascii="Arial" w:hAnsi="Arial" w:cs="Arial"/>
          <w:sz w:val="18"/>
          <w:szCs w:val="18"/>
          <w:lang w:val="en-US"/>
        </w:rPr>
        <w:t>41</w:t>
      </w:r>
      <w:r w:rsidR="006D7EB2">
        <w:rPr>
          <w:rFonts w:ascii="Arial" w:hAnsi="Arial" w:cs="Arial"/>
          <w:sz w:val="18"/>
          <w:szCs w:val="18"/>
          <w:lang w:val="en-US"/>
        </w:rPr>
        <w:fldChar w:fldCharType="end"/>
      </w:r>
      <w:r w:rsidRPr="0018487F">
        <w:rPr>
          <w:rFonts w:ascii="Arial" w:hAnsi="Arial" w:cs="Arial"/>
          <w:sz w:val="18"/>
          <w:szCs w:val="18"/>
          <w:lang w:val="en-US"/>
        </w:rPr>
        <w:t xml:space="preserve">: section 12.4.2.3.2 Table 12-13 </w:t>
      </w:r>
    </w:p>
    <w:p w14:paraId="1699E922" w14:textId="77777777" w:rsidR="00C35C1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t xml:space="preserve">Note: Substantially abnormal is defined as </w:t>
      </w:r>
      <w:r w:rsidRPr="0018487F">
        <w:rPr>
          <w:rFonts w:ascii="Arial" w:eastAsia="TimesNewRoman" w:hAnsi="Arial" w:cs="Arial"/>
          <w:sz w:val="18"/>
          <w:szCs w:val="18"/>
          <w:lang w:val="en-US"/>
        </w:rPr>
        <w:t>&lt;75% of the LLN</w:t>
      </w:r>
      <w:r w:rsidRPr="0018487F">
        <w:rPr>
          <w:rFonts w:ascii="Arial" w:hAnsi="Arial" w:cs="Arial"/>
          <w:sz w:val="18"/>
          <w:szCs w:val="18"/>
          <w:lang w:val="en-US"/>
        </w:rPr>
        <w:t xml:space="preserve"> (&lt;50% of ANC) for values normal at baseline and &lt;75% of the LLN (&lt;50% for ANC) and of baseline for values abnormal at baseline</w:t>
      </w:r>
    </w:p>
    <w:p w14:paraId="29916D15" w14:textId="77777777" w:rsidR="00C35C1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lastRenderedPageBreak/>
        <w:t>ANC: Absolute neutrophil count; LLN: Lower limit of normal; N1: Number of patients in the population with the specified clinical laboratory value at baseline and post baseline; n: Number of patients in specific category</w:t>
      </w:r>
    </w:p>
    <w:p w14:paraId="4B128D27" w14:textId="77777777" w:rsidR="00C35C1F" w:rsidRPr="0018487F" w:rsidRDefault="00C35C1F" w:rsidP="0018487F">
      <w:pPr>
        <w:pStyle w:val="Heading4"/>
        <w:keepLines w:val="0"/>
        <w:spacing w:before="240" w:after="120"/>
        <w:rPr>
          <w:rFonts w:ascii="Arial" w:hAnsi="Arial" w:cs="Arial"/>
          <w:color w:val="auto"/>
          <w:sz w:val="22"/>
          <w:szCs w:val="22"/>
          <w:lang w:val="en-US"/>
        </w:rPr>
      </w:pPr>
      <w:bookmarkStart w:id="365" w:name="_Ref384391575"/>
      <w:r w:rsidRPr="0018487F">
        <w:rPr>
          <w:rFonts w:ascii="Arial" w:hAnsi="Arial" w:cs="Arial"/>
          <w:color w:val="auto"/>
          <w:sz w:val="22"/>
          <w:szCs w:val="22"/>
          <w:lang w:val="en-US"/>
        </w:rPr>
        <w:t>Tedizolid phosphate was associated with no observed risk of nephrotoxicity based on the ESTABLISH-1 safety data</w:t>
      </w:r>
      <w:bookmarkEnd w:id="365"/>
    </w:p>
    <w:p w14:paraId="683F037E" w14:textId="25B53229" w:rsidR="00582249" w:rsidRDefault="00C35C1F" w:rsidP="00582249">
      <w:pPr>
        <w:rPr>
          <w:rFonts w:cs="Arial"/>
          <w:sz w:val="22"/>
          <w:szCs w:val="22"/>
          <w:lang w:val="en-US"/>
        </w:rPr>
      </w:pPr>
      <w:r w:rsidRPr="0018487F">
        <w:rPr>
          <w:rFonts w:cs="Arial"/>
          <w:sz w:val="22"/>
          <w:szCs w:val="22"/>
          <w:lang w:val="en-US"/>
        </w:rPr>
        <w:t>Measurement of laboratory parameters in ESTABLISH-1 demonstrated that tedizolid phosphate was associated with no observed risk of nephrotoxicity. The proportion of patients with post-baseline serum creatinine values classed as above the upper limit of normal was comparable between the tedizolid phosphate and linezolid groups (14.8% vs. 17.4%)</w:t>
      </w:r>
      <w:r w:rsidR="00582249">
        <w:rPr>
          <w:rFonts w:cs="Arial"/>
          <w:sz w:val="22"/>
          <w:szCs w:val="22"/>
          <w:lang w:val="en-US"/>
        </w:rPr>
        <w:t>(Table 74).</w:t>
      </w:r>
    </w:p>
    <w:p w14:paraId="79CF6DD3" w14:textId="77777777" w:rsidR="00582249" w:rsidRDefault="00582249" w:rsidP="00582249">
      <w:pPr>
        <w:rPr>
          <w:rFonts w:cs="Arial"/>
          <w:sz w:val="22"/>
          <w:szCs w:val="22"/>
          <w:lang w:val="en-US"/>
        </w:rPr>
      </w:pPr>
    </w:p>
    <w:p w14:paraId="21BDF8CC" w14:textId="144411A6" w:rsidR="00C35C1F" w:rsidRDefault="00C35C1F" w:rsidP="00257B24">
      <w:pPr>
        <w:rPr>
          <w:rFonts w:cs="Arial"/>
          <w:sz w:val="22"/>
          <w:szCs w:val="22"/>
          <w:lang w:val="en-US"/>
        </w:rPr>
      </w:pPr>
      <w:r w:rsidRPr="0018487F">
        <w:rPr>
          <w:rFonts w:cs="Arial"/>
          <w:sz w:val="22"/>
          <w:szCs w:val="22"/>
          <w:lang w:val="en-US"/>
        </w:rPr>
        <w:t>In addition, the proportion of patients with post-baseline blood urea nitrogen (BUN) values classed as above the upper limit of normal was also low and comparable in both the tedizolid phosphate and linezolid groups (4.7% vs. 5.4%)</w:t>
      </w:r>
      <w:r w:rsidR="00582249">
        <w:rPr>
          <w:rFonts w:cs="Arial"/>
          <w:sz w:val="22"/>
          <w:szCs w:val="22"/>
          <w:lang w:val="en-US"/>
        </w:rPr>
        <w:t>(Table 74).</w:t>
      </w:r>
      <w:r w:rsidRPr="0018487F">
        <w:rPr>
          <w:rFonts w:cs="Arial"/>
          <w:sz w:val="22"/>
          <w:szCs w:val="22"/>
          <w:lang w:val="en-US"/>
        </w:rPr>
        <w:t>No patients in the tedizolid phosphate group experienced substantially abnormal values for serum creatinine and BUN compared with two patients in the linezolid group (serum creatinine: one patient; BUN: one patient)</w:t>
      </w:r>
      <w:bookmarkStart w:id="366" w:name="_Ref384388622"/>
      <w:r w:rsidR="006D7EB2">
        <w:rPr>
          <w:rFonts w:cs="Arial"/>
          <w:sz w:val="22"/>
          <w:szCs w:val="22"/>
          <w:lang w:val="en-US"/>
        </w:rPr>
        <w:t>(</w:t>
      </w:r>
      <w:r w:rsidR="006D7EB2">
        <w:rPr>
          <w:rFonts w:cs="Arial"/>
          <w:sz w:val="22"/>
          <w:szCs w:val="22"/>
          <w:lang w:val="en-US"/>
        </w:rPr>
        <w:fldChar w:fldCharType="begin"/>
      </w:r>
      <w:r w:rsidR="006D7EB2">
        <w:rPr>
          <w:rFonts w:cs="Arial"/>
          <w:sz w:val="22"/>
          <w:szCs w:val="22"/>
          <w:lang w:val="en-US"/>
        </w:rPr>
        <w:instrText xml:space="preserve"> REF _Ref284171334 \r \h </w:instrText>
      </w:r>
      <w:r w:rsidR="006D7EB2">
        <w:rPr>
          <w:rFonts w:cs="Arial"/>
          <w:sz w:val="22"/>
          <w:szCs w:val="22"/>
          <w:lang w:val="en-US"/>
        </w:rPr>
      </w:r>
      <w:r w:rsidR="006D7EB2">
        <w:rPr>
          <w:rFonts w:cs="Arial"/>
          <w:sz w:val="22"/>
          <w:szCs w:val="22"/>
          <w:lang w:val="en-US"/>
        </w:rPr>
        <w:fldChar w:fldCharType="separate"/>
      </w:r>
      <w:r w:rsidR="00151A1C">
        <w:rPr>
          <w:rFonts w:cs="Arial"/>
          <w:sz w:val="22"/>
          <w:szCs w:val="22"/>
          <w:lang w:val="en-US"/>
        </w:rPr>
        <w:t>41</w:t>
      </w:r>
      <w:r w:rsidR="006D7EB2">
        <w:rPr>
          <w:rFonts w:cs="Arial"/>
          <w:sz w:val="22"/>
          <w:szCs w:val="22"/>
          <w:lang w:val="en-US"/>
        </w:rPr>
        <w:fldChar w:fldCharType="end"/>
      </w:r>
      <w:r w:rsidR="006D7EB2">
        <w:rPr>
          <w:rFonts w:cs="Arial"/>
          <w:sz w:val="22"/>
          <w:szCs w:val="22"/>
          <w:lang w:val="en-US"/>
        </w:rPr>
        <w:t>).</w:t>
      </w:r>
      <w:r w:rsidR="006D7EB2" w:rsidRPr="0018487F">
        <w:rPr>
          <w:rFonts w:cs="Arial"/>
          <w:sz w:val="22"/>
          <w:szCs w:val="22"/>
          <w:lang w:val="en-US"/>
        </w:rPr>
        <w:t xml:space="preserve"> </w:t>
      </w:r>
    </w:p>
    <w:p w14:paraId="1265D8B0" w14:textId="77777777" w:rsidR="00582249" w:rsidRPr="00582249" w:rsidRDefault="00582249" w:rsidP="00257B24">
      <w:pPr>
        <w:rPr>
          <w:rFonts w:cs="Arial"/>
          <w:sz w:val="22"/>
          <w:szCs w:val="22"/>
          <w:lang w:val="en-US"/>
        </w:rPr>
      </w:pPr>
    </w:p>
    <w:p w14:paraId="2D8CA754" w14:textId="002DD91C" w:rsidR="00C35C1F" w:rsidRPr="00243610" w:rsidRDefault="00C35C1F" w:rsidP="00243610">
      <w:pPr>
        <w:rPr>
          <w:rFonts w:cs="Arial"/>
          <w:b/>
          <w:sz w:val="22"/>
          <w:szCs w:val="22"/>
        </w:rPr>
      </w:pPr>
      <w:bookmarkStart w:id="367" w:name="_Ref394409247"/>
      <w:bookmarkStart w:id="368" w:name="_Toc396058473"/>
      <w:r w:rsidRPr="00243610">
        <w:rPr>
          <w:rFonts w:cs="Arial"/>
          <w:b/>
          <w:sz w:val="22"/>
          <w:szCs w:val="22"/>
          <w:lang w:val="en-US"/>
        </w:rPr>
        <w:t xml:space="preserve">Table </w:t>
      </w:r>
      <w:r w:rsidRPr="00243610">
        <w:rPr>
          <w:rFonts w:cs="Arial"/>
          <w:b/>
          <w:sz w:val="22"/>
          <w:szCs w:val="22"/>
          <w:lang w:val="en-US"/>
        </w:rPr>
        <w:fldChar w:fldCharType="begin"/>
      </w:r>
      <w:r w:rsidRPr="00243610">
        <w:rPr>
          <w:rFonts w:cs="Arial"/>
          <w:b/>
          <w:sz w:val="22"/>
          <w:szCs w:val="22"/>
          <w:lang w:val="en-US"/>
        </w:rPr>
        <w:instrText xml:space="preserve"> SEQ Table \* ARABIC </w:instrText>
      </w:r>
      <w:r w:rsidRPr="00243610">
        <w:rPr>
          <w:rFonts w:cs="Arial"/>
          <w:b/>
          <w:sz w:val="22"/>
          <w:szCs w:val="22"/>
          <w:lang w:val="en-US"/>
        </w:rPr>
        <w:fldChar w:fldCharType="separate"/>
      </w:r>
      <w:r w:rsidR="00151A1C">
        <w:rPr>
          <w:rFonts w:cs="Arial"/>
          <w:b/>
          <w:noProof/>
          <w:sz w:val="22"/>
          <w:szCs w:val="22"/>
          <w:lang w:val="en-US"/>
        </w:rPr>
        <w:t>74</w:t>
      </w:r>
      <w:r w:rsidRPr="00243610">
        <w:rPr>
          <w:rFonts w:cs="Arial"/>
          <w:b/>
          <w:sz w:val="22"/>
          <w:szCs w:val="22"/>
          <w:lang w:val="en-US"/>
        </w:rPr>
        <w:fldChar w:fldCharType="end"/>
      </w:r>
      <w:bookmarkEnd w:id="366"/>
      <w:bookmarkEnd w:id="367"/>
      <w:r w:rsidRPr="00243610">
        <w:rPr>
          <w:rFonts w:cs="Arial"/>
          <w:b/>
          <w:sz w:val="22"/>
          <w:szCs w:val="22"/>
          <w:lang w:val="en-US"/>
        </w:rPr>
        <w:t>: Post-baseline serum creatinine and BUN laboratory values in ESTABLISH-1 (Safety population)</w:t>
      </w:r>
      <w:bookmarkEnd w:id="368"/>
    </w:p>
    <w:tbl>
      <w:tblPr>
        <w:tblStyle w:val="Table-HERONplain"/>
        <w:tblW w:w="0" w:type="auto"/>
        <w:tblLook w:val="04A0" w:firstRow="1" w:lastRow="0" w:firstColumn="1" w:lastColumn="0" w:noHBand="0" w:noVBand="1"/>
      </w:tblPr>
      <w:tblGrid>
        <w:gridCol w:w="5967"/>
        <w:gridCol w:w="1474"/>
        <w:gridCol w:w="1462"/>
      </w:tblGrid>
      <w:tr w:rsidR="00C35C1F" w:rsidRPr="0018487F" w14:paraId="07821EB2"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7FC07F4" w14:textId="77777777"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 xml:space="preserve">Post-baseline laboratory values </w:t>
            </w:r>
          </w:p>
        </w:tc>
        <w:tc>
          <w:tcPr>
            <w:tcW w:w="1485" w:type="dxa"/>
            <w:shd w:val="clear" w:color="auto" w:fill="auto"/>
            <w:hideMark/>
          </w:tcPr>
          <w:p w14:paraId="6AC9C539"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Tedizolid phosphate</w:t>
            </w:r>
          </w:p>
          <w:p w14:paraId="59A014A4"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(N=331)</w:t>
            </w:r>
          </w:p>
          <w:p w14:paraId="6D44B802"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 (%)</w:t>
            </w:r>
          </w:p>
        </w:tc>
        <w:tc>
          <w:tcPr>
            <w:tcW w:w="1479" w:type="dxa"/>
            <w:shd w:val="clear" w:color="auto" w:fill="auto"/>
            <w:hideMark/>
          </w:tcPr>
          <w:p w14:paraId="00541C2B"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Linezolid</w:t>
            </w:r>
          </w:p>
          <w:p w14:paraId="35C93F6A"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(N=335)</w:t>
            </w:r>
          </w:p>
          <w:p w14:paraId="04929C48" w14:textId="77777777" w:rsidR="00C35C1F" w:rsidRPr="0018487F"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18487F">
              <w:rPr>
                <w:rFonts w:ascii="Arial" w:hAnsi="Arial" w:cs="Arial"/>
                <w:sz w:val="20"/>
                <w:lang w:val="en-US"/>
              </w:rPr>
              <w:t>n (%)</w:t>
            </w:r>
          </w:p>
        </w:tc>
      </w:tr>
      <w:tr w:rsidR="00C35C1F" w:rsidRPr="0018487F" w14:paraId="0DDDA61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5E05068" w14:textId="77777777"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Serum creatinine, N1</w:t>
            </w:r>
          </w:p>
        </w:tc>
        <w:tc>
          <w:tcPr>
            <w:tcW w:w="1485" w:type="dxa"/>
            <w:vAlign w:val="top"/>
            <w:hideMark/>
          </w:tcPr>
          <w:p w14:paraId="29797309"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18487F">
              <w:rPr>
                <w:rFonts w:ascii="Arial" w:eastAsia="TimesNewRoman,Bold" w:hAnsi="Arial" w:cs="Arial"/>
                <w:sz w:val="20"/>
                <w:lang w:val="en-US"/>
              </w:rPr>
              <w:t xml:space="preserve">317 </w:t>
            </w:r>
          </w:p>
        </w:tc>
        <w:tc>
          <w:tcPr>
            <w:tcW w:w="1479" w:type="dxa"/>
            <w:vAlign w:val="top"/>
            <w:hideMark/>
          </w:tcPr>
          <w:p w14:paraId="333EDE29"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18487F">
              <w:rPr>
                <w:rFonts w:ascii="Arial" w:eastAsia="TimesNewRoman,Bold" w:hAnsi="Arial" w:cs="Arial"/>
                <w:sz w:val="20"/>
                <w:lang w:val="en-US"/>
              </w:rPr>
              <w:t xml:space="preserve">317 </w:t>
            </w:r>
          </w:p>
        </w:tc>
      </w:tr>
      <w:tr w:rsidR="00C35C1F" w:rsidRPr="0018487F" w14:paraId="2C5E94D3"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B394FA5"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Above ULN</w:t>
            </w:r>
          </w:p>
        </w:tc>
        <w:tc>
          <w:tcPr>
            <w:tcW w:w="1485" w:type="dxa"/>
            <w:vAlign w:val="top"/>
            <w:hideMark/>
          </w:tcPr>
          <w:p w14:paraId="30B12284"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47 (14.8)</w:t>
            </w:r>
          </w:p>
        </w:tc>
        <w:tc>
          <w:tcPr>
            <w:tcW w:w="1479" w:type="dxa"/>
            <w:vAlign w:val="top"/>
            <w:hideMark/>
          </w:tcPr>
          <w:p w14:paraId="1685F6ED"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55 (17.4)</w:t>
            </w:r>
          </w:p>
        </w:tc>
      </w:tr>
      <w:tr w:rsidR="00C35C1F" w:rsidRPr="0018487F" w14:paraId="69522704"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3803B5E"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Substantially abnormal</w:t>
            </w:r>
          </w:p>
        </w:tc>
        <w:tc>
          <w:tcPr>
            <w:tcW w:w="1485" w:type="dxa"/>
            <w:vAlign w:val="top"/>
            <w:hideMark/>
          </w:tcPr>
          <w:p w14:paraId="29726163"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0</w:t>
            </w:r>
          </w:p>
        </w:tc>
        <w:tc>
          <w:tcPr>
            <w:tcW w:w="1479" w:type="dxa"/>
            <w:vAlign w:val="top"/>
            <w:hideMark/>
          </w:tcPr>
          <w:p w14:paraId="240EDD72"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 (0.3)</w:t>
            </w:r>
          </w:p>
        </w:tc>
      </w:tr>
      <w:tr w:rsidR="00C35C1F" w:rsidRPr="0018487F" w14:paraId="7D34E3E4"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FAFC509" w14:textId="77777777" w:rsidR="00C35C1F" w:rsidRPr="0018487F" w:rsidRDefault="00C35C1F" w:rsidP="001D3F4A">
            <w:pPr>
              <w:pStyle w:val="TableBodyText-H54"/>
              <w:rPr>
                <w:rFonts w:ascii="Arial" w:hAnsi="Arial" w:cs="Arial"/>
                <w:sz w:val="20"/>
                <w:lang w:val="en-US"/>
              </w:rPr>
            </w:pPr>
            <w:r w:rsidRPr="0018487F">
              <w:rPr>
                <w:rFonts w:ascii="Arial" w:hAnsi="Arial" w:cs="Arial"/>
                <w:sz w:val="20"/>
                <w:lang w:val="en-US"/>
              </w:rPr>
              <w:t xml:space="preserve">BUN, N1 </w:t>
            </w:r>
          </w:p>
        </w:tc>
        <w:tc>
          <w:tcPr>
            <w:tcW w:w="1485" w:type="dxa"/>
            <w:vAlign w:val="top"/>
            <w:hideMark/>
          </w:tcPr>
          <w:p w14:paraId="6526920E"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Bold" w:hAnsi="Arial" w:cs="Arial"/>
                <w:sz w:val="20"/>
                <w:lang w:val="en-US"/>
              </w:rPr>
            </w:pPr>
            <w:r w:rsidRPr="0018487F">
              <w:rPr>
                <w:rFonts w:ascii="Arial" w:eastAsia="TimesNewRoman,Bold" w:hAnsi="Arial" w:cs="Arial"/>
                <w:sz w:val="20"/>
                <w:lang w:val="en-US"/>
              </w:rPr>
              <w:t xml:space="preserve">317 </w:t>
            </w:r>
          </w:p>
        </w:tc>
        <w:tc>
          <w:tcPr>
            <w:tcW w:w="1479" w:type="dxa"/>
            <w:vAlign w:val="top"/>
            <w:hideMark/>
          </w:tcPr>
          <w:p w14:paraId="13BE0E3D"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Bold" w:hAnsi="Arial" w:cs="Arial"/>
                <w:sz w:val="20"/>
                <w:lang w:val="en-US"/>
              </w:rPr>
            </w:pPr>
            <w:r w:rsidRPr="0018487F">
              <w:rPr>
                <w:rFonts w:ascii="Arial" w:eastAsia="TimesNewRoman,Bold" w:hAnsi="Arial" w:cs="Arial"/>
                <w:sz w:val="20"/>
                <w:lang w:val="en-US"/>
              </w:rPr>
              <w:t xml:space="preserve">317 </w:t>
            </w:r>
          </w:p>
        </w:tc>
      </w:tr>
      <w:tr w:rsidR="00C35C1F" w:rsidRPr="0018487F" w14:paraId="145C67AD"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7117A8B2"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Above ULN</w:t>
            </w:r>
          </w:p>
        </w:tc>
        <w:tc>
          <w:tcPr>
            <w:tcW w:w="1485" w:type="dxa"/>
            <w:vAlign w:val="top"/>
            <w:hideMark/>
          </w:tcPr>
          <w:p w14:paraId="33AFB312"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15 (4.7)</w:t>
            </w:r>
          </w:p>
        </w:tc>
        <w:tc>
          <w:tcPr>
            <w:tcW w:w="1479" w:type="dxa"/>
            <w:vAlign w:val="top"/>
            <w:hideMark/>
          </w:tcPr>
          <w:p w14:paraId="76757D7F" w14:textId="77777777" w:rsidR="00C35C1F" w:rsidRPr="0018487F"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18487F">
              <w:rPr>
                <w:rFonts w:ascii="Arial" w:eastAsia="TimesNewRoman" w:hAnsi="Arial" w:cs="Arial"/>
                <w:sz w:val="20"/>
                <w:lang w:val="en-US"/>
              </w:rPr>
              <w:t>17 (5.4)</w:t>
            </w:r>
          </w:p>
        </w:tc>
      </w:tr>
      <w:tr w:rsidR="00C35C1F" w:rsidRPr="0018487F" w14:paraId="1F52F18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802191C" w14:textId="77777777" w:rsidR="00C35C1F" w:rsidRPr="0018487F" w:rsidRDefault="00C35C1F" w:rsidP="001D3F4A">
            <w:pPr>
              <w:pStyle w:val="TableBodyText-H54"/>
              <w:rPr>
                <w:rFonts w:ascii="Arial" w:hAnsi="Arial" w:cs="Arial"/>
                <w:b w:val="0"/>
                <w:sz w:val="20"/>
                <w:lang w:val="en-US"/>
              </w:rPr>
            </w:pPr>
            <w:r w:rsidRPr="0018487F">
              <w:rPr>
                <w:rFonts w:ascii="Arial" w:hAnsi="Arial" w:cs="Arial"/>
                <w:sz w:val="20"/>
                <w:lang w:val="en-US"/>
              </w:rPr>
              <w:t>Substantially abnormal</w:t>
            </w:r>
          </w:p>
        </w:tc>
        <w:tc>
          <w:tcPr>
            <w:tcW w:w="1485" w:type="dxa"/>
            <w:vAlign w:val="top"/>
            <w:hideMark/>
          </w:tcPr>
          <w:p w14:paraId="438A2907"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0</w:t>
            </w:r>
          </w:p>
        </w:tc>
        <w:tc>
          <w:tcPr>
            <w:tcW w:w="1479" w:type="dxa"/>
            <w:vAlign w:val="top"/>
            <w:hideMark/>
          </w:tcPr>
          <w:p w14:paraId="2654D3ED" w14:textId="77777777" w:rsidR="00C35C1F" w:rsidRPr="0018487F"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18487F">
              <w:rPr>
                <w:rFonts w:ascii="Arial" w:eastAsia="TimesNewRoman" w:hAnsi="Arial" w:cs="Arial"/>
                <w:sz w:val="20"/>
                <w:lang w:val="en-US"/>
              </w:rPr>
              <w:t>1 (0.3)</w:t>
            </w:r>
          </w:p>
        </w:tc>
      </w:tr>
    </w:tbl>
    <w:p w14:paraId="3B1566AC" w14:textId="39DE5758" w:rsidR="0018487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t xml:space="preserve">SOURCE: </w:t>
      </w:r>
      <w:r w:rsidR="00243610" w:rsidRPr="006D7EB2">
        <w:rPr>
          <w:rFonts w:ascii="Arial" w:hAnsi="Arial" w:cs="Arial"/>
          <w:sz w:val="18"/>
          <w:szCs w:val="18"/>
          <w:lang w:val="en-US"/>
        </w:rPr>
        <w:t>ESTABLISH-1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_Ref284171334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41</w:t>
      </w:r>
      <w:r w:rsidR="00243610">
        <w:rPr>
          <w:rFonts w:ascii="Arial" w:hAnsi="Arial" w:cs="Arial"/>
          <w:sz w:val="18"/>
          <w:szCs w:val="18"/>
          <w:lang w:val="en-US"/>
        </w:rPr>
        <w:fldChar w:fldCharType="end"/>
      </w:r>
      <w:r w:rsidRPr="0018487F">
        <w:rPr>
          <w:rFonts w:ascii="Arial" w:hAnsi="Arial" w:cs="Arial"/>
          <w:sz w:val="18"/>
          <w:szCs w:val="18"/>
          <w:lang w:val="en-US"/>
        </w:rPr>
        <w:t xml:space="preserve">: section 12.4.2.3.1 Table 12-11 </w:t>
      </w:r>
    </w:p>
    <w:p w14:paraId="067B7BA2" w14:textId="3F109659" w:rsidR="00C35C1F" w:rsidRPr="0018487F" w:rsidRDefault="00C35C1F" w:rsidP="0018487F">
      <w:pPr>
        <w:pStyle w:val="TableNote-H58"/>
        <w:spacing w:before="0" w:after="0"/>
        <w:rPr>
          <w:rFonts w:ascii="Arial" w:hAnsi="Arial" w:cs="Arial"/>
          <w:sz w:val="18"/>
          <w:szCs w:val="18"/>
          <w:lang w:val="en-US"/>
        </w:rPr>
      </w:pPr>
      <w:r w:rsidRPr="0018487F">
        <w:rPr>
          <w:rFonts w:ascii="Arial" w:hAnsi="Arial" w:cs="Arial"/>
          <w:sz w:val="18"/>
          <w:szCs w:val="18"/>
          <w:lang w:val="en-US"/>
        </w:rPr>
        <w:lastRenderedPageBreak/>
        <w:t xml:space="preserve">BUN: Blood urea nitrogen; N: Number of patients in the population; N1: Number of patients in the population with the specified clinical laboratory value at baseline and post baseline; n: Number of patients in the specific category based on SI results; ULN: Upper limit of normal </w:t>
      </w:r>
    </w:p>
    <w:p w14:paraId="7DAF1F2C" w14:textId="77777777" w:rsidR="0018487F" w:rsidRDefault="0018487F" w:rsidP="0018487F">
      <w:pPr>
        <w:rPr>
          <w:rFonts w:cs="Arial"/>
          <w:b/>
          <w:sz w:val="22"/>
          <w:szCs w:val="22"/>
          <w:u w:val="single"/>
        </w:rPr>
      </w:pPr>
      <w:bookmarkStart w:id="369" w:name="_Ref382237959"/>
      <w:bookmarkStart w:id="370" w:name="_Toc396058838"/>
    </w:p>
    <w:p w14:paraId="45EBAF41" w14:textId="1778E306" w:rsidR="0018487F" w:rsidRPr="0018487F" w:rsidRDefault="0018487F" w:rsidP="0018487F">
      <w:pPr>
        <w:rPr>
          <w:rFonts w:cs="Arial"/>
          <w:b/>
          <w:sz w:val="22"/>
          <w:szCs w:val="22"/>
          <w:u w:val="single"/>
        </w:rPr>
      </w:pPr>
      <w:r>
        <w:rPr>
          <w:rFonts w:cs="Arial"/>
          <w:b/>
          <w:sz w:val="22"/>
          <w:szCs w:val="22"/>
          <w:u w:val="single"/>
        </w:rPr>
        <w:t>ESTABLISH-</w:t>
      </w:r>
      <w:r w:rsidR="00243610">
        <w:rPr>
          <w:rFonts w:cs="Arial"/>
          <w:b/>
          <w:sz w:val="22"/>
          <w:szCs w:val="22"/>
          <w:u w:val="single"/>
        </w:rPr>
        <w:t>2</w:t>
      </w:r>
    </w:p>
    <w:p w14:paraId="4A42AFC5" w14:textId="77777777" w:rsidR="00C35C1F" w:rsidRPr="00596FD1" w:rsidRDefault="00C35C1F" w:rsidP="0018487F">
      <w:pPr>
        <w:pStyle w:val="Heading3"/>
        <w:keepLines w:val="0"/>
        <w:spacing w:before="240" w:after="120"/>
        <w:rPr>
          <w:rFonts w:ascii="Arial" w:hAnsi="Arial" w:cs="Arial"/>
          <w:color w:val="auto"/>
          <w:sz w:val="22"/>
          <w:szCs w:val="22"/>
          <w:lang w:val="en-US"/>
        </w:rPr>
      </w:pPr>
      <w:r w:rsidRPr="00596FD1">
        <w:rPr>
          <w:rFonts w:ascii="Arial" w:hAnsi="Arial" w:cs="Arial"/>
          <w:color w:val="auto"/>
          <w:sz w:val="22"/>
          <w:szCs w:val="22"/>
          <w:lang w:val="en-US"/>
        </w:rPr>
        <w:t>Tedizolid phosphate (IV-to-oral switch dosing) exhibited a well-tolerated safety profile in ESTABLISH-2</w:t>
      </w:r>
      <w:bookmarkEnd w:id="369"/>
      <w:bookmarkEnd w:id="370"/>
      <w:r w:rsidRPr="00596FD1">
        <w:rPr>
          <w:rFonts w:ascii="Arial" w:hAnsi="Arial" w:cs="Arial"/>
          <w:color w:val="auto"/>
          <w:sz w:val="22"/>
          <w:szCs w:val="22"/>
          <w:lang w:val="en-US"/>
        </w:rPr>
        <w:t xml:space="preserve"> </w:t>
      </w:r>
    </w:p>
    <w:p w14:paraId="182B7E0A" w14:textId="29565B0F" w:rsidR="0018487F" w:rsidRPr="00596FD1" w:rsidRDefault="0018487F" w:rsidP="00596FD1">
      <w:pPr>
        <w:rPr>
          <w:rStyle w:val="BodyText-highlighted-H11"/>
          <w:rFonts w:ascii="Arial" w:eastAsiaTheme="minorEastAsia" w:hAnsi="Arial" w:cs="Arial"/>
          <w:sz w:val="22"/>
          <w:szCs w:val="22"/>
          <w:shd w:val="clear" w:color="auto" w:fill="auto"/>
        </w:rPr>
      </w:pPr>
      <w:r w:rsidRPr="00596FD1">
        <w:rPr>
          <w:rFonts w:cs="Arial"/>
          <w:sz w:val="22"/>
          <w:szCs w:val="22"/>
        </w:rPr>
        <w:t>In ESTABLISH-2, 331/332 patients who were enrolled in the tedizolid phosphate group and 327/334 patients in the linezolid group were included in the Safety population (CSR). Overall, IV-to-oral tedizolid phosphate was well tolerated, with the majority of TEAEs experienced being mild or moderate in severity. Further, there was a lower incidence of gastrointestinal AEs including nausea and vominting in the tedizolid phosphate group compared with linezolid (</w:t>
      </w:r>
      <w:r w:rsidR="00243610">
        <w:rPr>
          <w:rFonts w:cs="Arial"/>
          <w:sz w:val="22"/>
          <w:szCs w:val="22"/>
        </w:rPr>
        <w:fldChar w:fldCharType="begin"/>
      </w:r>
      <w:r w:rsidR="00243610">
        <w:rPr>
          <w:rFonts w:cs="Arial"/>
          <w:sz w:val="22"/>
          <w:szCs w:val="22"/>
        </w:rPr>
        <w:instrText xml:space="preserve"> REF _Ref284171394 \r \h </w:instrText>
      </w:r>
      <w:r w:rsidR="00243610">
        <w:rPr>
          <w:rFonts w:cs="Arial"/>
          <w:sz w:val="22"/>
          <w:szCs w:val="22"/>
        </w:rPr>
      </w:r>
      <w:r w:rsidR="00243610">
        <w:rPr>
          <w:rFonts w:cs="Arial"/>
          <w:sz w:val="22"/>
          <w:szCs w:val="22"/>
        </w:rPr>
        <w:fldChar w:fldCharType="separate"/>
      </w:r>
      <w:r w:rsidR="00151A1C">
        <w:rPr>
          <w:rFonts w:cs="Arial"/>
          <w:sz w:val="22"/>
          <w:szCs w:val="22"/>
        </w:rPr>
        <w:t>42</w:t>
      </w:r>
      <w:r w:rsidR="00243610">
        <w:rPr>
          <w:rFonts w:cs="Arial"/>
          <w:sz w:val="22"/>
          <w:szCs w:val="22"/>
        </w:rPr>
        <w:fldChar w:fldCharType="end"/>
      </w:r>
      <w:r w:rsidRPr="00596FD1">
        <w:rPr>
          <w:rFonts w:cs="Arial"/>
          <w:sz w:val="22"/>
          <w:szCs w:val="22"/>
        </w:rPr>
        <w:t xml:space="preserve">). </w:t>
      </w:r>
    </w:p>
    <w:p w14:paraId="016C91E2" w14:textId="77777777" w:rsidR="00C35C1F" w:rsidRPr="00596FD1" w:rsidRDefault="00C35C1F" w:rsidP="00C35C1F">
      <w:pPr>
        <w:pStyle w:val="Heading5"/>
        <w:rPr>
          <w:rFonts w:ascii="Arial" w:hAnsi="Arial" w:cs="Arial"/>
          <w:b/>
          <w:color w:val="auto"/>
          <w:sz w:val="22"/>
          <w:szCs w:val="22"/>
          <w:lang w:val="en-US"/>
        </w:rPr>
      </w:pPr>
      <w:r w:rsidRPr="00596FD1">
        <w:rPr>
          <w:rFonts w:ascii="Arial" w:hAnsi="Arial" w:cs="Arial"/>
          <w:b/>
          <w:color w:val="auto"/>
          <w:sz w:val="22"/>
          <w:szCs w:val="22"/>
          <w:lang w:val="en-US"/>
        </w:rPr>
        <w:t>Study drug exposure in ESTABLISH-2</w:t>
      </w:r>
    </w:p>
    <w:p w14:paraId="3D254BC4" w14:textId="612F0011" w:rsidR="00C35C1F" w:rsidRPr="00596FD1" w:rsidRDefault="00C35C1F" w:rsidP="00C35C1F">
      <w:pPr>
        <w:pStyle w:val="BodyText"/>
        <w:rPr>
          <w:rFonts w:cs="Arial"/>
          <w:sz w:val="22"/>
          <w:szCs w:val="22"/>
          <w:lang w:val="en-US"/>
        </w:rPr>
      </w:pPr>
      <w:r w:rsidRPr="00596FD1">
        <w:rPr>
          <w:rFonts w:cs="Arial"/>
          <w:sz w:val="22"/>
          <w:szCs w:val="22"/>
          <w:lang w:val="en-US"/>
        </w:rPr>
        <w:t>In ESTABLISH-2, patients in both treated groups received high levels of exposure to the study drug. The majority of patients in the tedizolid phosphate group received five doses to six doses (maximum six doses over 6 days) of tedizolid phosphate (313/331 patients [94.6%]). Similarly, the majority of patients in the linezolid group received 19 doses to 20 doses (maximum 20 doses over 10 days) of linezolid (295/327 patients [90.2%]</w:t>
      </w:r>
      <w:r w:rsidR="00243610">
        <w:rPr>
          <w:rFonts w:cs="Arial"/>
          <w:sz w:val="22"/>
          <w:szCs w:val="22"/>
          <w:lang w:val="en-US"/>
        </w:rPr>
        <w:t>(</w:t>
      </w:r>
      <w:r w:rsidR="00243610">
        <w:rPr>
          <w:rFonts w:cs="Arial"/>
          <w:sz w:val="22"/>
          <w:szCs w:val="22"/>
          <w:lang w:val="en-US"/>
        </w:rPr>
        <w:fldChar w:fldCharType="begin"/>
      </w:r>
      <w:r w:rsidR="00243610">
        <w:rPr>
          <w:rFonts w:cs="Arial"/>
          <w:sz w:val="22"/>
          <w:szCs w:val="22"/>
          <w:lang w:val="en-US"/>
        </w:rPr>
        <w:instrText xml:space="preserve"> REF _Ref284171394 \r \h </w:instrText>
      </w:r>
      <w:r w:rsidR="00243610">
        <w:rPr>
          <w:rFonts w:cs="Arial"/>
          <w:sz w:val="22"/>
          <w:szCs w:val="22"/>
          <w:lang w:val="en-US"/>
        </w:rPr>
      </w:r>
      <w:r w:rsidR="00243610">
        <w:rPr>
          <w:rFonts w:cs="Arial"/>
          <w:sz w:val="22"/>
          <w:szCs w:val="22"/>
          <w:lang w:val="en-US"/>
        </w:rPr>
        <w:fldChar w:fldCharType="separate"/>
      </w:r>
      <w:r w:rsidR="00151A1C">
        <w:rPr>
          <w:rFonts w:cs="Arial"/>
          <w:sz w:val="22"/>
          <w:szCs w:val="22"/>
          <w:lang w:val="en-US"/>
        </w:rPr>
        <w:t>42</w:t>
      </w:r>
      <w:r w:rsidR="00243610">
        <w:rPr>
          <w:rFonts w:cs="Arial"/>
          <w:sz w:val="22"/>
          <w:szCs w:val="22"/>
          <w:lang w:val="en-US"/>
        </w:rPr>
        <w:fldChar w:fldCharType="end"/>
      </w:r>
      <w:r w:rsidR="00243610">
        <w:rPr>
          <w:rFonts w:cs="Arial"/>
          <w:sz w:val="22"/>
          <w:szCs w:val="22"/>
          <w:lang w:val="en-US"/>
        </w:rPr>
        <w:t>).</w:t>
      </w:r>
    </w:p>
    <w:p w14:paraId="6BF52172" w14:textId="77777777" w:rsidR="00596FD1" w:rsidRPr="00596FD1" w:rsidRDefault="00596FD1" w:rsidP="00C35C1F">
      <w:pPr>
        <w:pStyle w:val="BodyText"/>
        <w:rPr>
          <w:rFonts w:cs="Arial"/>
          <w:sz w:val="22"/>
          <w:szCs w:val="22"/>
          <w:lang w:val="en-US"/>
        </w:rPr>
      </w:pPr>
    </w:p>
    <w:p w14:paraId="5AD86EAD" w14:textId="4D48F40D" w:rsidR="00C35C1F" w:rsidRPr="00596FD1" w:rsidRDefault="00C35C1F" w:rsidP="00C35C1F">
      <w:pPr>
        <w:pStyle w:val="BodyText"/>
        <w:rPr>
          <w:rFonts w:cs="Arial"/>
          <w:sz w:val="22"/>
          <w:szCs w:val="22"/>
          <w:lang w:val="en-US"/>
        </w:rPr>
      </w:pPr>
      <w:r w:rsidRPr="00596FD1">
        <w:rPr>
          <w:rFonts w:cs="Arial"/>
          <w:sz w:val="22"/>
          <w:szCs w:val="22"/>
          <w:lang w:val="en-US"/>
        </w:rPr>
        <w:t>During ESTABLISH-2, patients in either group were able to switch from IV to oral study drug. The mean treatment duration from IV-to-oral switch was similar for tedizolid phosphate compared with linezolid (1.7 days vs. 1.8 days). Further, a similar proportion of patients in the tedizolid phosphate and linezolid groups remained on IV drug for the duration of therapy (18.7% vs. 17.1%)</w:t>
      </w:r>
      <w:r w:rsidR="00243610">
        <w:rPr>
          <w:rFonts w:cs="Arial"/>
          <w:sz w:val="22"/>
          <w:szCs w:val="22"/>
          <w:lang w:val="en-US"/>
        </w:rPr>
        <w:t>(</w:t>
      </w:r>
      <w:r w:rsidR="00243610">
        <w:rPr>
          <w:rFonts w:cs="Arial"/>
          <w:sz w:val="22"/>
          <w:szCs w:val="22"/>
          <w:lang w:val="en-US"/>
        </w:rPr>
        <w:fldChar w:fldCharType="begin"/>
      </w:r>
      <w:r w:rsidR="00243610">
        <w:rPr>
          <w:rFonts w:cs="Arial"/>
          <w:sz w:val="22"/>
          <w:szCs w:val="22"/>
          <w:lang w:val="en-US"/>
        </w:rPr>
        <w:instrText xml:space="preserve"> REF _Ref284171394 \r \h </w:instrText>
      </w:r>
      <w:r w:rsidR="00243610">
        <w:rPr>
          <w:rFonts w:cs="Arial"/>
          <w:sz w:val="22"/>
          <w:szCs w:val="22"/>
          <w:lang w:val="en-US"/>
        </w:rPr>
      </w:r>
      <w:r w:rsidR="00243610">
        <w:rPr>
          <w:rFonts w:cs="Arial"/>
          <w:sz w:val="22"/>
          <w:szCs w:val="22"/>
          <w:lang w:val="en-US"/>
        </w:rPr>
        <w:fldChar w:fldCharType="separate"/>
      </w:r>
      <w:r w:rsidR="00151A1C">
        <w:rPr>
          <w:rFonts w:cs="Arial"/>
          <w:sz w:val="22"/>
          <w:szCs w:val="22"/>
          <w:lang w:val="en-US"/>
        </w:rPr>
        <w:t>42</w:t>
      </w:r>
      <w:r w:rsidR="00243610">
        <w:rPr>
          <w:rFonts w:cs="Arial"/>
          <w:sz w:val="22"/>
          <w:szCs w:val="22"/>
          <w:lang w:val="en-US"/>
        </w:rPr>
        <w:fldChar w:fldCharType="end"/>
      </w:r>
      <w:r w:rsidR="00243610">
        <w:rPr>
          <w:rFonts w:cs="Arial"/>
          <w:sz w:val="22"/>
          <w:szCs w:val="22"/>
          <w:lang w:val="en-US"/>
        </w:rPr>
        <w:t>).</w:t>
      </w:r>
    </w:p>
    <w:p w14:paraId="3C1ACB4C" w14:textId="77777777" w:rsidR="00C35C1F" w:rsidRPr="00596FD1" w:rsidRDefault="00C35C1F" w:rsidP="00C35C1F">
      <w:pPr>
        <w:pStyle w:val="Heading5"/>
        <w:rPr>
          <w:rFonts w:ascii="Arial" w:hAnsi="Arial" w:cs="Arial"/>
          <w:b/>
          <w:color w:val="auto"/>
          <w:sz w:val="22"/>
          <w:szCs w:val="22"/>
          <w:lang w:val="en-US"/>
        </w:rPr>
      </w:pPr>
      <w:r w:rsidRPr="00596FD1">
        <w:rPr>
          <w:rFonts w:ascii="Arial" w:hAnsi="Arial" w:cs="Arial"/>
          <w:b/>
          <w:color w:val="auto"/>
          <w:sz w:val="22"/>
          <w:szCs w:val="22"/>
          <w:lang w:val="en-US"/>
        </w:rPr>
        <w:t>Overview of adverse events in ESTABLISH-2</w:t>
      </w:r>
    </w:p>
    <w:p w14:paraId="0481677E" w14:textId="2F0ED2AF" w:rsidR="00AA3D81" w:rsidRDefault="00C35C1F" w:rsidP="00AA3D81">
      <w:pPr>
        <w:pStyle w:val="BodyText"/>
        <w:rPr>
          <w:rFonts w:cs="Arial"/>
          <w:sz w:val="22"/>
          <w:szCs w:val="22"/>
          <w:lang w:val="en-US"/>
        </w:rPr>
      </w:pPr>
      <w:r w:rsidRPr="00596FD1">
        <w:rPr>
          <w:rFonts w:cs="Arial"/>
          <w:sz w:val="22"/>
          <w:szCs w:val="22"/>
          <w:lang w:val="en-US"/>
        </w:rPr>
        <w:t xml:space="preserve">Over the whole treatment period, the total number of TEAEs was comparable between the tedizolid phosphate group and linezolid group in the Safety population (44.7% vs. 43.1%) </w:t>
      </w:r>
    </w:p>
    <w:p w14:paraId="66B55924" w14:textId="77777777" w:rsidR="00AA3D81" w:rsidRPr="00596FD1" w:rsidRDefault="00AA3D81" w:rsidP="00AA3D81">
      <w:pPr>
        <w:pStyle w:val="BodyText"/>
        <w:rPr>
          <w:rFonts w:cs="Arial"/>
          <w:sz w:val="22"/>
          <w:szCs w:val="22"/>
          <w:lang w:val="en-US"/>
        </w:rPr>
      </w:pPr>
    </w:p>
    <w:p w14:paraId="6AF60463" w14:textId="4B6B4434" w:rsidR="00C35C1F" w:rsidRPr="00596FD1" w:rsidRDefault="00C35C1F" w:rsidP="00AA3D81">
      <w:pPr>
        <w:pStyle w:val="BodyText"/>
        <w:rPr>
          <w:rFonts w:cs="Arial"/>
          <w:sz w:val="22"/>
          <w:szCs w:val="22"/>
          <w:lang w:val="en-US"/>
        </w:rPr>
      </w:pPr>
      <w:r w:rsidRPr="00596FD1">
        <w:rPr>
          <w:rFonts w:cs="Arial"/>
          <w:sz w:val="22"/>
          <w:szCs w:val="22"/>
          <w:lang w:val="en-US"/>
        </w:rPr>
        <w:lastRenderedPageBreak/>
        <w:t>The number of patients who experienced drug-related TEAEs (defined as those with a possible, probable, or definite relationship to study drug based on the investigator’s assessment) was lower in the tedizolid phosphate group compared with the linezolid group (20.5% vs 24.8%) (</w:t>
      </w:r>
      <w:r w:rsidR="00AA3D81">
        <w:rPr>
          <w:rFonts w:cs="Arial"/>
          <w:sz w:val="22"/>
          <w:szCs w:val="22"/>
          <w:lang w:val="en-US"/>
        </w:rPr>
        <w:t>Table 75 and Figure 17).</w:t>
      </w:r>
      <w:r w:rsidRPr="00596FD1">
        <w:rPr>
          <w:rFonts w:cs="Arial"/>
          <w:sz w:val="22"/>
          <w:szCs w:val="22"/>
          <w:lang w:val="en-US"/>
        </w:rPr>
        <w:t xml:space="preserve"> </w:t>
      </w:r>
    </w:p>
    <w:p w14:paraId="7B134BBD" w14:textId="77777777" w:rsidR="00C35C1F" w:rsidRPr="006F4C8B" w:rsidRDefault="00C35C1F" w:rsidP="00C35C1F">
      <w:pPr>
        <w:pStyle w:val="Caption"/>
        <w:rPr>
          <w:rFonts w:ascii="Arial" w:hAnsi="Arial" w:cs="Arial"/>
          <w:sz w:val="22"/>
          <w:szCs w:val="22"/>
          <w:lang w:val="en-US"/>
        </w:rPr>
      </w:pPr>
      <w:bookmarkStart w:id="371" w:name="_Ref381629756"/>
      <w:bookmarkStart w:id="372" w:name="_Toc396058385"/>
      <w:bookmarkStart w:id="373" w:name="_Ref381622917"/>
      <w:r w:rsidRPr="006F4C8B">
        <w:rPr>
          <w:rFonts w:ascii="Arial" w:hAnsi="Arial" w:cs="Arial"/>
          <w:sz w:val="22"/>
          <w:szCs w:val="22"/>
          <w:lang w:val="en-US"/>
        </w:rPr>
        <w:t xml:space="preserve">Figure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Figure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17</w:t>
      </w:r>
      <w:r w:rsidRPr="006F4C8B">
        <w:rPr>
          <w:rFonts w:ascii="Arial" w:hAnsi="Arial" w:cs="Arial"/>
          <w:sz w:val="22"/>
          <w:szCs w:val="22"/>
          <w:lang w:val="en-US"/>
        </w:rPr>
        <w:fldChar w:fldCharType="end"/>
      </w:r>
      <w:bookmarkEnd w:id="371"/>
      <w:r w:rsidRPr="006F4C8B">
        <w:rPr>
          <w:rFonts w:ascii="Arial" w:hAnsi="Arial" w:cs="Arial"/>
          <w:sz w:val="22"/>
          <w:szCs w:val="22"/>
          <w:lang w:val="en-US"/>
        </w:rPr>
        <w:t>: Overview of AEs in ESTABLISH-2 (Safety population)</w:t>
      </w:r>
      <w:bookmarkEnd w:id="372"/>
    </w:p>
    <w:p w14:paraId="2E4D8294" w14:textId="77777777" w:rsidR="00C35C1F" w:rsidRPr="00D95C15" w:rsidRDefault="00C35C1F" w:rsidP="00C35C1F">
      <w:pPr>
        <w:pStyle w:val="Caption"/>
        <w:rPr>
          <w:lang w:val="en-US"/>
        </w:rPr>
      </w:pPr>
      <w:r w:rsidRPr="00D95C15">
        <w:rPr>
          <w:noProof/>
          <w:lang w:eastAsia="en-GB"/>
        </w:rPr>
        <w:drawing>
          <wp:inline distT="0" distB="0" distL="0" distR="0" wp14:anchorId="6BEB5DE3" wp14:editId="3F7DB22B">
            <wp:extent cx="5805170" cy="3061970"/>
            <wp:effectExtent l="0" t="0" r="0"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973769" w14:textId="360E8A20"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SOURCE: ESTABLISH-2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_Ref284171394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42</w:t>
      </w:r>
      <w:r w:rsidR="00243610">
        <w:rPr>
          <w:rFonts w:ascii="Arial" w:hAnsi="Arial" w:cs="Arial"/>
          <w:sz w:val="18"/>
          <w:szCs w:val="18"/>
          <w:lang w:val="en-US"/>
        </w:rPr>
        <w:fldChar w:fldCharType="end"/>
      </w:r>
      <w:r w:rsidRPr="006F4C8B">
        <w:rPr>
          <w:rFonts w:ascii="Arial" w:hAnsi="Arial" w:cs="Arial"/>
          <w:sz w:val="18"/>
          <w:szCs w:val="18"/>
          <w:lang w:val="en-US"/>
        </w:rPr>
        <w:t xml:space="preserve">: section 12.2.1 Table 12-3 </w:t>
      </w:r>
    </w:p>
    <w:p w14:paraId="3A35BA92"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*Defined as those with a possible, probable, or definite relationship to study drug based on the investigator’s assessment </w:t>
      </w:r>
    </w:p>
    <w:p w14:paraId="3A433D98" w14:textId="77777777" w:rsidR="00C35C1F"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AE: Adverse event; TEAE: Treatment-emergent adverse event; N: Number of patients in population</w:t>
      </w:r>
    </w:p>
    <w:p w14:paraId="577A34C3" w14:textId="77777777" w:rsidR="00257B24" w:rsidRDefault="00257B24" w:rsidP="006F4C8B">
      <w:pPr>
        <w:pStyle w:val="TableNote-H58"/>
        <w:spacing w:before="0" w:after="0"/>
        <w:rPr>
          <w:rFonts w:ascii="Arial" w:hAnsi="Arial" w:cs="Arial"/>
          <w:sz w:val="18"/>
          <w:szCs w:val="18"/>
          <w:lang w:val="en-US"/>
        </w:rPr>
      </w:pPr>
    </w:p>
    <w:p w14:paraId="27E27ECB" w14:textId="77777777" w:rsidR="00AA3D81" w:rsidRDefault="00AA3D81">
      <w:pPr>
        <w:ind w:left="357" w:hanging="357"/>
        <w:jc w:val="both"/>
        <w:rPr>
          <w:rFonts w:eastAsia="Times New Roman" w:cs="Arial"/>
          <w:b/>
          <w:bCs/>
          <w:sz w:val="22"/>
          <w:szCs w:val="22"/>
          <w:lang w:val="en-US"/>
        </w:rPr>
      </w:pPr>
      <w:r>
        <w:rPr>
          <w:rFonts w:cs="Arial"/>
          <w:sz w:val="22"/>
          <w:szCs w:val="22"/>
          <w:lang w:val="en-US"/>
        </w:rPr>
        <w:br w:type="page"/>
      </w:r>
    </w:p>
    <w:p w14:paraId="4E3DC2D3" w14:textId="6D246278" w:rsidR="00257B24" w:rsidRPr="00257B24" w:rsidRDefault="00257B24" w:rsidP="00257B24">
      <w:pPr>
        <w:pStyle w:val="Caption"/>
        <w:rPr>
          <w:rFonts w:ascii="Arial" w:hAnsi="Arial" w:cs="Arial"/>
          <w:sz w:val="22"/>
          <w:szCs w:val="22"/>
          <w:lang w:val="en-US"/>
        </w:rPr>
      </w:pPr>
      <w:r w:rsidRPr="006F4C8B">
        <w:rPr>
          <w:rFonts w:ascii="Arial" w:hAnsi="Arial" w:cs="Arial"/>
          <w:sz w:val="22"/>
          <w:szCs w:val="22"/>
          <w:lang w:val="en-US"/>
        </w:rPr>
        <w:lastRenderedPageBreak/>
        <w:t xml:space="preserve">Table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Table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75</w:t>
      </w:r>
      <w:r w:rsidRPr="006F4C8B">
        <w:rPr>
          <w:rFonts w:ascii="Arial" w:hAnsi="Arial" w:cs="Arial"/>
          <w:sz w:val="22"/>
          <w:szCs w:val="22"/>
          <w:lang w:val="en-US"/>
        </w:rPr>
        <w:fldChar w:fldCharType="end"/>
      </w:r>
      <w:r w:rsidRPr="006F4C8B">
        <w:rPr>
          <w:rFonts w:ascii="Arial" w:hAnsi="Arial" w:cs="Arial"/>
          <w:sz w:val="22"/>
          <w:szCs w:val="22"/>
          <w:lang w:val="en-US"/>
        </w:rPr>
        <w:t>: Overview of AEs in ESTABLISH-2 (Safety population)</w:t>
      </w:r>
    </w:p>
    <w:tbl>
      <w:tblPr>
        <w:tblStyle w:val="Table-HERONplain"/>
        <w:tblpPr w:leftFromText="180" w:rightFromText="180" w:vertAnchor="text" w:horzAnchor="page" w:tblpX="1549" w:tblpY="244"/>
        <w:tblW w:w="0" w:type="auto"/>
        <w:tblInd w:w="0" w:type="dxa"/>
        <w:tblLook w:val="04A0" w:firstRow="1" w:lastRow="0" w:firstColumn="1" w:lastColumn="0" w:noHBand="0" w:noVBand="1"/>
      </w:tblPr>
      <w:tblGrid>
        <w:gridCol w:w="6067"/>
        <w:gridCol w:w="1476"/>
        <w:gridCol w:w="1473"/>
      </w:tblGrid>
      <w:tr w:rsidR="00F257FE" w:rsidRPr="006F4C8B" w14:paraId="37A59035"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61D226A" w14:textId="77777777" w:rsidR="00F257FE" w:rsidRPr="006F4C8B" w:rsidRDefault="00F257FE" w:rsidP="00F257FE">
            <w:pPr>
              <w:pStyle w:val="TableBodyText-H54"/>
              <w:rPr>
                <w:rFonts w:ascii="Arial" w:hAnsi="Arial" w:cs="Arial"/>
                <w:sz w:val="20"/>
                <w:lang w:val="en-US"/>
              </w:rPr>
            </w:pPr>
            <w:bookmarkStart w:id="374" w:name="_Ref382231710"/>
            <w:bookmarkStart w:id="375" w:name="_Toc396058474"/>
            <w:r w:rsidRPr="006F4C8B">
              <w:rPr>
                <w:rFonts w:ascii="Arial" w:hAnsi="Arial" w:cs="Arial"/>
                <w:sz w:val="20"/>
                <w:lang w:val="en-US"/>
              </w:rPr>
              <w:t>Category</w:t>
            </w:r>
          </w:p>
        </w:tc>
        <w:tc>
          <w:tcPr>
            <w:tcW w:w="1482" w:type="dxa"/>
            <w:shd w:val="clear" w:color="auto" w:fill="auto"/>
            <w:hideMark/>
          </w:tcPr>
          <w:p w14:paraId="16BE1AD8"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16189E3F"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497B9F31"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482" w:type="dxa"/>
            <w:shd w:val="clear" w:color="auto" w:fill="auto"/>
            <w:hideMark/>
          </w:tcPr>
          <w:p w14:paraId="2696FF82"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09D4D680"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4535AFC9" w14:textId="77777777" w:rsidR="00F257FE" w:rsidRPr="006F4C8B" w:rsidRDefault="00F257FE" w:rsidP="00F257FE">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F257FE" w:rsidRPr="006F4C8B" w14:paraId="33B1CCB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59A0117"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AEs</w:t>
            </w:r>
          </w:p>
        </w:tc>
        <w:tc>
          <w:tcPr>
            <w:tcW w:w="1482" w:type="dxa"/>
            <w:vAlign w:val="top"/>
            <w:hideMark/>
          </w:tcPr>
          <w:p w14:paraId="6028C644"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152 (45.9)</w:t>
            </w:r>
          </w:p>
        </w:tc>
        <w:tc>
          <w:tcPr>
            <w:tcW w:w="1482" w:type="dxa"/>
            <w:vAlign w:val="top"/>
            <w:hideMark/>
          </w:tcPr>
          <w:p w14:paraId="174B02A9"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143 (43.7)</w:t>
            </w:r>
          </w:p>
        </w:tc>
      </w:tr>
      <w:tr w:rsidR="00F257FE" w:rsidRPr="006F4C8B" w14:paraId="63B16A3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7072840"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TEAEs:</w:t>
            </w:r>
          </w:p>
        </w:tc>
        <w:tc>
          <w:tcPr>
            <w:tcW w:w="1482" w:type="dxa"/>
            <w:vAlign w:val="top"/>
            <w:hideMark/>
          </w:tcPr>
          <w:p w14:paraId="789FF9AF"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148 (44.7)</w:t>
            </w:r>
          </w:p>
        </w:tc>
        <w:tc>
          <w:tcPr>
            <w:tcW w:w="1482" w:type="dxa"/>
            <w:vAlign w:val="top"/>
            <w:hideMark/>
          </w:tcPr>
          <w:p w14:paraId="2C3AB7FF"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141 (43.1)</w:t>
            </w:r>
          </w:p>
        </w:tc>
      </w:tr>
      <w:tr w:rsidR="00F257FE" w:rsidRPr="006F4C8B" w14:paraId="10AFBB78"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844526A" w14:textId="77777777" w:rsidR="00F257FE" w:rsidRPr="006F4C8B" w:rsidRDefault="00F257FE" w:rsidP="00F257FE">
            <w:pPr>
              <w:pStyle w:val="TableBodyText-H54"/>
              <w:ind w:left="313"/>
              <w:rPr>
                <w:rFonts w:ascii="Arial" w:hAnsi="Arial" w:cs="Arial"/>
                <w:sz w:val="20"/>
                <w:lang w:val="en-US"/>
              </w:rPr>
            </w:pPr>
            <w:r w:rsidRPr="006F4C8B">
              <w:rPr>
                <w:rFonts w:ascii="Arial" w:hAnsi="Arial" w:cs="Arial"/>
                <w:sz w:val="20"/>
                <w:lang w:val="en-US"/>
              </w:rPr>
              <w:t>Mild TEAEs</w:t>
            </w:r>
          </w:p>
        </w:tc>
        <w:tc>
          <w:tcPr>
            <w:tcW w:w="1482" w:type="dxa"/>
            <w:hideMark/>
          </w:tcPr>
          <w:p w14:paraId="601A7A35"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108 (32.6)</w:t>
            </w:r>
          </w:p>
        </w:tc>
        <w:tc>
          <w:tcPr>
            <w:tcW w:w="1482" w:type="dxa"/>
            <w:hideMark/>
          </w:tcPr>
          <w:p w14:paraId="72CF2AF4"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91 (27.8)</w:t>
            </w:r>
          </w:p>
        </w:tc>
      </w:tr>
      <w:tr w:rsidR="00F257FE" w:rsidRPr="006F4C8B" w14:paraId="73FA2E1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0B7A291" w14:textId="77777777" w:rsidR="00F257FE" w:rsidRPr="006F4C8B" w:rsidRDefault="00F257FE" w:rsidP="00F257FE">
            <w:pPr>
              <w:pStyle w:val="TableBodyText-H54"/>
              <w:ind w:left="313"/>
              <w:rPr>
                <w:rFonts w:ascii="Arial" w:hAnsi="Arial" w:cs="Arial"/>
                <w:sz w:val="20"/>
                <w:lang w:val="en-US"/>
              </w:rPr>
            </w:pPr>
            <w:r w:rsidRPr="006F4C8B">
              <w:rPr>
                <w:rFonts w:ascii="Arial" w:hAnsi="Arial" w:cs="Arial"/>
                <w:sz w:val="20"/>
                <w:lang w:val="en-US"/>
              </w:rPr>
              <w:t>Moderate TEAEs</w:t>
            </w:r>
          </w:p>
        </w:tc>
        <w:tc>
          <w:tcPr>
            <w:tcW w:w="1482" w:type="dxa"/>
            <w:hideMark/>
          </w:tcPr>
          <w:p w14:paraId="5FE46273"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35 (10.6)</w:t>
            </w:r>
          </w:p>
        </w:tc>
        <w:tc>
          <w:tcPr>
            <w:tcW w:w="1482" w:type="dxa"/>
            <w:hideMark/>
          </w:tcPr>
          <w:p w14:paraId="57A1C472"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42 (12.8)</w:t>
            </w:r>
          </w:p>
        </w:tc>
      </w:tr>
      <w:tr w:rsidR="00F257FE" w:rsidRPr="006F4C8B" w14:paraId="43BAA429"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FC81388" w14:textId="77777777" w:rsidR="00F257FE" w:rsidRPr="006F4C8B" w:rsidRDefault="00F257FE" w:rsidP="00F257FE">
            <w:pPr>
              <w:pStyle w:val="TableBodyText-H54"/>
              <w:ind w:left="313"/>
              <w:rPr>
                <w:rFonts w:ascii="Arial" w:hAnsi="Arial" w:cs="Arial"/>
                <w:sz w:val="20"/>
                <w:lang w:val="en-US"/>
              </w:rPr>
            </w:pPr>
            <w:r w:rsidRPr="006F4C8B">
              <w:rPr>
                <w:rFonts w:ascii="Arial" w:hAnsi="Arial" w:cs="Arial"/>
                <w:sz w:val="20"/>
                <w:lang w:val="en-US"/>
              </w:rPr>
              <w:t>Severe TEAEs</w:t>
            </w:r>
          </w:p>
        </w:tc>
        <w:tc>
          <w:tcPr>
            <w:tcW w:w="1482" w:type="dxa"/>
            <w:hideMark/>
          </w:tcPr>
          <w:p w14:paraId="19A23222"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5 (1.5)</w:t>
            </w:r>
          </w:p>
        </w:tc>
        <w:tc>
          <w:tcPr>
            <w:tcW w:w="1482" w:type="dxa"/>
            <w:hideMark/>
          </w:tcPr>
          <w:p w14:paraId="7E6A0123"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8 (2.4)</w:t>
            </w:r>
          </w:p>
        </w:tc>
      </w:tr>
      <w:tr w:rsidR="00F257FE" w:rsidRPr="006F4C8B" w14:paraId="57B2015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A3889E4"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Drug-related* TEAE</w:t>
            </w:r>
          </w:p>
        </w:tc>
        <w:tc>
          <w:tcPr>
            <w:tcW w:w="1482" w:type="dxa"/>
            <w:vAlign w:val="top"/>
            <w:hideMark/>
          </w:tcPr>
          <w:p w14:paraId="160ED73B"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68 (20.5)</w:t>
            </w:r>
          </w:p>
        </w:tc>
        <w:tc>
          <w:tcPr>
            <w:tcW w:w="1482" w:type="dxa"/>
            <w:vAlign w:val="top"/>
            <w:hideMark/>
          </w:tcPr>
          <w:p w14:paraId="5263BF62"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81 (24.8)</w:t>
            </w:r>
          </w:p>
        </w:tc>
      </w:tr>
      <w:tr w:rsidR="00F257FE" w:rsidRPr="006F4C8B" w14:paraId="66A285E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2EA78A4"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TEAE leading to premature discontinuation of study drug</w:t>
            </w:r>
          </w:p>
        </w:tc>
        <w:tc>
          <w:tcPr>
            <w:tcW w:w="1482" w:type="dxa"/>
            <w:vAlign w:val="top"/>
            <w:hideMark/>
          </w:tcPr>
          <w:p w14:paraId="58230617"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482" w:type="dxa"/>
            <w:vAlign w:val="top"/>
            <w:hideMark/>
          </w:tcPr>
          <w:p w14:paraId="52AD8A61"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4 (1.2)</w:t>
            </w:r>
          </w:p>
        </w:tc>
      </w:tr>
      <w:tr w:rsidR="00F257FE" w:rsidRPr="006F4C8B" w14:paraId="23F7411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3F7C085"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Serious TEAE</w:t>
            </w:r>
          </w:p>
        </w:tc>
        <w:tc>
          <w:tcPr>
            <w:tcW w:w="1482" w:type="dxa"/>
            <w:vAlign w:val="top"/>
            <w:hideMark/>
          </w:tcPr>
          <w:p w14:paraId="52A15A60"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7 (2.1)</w:t>
            </w:r>
          </w:p>
        </w:tc>
        <w:tc>
          <w:tcPr>
            <w:tcW w:w="1482" w:type="dxa"/>
            <w:vAlign w:val="top"/>
            <w:hideMark/>
          </w:tcPr>
          <w:p w14:paraId="1314E739"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9 (2.8)</w:t>
            </w:r>
          </w:p>
        </w:tc>
      </w:tr>
      <w:tr w:rsidR="00F257FE" w:rsidRPr="006F4C8B" w14:paraId="567B35C7"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F88B87D"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Drug-related serious TEAE</w:t>
            </w:r>
          </w:p>
        </w:tc>
        <w:tc>
          <w:tcPr>
            <w:tcW w:w="1482" w:type="dxa"/>
            <w:vAlign w:val="top"/>
            <w:hideMark/>
          </w:tcPr>
          <w:p w14:paraId="1B1A88E6"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482" w:type="dxa"/>
            <w:vAlign w:val="top"/>
            <w:hideMark/>
          </w:tcPr>
          <w:p w14:paraId="6402B233"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F257FE" w:rsidRPr="006F4C8B" w14:paraId="7554AC7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FCAF8AC"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Serious TEAE leading to death</w:t>
            </w:r>
          </w:p>
        </w:tc>
        <w:tc>
          <w:tcPr>
            <w:tcW w:w="1482" w:type="dxa"/>
            <w:vAlign w:val="top"/>
            <w:hideMark/>
          </w:tcPr>
          <w:p w14:paraId="38B2AF1C"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482" w:type="dxa"/>
            <w:vAlign w:val="top"/>
            <w:hideMark/>
          </w:tcPr>
          <w:p w14:paraId="39F489BB" w14:textId="77777777" w:rsidR="00F257FE" w:rsidRPr="006F4C8B" w:rsidRDefault="00F257FE" w:rsidP="00F257FE">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1 (0.3)</w:t>
            </w:r>
          </w:p>
        </w:tc>
      </w:tr>
      <w:tr w:rsidR="00F257FE" w:rsidRPr="006F4C8B" w14:paraId="1D778F3F"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C6A2448" w14:textId="77777777" w:rsidR="00F257FE" w:rsidRPr="006F4C8B" w:rsidRDefault="00F257FE" w:rsidP="00F257FE">
            <w:pPr>
              <w:pStyle w:val="TableBodyText-H54"/>
              <w:rPr>
                <w:rFonts w:ascii="Arial" w:hAnsi="Arial" w:cs="Arial"/>
                <w:sz w:val="20"/>
                <w:lang w:val="en-US"/>
              </w:rPr>
            </w:pPr>
            <w:r w:rsidRPr="006F4C8B">
              <w:rPr>
                <w:rFonts w:ascii="Arial" w:hAnsi="Arial" w:cs="Arial"/>
                <w:sz w:val="20"/>
                <w:lang w:val="en-US"/>
              </w:rPr>
              <w:t>Serious TEAE leading to premature discontinuation of study drug</w:t>
            </w:r>
          </w:p>
        </w:tc>
        <w:tc>
          <w:tcPr>
            <w:tcW w:w="1482" w:type="dxa"/>
            <w:vAlign w:val="top"/>
            <w:hideMark/>
          </w:tcPr>
          <w:p w14:paraId="1EFEB526"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c>
          <w:tcPr>
            <w:tcW w:w="1482" w:type="dxa"/>
            <w:vAlign w:val="top"/>
            <w:hideMark/>
          </w:tcPr>
          <w:p w14:paraId="2C784839" w14:textId="77777777" w:rsidR="00F257FE" w:rsidRPr="006F4C8B" w:rsidRDefault="00F257FE" w:rsidP="00F257FE">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r>
    </w:tbl>
    <w:bookmarkEnd w:id="373"/>
    <w:bookmarkEnd w:id="374"/>
    <w:bookmarkEnd w:id="375"/>
    <w:p w14:paraId="063FB14C" w14:textId="2BA61874"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SOURCE: </w:t>
      </w:r>
      <w:r w:rsidR="00243610" w:rsidRPr="006F4C8B">
        <w:rPr>
          <w:rFonts w:ascii="Arial" w:hAnsi="Arial" w:cs="Arial"/>
          <w:sz w:val="18"/>
          <w:szCs w:val="18"/>
          <w:lang w:val="en-US"/>
        </w:rPr>
        <w:t>ESTABLISH-2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_Ref284171394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42</w:t>
      </w:r>
      <w:r w:rsidR="00243610">
        <w:rPr>
          <w:rFonts w:ascii="Arial" w:hAnsi="Arial" w:cs="Arial"/>
          <w:sz w:val="18"/>
          <w:szCs w:val="18"/>
          <w:lang w:val="en-US"/>
        </w:rPr>
        <w:fldChar w:fldCharType="end"/>
      </w:r>
      <w:r w:rsidR="00243610" w:rsidRPr="006F4C8B">
        <w:rPr>
          <w:rFonts w:ascii="Arial" w:hAnsi="Arial" w:cs="Arial"/>
          <w:sz w:val="18"/>
          <w:szCs w:val="18"/>
          <w:lang w:val="en-US"/>
        </w:rPr>
        <w:t>:</w:t>
      </w:r>
      <w:r w:rsidRPr="006F4C8B">
        <w:rPr>
          <w:rFonts w:ascii="Arial" w:hAnsi="Arial" w:cs="Arial"/>
          <w:sz w:val="18"/>
          <w:szCs w:val="18"/>
          <w:lang w:val="en-US"/>
        </w:rPr>
        <w:t xml:space="preserve"> section 12.2.1 Table 12-3 </w:t>
      </w:r>
    </w:p>
    <w:p w14:paraId="5481632F"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*Defined as those with a possible, probable, or definite relationship to study drug based on the Investigator’s assessment </w:t>
      </w:r>
    </w:p>
    <w:p w14:paraId="02C6F338"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AE: Adverse event; N: Number of patients in population; n: Number of patients in specific category; TEAE: Treatment-emergent adverse event </w:t>
      </w:r>
    </w:p>
    <w:p w14:paraId="495FFD3E" w14:textId="77777777" w:rsidR="006F4C8B" w:rsidRPr="00F746B7" w:rsidRDefault="006F4C8B" w:rsidP="00C35C1F">
      <w:pPr>
        <w:pStyle w:val="BodyText"/>
        <w:rPr>
          <w:sz w:val="24"/>
          <w:szCs w:val="24"/>
          <w:lang w:val="en-US"/>
        </w:rPr>
      </w:pPr>
    </w:p>
    <w:p w14:paraId="256D6976" w14:textId="1E04D423" w:rsidR="00C35C1F" w:rsidRPr="004537A7" w:rsidRDefault="00C35C1F" w:rsidP="00C35C1F">
      <w:pPr>
        <w:pStyle w:val="BodyText"/>
        <w:rPr>
          <w:sz w:val="22"/>
          <w:szCs w:val="22"/>
          <w:lang w:val="en-US"/>
        </w:rPr>
      </w:pPr>
      <w:r w:rsidRPr="004537A7">
        <w:rPr>
          <w:sz w:val="22"/>
          <w:szCs w:val="22"/>
          <w:lang w:val="en-US"/>
        </w:rPr>
        <w:t>The majority of AEs in both treatment groups were mild or moderate in severity. In the tedizolid phosphate group, a greater proportion of patients experienced a mild TEAE compared with patients in the linezolid group (32.6% vs. 27.8%). Further, in the tedizolid phosphate and linezolid treatment groups, a similar proportion of patients experienced moderate (10.6% vs. 12.8%) or severe TEAEs (1.5% vs. 2.4%).</w:t>
      </w:r>
    </w:p>
    <w:p w14:paraId="71739D99" w14:textId="77777777" w:rsidR="00C35C1F" w:rsidRPr="004537A7" w:rsidRDefault="00C35C1F" w:rsidP="00C35C1F">
      <w:pPr>
        <w:pStyle w:val="CommentText"/>
        <w:rPr>
          <w:sz w:val="22"/>
          <w:szCs w:val="22"/>
          <w:lang w:val="en-US"/>
        </w:rPr>
      </w:pPr>
    </w:p>
    <w:p w14:paraId="7B71DD3B" w14:textId="3A4B0CD2" w:rsidR="00C35C1F" w:rsidRPr="004537A7" w:rsidRDefault="00C35C1F" w:rsidP="00C35C1F">
      <w:pPr>
        <w:pStyle w:val="BodyText"/>
        <w:rPr>
          <w:sz w:val="22"/>
          <w:szCs w:val="22"/>
          <w:lang w:val="en-US"/>
        </w:rPr>
      </w:pPr>
      <w:r w:rsidRPr="004537A7">
        <w:rPr>
          <w:sz w:val="22"/>
          <w:szCs w:val="22"/>
          <w:lang w:val="en-US"/>
        </w:rPr>
        <w:lastRenderedPageBreak/>
        <w:t>Commonly reported (i.e. those occurring in ≥10% of patients in either treatment group) TEAEs according to SOC, were gastrointestinal disorders and infections and infestations. There was a lower incidence of gastrointestinal disorders in patients treated with tedizolid phosphate compared with patients treated with linezolid (15.7% vs. 20.5%).</w:t>
      </w:r>
    </w:p>
    <w:p w14:paraId="5A411AF1" w14:textId="77777777" w:rsidR="00C35C1F" w:rsidRPr="004537A7" w:rsidRDefault="00C35C1F" w:rsidP="00C35C1F">
      <w:pPr>
        <w:pStyle w:val="Caption"/>
        <w:rPr>
          <w:rFonts w:ascii="Arial" w:hAnsi="Arial" w:cs="Arial"/>
          <w:sz w:val="22"/>
          <w:szCs w:val="22"/>
          <w:lang w:val="en-US"/>
        </w:rPr>
      </w:pPr>
      <w:bookmarkStart w:id="376" w:name="_Toc396058475"/>
      <w:r w:rsidRPr="004537A7">
        <w:rPr>
          <w:rFonts w:ascii="Arial" w:hAnsi="Arial" w:cs="Arial"/>
          <w:sz w:val="22"/>
          <w:szCs w:val="22"/>
          <w:lang w:val="en-US"/>
        </w:rPr>
        <w:t xml:space="preserve">Table </w:t>
      </w:r>
      <w:r w:rsidRPr="004537A7">
        <w:rPr>
          <w:rFonts w:ascii="Arial" w:hAnsi="Arial" w:cs="Arial"/>
          <w:sz w:val="22"/>
          <w:szCs w:val="22"/>
          <w:lang w:val="en-US"/>
        </w:rPr>
        <w:fldChar w:fldCharType="begin"/>
      </w:r>
      <w:r w:rsidRPr="004537A7">
        <w:rPr>
          <w:rFonts w:ascii="Arial" w:hAnsi="Arial" w:cs="Arial"/>
          <w:sz w:val="22"/>
          <w:szCs w:val="22"/>
          <w:lang w:val="en-US"/>
        </w:rPr>
        <w:instrText xml:space="preserve"> SEQ Table \* ARABIC </w:instrText>
      </w:r>
      <w:r w:rsidRPr="004537A7">
        <w:rPr>
          <w:rFonts w:ascii="Arial" w:hAnsi="Arial" w:cs="Arial"/>
          <w:sz w:val="22"/>
          <w:szCs w:val="22"/>
          <w:lang w:val="en-US"/>
        </w:rPr>
        <w:fldChar w:fldCharType="separate"/>
      </w:r>
      <w:r w:rsidR="00151A1C">
        <w:rPr>
          <w:rFonts w:ascii="Arial" w:hAnsi="Arial" w:cs="Arial"/>
          <w:noProof/>
          <w:sz w:val="22"/>
          <w:szCs w:val="22"/>
          <w:lang w:val="en-US"/>
        </w:rPr>
        <w:t>76</w:t>
      </w:r>
      <w:r w:rsidRPr="004537A7">
        <w:rPr>
          <w:rFonts w:ascii="Arial" w:hAnsi="Arial" w:cs="Arial"/>
          <w:sz w:val="22"/>
          <w:szCs w:val="22"/>
          <w:lang w:val="en-US"/>
        </w:rPr>
        <w:fldChar w:fldCharType="end"/>
      </w:r>
      <w:r w:rsidRPr="004537A7">
        <w:rPr>
          <w:rFonts w:ascii="Arial" w:hAnsi="Arial" w:cs="Arial"/>
          <w:sz w:val="22"/>
          <w:szCs w:val="22"/>
          <w:lang w:val="en-US"/>
        </w:rPr>
        <w:t>: Commonly reported (with ≥10% incidence) TEAEs, by SOC, in ESTABLISH-2 (Safety population)</w:t>
      </w:r>
      <w:bookmarkEnd w:id="376"/>
    </w:p>
    <w:tbl>
      <w:tblPr>
        <w:tblStyle w:val="Table-HERONplain"/>
        <w:tblW w:w="0" w:type="auto"/>
        <w:tblLook w:val="04A0" w:firstRow="1" w:lastRow="0" w:firstColumn="1" w:lastColumn="0" w:noHBand="0" w:noVBand="1"/>
      </w:tblPr>
      <w:tblGrid>
        <w:gridCol w:w="5085"/>
        <w:gridCol w:w="1951"/>
        <w:gridCol w:w="1867"/>
      </w:tblGrid>
      <w:tr w:rsidR="00C35C1F" w:rsidRPr="006F4C8B" w14:paraId="49B0474C"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hideMark/>
          </w:tcPr>
          <w:p w14:paraId="0EB368CB"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SOC</w:t>
            </w:r>
          </w:p>
        </w:tc>
        <w:tc>
          <w:tcPr>
            <w:tcW w:w="1985" w:type="dxa"/>
            <w:shd w:val="clear" w:color="auto" w:fill="auto"/>
          </w:tcPr>
          <w:p w14:paraId="13C7F40A"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78E9D143"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3D0DE8EE"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p>
        </w:tc>
        <w:tc>
          <w:tcPr>
            <w:tcW w:w="1904" w:type="dxa"/>
            <w:shd w:val="clear" w:color="auto" w:fill="auto"/>
          </w:tcPr>
          <w:p w14:paraId="59ADDA63"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7D9FDF54"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794791C6"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p>
        </w:tc>
      </w:tr>
      <w:tr w:rsidR="00C35C1F" w:rsidRPr="006F4C8B" w14:paraId="7C2DD7D6"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AAC1DE2"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Gastrointestinal disorders</w:t>
            </w:r>
          </w:p>
        </w:tc>
        <w:tc>
          <w:tcPr>
            <w:tcW w:w="1985" w:type="dxa"/>
            <w:vAlign w:val="top"/>
            <w:hideMark/>
          </w:tcPr>
          <w:p w14:paraId="08031077"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15.7%</w:t>
            </w:r>
          </w:p>
        </w:tc>
        <w:tc>
          <w:tcPr>
            <w:tcW w:w="1904" w:type="dxa"/>
            <w:vAlign w:val="top"/>
            <w:hideMark/>
          </w:tcPr>
          <w:p w14:paraId="789B62E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20.5%</w:t>
            </w:r>
          </w:p>
        </w:tc>
      </w:tr>
      <w:tr w:rsidR="00C35C1F" w:rsidRPr="006F4C8B" w14:paraId="458A962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5BE1545" w14:textId="77777777" w:rsidR="00C35C1F" w:rsidRPr="006F4C8B" w:rsidRDefault="00C35C1F" w:rsidP="001D3F4A">
            <w:pPr>
              <w:pStyle w:val="TableBodyText-H54"/>
              <w:rPr>
                <w:rFonts w:ascii="Arial" w:eastAsia="TimesNewRoman" w:hAnsi="Arial" w:cs="Arial"/>
                <w:sz w:val="20"/>
                <w:lang w:val="en-US"/>
              </w:rPr>
            </w:pPr>
            <w:r w:rsidRPr="006F4C8B">
              <w:rPr>
                <w:rFonts w:ascii="Arial" w:hAnsi="Arial" w:cs="Arial"/>
                <w:sz w:val="20"/>
                <w:lang w:val="en-US"/>
              </w:rPr>
              <w:t>Infections and infestations</w:t>
            </w:r>
          </w:p>
        </w:tc>
        <w:tc>
          <w:tcPr>
            <w:tcW w:w="1985" w:type="dxa"/>
            <w:vAlign w:val="top"/>
            <w:hideMark/>
          </w:tcPr>
          <w:p w14:paraId="6842BA87"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12.1%</w:t>
            </w:r>
          </w:p>
        </w:tc>
        <w:tc>
          <w:tcPr>
            <w:tcW w:w="1904" w:type="dxa"/>
            <w:vAlign w:val="top"/>
            <w:hideMark/>
          </w:tcPr>
          <w:p w14:paraId="62FAAB4D"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12.2%</w:t>
            </w:r>
          </w:p>
        </w:tc>
      </w:tr>
    </w:tbl>
    <w:p w14:paraId="70AED5DE" w14:textId="7EC53400"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SOURCE: </w:t>
      </w:r>
      <w:r w:rsidR="00243610" w:rsidRPr="006F4C8B">
        <w:rPr>
          <w:rFonts w:ascii="Arial" w:hAnsi="Arial" w:cs="Arial"/>
          <w:sz w:val="18"/>
          <w:szCs w:val="18"/>
          <w:lang w:val="en-US"/>
        </w:rPr>
        <w:t>ESTABLISH-2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_Ref284171394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42</w:t>
      </w:r>
      <w:r w:rsidR="00243610">
        <w:rPr>
          <w:rFonts w:ascii="Arial" w:hAnsi="Arial" w:cs="Arial"/>
          <w:sz w:val="18"/>
          <w:szCs w:val="18"/>
          <w:lang w:val="en-US"/>
        </w:rPr>
        <w:fldChar w:fldCharType="end"/>
      </w:r>
      <w:r w:rsidRPr="006F4C8B">
        <w:rPr>
          <w:rFonts w:ascii="Arial" w:hAnsi="Arial" w:cs="Arial"/>
          <w:sz w:val="18"/>
          <w:szCs w:val="18"/>
          <w:lang w:val="en-US"/>
        </w:rPr>
        <w:t xml:space="preserve">: section 12.2.2 </w:t>
      </w:r>
    </w:p>
    <w:p w14:paraId="7E4F89F9"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N: Number of patients in population; SOC: System Organ Class; TEAE: Treatment-emergent adverse event</w:t>
      </w:r>
    </w:p>
    <w:p w14:paraId="6635270D" w14:textId="77777777" w:rsidR="006F4C8B" w:rsidRDefault="006F4C8B" w:rsidP="00C35C1F">
      <w:pPr>
        <w:pStyle w:val="BodyText"/>
        <w:rPr>
          <w:rFonts w:cs="Arial"/>
          <w:lang w:val="en-US"/>
        </w:rPr>
      </w:pPr>
    </w:p>
    <w:p w14:paraId="4C6D1E0D" w14:textId="48AE5492" w:rsidR="00C35C1F" w:rsidRPr="00F746B7" w:rsidRDefault="00C35C1F" w:rsidP="00C35C1F">
      <w:pPr>
        <w:pStyle w:val="BodyText"/>
        <w:rPr>
          <w:rFonts w:cs="Arial"/>
          <w:sz w:val="22"/>
          <w:szCs w:val="22"/>
          <w:lang w:val="en-US"/>
        </w:rPr>
      </w:pPr>
      <w:r w:rsidRPr="00F746B7">
        <w:rPr>
          <w:rFonts w:cs="Arial"/>
          <w:sz w:val="22"/>
          <w:szCs w:val="22"/>
          <w:lang w:val="en-US"/>
        </w:rPr>
        <w:t xml:space="preserve">Other commonly reported TEAEs (occurring in ≥2% of patients in either treatment group) were nausea, headache, abscess, </w:t>
      </w:r>
      <w:r w:rsidR="006F4C8B" w:rsidRPr="00F746B7">
        <w:rPr>
          <w:rFonts w:cs="Arial"/>
          <w:sz w:val="22"/>
          <w:szCs w:val="22"/>
          <w:lang w:val="en-US"/>
        </w:rPr>
        <w:t>diarrhoea</w:t>
      </w:r>
      <w:r w:rsidRPr="00F746B7">
        <w:rPr>
          <w:rFonts w:cs="Arial"/>
          <w:sz w:val="22"/>
          <w:szCs w:val="22"/>
          <w:lang w:val="en-US"/>
        </w:rPr>
        <w:t>, vomiting, cellulitis, fatigue, dizziness, and vulvovaginal mycotic infection (</w:t>
      </w:r>
      <w:r w:rsidRPr="00F746B7">
        <w:rPr>
          <w:rFonts w:cs="Arial"/>
          <w:sz w:val="22"/>
          <w:szCs w:val="22"/>
          <w:lang w:val="en-US"/>
        </w:rPr>
        <w:fldChar w:fldCharType="begin"/>
      </w:r>
      <w:r w:rsidRPr="00F746B7">
        <w:rPr>
          <w:rFonts w:cs="Arial"/>
          <w:sz w:val="22"/>
          <w:szCs w:val="22"/>
          <w:lang w:val="en-US"/>
        </w:rPr>
        <w:instrText xml:space="preserve"> REF _Ref381624896 \h  \* MERGEFORMAT </w:instrText>
      </w:r>
      <w:r w:rsidRPr="00F746B7">
        <w:rPr>
          <w:rFonts w:cs="Arial"/>
          <w:sz w:val="22"/>
          <w:szCs w:val="22"/>
          <w:lang w:val="en-US"/>
        </w:rPr>
      </w:r>
      <w:r w:rsidRPr="00F746B7">
        <w:rPr>
          <w:rFonts w:cs="Arial"/>
          <w:sz w:val="22"/>
          <w:szCs w:val="22"/>
          <w:lang w:val="en-US"/>
        </w:rPr>
        <w:fldChar w:fldCharType="separate"/>
      </w:r>
      <w:r w:rsidR="00151A1C" w:rsidRPr="006F4C8B">
        <w:rPr>
          <w:rFonts w:cs="Arial"/>
          <w:sz w:val="22"/>
          <w:szCs w:val="22"/>
          <w:lang w:val="en-US"/>
        </w:rPr>
        <w:t xml:space="preserve">Table </w:t>
      </w:r>
      <w:r w:rsidR="00151A1C">
        <w:rPr>
          <w:rFonts w:cs="Arial"/>
          <w:sz w:val="22"/>
          <w:szCs w:val="22"/>
          <w:lang w:val="en-US"/>
        </w:rPr>
        <w:t>77</w:t>
      </w:r>
      <w:r w:rsidRPr="00F746B7">
        <w:rPr>
          <w:rFonts w:cs="Arial"/>
          <w:sz w:val="22"/>
          <w:szCs w:val="22"/>
          <w:lang w:val="en-US"/>
        </w:rPr>
        <w:fldChar w:fldCharType="end"/>
      </w:r>
      <w:r w:rsidRPr="00F746B7">
        <w:rPr>
          <w:rFonts w:cs="Arial"/>
          <w:sz w:val="22"/>
          <w:szCs w:val="22"/>
          <w:lang w:val="en-US"/>
        </w:rPr>
        <w:t xml:space="preserve">). The incidence of TEAEs was similar between treatment groups; however, a lower proportion of patients treated with tedizolid phosphate reported nausea, vomiting, </w:t>
      </w:r>
      <w:r w:rsidR="006F4C8B" w:rsidRPr="00F746B7">
        <w:rPr>
          <w:rFonts w:cs="Arial"/>
          <w:sz w:val="22"/>
          <w:szCs w:val="22"/>
          <w:lang w:val="en-US"/>
        </w:rPr>
        <w:t>diarrhoea</w:t>
      </w:r>
      <w:r w:rsidRPr="00F746B7">
        <w:rPr>
          <w:rFonts w:cs="Arial"/>
          <w:sz w:val="22"/>
          <w:szCs w:val="22"/>
          <w:lang w:val="en-US"/>
        </w:rPr>
        <w:t>, and vulvovaginal mycotic infection compared with patients treated with linezolid.</w:t>
      </w:r>
      <w:r w:rsidR="00243610" w:rsidRPr="00F746B7">
        <w:rPr>
          <w:rFonts w:cs="Arial"/>
          <w:sz w:val="22"/>
          <w:szCs w:val="22"/>
          <w:lang w:val="en-US"/>
        </w:rPr>
        <w:t xml:space="preserve"> </w:t>
      </w:r>
    </w:p>
    <w:p w14:paraId="1126B7A9" w14:textId="77777777" w:rsidR="00C35C1F" w:rsidRPr="006F4C8B" w:rsidRDefault="00C35C1F" w:rsidP="00C35C1F">
      <w:pPr>
        <w:pStyle w:val="Caption"/>
        <w:rPr>
          <w:rFonts w:ascii="Arial" w:hAnsi="Arial" w:cs="Arial"/>
          <w:sz w:val="22"/>
          <w:szCs w:val="22"/>
          <w:lang w:val="en-US"/>
        </w:rPr>
      </w:pPr>
      <w:bookmarkStart w:id="377" w:name="_Ref381624896"/>
      <w:bookmarkStart w:id="378" w:name="_Toc396058476"/>
      <w:r w:rsidRPr="006F4C8B">
        <w:rPr>
          <w:rFonts w:ascii="Arial" w:hAnsi="Arial" w:cs="Arial"/>
          <w:sz w:val="22"/>
          <w:szCs w:val="22"/>
          <w:lang w:val="en-US"/>
        </w:rPr>
        <w:t xml:space="preserve">Table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Table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77</w:t>
      </w:r>
      <w:r w:rsidRPr="006F4C8B">
        <w:rPr>
          <w:rFonts w:ascii="Arial" w:hAnsi="Arial" w:cs="Arial"/>
          <w:sz w:val="22"/>
          <w:szCs w:val="22"/>
          <w:lang w:val="en-US"/>
        </w:rPr>
        <w:fldChar w:fldCharType="end"/>
      </w:r>
      <w:bookmarkEnd w:id="377"/>
      <w:r w:rsidRPr="006F4C8B">
        <w:rPr>
          <w:rFonts w:ascii="Arial" w:hAnsi="Arial" w:cs="Arial"/>
          <w:sz w:val="22"/>
          <w:szCs w:val="22"/>
          <w:lang w:val="en-US"/>
        </w:rPr>
        <w:t>: TEAEs with ≥2% incidence in either treatment group in ESTABLISH-2 (Safety population)</w:t>
      </w:r>
      <w:bookmarkEnd w:id="378"/>
    </w:p>
    <w:tbl>
      <w:tblPr>
        <w:tblStyle w:val="Table-HERONplain"/>
        <w:tblW w:w="0" w:type="auto"/>
        <w:tblLook w:val="04A0" w:firstRow="1" w:lastRow="0" w:firstColumn="1" w:lastColumn="0" w:noHBand="0" w:noVBand="1"/>
      </w:tblPr>
      <w:tblGrid>
        <w:gridCol w:w="5085"/>
        <w:gridCol w:w="1951"/>
        <w:gridCol w:w="1867"/>
      </w:tblGrid>
      <w:tr w:rsidR="00C35C1F" w:rsidRPr="006F4C8B" w14:paraId="5AC79B3D"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hideMark/>
          </w:tcPr>
          <w:p w14:paraId="15608731"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Preferred Term</w:t>
            </w:r>
          </w:p>
        </w:tc>
        <w:tc>
          <w:tcPr>
            <w:tcW w:w="1985" w:type="dxa"/>
            <w:shd w:val="clear" w:color="auto" w:fill="auto"/>
            <w:hideMark/>
          </w:tcPr>
          <w:p w14:paraId="332F3081"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34648634"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0F7D3B5B"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904" w:type="dxa"/>
            <w:shd w:val="clear" w:color="auto" w:fill="auto"/>
            <w:hideMark/>
          </w:tcPr>
          <w:p w14:paraId="525AC9F4"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000282D1"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7B6131F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C35C1F" w:rsidRPr="006F4C8B" w14:paraId="029A78A0"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369B632E"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Patients with ≥1 TEAE:</w:t>
            </w:r>
          </w:p>
        </w:tc>
        <w:tc>
          <w:tcPr>
            <w:tcW w:w="1985" w:type="dxa"/>
            <w:vAlign w:val="top"/>
            <w:hideMark/>
          </w:tcPr>
          <w:p w14:paraId="0238A46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148 (44.7)</w:t>
            </w:r>
          </w:p>
        </w:tc>
        <w:tc>
          <w:tcPr>
            <w:tcW w:w="1904" w:type="dxa"/>
            <w:vAlign w:val="top"/>
            <w:hideMark/>
          </w:tcPr>
          <w:p w14:paraId="5207718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141 (43.1)</w:t>
            </w:r>
          </w:p>
        </w:tc>
      </w:tr>
      <w:tr w:rsidR="00C35C1F" w:rsidRPr="006F4C8B" w14:paraId="03871632"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B1247EC"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Nausea</w:t>
            </w:r>
          </w:p>
        </w:tc>
        <w:tc>
          <w:tcPr>
            <w:tcW w:w="1985" w:type="dxa"/>
            <w:vAlign w:val="top"/>
            <w:hideMark/>
          </w:tcPr>
          <w:p w14:paraId="075E129D"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26 (7.9)</w:t>
            </w:r>
          </w:p>
        </w:tc>
        <w:tc>
          <w:tcPr>
            <w:tcW w:w="1904" w:type="dxa"/>
            <w:vAlign w:val="top"/>
            <w:hideMark/>
          </w:tcPr>
          <w:p w14:paraId="3EFCCE67"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36 (11.0)</w:t>
            </w:r>
          </w:p>
        </w:tc>
      </w:tr>
      <w:tr w:rsidR="00C35C1F" w:rsidRPr="006F4C8B" w14:paraId="767295EE"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06B284B"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lastRenderedPageBreak/>
              <w:t>Headache</w:t>
            </w:r>
          </w:p>
        </w:tc>
        <w:tc>
          <w:tcPr>
            <w:tcW w:w="1985" w:type="dxa"/>
            <w:vAlign w:val="top"/>
            <w:hideMark/>
          </w:tcPr>
          <w:p w14:paraId="59F5C4EC"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20 (6.0)</w:t>
            </w:r>
          </w:p>
        </w:tc>
        <w:tc>
          <w:tcPr>
            <w:tcW w:w="1904" w:type="dxa"/>
            <w:vAlign w:val="top"/>
            <w:hideMark/>
          </w:tcPr>
          <w:p w14:paraId="44907F5B"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22 (6.7)</w:t>
            </w:r>
          </w:p>
        </w:tc>
      </w:tr>
      <w:tr w:rsidR="00C35C1F" w:rsidRPr="006F4C8B" w14:paraId="6EB4E94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4EEBD6E"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Abscess</w:t>
            </w:r>
          </w:p>
        </w:tc>
        <w:tc>
          <w:tcPr>
            <w:tcW w:w="1985" w:type="dxa"/>
            <w:vAlign w:val="top"/>
            <w:hideMark/>
          </w:tcPr>
          <w:p w14:paraId="75E5E313"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14 (4.2)</w:t>
            </w:r>
          </w:p>
        </w:tc>
        <w:tc>
          <w:tcPr>
            <w:tcW w:w="1904" w:type="dxa"/>
            <w:vAlign w:val="top"/>
            <w:hideMark/>
          </w:tcPr>
          <w:p w14:paraId="0F45400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10 (3.1)</w:t>
            </w:r>
          </w:p>
        </w:tc>
      </w:tr>
      <w:tr w:rsidR="00C35C1F" w:rsidRPr="006F4C8B" w14:paraId="435F94E6"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D667295" w14:textId="76F84A02" w:rsidR="00C35C1F" w:rsidRPr="006F4C8B" w:rsidRDefault="006F4C8B" w:rsidP="001D3F4A">
            <w:pPr>
              <w:pStyle w:val="TableBodyText-H54"/>
              <w:ind w:left="313"/>
              <w:rPr>
                <w:rFonts w:ascii="Arial" w:eastAsia="TimesNewRoman" w:hAnsi="Arial" w:cs="Arial"/>
                <w:sz w:val="20"/>
                <w:lang w:val="en-US"/>
              </w:rPr>
            </w:pPr>
            <w:r>
              <w:rPr>
                <w:rFonts w:ascii="Arial" w:eastAsia="TimesNewRoman" w:hAnsi="Arial" w:cs="Arial"/>
                <w:sz w:val="20"/>
                <w:lang w:val="en-US"/>
              </w:rPr>
              <w:t>Diarrhoea</w:t>
            </w:r>
          </w:p>
        </w:tc>
        <w:tc>
          <w:tcPr>
            <w:tcW w:w="1985" w:type="dxa"/>
            <w:vAlign w:val="top"/>
            <w:hideMark/>
          </w:tcPr>
          <w:p w14:paraId="4E4688AF"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11 (3.3)</w:t>
            </w:r>
          </w:p>
        </w:tc>
        <w:tc>
          <w:tcPr>
            <w:tcW w:w="1904" w:type="dxa"/>
            <w:vAlign w:val="top"/>
            <w:hideMark/>
          </w:tcPr>
          <w:p w14:paraId="02F67127"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17 (5.2)</w:t>
            </w:r>
          </w:p>
        </w:tc>
      </w:tr>
      <w:tr w:rsidR="00C35C1F" w:rsidRPr="006F4C8B" w14:paraId="69F13C63"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44E00A15"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Vomiting</w:t>
            </w:r>
          </w:p>
        </w:tc>
        <w:tc>
          <w:tcPr>
            <w:tcW w:w="1985" w:type="dxa"/>
            <w:vAlign w:val="top"/>
            <w:hideMark/>
          </w:tcPr>
          <w:p w14:paraId="61EF9FE5"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10 (3.0)</w:t>
            </w:r>
          </w:p>
        </w:tc>
        <w:tc>
          <w:tcPr>
            <w:tcW w:w="1904" w:type="dxa"/>
            <w:vAlign w:val="top"/>
            <w:hideMark/>
          </w:tcPr>
          <w:p w14:paraId="40D5ECFB"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17 (5.2)</w:t>
            </w:r>
          </w:p>
        </w:tc>
      </w:tr>
      <w:tr w:rsidR="00C35C1F" w:rsidRPr="006F4C8B" w14:paraId="5A0F89B8"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6A68EAF"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Cellulitis</w:t>
            </w:r>
          </w:p>
        </w:tc>
        <w:tc>
          <w:tcPr>
            <w:tcW w:w="1985" w:type="dxa"/>
            <w:vAlign w:val="top"/>
            <w:hideMark/>
          </w:tcPr>
          <w:p w14:paraId="1EBCBEEC"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9 (2.7)</w:t>
            </w:r>
          </w:p>
        </w:tc>
        <w:tc>
          <w:tcPr>
            <w:tcW w:w="1904" w:type="dxa"/>
            <w:vAlign w:val="top"/>
            <w:hideMark/>
          </w:tcPr>
          <w:p w14:paraId="49F51410"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6 (1.8)</w:t>
            </w:r>
          </w:p>
        </w:tc>
      </w:tr>
      <w:tr w:rsidR="00C35C1F" w:rsidRPr="006F4C8B" w14:paraId="6E3B1FEC"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12344DE"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Fatigue</w:t>
            </w:r>
          </w:p>
        </w:tc>
        <w:tc>
          <w:tcPr>
            <w:tcW w:w="1985" w:type="dxa"/>
            <w:vAlign w:val="top"/>
            <w:hideMark/>
          </w:tcPr>
          <w:p w14:paraId="6115B723"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8 (2.4)</w:t>
            </w:r>
          </w:p>
        </w:tc>
        <w:tc>
          <w:tcPr>
            <w:tcW w:w="1904" w:type="dxa"/>
            <w:vAlign w:val="top"/>
            <w:hideMark/>
          </w:tcPr>
          <w:p w14:paraId="191FA64A"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7 (2.1)</w:t>
            </w:r>
          </w:p>
        </w:tc>
      </w:tr>
      <w:tr w:rsidR="00C35C1F" w:rsidRPr="006F4C8B" w14:paraId="4A9E77E9"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D44A608"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Dizziness</w:t>
            </w:r>
          </w:p>
        </w:tc>
        <w:tc>
          <w:tcPr>
            <w:tcW w:w="1985" w:type="dxa"/>
            <w:vAlign w:val="top"/>
            <w:hideMark/>
          </w:tcPr>
          <w:p w14:paraId="7DA26023"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4 (1.2)</w:t>
            </w:r>
          </w:p>
        </w:tc>
        <w:tc>
          <w:tcPr>
            <w:tcW w:w="1904" w:type="dxa"/>
            <w:vAlign w:val="top"/>
            <w:hideMark/>
          </w:tcPr>
          <w:p w14:paraId="594F19D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 xml:space="preserve">7 </w:t>
            </w:r>
            <w:r w:rsidRPr="006F4C8B">
              <w:rPr>
                <w:rFonts w:ascii="Arial" w:eastAsia="TimesNewRoman" w:hAnsi="Arial" w:cs="Arial"/>
                <w:sz w:val="20"/>
                <w:lang w:val="en-US"/>
              </w:rPr>
              <w:t>(</w:t>
            </w:r>
            <w:r w:rsidRPr="006F4C8B">
              <w:rPr>
                <w:rFonts w:ascii="Arial" w:hAnsi="Arial" w:cs="Arial"/>
                <w:sz w:val="20"/>
                <w:lang w:val="en-US"/>
              </w:rPr>
              <w:t>2.1</w:t>
            </w:r>
            <w:r w:rsidRPr="006F4C8B">
              <w:rPr>
                <w:rFonts w:ascii="Arial" w:eastAsia="TimesNewRoman" w:hAnsi="Arial" w:cs="Arial"/>
                <w:sz w:val="20"/>
                <w:lang w:val="en-US"/>
              </w:rPr>
              <w:t>)</w:t>
            </w:r>
          </w:p>
        </w:tc>
      </w:tr>
      <w:tr w:rsidR="00C35C1F" w:rsidRPr="006F4C8B" w14:paraId="20813A4C"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3C6B11B1"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Vulvovaginal mycotic infection</w:t>
            </w:r>
          </w:p>
        </w:tc>
        <w:tc>
          <w:tcPr>
            <w:tcW w:w="1985" w:type="dxa"/>
            <w:vAlign w:val="top"/>
            <w:hideMark/>
          </w:tcPr>
          <w:p w14:paraId="72928A4A"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 (0.6)</w:t>
            </w:r>
          </w:p>
        </w:tc>
        <w:tc>
          <w:tcPr>
            <w:tcW w:w="1904" w:type="dxa"/>
            <w:vAlign w:val="top"/>
            <w:hideMark/>
          </w:tcPr>
          <w:p w14:paraId="7AD034A9"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hAnsi="Arial" w:cs="Arial"/>
                <w:sz w:val="20"/>
                <w:lang w:val="en-US"/>
              </w:rPr>
              <w:t xml:space="preserve">7 </w:t>
            </w:r>
            <w:r w:rsidRPr="006F4C8B">
              <w:rPr>
                <w:rFonts w:ascii="Arial" w:eastAsia="TimesNewRoman" w:hAnsi="Arial" w:cs="Arial"/>
                <w:sz w:val="20"/>
                <w:lang w:val="en-US"/>
              </w:rPr>
              <w:t>(</w:t>
            </w:r>
            <w:r w:rsidRPr="006F4C8B">
              <w:rPr>
                <w:rFonts w:ascii="Arial" w:hAnsi="Arial" w:cs="Arial"/>
                <w:sz w:val="20"/>
                <w:lang w:val="en-US"/>
              </w:rPr>
              <w:t>2.1</w:t>
            </w:r>
            <w:r w:rsidRPr="006F4C8B">
              <w:rPr>
                <w:rFonts w:ascii="Arial" w:eastAsia="TimesNewRoman" w:hAnsi="Arial" w:cs="Arial"/>
                <w:sz w:val="20"/>
                <w:lang w:val="en-US"/>
              </w:rPr>
              <w:t>)</w:t>
            </w:r>
          </w:p>
        </w:tc>
      </w:tr>
    </w:tbl>
    <w:p w14:paraId="18A635AD" w14:textId="4B9D23E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SOURCE: </w:t>
      </w:r>
      <w:r w:rsidR="00243610" w:rsidRPr="006F4C8B">
        <w:rPr>
          <w:rFonts w:ascii="Arial" w:hAnsi="Arial" w:cs="Arial"/>
          <w:sz w:val="18"/>
          <w:szCs w:val="18"/>
          <w:lang w:val="en-US"/>
        </w:rPr>
        <w:t>ESTABLISH-2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_Ref284171394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42</w:t>
      </w:r>
      <w:r w:rsidR="00243610">
        <w:rPr>
          <w:rFonts w:ascii="Arial" w:hAnsi="Arial" w:cs="Arial"/>
          <w:sz w:val="18"/>
          <w:szCs w:val="18"/>
          <w:lang w:val="en-US"/>
        </w:rPr>
        <w:fldChar w:fldCharType="end"/>
      </w:r>
      <w:r w:rsidRPr="006F4C8B">
        <w:rPr>
          <w:rFonts w:ascii="Arial" w:hAnsi="Arial" w:cs="Arial"/>
          <w:sz w:val="18"/>
          <w:szCs w:val="18"/>
          <w:lang w:val="en-US"/>
        </w:rPr>
        <w:t xml:space="preserve">: section 12.2.2 Table 12-4 </w:t>
      </w:r>
    </w:p>
    <w:p w14:paraId="3B65ECF0"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 N: Number of patients in population; n: Number of patients in specific category; TEAE: Treatment-emergent adverse event</w:t>
      </w:r>
    </w:p>
    <w:p w14:paraId="503F8AC7" w14:textId="77777777" w:rsidR="00C35C1F" w:rsidRPr="00F746B7" w:rsidRDefault="00C35C1F" w:rsidP="00C35C1F">
      <w:pPr>
        <w:pStyle w:val="Heading5"/>
        <w:rPr>
          <w:rFonts w:ascii="Arial" w:hAnsi="Arial" w:cs="Arial"/>
          <w:b/>
          <w:color w:val="auto"/>
          <w:sz w:val="22"/>
          <w:szCs w:val="22"/>
          <w:lang w:val="en-US"/>
        </w:rPr>
      </w:pPr>
      <w:r w:rsidRPr="00F746B7">
        <w:rPr>
          <w:rFonts w:ascii="Arial" w:hAnsi="Arial" w:cs="Arial"/>
          <w:b/>
          <w:color w:val="auto"/>
          <w:sz w:val="22"/>
          <w:szCs w:val="22"/>
          <w:lang w:val="en-US"/>
        </w:rPr>
        <w:t>Serious adverse events in ESTABLISH-2</w:t>
      </w:r>
    </w:p>
    <w:p w14:paraId="30BBDB19" w14:textId="4AA381A9" w:rsidR="00C35C1F" w:rsidRPr="00F746B7" w:rsidRDefault="00C35C1F" w:rsidP="00C35C1F">
      <w:pPr>
        <w:pStyle w:val="BodyText"/>
        <w:rPr>
          <w:rFonts w:cs="Arial"/>
          <w:sz w:val="22"/>
          <w:szCs w:val="22"/>
          <w:lang w:val="en-US"/>
        </w:rPr>
      </w:pPr>
      <w:r w:rsidRPr="00F746B7">
        <w:rPr>
          <w:rFonts w:cs="Arial"/>
          <w:sz w:val="22"/>
          <w:szCs w:val="22"/>
          <w:lang w:val="en-US"/>
        </w:rPr>
        <w:t>The overall incidence of SAEs was low and comparable between treatment groups. SAEs were reported by seven patients (2.1%) in the tedizolid phosphate group and nine patients (2.8%) in the linezolid group (</w:t>
      </w:r>
      <w:r w:rsidRPr="00F746B7">
        <w:rPr>
          <w:rFonts w:cs="Arial"/>
          <w:sz w:val="22"/>
          <w:szCs w:val="22"/>
          <w:lang w:val="en-US"/>
        </w:rPr>
        <w:fldChar w:fldCharType="begin"/>
      </w:r>
      <w:r w:rsidRPr="00F746B7">
        <w:rPr>
          <w:rFonts w:cs="Arial"/>
          <w:sz w:val="22"/>
          <w:szCs w:val="22"/>
          <w:lang w:val="en-US"/>
        </w:rPr>
        <w:instrText xml:space="preserve"> REF _Ref381626853 \h  \* MERGEFORMAT </w:instrText>
      </w:r>
      <w:r w:rsidRPr="00F746B7">
        <w:rPr>
          <w:rFonts w:cs="Arial"/>
          <w:sz w:val="22"/>
          <w:szCs w:val="22"/>
          <w:lang w:val="en-US"/>
        </w:rPr>
      </w:r>
      <w:r w:rsidRPr="00F746B7">
        <w:rPr>
          <w:rFonts w:cs="Arial"/>
          <w:sz w:val="22"/>
          <w:szCs w:val="22"/>
          <w:lang w:val="en-US"/>
        </w:rPr>
        <w:fldChar w:fldCharType="separate"/>
      </w:r>
      <w:r w:rsidR="00151A1C" w:rsidRPr="00151A1C">
        <w:rPr>
          <w:rFonts w:cs="Arial"/>
          <w:sz w:val="22"/>
          <w:szCs w:val="22"/>
          <w:lang w:val="en-US"/>
        </w:rPr>
        <w:t>Table 78</w:t>
      </w:r>
      <w:r w:rsidRPr="00F746B7">
        <w:rPr>
          <w:rFonts w:cs="Arial"/>
          <w:sz w:val="22"/>
          <w:szCs w:val="22"/>
          <w:lang w:val="en-US"/>
        </w:rPr>
        <w:fldChar w:fldCharType="end"/>
      </w:r>
      <w:r w:rsidRPr="00F746B7">
        <w:rPr>
          <w:rFonts w:cs="Arial"/>
          <w:sz w:val="22"/>
          <w:szCs w:val="22"/>
          <w:lang w:val="en-US"/>
        </w:rPr>
        <w:t>). None of the SAEs in the tedizolid phosphate group were related to study treatment; however, the anaphylactic reaction SAE in the linezolid group was considered definitely related to linezolid</w:t>
      </w:r>
      <w:r w:rsidR="004D6F82">
        <w:rPr>
          <w:rFonts w:cs="Arial"/>
          <w:sz w:val="22"/>
          <w:szCs w:val="22"/>
          <w:lang w:val="en-US"/>
        </w:rPr>
        <w:t>(</w:t>
      </w:r>
      <w:r w:rsidR="004D6F82">
        <w:rPr>
          <w:rFonts w:cs="Arial"/>
          <w:sz w:val="22"/>
          <w:szCs w:val="22"/>
          <w:lang w:val="en-US"/>
        </w:rPr>
        <w:fldChar w:fldCharType="begin"/>
      </w:r>
      <w:r w:rsidR="004D6F82">
        <w:rPr>
          <w:rFonts w:cs="Arial"/>
          <w:sz w:val="22"/>
          <w:szCs w:val="22"/>
          <w:lang w:val="en-US"/>
        </w:rPr>
        <w:instrText xml:space="preserve"> REF _Ref284171394 \r \h </w:instrText>
      </w:r>
      <w:r w:rsidR="004D6F82">
        <w:rPr>
          <w:rFonts w:cs="Arial"/>
          <w:sz w:val="22"/>
          <w:szCs w:val="22"/>
          <w:lang w:val="en-US"/>
        </w:rPr>
      </w:r>
      <w:r w:rsidR="004D6F82">
        <w:rPr>
          <w:rFonts w:cs="Arial"/>
          <w:sz w:val="22"/>
          <w:szCs w:val="22"/>
          <w:lang w:val="en-US"/>
        </w:rPr>
        <w:fldChar w:fldCharType="separate"/>
      </w:r>
      <w:r w:rsidR="00151A1C">
        <w:rPr>
          <w:rFonts w:cs="Arial"/>
          <w:sz w:val="22"/>
          <w:szCs w:val="22"/>
          <w:lang w:val="en-US"/>
        </w:rPr>
        <w:t>42</w:t>
      </w:r>
      <w:r w:rsidR="004D6F82">
        <w:rPr>
          <w:rFonts w:cs="Arial"/>
          <w:sz w:val="22"/>
          <w:szCs w:val="22"/>
          <w:lang w:val="en-US"/>
        </w:rPr>
        <w:fldChar w:fldCharType="end"/>
      </w:r>
      <w:r w:rsidR="004D6F82">
        <w:rPr>
          <w:rFonts w:cs="Arial"/>
          <w:sz w:val="22"/>
          <w:szCs w:val="22"/>
          <w:lang w:val="en-US"/>
        </w:rPr>
        <w:t>).</w:t>
      </w:r>
    </w:p>
    <w:p w14:paraId="31D109A7" w14:textId="77777777" w:rsidR="00C35C1F" w:rsidRPr="006F4C8B" w:rsidRDefault="00C35C1F" w:rsidP="00C35C1F">
      <w:pPr>
        <w:pStyle w:val="TableHeading"/>
        <w:rPr>
          <w:rFonts w:ascii="Arial" w:hAnsi="Arial" w:cs="Arial"/>
          <w:sz w:val="22"/>
          <w:szCs w:val="22"/>
        </w:rPr>
      </w:pPr>
      <w:r w:rsidRPr="006F4C8B">
        <w:rPr>
          <w:rFonts w:ascii="Arial" w:hAnsi="Arial" w:cs="Arial"/>
          <w:b w:val="0"/>
        </w:rPr>
        <w:br w:type="page"/>
      </w:r>
      <w:bookmarkStart w:id="379" w:name="_Ref381626853"/>
      <w:bookmarkStart w:id="380" w:name="_Toc396058477"/>
      <w:r w:rsidRPr="006F4C8B">
        <w:rPr>
          <w:rFonts w:ascii="Arial" w:hAnsi="Arial" w:cs="Arial"/>
          <w:sz w:val="22"/>
          <w:szCs w:val="22"/>
        </w:rPr>
        <w:lastRenderedPageBreak/>
        <w:t xml:space="preserve">Table </w:t>
      </w:r>
      <w:r w:rsidRPr="006F4C8B">
        <w:rPr>
          <w:rFonts w:ascii="Arial" w:hAnsi="Arial" w:cs="Arial"/>
          <w:sz w:val="22"/>
          <w:szCs w:val="22"/>
        </w:rPr>
        <w:fldChar w:fldCharType="begin"/>
      </w:r>
      <w:r w:rsidRPr="006F4C8B">
        <w:rPr>
          <w:rFonts w:ascii="Arial" w:hAnsi="Arial" w:cs="Arial"/>
          <w:sz w:val="22"/>
          <w:szCs w:val="22"/>
        </w:rPr>
        <w:instrText xml:space="preserve"> SEQ Table \* ARABIC </w:instrText>
      </w:r>
      <w:r w:rsidRPr="006F4C8B">
        <w:rPr>
          <w:rFonts w:ascii="Arial" w:hAnsi="Arial" w:cs="Arial"/>
          <w:sz w:val="22"/>
          <w:szCs w:val="22"/>
        </w:rPr>
        <w:fldChar w:fldCharType="separate"/>
      </w:r>
      <w:r w:rsidR="00151A1C">
        <w:rPr>
          <w:rFonts w:ascii="Arial" w:hAnsi="Arial" w:cs="Arial"/>
          <w:noProof/>
          <w:sz w:val="22"/>
          <w:szCs w:val="22"/>
        </w:rPr>
        <w:t>78</w:t>
      </w:r>
      <w:r w:rsidRPr="006F4C8B">
        <w:rPr>
          <w:rFonts w:ascii="Arial" w:hAnsi="Arial" w:cs="Arial"/>
          <w:noProof/>
          <w:sz w:val="22"/>
          <w:szCs w:val="22"/>
        </w:rPr>
        <w:fldChar w:fldCharType="end"/>
      </w:r>
      <w:bookmarkEnd w:id="379"/>
      <w:r w:rsidRPr="006F4C8B">
        <w:rPr>
          <w:rFonts w:ascii="Arial" w:hAnsi="Arial" w:cs="Arial"/>
          <w:sz w:val="22"/>
          <w:szCs w:val="22"/>
        </w:rPr>
        <w:t>: Serious TEAEs in ESTABLISH-2 (Safety population)</w:t>
      </w:r>
      <w:bookmarkEnd w:id="380"/>
    </w:p>
    <w:tbl>
      <w:tblPr>
        <w:tblStyle w:val="Table-HERONplain"/>
        <w:tblW w:w="0" w:type="auto"/>
        <w:tblLook w:val="04A0" w:firstRow="1" w:lastRow="0" w:firstColumn="1" w:lastColumn="0" w:noHBand="0" w:noVBand="1"/>
      </w:tblPr>
      <w:tblGrid>
        <w:gridCol w:w="5091"/>
        <w:gridCol w:w="2082"/>
        <w:gridCol w:w="1730"/>
      </w:tblGrid>
      <w:tr w:rsidR="00C35C1F" w:rsidRPr="006F4C8B" w14:paraId="54D91A36"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hideMark/>
          </w:tcPr>
          <w:p w14:paraId="3B6C0EA8"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System Organ Class</w:t>
            </w:r>
          </w:p>
          <w:p w14:paraId="3B7B0558"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Preferred Term</w:t>
            </w:r>
          </w:p>
        </w:tc>
        <w:tc>
          <w:tcPr>
            <w:tcW w:w="2126" w:type="dxa"/>
            <w:shd w:val="clear" w:color="auto" w:fill="auto"/>
            <w:hideMark/>
          </w:tcPr>
          <w:p w14:paraId="7988D14A"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10D1F94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6255A45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763" w:type="dxa"/>
            <w:shd w:val="clear" w:color="auto" w:fill="auto"/>
            <w:hideMark/>
          </w:tcPr>
          <w:p w14:paraId="0A8F4FC4"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36F3CCB9"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4201A9BA"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C35C1F" w:rsidRPr="006F4C8B" w14:paraId="274344C2"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7CF7B0F" w14:textId="77777777" w:rsidR="00C35C1F" w:rsidRPr="006F4C8B" w:rsidRDefault="00C35C1F" w:rsidP="001D3F4A">
            <w:pPr>
              <w:pStyle w:val="TableBodyText-H54"/>
              <w:rPr>
                <w:rFonts w:ascii="Arial" w:eastAsia="TimesNewRoman,Bold" w:hAnsi="Arial" w:cs="Arial"/>
                <w:sz w:val="20"/>
                <w:lang w:val="en-US"/>
              </w:rPr>
            </w:pPr>
            <w:r w:rsidRPr="006F4C8B">
              <w:rPr>
                <w:rFonts w:ascii="Arial" w:eastAsia="TimesNewRoman,Bold" w:hAnsi="Arial" w:cs="Arial"/>
                <w:sz w:val="20"/>
                <w:lang w:val="en-US"/>
              </w:rPr>
              <w:t xml:space="preserve">Patients with </w:t>
            </w:r>
            <w:r w:rsidRPr="006F4C8B">
              <w:rPr>
                <w:rFonts w:ascii="Arial" w:hAnsi="Arial" w:cs="Arial"/>
                <w:sz w:val="20"/>
                <w:lang w:val="en-US"/>
              </w:rPr>
              <w:t xml:space="preserve">≥1 </w:t>
            </w:r>
            <w:r w:rsidRPr="006F4C8B">
              <w:rPr>
                <w:rFonts w:ascii="Arial" w:eastAsia="TimesNewRoman,Bold" w:hAnsi="Arial" w:cs="Arial"/>
                <w:sz w:val="20"/>
                <w:lang w:val="en-US"/>
              </w:rPr>
              <w:t>serious TEAE</w:t>
            </w:r>
          </w:p>
        </w:tc>
        <w:tc>
          <w:tcPr>
            <w:tcW w:w="2126" w:type="dxa"/>
            <w:vAlign w:val="top"/>
            <w:hideMark/>
          </w:tcPr>
          <w:p w14:paraId="5DB0C870"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7 (2.1)</w:t>
            </w:r>
          </w:p>
        </w:tc>
        <w:tc>
          <w:tcPr>
            <w:tcW w:w="1763" w:type="dxa"/>
            <w:vAlign w:val="top"/>
            <w:hideMark/>
          </w:tcPr>
          <w:p w14:paraId="6206504B"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9 (2.8)</w:t>
            </w:r>
          </w:p>
        </w:tc>
      </w:tr>
      <w:tr w:rsidR="00C35C1F" w:rsidRPr="006F4C8B" w14:paraId="716E37C7"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5AB19573"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Cardiac disorders</w:t>
            </w:r>
          </w:p>
        </w:tc>
        <w:tc>
          <w:tcPr>
            <w:tcW w:w="2126" w:type="dxa"/>
            <w:vAlign w:val="top"/>
            <w:hideMark/>
          </w:tcPr>
          <w:p w14:paraId="69BF47D9"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6A343F53"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 (0.6)</w:t>
            </w:r>
          </w:p>
        </w:tc>
      </w:tr>
      <w:tr w:rsidR="00C35C1F" w:rsidRPr="006F4C8B" w14:paraId="152734FC"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C5ECB53"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Acute coronary syndrome</w:t>
            </w:r>
          </w:p>
        </w:tc>
        <w:tc>
          <w:tcPr>
            <w:tcW w:w="2126" w:type="dxa"/>
            <w:vAlign w:val="top"/>
            <w:hideMark/>
          </w:tcPr>
          <w:p w14:paraId="4BAAF6B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78C7697F"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4E507391"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1C28672A"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Acute myocardial infarction</w:t>
            </w:r>
          </w:p>
        </w:tc>
        <w:tc>
          <w:tcPr>
            <w:tcW w:w="2126" w:type="dxa"/>
            <w:vAlign w:val="top"/>
            <w:hideMark/>
          </w:tcPr>
          <w:p w14:paraId="550A71E6"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0CC074E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1641EC72"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F6E525F" w14:textId="77777777" w:rsidR="00C35C1F" w:rsidRPr="006F4C8B" w:rsidRDefault="00C35C1F" w:rsidP="001D3F4A">
            <w:pPr>
              <w:pStyle w:val="TableBodyText-H54"/>
              <w:tabs>
                <w:tab w:val="center" w:pos="3131"/>
              </w:tabs>
              <w:ind w:left="313"/>
              <w:rPr>
                <w:rFonts w:ascii="Arial" w:eastAsia="TimesNewRoman" w:hAnsi="Arial" w:cs="Arial"/>
                <w:sz w:val="20"/>
                <w:lang w:val="en-US"/>
              </w:rPr>
            </w:pPr>
            <w:r w:rsidRPr="006F4C8B">
              <w:rPr>
                <w:rFonts w:ascii="Arial" w:eastAsia="TimesNewRoman" w:hAnsi="Arial" w:cs="Arial"/>
                <w:sz w:val="20"/>
                <w:lang w:val="en-US"/>
              </w:rPr>
              <w:t>Myocardial infarction</w:t>
            </w:r>
            <w:r w:rsidRPr="006F4C8B">
              <w:rPr>
                <w:rFonts w:ascii="Arial" w:eastAsia="TimesNewRoman" w:hAnsi="Arial" w:cs="Arial"/>
                <w:sz w:val="20"/>
                <w:lang w:val="en-US"/>
              </w:rPr>
              <w:tab/>
            </w:r>
          </w:p>
        </w:tc>
        <w:tc>
          <w:tcPr>
            <w:tcW w:w="2126" w:type="dxa"/>
            <w:vAlign w:val="top"/>
            <w:hideMark/>
          </w:tcPr>
          <w:p w14:paraId="465AF867"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2AF864DB"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7CC3029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A187E71"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Immune system disorders</w:t>
            </w:r>
          </w:p>
        </w:tc>
        <w:tc>
          <w:tcPr>
            <w:tcW w:w="2126" w:type="dxa"/>
            <w:vAlign w:val="top"/>
            <w:hideMark/>
          </w:tcPr>
          <w:p w14:paraId="18B7BBA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5BA5A54B"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1BF7C29E"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0482F1A"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Anaphylactic reaction</w:t>
            </w:r>
          </w:p>
        </w:tc>
        <w:tc>
          <w:tcPr>
            <w:tcW w:w="2126" w:type="dxa"/>
            <w:vAlign w:val="top"/>
            <w:hideMark/>
          </w:tcPr>
          <w:p w14:paraId="4C43F234"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65AF951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75C2A32C"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AF1D568"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Infections and infestations</w:t>
            </w:r>
          </w:p>
        </w:tc>
        <w:tc>
          <w:tcPr>
            <w:tcW w:w="2126" w:type="dxa"/>
            <w:vAlign w:val="top"/>
            <w:hideMark/>
          </w:tcPr>
          <w:p w14:paraId="7A94BE7C"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3 (0.9)</w:t>
            </w:r>
          </w:p>
        </w:tc>
        <w:tc>
          <w:tcPr>
            <w:tcW w:w="1763" w:type="dxa"/>
            <w:vAlign w:val="top"/>
            <w:hideMark/>
          </w:tcPr>
          <w:p w14:paraId="375C94BB"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4 (1.2)</w:t>
            </w:r>
          </w:p>
        </w:tc>
      </w:tr>
      <w:tr w:rsidR="00C35C1F" w:rsidRPr="006F4C8B" w14:paraId="2766C62D"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46FAB5A3"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Cellulitis</w:t>
            </w:r>
          </w:p>
        </w:tc>
        <w:tc>
          <w:tcPr>
            <w:tcW w:w="2126" w:type="dxa"/>
            <w:vAlign w:val="top"/>
            <w:hideMark/>
          </w:tcPr>
          <w:p w14:paraId="1B17025D"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5CC25C96"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 (0.6)</w:t>
            </w:r>
          </w:p>
        </w:tc>
      </w:tr>
      <w:tr w:rsidR="00C35C1F" w:rsidRPr="006F4C8B" w14:paraId="54BB25E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CCD8477"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Escherichia urinary tract infection</w:t>
            </w:r>
          </w:p>
        </w:tc>
        <w:tc>
          <w:tcPr>
            <w:tcW w:w="2126" w:type="dxa"/>
            <w:vAlign w:val="top"/>
            <w:hideMark/>
          </w:tcPr>
          <w:p w14:paraId="635F9415"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64C0D513"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7CCC761C"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2AA8D266"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Meningitis tuberculosis</w:t>
            </w:r>
          </w:p>
        </w:tc>
        <w:tc>
          <w:tcPr>
            <w:tcW w:w="2126" w:type="dxa"/>
            <w:vAlign w:val="top"/>
            <w:hideMark/>
          </w:tcPr>
          <w:p w14:paraId="299C6C98"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70FEDF61"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68CC741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4ADC0356"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Pneumonia</w:t>
            </w:r>
          </w:p>
        </w:tc>
        <w:tc>
          <w:tcPr>
            <w:tcW w:w="2126" w:type="dxa"/>
            <w:vAlign w:val="top"/>
            <w:hideMark/>
          </w:tcPr>
          <w:p w14:paraId="7578DB1F"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387B2F25"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6D785CD0"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68E3B13"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Septic shock</w:t>
            </w:r>
          </w:p>
        </w:tc>
        <w:tc>
          <w:tcPr>
            <w:tcW w:w="2126" w:type="dxa"/>
            <w:vAlign w:val="top"/>
            <w:hideMark/>
          </w:tcPr>
          <w:p w14:paraId="197CFB88"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6ACA49A6"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02679F4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3D8D8CFA"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Staphylococcal bacteremia</w:t>
            </w:r>
          </w:p>
        </w:tc>
        <w:tc>
          <w:tcPr>
            <w:tcW w:w="2126" w:type="dxa"/>
            <w:vAlign w:val="top"/>
            <w:hideMark/>
          </w:tcPr>
          <w:p w14:paraId="7A661E92"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3AAFB961"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315ABEBF"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5C55FC85"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Urinary tract infection bacterial</w:t>
            </w:r>
          </w:p>
        </w:tc>
        <w:tc>
          <w:tcPr>
            <w:tcW w:w="2126" w:type="dxa"/>
            <w:vAlign w:val="top"/>
            <w:hideMark/>
          </w:tcPr>
          <w:p w14:paraId="69C56E1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561CFE7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19EEBD60"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15482FA"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Investigations</w:t>
            </w:r>
          </w:p>
        </w:tc>
        <w:tc>
          <w:tcPr>
            <w:tcW w:w="2126" w:type="dxa"/>
            <w:vAlign w:val="top"/>
            <w:hideMark/>
          </w:tcPr>
          <w:p w14:paraId="22315F47"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5B20F1F2"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50FF243A"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6E3CF9B"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Blood glucose increased</w:t>
            </w:r>
          </w:p>
        </w:tc>
        <w:tc>
          <w:tcPr>
            <w:tcW w:w="2126" w:type="dxa"/>
            <w:vAlign w:val="top"/>
            <w:hideMark/>
          </w:tcPr>
          <w:p w14:paraId="1CA0754E"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52C0FEE3"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625B7D1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71DB623"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Metabolism and nutrition disorders</w:t>
            </w:r>
          </w:p>
        </w:tc>
        <w:tc>
          <w:tcPr>
            <w:tcW w:w="2126" w:type="dxa"/>
            <w:vAlign w:val="top"/>
            <w:hideMark/>
          </w:tcPr>
          <w:p w14:paraId="79E13A39"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508390EC"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24873AEC"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ADA762D"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Diabetes mellitus</w:t>
            </w:r>
          </w:p>
        </w:tc>
        <w:tc>
          <w:tcPr>
            <w:tcW w:w="2126" w:type="dxa"/>
            <w:vAlign w:val="top"/>
            <w:hideMark/>
          </w:tcPr>
          <w:p w14:paraId="59F49D9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184EDD2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68B866E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72EC3F15"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Renal and urinary disorders</w:t>
            </w:r>
          </w:p>
        </w:tc>
        <w:tc>
          <w:tcPr>
            <w:tcW w:w="2126" w:type="dxa"/>
            <w:vAlign w:val="top"/>
            <w:hideMark/>
          </w:tcPr>
          <w:p w14:paraId="6C3CF02D"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78D6EFBF"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14ADAFB1"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055070C8"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Nephrolithiasis</w:t>
            </w:r>
          </w:p>
        </w:tc>
        <w:tc>
          <w:tcPr>
            <w:tcW w:w="2126" w:type="dxa"/>
            <w:vAlign w:val="top"/>
            <w:hideMark/>
          </w:tcPr>
          <w:p w14:paraId="7A03595B"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6D87FACE"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069A096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6639E0B5" w14:textId="77777777" w:rsidR="00C35C1F" w:rsidRPr="006F4C8B" w:rsidRDefault="00C35C1F" w:rsidP="001D3F4A">
            <w:pPr>
              <w:pStyle w:val="TableBodyText-H54"/>
              <w:rPr>
                <w:rFonts w:ascii="Arial" w:eastAsia="TimesNewRoman" w:hAnsi="Arial" w:cs="Arial"/>
                <w:sz w:val="20"/>
                <w:lang w:val="en-US"/>
              </w:rPr>
            </w:pPr>
            <w:r w:rsidRPr="006F4C8B">
              <w:rPr>
                <w:rFonts w:ascii="Arial" w:eastAsia="TimesNewRoman" w:hAnsi="Arial" w:cs="Arial"/>
                <w:sz w:val="20"/>
                <w:lang w:val="en-US"/>
              </w:rPr>
              <w:t>Vascular disorders</w:t>
            </w:r>
          </w:p>
        </w:tc>
        <w:tc>
          <w:tcPr>
            <w:tcW w:w="2126" w:type="dxa"/>
            <w:vAlign w:val="top"/>
            <w:hideMark/>
          </w:tcPr>
          <w:p w14:paraId="556E5D9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0608470A"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r w:rsidR="00C35C1F" w:rsidRPr="006F4C8B" w14:paraId="53A91046" w14:textId="77777777" w:rsidTr="00F257FE">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5E685650"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t>Hypertension</w:t>
            </w:r>
          </w:p>
        </w:tc>
        <w:tc>
          <w:tcPr>
            <w:tcW w:w="2126" w:type="dxa"/>
            <w:vAlign w:val="top"/>
            <w:hideMark/>
          </w:tcPr>
          <w:p w14:paraId="63C4325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763" w:type="dxa"/>
            <w:vAlign w:val="top"/>
            <w:hideMark/>
          </w:tcPr>
          <w:p w14:paraId="78CC60C3"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r>
      <w:tr w:rsidR="00C35C1F" w:rsidRPr="006F4C8B" w14:paraId="246B5FEA"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top"/>
            <w:hideMark/>
          </w:tcPr>
          <w:p w14:paraId="17E23BF4" w14:textId="77777777" w:rsidR="00C35C1F" w:rsidRPr="006F4C8B" w:rsidRDefault="00C35C1F" w:rsidP="001D3F4A">
            <w:pPr>
              <w:pStyle w:val="TableBodyText-H54"/>
              <w:ind w:left="313"/>
              <w:rPr>
                <w:rFonts w:ascii="Arial" w:eastAsia="TimesNewRoman" w:hAnsi="Arial" w:cs="Arial"/>
                <w:sz w:val="20"/>
                <w:lang w:val="en-US"/>
              </w:rPr>
            </w:pPr>
            <w:r w:rsidRPr="006F4C8B">
              <w:rPr>
                <w:rFonts w:ascii="Arial" w:eastAsia="TimesNewRoman" w:hAnsi="Arial" w:cs="Arial"/>
                <w:sz w:val="20"/>
                <w:lang w:val="en-US"/>
              </w:rPr>
              <w:lastRenderedPageBreak/>
              <w:t>Thrombophlebitis superficial</w:t>
            </w:r>
          </w:p>
        </w:tc>
        <w:tc>
          <w:tcPr>
            <w:tcW w:w="2126" w:type="dxa"/>
            <w:vAlign w:val="top"/>
            <w:hideMark/>
          </w:tcPr>
          <w:p w14:paraId="5D22B00B"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0</w:t>
            </w:r>
          </w:p>
        </w:tc>
        <w:tc>
          <w:tcPr>
            <w:tcW w:w="1763" w:type="dxa"/>
            <w:vAlign w:val="top"/>
            <w:hideMark/>
          </w:tcPr>
          <w:p w14:paraId="16C87CE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r>
    </w:tbl>
    <w:p w14:paraId="464B52DF" w14:textId="787F9E81"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 xml:space="preserve">SOURCE: </w:t>
      </w:r>
      <w:r w:rsidR="00243610" w:rsidRPr="006F4C8B">
        <w:rPr>
          <w:rFonts w:ascii="Arial" w:hAnsi="Arial" w:cs="Arial"/>
          <w:sz w:val="18"/>
          <w:szCs w:val="18"/>
          <w:lang w:val="en-US"/>
        </w:rPr>
        <w:t>ESTABLISH-2 CSR</w:t>
      </w:r>
      <w:r w:rsidR="00243610">
        <w:rPr>
          <w:rFonts w:ascii="Arial" w:hAnsi="Arial" w:cs="Arial"/>
          <w:sz w:val="18"/>
          <w:szCs w:val="18"/>
          <w:lang w:val="en-US"/>
        </w:rPr>
        <w:t xml:space="preserve"> </w:t>
      </w:r>
      <w:r w:rsidR="00243610">
        <w:rPr>
          <w:rFonts w:ascii="Arial" w:hAnsi="Arial" w:cs="Arial"/>
          <w:sz w:val="18"/>
          <w:szCs w:val="18"/>
          <w:lang w:val="en-US"/>
        </w:rPr>
        <w:fldChar w:fldCharType="begin"/>
      </w:r>
      <w:r w:rsidR="00243610">
        <w:rPr>
          <w:rFonts w:ascii="Arial" w:hAnsi="Arial" w:cs="Arial"/>
          <w:sz w:val="18"/>
          <w:szCs w:val="18"/>
          <w:lang w:val="en-US"/>
        </w:rPr>
        <w:instrText xml:space="preserve"> REF _Ref284171394 \r \h </w:instrText>
      </w:r>
      <w:r w:rsidR="00243610">
        <w:rPr>
          <w:rFonts w:ascii="Arial" w:hAnsi="Arial" w:cs="Arial"/>
          <w:sz w:val="18"/>
          <w:szCs w:val="18"/>
          <w:lang w:val="en-US"/>
        </w:rPr>
      </w:r>
      <w:r w:rsidR="00243610">
        <w:rPr>
          <w:rFonts w:ascii="Arial" w:hAnsi="Arial" w:cs="Arial"/>
          <w:sz w:val="18"/>
          <w:szCs w:val="18"/>
          <w:lang w:val="en-US"/>
        </w:rPr>
        <w:fldChar w:fldCharType="separate"/>
      </w:r>
      <w:r w:rsidR="00151A1C">
        <w:rPr>
          <w:rFonts w:ascii="Arial" w:hAnsi="Arial" w:cs="Arial"/>
          <w:sz w:val="18"/>
          <w:szCs w:val="18"/>
          <w:lang w:val="en-US"/>
        </w:rPr>
        <w:t>42</w:t>
      </w:r>
      <w:r w:rsidR="00243610">
        <w:rPr>
          <w:rFonts w:ascii="Arial" w:hAnsi="Arial" w:cs="Arial"/>
          <w:sz w:val="18"/>
          <w:szCs w:val="18"/>
          <w:lang w:val="en-US"/>
        </w:rPr>
        <w:fldChar w:fldCharType="end"/>
      </w:r>
      <w:r w:rsidR="00243610" w:rsidRPr="006F4C8B">
        <w:rPr>
          <w:rFonts w:ascii="Arial" w:hAnsi="Arial" w:cs="Arial"/>
          <w:sz w:val="18"/>
          <w:szCs w:val="18"/>
          <w:lang w:val="en-US"/>
        </w:rPr>
        <w:t xml:space="preserve">: </w:t>
      </w:r>
      <w:r w:rsidRPr="006F4C8B">
        <w:rPr>
          <w:rFonts w:ascii="Arial" w:hAnsi="Arial" w:cs="Arial"/>
          <w:sz w:val="18"/>
          <w:szCs w:val="18"/>
          <w:lang w:val="en-US"/>
        </w:rPr>
        <w:t xml:space="preserve">section 12.3.1.2 Table 12-5 </w:t>
      </w:r>
    </w:p>
    <w:p w14:paraId="52B71E0F"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*Patients who has a SAE that led to death; **Related to study drug</w:t>
      </w:r>
    </w:p>
    <w:p w14:paraId="5609189D"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N: Number of patients in population; n: Number of patients in specific category; TEAEs: Treatment-emergent adverse event</w:t>
      </w:r>
    </w:p>
    <w:p w14:paraId="36021FD8" w14:textId="77777777" w:rsidR="00C35C1F" w:rsidRPr="006F4C8B" w:rsidRDefault="00C35C1F" w:rsidP="00C35C1F">
      <w:pPr>
        <w:pStyle w:val="Heading5"/>
        <w:rPr>
          <w:rFonts w:ascii="Arial" w:hAnsi="Arial" w:cs="Arial"/>
          <w:b/>
          <w:color w:val="auto"/>
          <w:sz w:val="22"/>
          <w:szCs w:val="22"/>
          <w:lang w:val="en-US"/>
        </w:rPr>
      </w:pPr>
      <w:bookmarkStart w:id="381" w:name="_Ref382386860"/>
      <w:r w:rsidRPr="006F4C8B">
        <w:rPr>
          <w:rFonts w:ascii="Arial" w:hAnsi="Arial" w:cs="Arial"/>
          <w:b/>
          <w:color w:val="auto"/>
          <w:sz w:val="22"/>
          <w:szCs w:val="22"/>
          <w:lang w:val="en-US"/>
        </w:rPr>
        <w:t>Deaths in ESTABLISH-2</w:t>
      </w:r>
      <w:bookmarkEnd w:id="381"/>
    </w:p>
    <w:p w14:paraId="0A8C6F06" w14:textId="3B5D3518" w:rsidR="00C35C1F" w:rsidRPr="006F4C8B" w:rsidRDefault="00C35C1F" w:rsidP="00C35C1F">
      <w:pPr>
        <w:pStyle w:val="BodyText"/>
        <w:rPr>
          <w:rFonts w:cs="Arial"/>
          <w:sz w:val="22"/>
          <w:szCs w:val="22"/>
          <w:lang w:val="en-US"/>
        </w:rPr>
      </w:pPr>
      <w:r w:rsidRPr="006F4C8B">
        <w:rPr>
          <w:rFonts w:cs="Arial"/>
          <w:sz w:val="22"/>
          <w:szCs w:val="22"/>
          <w:lang w:val="en-US"/>
        </w:rPr>
        <w:t>One patient in each treatment group experienced a SAE that resulted in death. Both deaths were considered unrelated to the study drug</w:t>
      </w:r>
      <w:r w:rsidR="004D6F82">
        <w:rPr>
          <w:rFonts w:cs="Arial"/>
          <w:sz w:val="22"/>
          <w:szCs w:val="22"/>
          <w:lang w:val="en-US"/>
        </w:rPr>
        <w:t xml:space="preserve"> (</w:t>
      </w:r>
      <w:r w:rsidR="004D6F82">
        <w:rPr>
          <w:rFonts w:cs="Arial"/>
          <w:sz w:val="22"/>
          <w:szCs w:val="22"/>
          <w:lang w:val="en-US"/>
        </w:rPr>
        <w:fldChar w:fldCharType="begin"/>
      </w:r>
      <w:r w:rsidR="004D6F82">
        <w:rPr>
          <w:rFonts w:cs="Arial"/>
          <w:sz w:val="22"/>
          <w:szCs w:val="22"/>
          <w:lang w:val="en-US"/>
        </w:rPr>
        <w:instrText xml:space="preserve"> REF _Ref284171394 \r \h </w:instrText>
      </w:r>
      <w:r w:rsidR="004D6F82">
        <w:rPr>
          <w:rFonts w:cs="Arial"/>
          <w:sz w:val="22"/>
          <w:szCs w:val="22"/>
          <w:lang w:val="en-US"/>
        </w:rPr>
      </w:r>
      <w:r w:rsidR="004D6F82">
        <w:rPr>
          <w:rFonts w:cs="Arial"/>
          <w:sz w:val="22"/>
          <w:szCs w:val="22"/>
          <w:lang w:val="en-US"/>
        </w:rPr>
        <w:fldChar w:fldCharType="separate"/>
      </w:r>
      <w:r w:rsidR="00151A1C">
        <w:rPr>
          <w:rFonts w:cs="Arial"/>
          <w:sz w:val="22"/>
          <w:szCs w:val="22"/>
          <w:lang w:val="en-US"/>
        </w:rPr>
        <w:t>42</w:t>
      </w:r>
      <w:r w:rsidR="004D6F82">
        <w:rPr>
          <w:rFonts w:cs="Arial"/>
          <w:sz w:val="22"/>
          <w:szCs w:val="22"/>
          <w:lang w:val="en-US"/>
        </w:rPr>
        <w:fldChar w:fldCharType="end"/>
      </w:r>
      <w:r w:rsidR="004D6F82">
        <w:rPr>
          <w:rFonts w:cs="Arial"/>
          <w:sz w:val="22"/>
          <w:szCs w:val="22"/>
          <w:lang w:val="en-US"/>
        </w:rPr>
        <w:t>).</w:t>
      </w:r>
      <w:r w:rsidR="004D6F82" w:rsidRPr="006F4C8B">
        <w:rPr>
          <w:rFonts w:cs="Arial"/>
          <w:sz w:val="22"/>
          <w:szCs w:val="22"/>
          <w:lang w:val="en-US"/>
        </w:rPr>
        <w:t xml:space="preserve"> </w:t>
      </w:r>
    </w:p>
    <w:p w14:paraId="488BEC95" w14:textId="77777777" w:rsidR="00C35C1F" w:rsidRPr="006F4C8B" w:rsidRDefault="00C35C1F" w:rsidP="006F4C8B">
      <w:pPr>
        <w:pStyle w:val="Heading4"/>
        <w:keepLines w:val="0"/>
        <w:spacing w:before="240" w:after="120"/>
        <w:rPr>
          <w:rFonts w:ascii="Arial" w:hAnsi="Arial" w:cs="Arial"/>
          <w:color w:val="auto"/>
          <w:sz w:val="22"/>
          <w:szCs w:val="22"/>
          <w:lang w:val="en-US"/>
        </w:rPr>
      </w:pPr>
      <w:bookmarkStart w:id="382" w:name="_Ref382237965"/>
      <w:r w:rsidRPr="006F4C8B">
        <w:rPr>
          <w:rFonts w:ascii="Arial" w:hAnsi="Arial" w:cs="Arial"/>
          <w:color w:val="auto"/>
          <w:sz w:val="22"/>
          <w:szCs w:val="22"/>
          <w:lang w:val="en-US"/>
        </w:rPr>
        <w:t>Tedizolid phosphate had a lower risk of gastrointestinal adverse events compared with linezolid, based on the ESTABLISH-2</w:t>
      </w:r>
      <w:bookmarkEnd w:id="382"/>
      <w:r w:rsidRPr="006F4C8B">
        <w:rPr>
          <w:rFonts w:ascii="Arial" w:hAnsi="Arial" w:cs="Arial"/>
          <w:color w:val="auto"/>
          <w:sz w:val="22"/>
          <w:szCs w:val="22"/>
          <w:lang w:val="en-US"/>
        </w:rPr>
        <w:t xml:space="preserve"> safety data</w:t>
      </w:r>
    </w:p>
    <w:p w14:paraId="3AFFDAD5" w14:textId="01CAB3DD" w:rsidR="00C35C1F" w:rsidRPr="006F4C8B" w:rsidRDefault="00C35C1F" w:rsidP="00C35C1F">
      <w:pPr>
        <w:pStyle w:val="BodyText"/>
        <w:rPr>
          <w:rFonts w:cs="Arial"/>
          <w:sz w:val="22"/>
          <w:szCs w:val="22"/>
          <w:lang w:val="en-US"/>
        </w:rPr>
      </w:pPr>
      <w:r w:rsidRPr="006F4C8B">
        <w:rPr>
          <w:rFonts w:cs="Arial"/>
          <w:sz w:val="22"/>
          <w:szCs w:val="22"/>
          <w:lang w:val="en-US"/>
        </w:rPr>
        <w:t>Patients treated with tedizolid phosphate reported fewer gastrointestinal AEs compared with patients treated with linezolid (</w:t>
      </w:r>
      <w:r w:rsidRPr="006F4C8B">
        <w:rPr>
          <w:rFonts w:cs="Arial"/>
          <w:sz w:val="22"/>
          <w:szCs w:val="22"/>
          <w:lang w:val="en-US"/>
        </w:rPr>
        <w:fldChar w:fldCharType="begin"/>
      </w:r>
      <w:r w:rsidRPr="006F4C8B">
        <w:rPr>
          <w:rFonts w:cs="Arial"/>
          <w:sz w:val="22"/>
          <w:szCs w:val="22"/>
          <w:lang w:val="en-US"/>
        </w:rPr>
        <w:instrText xml:space="preserve"> REF _Ref381630286 \h  \* MERGEFORMAT </w:instrText>
      </w:r>
      <w:r w:rsidRPr="006F4C8B">
        <w:rPr>
          <w:rFonts w:cs="Arial"/>
          <w:sz w:val="22"/>
          <w:szCs w:val="22"/>
          <w:lang w:val="en-US"/>
        </w:rPr>
      </w:r>
      <w:r w:rsidRPr="006F4C8B">
        <w:rPr>
          <w:rFonts w:cs="Arial"/>
          <w:sz w:val="22"/>
          <w:szCs w:val="22"/>
          <w:lang w:val="en-US"/>
        </w:rPr>
        <w:fldChar w:fldCharType="separate"/>
      </w:r>
      <w:r w:rsidR="00151A1C" w:rsidRPr="006F4C8B">
        <w:rPr>
          <w:rFonts w:cs="Arial"/>
          <w:sz w:val="22"/>
          <w:szCs w:val="22"/>
          <w:lang w:val="en-US"/>
        </w:rPr>
        <w:t xml:space="preserve">Figure </w:t>
      </w:r>
      <w:r w:rsidR="00151A1C">
        <w:rPr>
          <w:rFonts w:cs="Arial"/>
          <w:sz w:val="22"/>
          <w:szCs w:val="22"/>
          <w:lang w:val="en-US"/>
        </w:rPr>
        <w:t>18</w:t>
      </w:r>
      <w:r w:rsidRPr="006F4C8B">
        <w:rPr>
          <w:rFonts w:cs="Arial"/>
          <w:sz w:val="22"/>
          <w:szCs w:val="22"/>
          <w:lang w:val="en-US"/>
        </w:rPr>
        <w:fldChar w:fldCharType="end"/>
      </w:r>
      <w:r w:rsidRPr="006F4C8B">
        <w:rPr>
          <w:rFonts w:cs="Arial"/>
          <w:sz w:val="22"/>
          <w:szCs w:val="22"/>
          <w:lang w:val="en-US"/>
        </w:rPr>
        <w:t xml:space="preserve">; </w:t>
      </w:r>
      <w:r w:rsidRPr="006F4C8B">
        <w:rPr>
          <w:rFonts w:cs="Arial"/>
          <w:sz w:val="22"/>
          <w:szCs w:val="22"/>
          <w:lang w:val="en-US"/>
        </w:rPr>
        <w:fldChar w:fldCharType="begin"/>
      </w:r>
      <w:r w:rsidRPr="006F4C8B">
        <w:rPr>
          <w:rFonts w:cs="Arial"/>
          <w:sz w:val="22"/>
          <w:szCs w:val="22"/>
          <w:lang w:val="en-US"/>
        </w:rPr>
        <w:instrText xml:space="preserve"> REF _Ref381630292 \h  \* MERGEFORMAT </w:instrText>
      </w:r>
      <w:r w:rsidRPr="006F4C8B">
        <w:rPr>
          <w:rFonts w:cs="Arial"/>
          <w:sz w:val="22"/>
          <w:szCs w:val="22"/>
          <w:lang w:val="en-US"/>
        </w:rPr>
      </w:r>
      <w:r w:rsidRPr="006F4C8B">
        <w:rPr>
          <w:rFonts w:cs="Arial"/>
          <w:sz w:val="22"/>
          <w:szCs w:val="22"/>
          <w:lang w:val="en-US"/>
        </w:rPr>
        <w:fldChar w:fldCharType="separate"/>
      </w:r>
      <w:r w:rsidR="00151A1C" w:rsidRPr="006F4C8B">
        <w:rPr>
          <w:rFonts w:cs="Arial"/>
          <w:sz w:val="22"/>
          <w:szCs w:val="22"/>
          <w:lang w:val="en-US"/>
        </w:rPr>
        <w:t xml:space="preserve">Table </w:t>
      </w:r>
      <w:r w:rsidR="00151A1C">
        <w:rPr>
          <w:rFonts w:cs="Arial"/>
          <w:sz w:val="22"/>
          <w:szCs w:val="22"/>
          <w:lang w:val="en-US"/>
        </w:rPr>
        <w:t>79</w:t>
      </w:r>
      <w:r w:rsidRPr="006F4C8B">
        <w:rPr>
          <w:rFonts w:cs="Arial"/>
          <w:sz w:val="22"/>
          <w:szCs w:val="22"/>
          <w:lang w:val="en-US"/>
        </w:rPr>
        <w:fldChar w:fldCharType="end"/>
      </w:r>
      <w:r w:rsidRPr="006F4C8B">
        <w:rPr>
          <w:rFonts w:cs="Arial"/>
          <w:sz w:val="22"/>
          <w:szCs w:val="22"/>
          <w:lang w:val="en-US"/>
        </w:rPr>
        <w:t xml:space="preserve">). This was demonstrated for gastrointestinal disorders in general as well as </w:t>
      </w:r>
      <w:r w:rsidR="006F4C8B">
        <w:rPr>
          <w:rFonts w:cs="Arial"/>
          <w:sz w:val="22"/>
          <w:szCs w:val="22"/>
          <w:lang w:val="en-US"/>
        </w:rPr>
        <w:t>diarrhoea</w:t>
      </w:r>
      <w:r w:rsidRPr="006F4C8B">
        <w:rPr>
          <w:rFonts w:cs="Arial"/>
          <w:sz w:val="22"/>
          <w:szCs w:val="22"/>
          <w:lang w:val="en-US"/>
        </w:rPr>
        <w:t>, nausea, and vomiting</w:t>
      </w:r>
      <w:r w:rsidR="004D6F82">
        <w:rPr>
          <w:rFonts w:cs="Arial"/>
          <w:sz w:val="22"/>
          <w:szCs w:val="22"/>
          <w:lang w:val="en-US"/>
        </w:rPr>
        <w:t xml:space="preserve"> (</w:t>
      </w:r>
      <w:r w:rsidR="004D6F82">
        <w:rPr>
          <w:rFonts w:cs="Arial"/>
          <w:sz w:val="22"/>
          <w:szCs w:val="22"/>
          <w:lang w:val="en-US"/>
        </w:rPr>
        <w:fldChar w:fldCharType="begin"/>
      </w:r>
      <w:r w:rsidR="004D6F82">
        <w:rPr>
          <w:rFonts w:cs="Arial"/>
          <w:sz w:val="22"/>
          <w:szCs w:val="22"/>
          <w:lang w:val="en-US"/>
        </w:rPr>
        <w:instrText xml:space="preserve"> REF _Ref284171394 \r \h </w:instrText>
      </w:r>
      <w:r w:rsidR="004D6F82">
        <w:rPr>
          <w:rFonts w:cs="Arial"/>
          <w:sz w:val="22"/>
          <w:szCs w:val="22"/>
          <w:lang w:val="en-US"/>
        </w:rPr>
      </w:r>
      <w:r w:rsidR="004D6F82">
        <w:rPr>
          <w:rFonts w:cs="Arial"/>
          <w:sz w:val="22"/>
          <w:szCs w:val="22"/>
          <w:lang w:val="en-US"/>
        </w:rPr>
        <w:fldChar w:fldCharType="separate"/>
      </w:r>
      <w:r w:rsidR="00151A1C">
        <w:rPr>
          <w:rFonts w:cs="Arial"/>
          <w:sz w:val="22"/>
          <w:szCs w:val="22"/>
          <w:lang w:val="en-US"/>
        </w:rPr>
        <w:t>42</w:t>
      </w:r>
      <w:r w:rsidR="004D6F82">
        <w:rPr>
          <w:rFonts w:cs="Arial"/>
          <w:sz w:val="22"/>
          <w:szCs w:val="22"/>
          <w:lang w:val="en-US"/>
        </w:rPr>
        <w:fldChar w:fldCharType="end"/>
      </w:r>
      <w:r w:rsidR="004D6F82">
        <w:rPr>
          <w:rFonts w:cs="Arial"/>
          <w:sz w:val="22"/>
          <w:szCs w:val="22"/>
          <w:lang w:val="en-US"/>
        </w:rPr>
        <w:t>).</w:t>
      </w:r>
      <w:r w:rsidR="004D6F82" w:rsidRPr="006F4C8B">
        <w:rPr>
          <w:rFonts w:cs="Arial"/>
          <w:sz w:val="22"/>
          <w:szCs w:val="22"/>
          <w:lang w:val="en-US"/>
        </w:rPr>
        <w:t xml:space="preserve"> </w:t>
      </w:r>
    </w:p>
    <w:p w14:paraId="047AFAE5" w14:textId="77777777" w:rsidR="00C35C1F" w:rsidRPr="006F4C8B" w:rsidRDefault="00C35C1F" w:rsidP="00C35C1F">
      <w:pPr>
        <w:pStyle w:val="Caption"/>
        <w:rPr>
          <w:rFonts w:ascii="Arial" w:hAnsi="Arial" w:cs="Arial"/>
          <w:sz w:val="22"/>
          <w:szCs w:val="22"/>
          <w:lang w:val="en-US"/>
        </w:rPr>
      </w:pPr>
      <w:bookmarkStart w:id="383" w:name="_Ref381630286"/>
      <w:bookmarkStart w:id="384" w:name="_Toc396058386"/>
      <w:r w:rsidRPr="006F4C8B">
        <w:rPr>
          <w:rFonts w:ascii="Arial" w:hAnsi="Arial" w:cs="Arial"/>
          <w:sz w:val="22"/>
          <w:szCs w:val="22"/>
          <w:lang w:val="en-US"/>
        </w:rPr>
        <w:lastRenderedPageBreak/>
        <w:t xml:space="preserve">Figure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Figure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18</w:t>
      </w:r>
      <w:r w:rsidRPr="006F4C8B">
        <w:rPr>
          <w:rFonts w:ascii="Arial" w:hAnsi="Arial" w:cs="Arial"/>
          <w:sz w:val="22"/>
          <w:szCs w:val="22"/>
          <w:lang w:val="en-US"/>
        </w:rPr>
        <w:fldChar w:fldCharType="end"/>
      </w:r>
      <w:bookmarkEnd w:id="383"/>
      <w:r w:rsidRPr="006F4C8B">
        <w:rPr>
          <w:rFonts w:ascii="Arial" w:hAnsi="Arial" w:cs="Arial"/>
          <w:sz w:val="22"/>
          <w:szCs w:val="22"/>
          <w:lang w:val="en-US"/>
        </w:rPr>
        <w:t>: Gastrointestinal disorder TEAEs in ESTABLISH-2 (Safety population)</w:t>
      </w:r>
      <w:bookmarkEnd w:id="384"/>
    </w:p>
    <w:p w14:paraId="7CF7CAAD" w14:textId="77777777" w:rsidR="00C35C1F" w:rsidRPr="006F4C8B" w:rsidRDefault="00C35C1F" w:rsidP="00C35C1F">
      <w:pPr>
        <w:pStyle w:val="BodyText"/>
        <w:rPr>
          <w:rFonts w:cs="Arial"/>
          <w:lang w:val="en-US"/>
        </w:rPr>
      </w:pPr>
      <w:r w:rsidRPr="006F4C8B">
        <w:rPr>
          <w:rFonts w:cs="Arial"/>
          <w:noProof/>
          <w:lang w:eastAsia="en-GB"/>
        </w:rPr>
        <w:drawing>
          <wp:inline distT="0" distB="0" distL="0" distR="0" wp14:anchorId="5428FA41" wp14:editId="43157943">
            <wp:extent cx="5730875" cy="3019425"/>
            <wp:effectExtent l="0" t="0" r="0"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27447C" w14:textId="24535184" w:rsidR="00C35C1F" w:rsidRPr="00243610" w:rsidRDefault="00C35C1F" w:rsidP="006F4C8B">
      <w:pPr>
        <w:pStyle w:val="FigureNote-H23"/>
        <w:spacing w:before="0" w:after="0"/>
        <w:rPr>
          <w:rFonts w:ascii="Arial" w:hAnsi="Arial" w:cs="Arial"/>
          <w:sz w:val="18"/>
          <w:szCs w:val="18"/>
          <w:lang w:val="en-US"/>
        </w:rPr>
      </w:pPr>
      <w:r w:rsidRPr="00243610">
        <w:rPr>
          <w:rFonts w:ascii="Arial" w:hAnsi="Arial" w:cs="Arial"/>
          <w:sz w:val="18"/>
          <w:szCs w:val="18"/>
          <w:lang w:val="en-US"/>
        </w:rPr>
        <w:t xml:space="preserve">SOURCE: </w:t>
      </w:r>
      <w:r w:rsidR="00243610" w:rsidRPr="00243610">
        <w:rPr>
          <w:rFonts w:ascii="Arial" w:hAnsi="Arial" w:cs="Arial"/>
          <w:sz w:val="18"/>
          <w:szCs w:val="18"/>
          <w:lang w:val="en-US"/>
        </w:rPr>
        <w:t xml:space="preserve">ESTABLISH-2 CSR </w:t>
      </w:r>
      <w:r w:rsidR="00243610" w:rsidRPr="00243610">
        <w:rPr>
          <w:rFonts w:ascii="Arial" w:hAnsi="Arial" w:cs="Arial"/>
          <w:sz w:val="18"/>
          <w:szCs w:val="18"/>
          <w:lang w:val="en-US"/>
        </w:rPr>
        <w:fldChar w:fldCharType="begin"/>
      </w:r>
      <w:r w:rsidR="00243610" w:rsidRPr="00243610">
        <w:rPr>
          <w:rFonts w:ascii="Arial" w:hAnsi="Arial" w:cs="Arial"/>
          <w:sz w:val="18"/>
          <w:szCs w:val="18"/>
          <w:lang w:val="en-US"/>
        </w:rPr>
        <w:instrText xml:space="preserve"> REF _Ref284171394 \r \h </w:instrText>
      </w:r>
      <w:r w:rsidR="00243610" w:rsidRPr="00243610">
        <w:rPr>
          <w:rFonts w:ascii="Arial" w:hAnsi="Arial" w:cs="Arial"/>
          <w:sz w:val="18"/>
          <w:szCs w:val="18"/>
          <w:lang w:val="en-US"/>
        </w:rPr>
      </w:r>
      <w:r w:rsidR="00243610" w:rsidRPr="00243610">
        <w:rPr>
          <w:rFonts w:ascii="Arial" w:hAnsi="Arial" w:cs="Arial"/>
          <w:sz w:val="18"/>
          <w:szCs w:val="18"/>
          <w:lang w:val="en-US"/>
        </w:rPr>
        <w:fldChar w:fldCharType="separate"/>
      </w:r>
      <w:r w:rsidR="00151A1C">
        <w:rPr>
          <w:rFonts w:ascii="Arial" w:hAnsi="Arial" w:cs="Arial"/>
          <w:sz w:val="18"/>
          <w:szCs w:val="18"/>
          <w:lang w:val="en-US"/>
        </w:rPr>
        <w:t>42</w:t>
      </w:r>
      <w:r w:rsidR="00243610" w:rsidRPr="00243610">
        <w:rPr>
          <w:rFonts w:ascii="Arial" w:hAnsi="Arial" w:cs="Arial"/>
          <w:sz w:val="18"/>
          <w:szCs w:val="18"/>
          <w:lang w:val="en-US"/>
        </w:rPr>
        <w:fldChar w:fldCharType="end"/>
      </w:r>
      <w:r w:rsidRPr="00243610">
        <w:rPr>
          <w:rFonts w:ascii="Arial" w:hAnsi="Arial" w:cs="Arial"/>
          <w:sz w:val="18"/>
          <w:szCs w:val="18"/>
          <w:lang w:val="en-US"/>
        </w:rPr>
        <w:t xml:space="preserve">: section 12.2.2 </w:t>
      </w:r>
    </w:p>
    <w:p w14:paraId="027B29C9" w14:textId="77777777" w:rsidR="00C35C1F" w:rsidRPr="006F4C8B" w:rsidRDefault="00C35C1F" w:rsidP="006F4C8B">
      <w:pPr>
        <w:pStyle w:val="TableNote-H58"/>
        <w:spacing w:before="0" w:after="0"/>
        <w:rPr>
          <w:rFonts w:ascii="Arial" w:hAnsi="Arial" w:cs="Arial"/>
          <w:lang w:val="en-US"/>
        </w:rPr>
      </w:pPr>
      <w:r w:rsidRPr="00243610">
        <w:rPr>
          <w:rFonts w:ascii="Arial" w:hAnsi="Arial" w:cs="Arial"/>
          <w:sz w:val="18"/>
          <w:szCs w:val="18"/>
          <w:lang w:val="en-US"/>
        </w:rPr>
        <w:t xml:space="preserve">N: Number of patients in population; TEAEs: Treatment-emergent </w:t>
      </w:r>
      <w:r w:rsidRPr="00F22EC6">
        <w:rPr>
          <w:rFonts w:ascii="Arial" w:hAnsi="Arial" w:cs="Arial"/>
          <w:sz w:val="18"/>
          <w:szCs w:val="18"/>
          <w:lang w:val="en-US"/>
        </w:rPr>
        <w:t>adverse event</w:t>
      </w:r>
    </w:p>
    <w:p w14:paraId="49FEA43D" w14:textId="77777777" w:rsidR="00C35C1F" w:rsidRPr="006F4C8B" w:rsidRDefault="00C35C1F" w:rsidP="00C35C1F">
      <w:pPr>
        <w:pStyle w:val="Caption"/>
        <w:rPr>
          <w:rFonts w:ascii="Arial" w:hAnsi="Arial" w:cs="Arial"/>
          <w:sz w:val="22"/>
          <w:szCs w:val="22"/>
          <w:lang w:val="en-US"/>
        </w:rPr>
      </w:pPr>
      <w:bookmarkStart w:id="385" w:name="_Ref381630292"/>
      <w:bookmarkStart w:id="386" w:name="_Toc396058478"/>
      <w:r w:rsidRPr="006F4C8B">
        <w:rPr>
          <w:rFonts w:ascii="Arial" w:hAnsi="Arial" w:cs="Arial"/>
          <w:sz w:val="22"/>
          <w:szCs w:val="22"/>
          <w:lang w:val="en-US"/>
        </w:rPr>
        <w:t xml:space="preserve">Table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Table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79</w:t>
      </w:r>
      <w:r w:rsidRPr="006F4C8B">
        <w:rPr>
          <w:rFonts w:ascii="Arial" w:hAnsi="Arial" w:cs="Arial"/>
          <w:sz w:val="22"/>
          <w:szCs w:val="22"/>
          <w:lang w:val="en-US"/>
        </w:rPr>
        <w:fldChar w:fldCharType="end"/>
      </w:r>
      <w:bookmarkEnd w:id="385"/>
      <w:r w:rsidRPr="006F4C8B">
        <w:rPr>
          <w:rFonts w:ascii="Arial" w:hAnsi="Arial" w:cs="Arial"/>
          <w:sz w:val="22"/>
          <w:szCs w:val="22"/>
          <w:lang w:val="en-US"/>
        </w:rPr>
        <w:t>: Gastrointestinal disorder AEs in ESTABLISH-2 (Safety population)</w:t>
      </w:r>
      <w:bookmarkEnd w:id="386"/>
    </w:p>
    <w:tbl>
      <w:tblPr>
        <w:tblStyle w:val="Table-HERONplain"/>
        <w:tblW w:w="0" w:type="auto"/>
        <w:tblLook w:val="04A0" w:firstRow="1" w:lastRow="0" w:firstColumn="1" w:lastColumn="0" w:noHBand="0" w:noVBand="1"/>
      </w:tblPr>
      <w:tblGrid>
        <w:gridCol w:w="5969"/>
        <w:gridCol w:w="1473"/>
        <w:gridCol w:w="1461"/>
      </w:tblGrid>
      <w:tr w:rsidR="00C35C1F" w:rsidRPr="006F4C8B" w14:paraId="32D610AC"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48EF960C"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Category</w:t>
            </w:r>
          </w:p>
        </w:tc>
        <w:tc>
          <w:tcPr>
            <w:tcW w:w="1485" w:type="dxa"/>
            <w:shd w:val="clear" w:color="auto" w:fill="auto"/>
            <w:hideMark/>
          </w:tcPr>
          <w:p w14:paraId="2A5C2BB1"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2D04FD45"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3374FCF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479" w:type="dxa"/>
            <w:shd w:val="clear" w:color="auto" w:fill="auto"/>
            <w:hideMark/>
          </w:tcPr>
          <w:p w14:paraId="2A1A1CE0"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46D2823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14DB0EDE"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C35C1F" w:rsidRPr="006F4C8B" w14:paraId="7621515E"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94A6EE6"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Gastrointestinal disorder TEAEs:</w:t>
            </w:r>
          </w:p>
        </w:tc>
        <w:tc>
          <w:tcPr>
            <w:tcW w:w="1485" w:type="dxa"/>
            <w:hideMark/>
          </w:tcPr>
          <w:p w14:paraId="178D544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(15.7)</w:t>
            </w:r>
          </w:p>
        </w:tc>
        <w:tc>
          <w:tcPr>
            <w:tcW w:w="1479" w:type="dxa"/>
            <w:hideMark/>
          </w:tcPr>
          <w:p w14:paraId="23E7291F"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(20.5)</w:t>
            </w:r>
          </w:p>
        </w:tc>
      </w:tr>
      <w:tr w:rsidR="00C35C1F" w:rsidRPr="006F4C8B" w14:paraId="080E0B8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73B6B72" w14:textId="77777777" w:rsidR="00C35C1F" w:rsidRPr="006F4C8B" w:rsidRDefault="00C35C1F" w:rsidP="001D3F4A">
            <w:pPr>
              <w:pStyle w:val="TableBodyText-H54"/>
              <w:ind w:left="313"/>
              <w:rPr>
                <w:rFonts w:ascii="Arial" w:hAnsi="Arial" w:cs="Arial"/>
                <w:sz w:val="20"/>
                <w:lang w:val="en-US"/>
              </w:rPr>
            </w:pPr>
            <w:r w:rsidRPr="006F4C8B">
              <w:rPr>
                <w:rFonts w:ascii="Arial" w:hAnsi="Arial" w:cs="Arial"/>
                <w:sz w:val="20"/>
                <w:lang w:val="en-US"/>
              </w:rPr>
              <w:t>Nausea</w:t>
            </w:r>
          </w:p>
        </w:tc>
        <w:tc>
          <w:tcPr>
            <w:tcW w:w="1485" w:type="dxa"/>
            <w:vAlign w:val="top"/>
            <w:hideMark/>
          </w:tcPr>
          <w:p w14:paraId="3D95EE9F"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26 (7.9)</w:t>
            </w:r>
          </w:p>
        </w:tc>
        <w:tc>
          <w:tcPr>
            <w:tcW w:w="1479" w:type="dxa"/>
            <w:vAlign w:val="top"/>
            <w:hideMark/>
          </w:tcPr>
          <w:p w14:paraId="3BF02D7E"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36 (11.0)</w:t>
            </w:r>
          </w:p>
        </w:tc>
      </w:tr>
      <w:tr w:rsidR="00C35C1F" w:rsidRPr="006F4C8B" w14:paraId="56388239"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DDDCC5C" w14:textId="7ADA2078" w:rsidR="00C35C1F" w:rsidRPr="006F4C8B" w:rsidRDefault="006F4C8B" w:rsidP="001D3F4A">
            <w:pPr>
              <w:pStyle w:val="TableBodyText-H54"/>
              <w:ind w:left="313"/>
              <w:rPr>
                <w:rFonts w:ascii="Arial" w:hAnsi="Arial" w:cs="Arial"/>
                <w:sz w:val="20"/>
                <w:lang w:val="en-US"/>
              </w:rPr>
            </w:pPr>
            <w:r w:rsidRPr="006F4C8B">
              <w:rPr>
                <w:rFonts w:ascii="Arial" w:hAnsi="Arial" w:cs="Arial"/>
                <w:sz w:val="20"/>
                <w:lang w:val="en-US"/>
              </w:rPr>
              <w:t>Diarrhoea</w:t>
            </w:r>
          </w:p>
        </w:tc>
        <w:tc>
          <w:tcPr>
            <w:tcW w:w="1485" w:type="dxa"/>
            <w:hideMark/>
          </w:tcPr>
          <w:p w14:paraId="60F5985F"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11 (3.3)</w:t>
            </w:r>
          </w:p>
        </w:tc>
        <w:tc>
          <w:tcPr>
            <w:tcW w:w="1479" w:type="dxa"/>
            <w:hideMark/>
          </w:tcPr>
          <w:p w14:paraId="48E3622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17 (5.2)</w:t>
            </w:r>
          </w:p>
        </w:tc>
      </w:tr>
      <w:tr w:rsidR="00C35C1F" w:rsidRPr="006F4C8B" w14:paraId="09F695A1"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0E8B6AC" w14:textId="77777777" w:rsidR="00C35C1F" w:rsidRPr="006F4C8B" w:rsidRDefault="00C35C1F" w:rsidP="001D3F4A">
            <w:pPr>
              <w:pStyle w:val="TableBodyText-H54"/>
              <w:ind w:left="313"/>
              <w:rPr>
                <w:rFonts w:ascii="Arial" w:hAnsi="Arial" w:cs="Arial"/>
                <w:sz w:val="20"/>
                <w:lang w:val="en-US"/>
              </w:rPr>
            </w:pPr>
            <w:r w:rsidRPr="006F4C8B">
              <w:rPr>
                <w:rFonts w:ascii="Arial" w:hAnsi="Arial" w:cs="Arial"/>
                <w:sz w:val="20"/>
                <w:lang w:val="en-US"/>
              </w:rPr>
              <w:t>Vomiting</w:t>
            </w:r>
          </w:p>
        </w:tc>
        <w:tc>
          <w:tcPr>
            <w:tcW w:w="1485" w:type="dxa"/>
            <w:hideMark/>
          </w:tcPr>
          <w:p w14:paraId="0AB4C8E4"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10 (3.0)</w:t>
            </w:r>
          </w:p>
        </w:tc>
        <w:tc>
          <w:tcPr>
            <w:tcW w:w="1479" w:type="dxa"/>
            <w:hideMark/>
          </w:tcPr>
          <w:p w14:paraId="548B9597"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17 (5.2)</w:t>
            </w:r>
          </w:p>
        </w:tc>
      </w:tr>
      <w:tr w:rsidR="00C35C1F" w:rsidRPr="006F4C8B" w14:paraId="61A9E434"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3D6F7CF"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Gastrointestinal disorder SAEs</w:t>
            </w:r>
          </w:p>
        </w:tc>
        <w:tc>
          <w:tcPr>
            <w:tcW w:w="1485" w:type="dxa"/>
            <w:hideMark/>
          </w:tcPr>
          <w:p w14:paraId="78EDB47C"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c>
          <w:tcPr>
            <w:tcW w:w="1479" w:type="dxa"/>
            <w:hideMark/>
          </w:tcPr>
          <w:p w14:paraId="5231F5A7"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r>
      <w:tr w:rsidR="00C35C1F" w:rsidRPr="006F4C8B" w14:paraId="459F011D"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DA4853E"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lastRenderedPageBreak/>
              <w:t>Gastrointestinal disorders TEAEs leading to discontinuation:</w:t>
            </w:r>
          </w:p>
        </w:tc>
        <w:tc>
          <w:tcPr>
            <w:tcW w:w="1485" w:type="dxa"/>
            <w:hideMark/>
          </w:tcPr>
          <w:p w14:paraId="3B987A02"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c>
          <w:tcPr>
            <w:tcW w:w="1479" w:type="dxa"/>
            <w:hideMark/>
          </w:tcPr>
          <w:p w14:paraId="638D7A7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r>
      <w:tr w:rsidR="00C35C1F" w:rsidRPr="006F4C8B" w14:paraId="416C77C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FFA9AFC" w14:textId="77777777" w:rsidR="00C35C1F" w:rsidRPr="006F4C8B" w:rsidRDefault="00C35C1F" w:rsidP="001D3F4A">
            <w:pPr>
              <w:pStyle w:val="TableBodyText-H54"/>
              <w:ind w:left="313"/>
              <w:rPr>
                <w:rFonts w:ascii="Arial" w:hAnsi="Arial" w:cs="Arial"/>
                <w:sz w:val="20"/>
                <w:lang w:val="en-US"/>
              </w:rPr>
            </w:pPr>
            <w:r w:rsidRPr="006F4C8B">
              <w:rPr>
                <w:rFonts w:ascii="Arial" w:hAnsi="Arial" w:cs="Arial"/>
                <w:sz w:val="20"/>
                <w:lang w:val="en-US"/>
              </w:rPr>
              <w:t>Abdominal discomfort</w:t>
            </w:r>
          </w:p>
        </w:tc>
        <w:tc>
          <w:tcPr>
            <w:tcW w:w="1485" w:type="dxa"/>
            <w:hideMark/>
          </w:tcPr>
          <w:p w14:paraId="4C18B380"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c>
          <w:tcPr>
            <w:tcW w:w="1479" w:type="dxa"/>
            <w:hideMark/>
          </w:tcPr>
          <w:p w14:paraId="6AAB1C60"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r>
      <w:tr w:rsidR="00C35C1F" w:rsidRPr="006F4C8B" w14:paraId="76A64602"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793BCC28" w14:textId="77777777" w:rsidR="00C35C1F" w:rsidRPr="006F4C8B" w:rsidRDefault="00C35C1F" w:rsidP="001D3F4A">
            <w:pPr>
              <w:pStyle w:val="TableBodyText-H54"/>
              <w:ind w:left="313"/>
              <w:rPr>
                <w:rFonts w:ascii="Arial" w:hAnsi="Arial" w:cs="Arial"/>
                <w:sz w:val="20"/>
                <w:lang w:val="en-US"/>
              </w:rPr>
            </w:pPr>
            <w:r w:rsidRPr="006F4C8B">
              <w:rPr>
                <w:rFonts w:ascii="Arial" w:hAnsi="Arial" w:cs="Arial"/>
                <w:sz w:val="20"/>
                <w:lang w:val="en-US"/>
              </w:rPr>
              <w:t>Nausea</w:t>
            </w:r>
          </w:p>
        </w:tc>
        <w:tc>
          <w:tcPr>
            <w:tcW w:w="1485" w:type="dxa"/>
            <w:hideMark/>
          </w:tcPr>
          <w:p w14:paraId="06140396"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c>
          <w:tcPr>
            <w:tcW w:w="1479" w:type="dxa"/>
            <w:hideMark/>
          </w:tcPr>
          <w:p w14:paraId="48DA3814"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r>
      <w:tr w:rsidR="00C35C1F" w:rsidRPr="006F4C8B" w14:paraId="3C356495"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3D8A666" w14:textId="77777777" w:rsidR="00C35C1F" w:rsidRPr="006F4C8B" w:rsidRDefault="00C35C1F" w:rsidP="001D3F4A">
            <w:pPr>
              <w:pStyle w:val="TableBodyText-H54"/>
              <w:ind w:left="313"/>
              <w:rPr>
                <w:rFonts w:ascii="Arial" w:hAnsi="Arial" w:cs="Arial"/>
                <w:sz w:val="20"/>
                <w:lang w:val="en-US"/>
              </w:rPr>
            </w:pPr>
            <w:r w:rsidRPr="006F4C8B">
              <w:rPr>
                <w:rFonts w:ascii="Arial" w:hAnsi="Arial" w:cs="Arial"/>
                <w:sz w:val="20"/>
                <w:lang w:val="en-US"/>
              </w:rPr>
              <w:t>Vomiting</w:t>
            </w:r>
          </w:p>
        </w:tc>
        <w:tc>
          <w:tcPr>
            <w:tcW w:w="1485" w:type="dxa"/>
            <w:hideMark/>
          </w:tcPr>
          <w:p w14:paraId="097471A6"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c>
          <w:tcPr>
            <w:tcW w:w="1479" w:type="dxa"/>
            <w:hideMark/>
          </w:tcPr>
          <w:p w14:paraId="5338919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r>
      <w:tr w:rsidR="00C35C1F" w:rsidRPr="006F4C8B" w14:paraId="25B4A028"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67607A19"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Gastrointestinal disorders leading to death</w:t>
            </w:r>
          </w:p>
        </w:tc>
        <w:tc>
          <w:tcPr>
            <w:tcW w:w="1485" w:type="dxa"/>
            <w:hideMark/>
          </w:tcPr>
          <w:p w14:paraId="7B390657"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c>
          <w:tcPr>
            <w:tcW w:w="1479" w:type="dxa"/>
            <w:hideMark/>
          </w:tcPr>
          <w:p w14:paraId="55B54212"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r>
    </w:tbl>
    <w:p w14:paraId="1D70DC6D" w14:textId="6A1BB70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SOURCE: ESTABLISH-2 CSR</w:t>
      </w:r>
      <w:r w:rsidR="004D6F82">
        <w:rPr>
          <w:rFonts w:ascii="Arial" w:hAnsi="Arial" w:cs="Arial"/>
          <w:sz w:val="18"/>
          <w:szCs w:val="18"/>
          <w:lang w:val="en-US"/>
        </w:rPr>
        <w:t xml:space="preserve"> </w:t>
      </w:r>
      <w:r w:rsidR="004D6F82">
        <w:rPr>
          <w:rFonts w:ascii="Arial" w:hAnsi="Arial" w:cs="Arial"/>
          <w:sz w:val="18"/>
          <w:szCs w:val="18"/>
          <w:lang w:val="en-US"/>
        </w:rPr>
        <w:fldChar w:fldCharType="begin"/>
      </w:r>
      <w:r w:rsidR="004D6F82">
        <w:rPr>
          <w:rFonts w:ascii="Arial" w:hAnsi="Arial" w:cs="Arial"/>
          <w:sz w:val="18"/>
          <w:szCs w:val="18"/>
          <w:lang w:val="en-US"/>
        </w:rPr>
        <w:instrText xml:space="preserve"> REF _Ref284171394 \r \h </w:instrText>
      </w:r>
      <w:r w:rsidR="004D6F82">
        <w:rPr>
          <w:rFonts w:ascii="Arial" w:hAnsi="Arial" w:cs="Arial"/>
          <w:sz w:val="18"/>
          <w:szCs w:val="18"/>
          <w:lang w:val="en-US"/>
        </w:rPr>
      </w:r>
      <w:r w:rsidR="004D6F82">
        <w:rPr>
          <w:rFonts w:ascii="Arial" w:hAnsi="Arial" w:cs="Arial"/>
          <w:sz w:val="18"/>
          <w:szCs w:val="18"/>
          <w:lang w:val="en-US"/>
        </w:rPr>
        <w:fldChar w:fldCharType="separate"/>
      </w:r>
      <w:r w:rsidR="00151A1C">
        <w:rPr>
          <w:rFonts w:ascii="Arial" w:hAnsi="Arial" w:cs="Arial"/>
          <w:sz w:val="18"/>
          <w:szCs w:val="18"/>
          <w:lang w:val="en-US"/>
        </w:rPr>
        <w:t>42</w:t>
      </w:r>
      <w:r w:rsidR="004D6F82">
        <w:rPr>
          <w:rFonts w:ascii="Arial" w:hAnsi="Arial" w:cs="Arial"/>
          <w:sz w:val="18"/>
          <w:szCs w:val="18"/>
          <w:lang w:val="en-US"/>
        </w:rPr>
        <w:fldChar w:fldCharType="end"/>
      </w:r>
      <w:r w:rsidRPr="006F4C8B">
        <w:rPr>
          <w:rFonts w:ascii="Arial" w:hAnsi="Arial" w:cs="Arial"/>
          <w:sz w:val="18"/>
          <w:szCs w:val="18"/>
          <w:lang w:val="en-US"/>
        </w:rPr>
        <w:t xml:space="preserve">: section 12.3.1.3 Table 12-6 and Table 12-7 </w:t>
      </w:r>
    </w:p>
    <w:p w14:paraId="0DC4F66D" w14:textId="77777777" w:rsidR="00C35C1F" w:rsidRPr="006F4C8B" w:rsidRDefault="00C35C1F" w:rsidP="006F4C8B">
      <w:pPr>
        <w:pStyle w:val="TableNote-H58"/>
        <w:spacing w:before="0" w:after="0"/>
        <w:rPr>
          <w:rFonts w:ascii="Arial" w:hAnsi="Arial" w:cs="Arial"/>
          <w:sz w:val="18"/>
          <w:szCs w:val="18"/>
          <w:lang w:val="en-US"/>
        </w:rPr>
      </w:pPr>
      <w:r w:rsidRPr="006F4C8B">
        <w:rPr>
          <w:rFonts w:ascii="Arial" w:hAnsi="Arial" w:cs="Arial"/>
          <w:sz w:val="18"/>
          <w:szCs w:val="18"/>
          <w:lang w:val="en-US"/>
        </w:rPr>
        <w:t>AE: Adverse event; N: Number of patients in population; n: Number of patients in specific category; SAE: Serious adverse event; TEAE: Treatment-emergent adverse event</w:t>
      </w:r>
    </w:p>
    <w:p w14:paraId="582E693F" w14:textId="77777777" w:rsidR="00C35C1F" w:rsidRPr="006F4C8B" w:rsidRDefault="00C35C1F" w:rsidP="006F4C8B">
      <w:pPr>
        <w:pStyle w:val="Heading4"/>
        <w:keepLines w:val="0"/>
        <w:spacing w:before="240" w:after="120"/>
        <w:rPr>
          <w:rFonts w:ascii="Arial" w:hAnsi="Arial" w:cs="Arial"/>
          <w:color w:val="auto"/>
          <w:sz w:val="22"/>
          <w:szCs w:val="22"/>
          <w:lang w:val="en-US"/>
        </w:rPr>
      </w:pPr>
      <w:bookmarkStart w:id="387" w:name="_Ref382237970"/>
      <w:r w:rsidRPr="006F4C8B">
        <w:rPr>
          <w:rFonts w:ascii="Arial" w:hAnsi="Arial" w:cs="Arial"/>
          <w:color w:val="auto"/>
          <w:sz w:val="22"/>
          <w:szCs w:val="22"/>
          <w:lang w:val="en-US"/>
        </w:rPr>
        <w:t>The number of patients with lowered platelet counts was similar between tedizolid phosphate and linezolid based on the ESTABLISH-2 safety data</w:t>
      </w:r>
      <w:bookmarkEnd w:id="387"/>
    </w:p>
    <w:p w14:paraId="078871D4" w14:textId="444968BA" w:rsidR="00C35C1F" w:rsidRPr="006F4C8B" w:rsidRDefault="00C35C1F" w:rsidP="00C35C1F">
      <w:pPr>
        <w:pStyle w:val="BodyText"/>
        <w:rPr>
          <w:rFonts w:cs="Arial"/>
          <w:sz w:val="22"/>
          <w:szCs w:val="22"/>
          <w:lang w:val="en-US"/>
        </w:rPr>
      </w:pPr>
      <w:r w:rsidRPr="006F4C8B">
        <w:rPr>
          <w:rFonts w:cs="Arial"/>
          <w:sz w:val="22"/>
          <w:szCs w:val="22"/>
          <w:lang w:val="en-US"/>
        </w:rPr>
        <w:t xml:space="preserve">Measurement of </w:t>
      </w:r>
      <w:r w:rsidR="00597B82">
        <w:rPr>
          <w:rFonts w:cs="Arial"/>
          <w:sz w:val="22"/>
          <w:szCs w:val="22"/>
          <w:lang w:val="en-US"/>
        </w:rPr>
        <w:t>haematology</w:t>
      </w:r>
      <w:r w:rsidRPr="006F4C8B">
        <w:rPr>
          <w:rFonts w:cs="Arial"/>
          <w:sz w:val="22"/>
          <w:szCs w:val="22"/>
          <w:lang w:val="en-US"/>
        </w:rPr>
        <w:t xml:space="preserve"> parameters in ESTABLISH-2 demonstrated that tedizolid phosphate was associated with a similar incidence of abnormal post-baseline </w:t>
      </w:r>
      <w:r w:rsidR="00597B82">
        <w:rPr>
          <w:rFonts w:cs="Arial"/>
          <w:sz w:val="22"/>
          <w:szCs w:val="22"/>
          <w:lang w:val="en-US"/>
        </w:rPr>
        <w:t>haematology</w:t>
      </w:r>
      <w:r w:rsidRPr="006F4C8B">
        <w:rPr>
          <w:rFonts w:cs="Arial"/>
          <w:sz w:val="22"/>
          <w:szCs w:val="22"/>
          <w:lang w:val="en-US"/>
        </w:rPr>
        <w:t xml:space="preserve"> laboratory values as linezolid. The proportion of patients with post-baseline platelet counts classed as substantially abnormal (defined as &lt;75% of the LLN [&lt;50% of ANC] for values normal at baseline and &lt;75% of the LLN [&lt;50% for ANC] and of baseline for values abnormal at baseline) was comparable in both the tedizolid phosphate and linezolid groups (3.3% vs. 1.9%) (</w:t>
      </w:r>
      <w:r w:rsidRPr="006F4C8B">
        <w:rPr>
          <w:rFonts w:cs="Arial"/>
          <w:sz w:val="22"/>
          <w:szCs w:val="22"/>
          <w:lang w:val="en-US"/>
        </w:rPr>
        <w:fldChar w:fldCharType="begin"/>
      </w:r>
      <w:r w:rsidRPr="006F4C8B">
        <w:rPr>
          <w:rFonts w:cs="Arial"/>
          <w:sz w:val="22"/>
          <w:szCs w:val="22"/>
          <w:lang w:val="en-US"/>
        </w:rPr>
        <w:instrText xml:space="preserve"> REF _Ref381628470 \h  \* MERGEFORMAT </w:instrText>
      </w:r>
      <w:r w:rsidRPr="006F4C8B">
        <w:rPr>
          <w:rFonts w:cs="Arial"/>
          <w:sz w:val="22"/>
          <w:szCs w:val="22"/>
          <w:lang w:val="en-US"/>
        </w:rPr>
      </w:r>
      <w:r w:rsidRPr="006F4C8B">
        <w:rPr>
          <w:rFonts w:cs="Arial"/>
          <w:sz w:val="22"/>
          <w:szCs w:val="22"/>
          <w:lang w:val="en-US"/>
        </w:rPr>
        <w:fldChar w:fldCharType="separate"/>
      </w:r>
      <w:r w:rsidR="00151A1C" w:rsidRPr="006F4C8B">
        <w:rPr>
          <w:rFonts w:cs="Arial"/>
          <w:sz w:val="22"/>
          <w:szCs w:val="22"/>
          <w:lang w:val="en-US"/>
        </w:rPr>
        <w:t xml:space="preserve">Table </w:t>
      </w:r>
      <w:r w:rsidR="00151A1C">
        <w:rPr>
          <w:rFonts w:cs="Arial"/>
          <w:sz w:val="22"/>
          <w:szCs w:val="22"/>
          <w:lang w:val="en-US"/>
        </w:rPr>
        <w:t>80</w:t>
      </w:r>
      <w:r w:rsidRPr="006F4C8B">
        <w:rPr>
          <w:rFonts w:cs="Arial"/>
          <w:sz w:val="22"/>
          <w:szCs w:val="22"/>
          <w:lang w:val="en-US"/>
        </w:rPr>
        <w:fldChar w:fldCharType="end"/>
      </w:r>
      <w:r w:rsidRPr="006F4C8B">
        <w:rPr>
          <w:rFonts w:cs="Arial"/>
          <w:sz w:val="22"/>
          <w:szCs w:val="22"/>
          <w:lang w:val="en-US"/>
        </w:rPr>
        <w:t>). Two patients in the tedizolid phosphate group had clinically significant shifts in platelet count; in both cases, there was no AE associated with the abnormal platelet count. Further, the proportion of patients with post-baseline ANC counts classed as below LLN was 5.9% in the tedizolid phosphate and 7.8% in the linezolid group (</w:t>
      </w:r>
      <w:r w:rsidRPr="006F4C8B">
        <w:rPr>
          <w:rFonts w:cs="Arial"/>
          <w:sz w:val="22"/>
          <w:szCs w:val="22"/>
          <w:lang w:val="en-US"/>
        </w:rPr>
        <w:fldChar w:fldCharType="begin"/>
      </w:r>
      <w:r w:rsidRPr="006F4C8B">
        <w:rPr>
          <w:rFonts w:cs="Arial"/>
          <w:sz w:val="22"/>
          <w:szCs w:val="22"/>
          <w:lang w:val="en-US"/>
        </w:rPr>
        <w:instrText xml:space="preserve"> REF _Ref381628470 \h  \* MERGEFORMAT </w:instrText>
      </w:r>
      <w:r w:rsidRPr="006F4C8B">
        <w:rPr>
          <w:rFonts w:cs="Arial"/>
          <w:sz w:val="22"/>
          <w:szCs w:val="22"/>
          <w:lang w:val="en-US"/>
        </w:rPr>
      </w:r>
      <w:r w:rsidRPr="006F4C8B">
        <w:rPr>
          <w:rFonts w:cs="Arial"/>
          <w:sz w:val="22"/>
          <w:szCs w:val="22"/>
          <w:lang w:val="en-US"/>
        </w:rPr>
        <w:fldChar w:fldCharType="separate"/>
      </w:r>
      <w:r w:rsidR="00151A1C" w:rsidRPr="006F4C8B">
        <w:rPr>
          <w:rFonts w:cs="Arial"/>
          <w:sz w:val="22"/>
          <w:szCs w:val="22"/>
          <w:lang w:val="en-US"/>
        </w:rPr>
        <w:t xml:space="preserve">Table </w:t>
      </w:r>
      <w:r w:rsidR="00151A1C">
        <w:rPr>
          <w:rFonts w:cs="Arial"/>
          <w:sz w:val="22"/>
          <w:szCs w:val="22"/>
          <w:lang w:val="en-US"/>
        </w:rPr>
        <w:t>80</w:t>
      </w:r>
      <w:r w:rsidRPr="006F4C8B">
        <w:rPr>
          <w:rFonts w:cs="Arial"/>
          <w:sz w:val="22"/>
          <w:szCs w:val="22"/>
          <w:lang w:val="en-US"/>
        </w:rPr>
        <w:fldChar w:fldCharType="end"/>
      </w:r>
      <w:r w:rsidRPr="006F4C8B">
        <w:rPr>
          <w:rFonts w:cs="Arial"/>
          <w:sz w:val="22"/>
          <w:szCs w:val="22"/>
          <w:lang w:val="en-US"/>
        </w:rPr>
        <w:t>)</w:t>
      </w:r>
      <w:r w:rsidR="004D6F82">
        <w:rPr>
          <w:rFonts w:cs="Arial"/>
          <w:sz w:val="22"/>
          <w:szCs w:val="22"/>
          <w:lang w:val="en-US"/>
        </w:rPr>
        <w:t>(</w:t>
      </w:r>
      <w:r w:rsidR="004D6F82">
        <w:rPr>
          <w:rFonts w:cs="Arial"/>
          <w:sz w:val="22"/>
          <w:szCs w:val="22"/>
          <w:lang w:val="en-US"/>
        </w:rPr>
        <w:fldChar w:fldCharType="begin"/>
      </w:r>
      <w:r w:rsidR="004D6F82">
        <w:rPr>
          <w:rFonts w:cs="Arial"/>
          <w:sz w:val="22"/>
          <w:szCs w:val="22"/>
          <w:lang w:val="en-US"/>
        </w:rPr>
        <w:instrText xml:space="preserve"> REF _Ref284171394 \r \h </w:instrText>
      </w:r>
      <w:r w:rsidR="004D6F82">
        <w:rPr>
          <w:rFonts w:cs="Arial"/>
          <w:sz w:val="22"/>
          <w:szCs w:val="22"/>
          <w:lang w:val="en-US"/>
        </w:rPr>
      </w:r>
      <w:r w:rsidR="004D6F82">
        <w:rPr>
          <w:rFonts w:cs="Arial"/>
          <w:sz w:val="22"/>
          <w:szCs w:val="22"/>
          <w:lang w:val="en-US"/>
        </w:rPr>
        <w:fldChar w:fldCharType="separate"/>
      </w:r>
      <w:r w:rsidR="00151A1C">
        <w:rPr>
          <w:rFonts w:cs="Arial"/>
          <w:sz w:val="22"/>
          <w:szCs w:val="22"/>
          <w:lang w:val="en-US"/>
        </w:rPr>
        <w:t>42</w:t>
      </w:r>
      <w:r w:rsidR="004D6F82">
        <w:rPr>
          <w:rFonts w:cs="Arial"/>
          <w:sz w:val="22"/>
          <w:szCs w:val="22"/>
          <w:lang w:val="en-US"/>
        </w:rPr>
        <w:fldChar w:fldCharType="end"/>
      </w:r>
      <w:r w:rsidR="004D6F82">
        <w:rPr>
          <w:rFonts w:cs="Arial"/>
          <w:sz w:val="22"/>
          <w:szCs w:val="22"/>
          <w:lang w:val="en-US"/>
        </w:rPr>
        <w:t>).</w:t>
      </w:r>
      <w:r w:rsidR="004D6F82" w:rsidRPr="006F4C8B">
        <w:rPr>
          <w:rFonts w:cs="Arial"/>
          <w:sz w:val="22"/>
          <w:szCs w:val="22"/>
          <w:lang w:val="en-US"/>
        </w:rPr>
        <w:t xml:space="preserve"> </w:t>
      </w:r>
    </w:p>
    <w:p w14:paraId="188380A0" w14:textId="77777777" w:rsidR="00C35C1F" w:rsidRPr="006F4C8B" w:rsidRDefault="00C35C1F" w:rsidP="00C35C1F">
      <w:pPr>
        <w:pStyle w:val="Caption"/>
        <w:rPr>
          <w:rFonts w:ascii="Arial" w:hAnsi="Arial" w:cs="Arial"/>
          <w:sz w:val="22"/>
          <w:szCs w:val="22"/>
          <w:lang w:val="en-US"/>
        </w:rPr>
      </w:pPr>
      <w:bookmarkStart w:id="388" w:name="_Ref381628470"/>
      <w:bookmarkStart w:id="389" w:name="_Toc396058479"/>
      <w:r w:rsidRPr="006F4C8B">
        <w:rPr>
          <w:rFonts w:ascii="Arial" w:hAnsi="Arial" w:cs="Arial"/>
          <w:sz w:val="22"/>
          <w:szCs w:val="22"/>
          <w:lang w:val="en-US"/>
        </w:rPr>
        <w:lastRenderedPageBreak/>
        <w:t xml:space="preserve">Table </w:t>
      </w:r>
      <w:r w:rsidRPr="006F4C8B">
        <w:rPr>
          <w:rFonts w:ascii="Arial" w:hAnsi="Arial" w:cs="Arial"/>
          <w:sz w:val="22"/>
          <w:szCs w:val="22"/>
          <w:lang w:val="en-US"/>
        </w:rPr>
        <w:fldChar w:fldCharType="begin"/>
      </w:r>
      <w:r w:rsidRPr="006F4C8B">
        <w:rPr>
          <w:rFonts w:ascii="Arial" w:hAnsi="Arial" w:cs="Arial"/>
          <w:sz w:val="22"/>
          <w:szCs w:val="22"/>
          <w:lang w:val="en-US"/>
        </w:rPr>
        <w:instrText xml:space="preserve"> SEQ Table \* ARABIC </w:instrText>
      </w:r>
      <w:r w:rsidRPr="006F4C8B">
        <w:rPr>
          <w:rFonts w:ascii="Arial" w:hAnsi="Arial" w:cs="Arial"/>
          <w:sz w:val="22"/>
          <w:szCs w:val="22"/>
          <w:lang w:val="en-US"/>
        </w:rPr>
        <w:fldChar w:fldCharType="separate"/>
      </w:r>
      <w:r w:rsidR="00151A1C">
        <w:rPr>
          <w:rFonts w:ascii="Arial" w:hAnsi="Arial" w:cs="Arial"/>
          <w:noProof/>
          <w:sz w:val="22"/>
          <w:szCs w:val="22"/>
          <w:lang w:val="en-US"/>
        </w:rPr>
        <w:t>80</w:t>
      </w:r>
      <w:r w:rsidRPr="006F4C8B">
        <w:rPr>
          <w:rFonts w:ascii="Arial" w:hAnsi="Arial" w:cs="Arial"/>
          <w:sz w:val="22"/>
          <w:szCs w:val="22"/>
          <w:lang w:val="en-US"/>
        </w:rPr>
        <w:fldChar w:fldCharType="end"/>
      </w:r>
      <w:bookmarkEnd w:id="388"/>
      <w:r w:rsidRPr="006F4C8B">
        <w:rPr>
          <w:rFonts w:ascii="Arial" w:hAnsi="Arial" w:cs="Arial"/>
          <w:sz w:val="22"/>
          <w:szCs w:val="22"/>
          <w:lang w:val="en-US"/>
        </w:rPr>
        <w:t>: Post-baseline platelet values in ESTABLISH-2 (Safety population)</w:t>
      </w:r>
      <w:bookmarkEnd w:id="389"/>
    </w:p>
    <w:tbl>
      <w:tblPr>
        <w:tblStyle w:val="Table-HERONplain"/>
        <w:tblW w:w="0" w:type="auto"/>
        <w:tblLook w:val="04A0" w:firstRow="1" w:lastRow="0" w:firstColumn="1" w:lastColumn="0" w:noHBand="0" w:noVBand="1"/>
      </w:tblPr>
      <w:tblGrid>
        <w:gridCol w:w="5967"/>
        <w:gridCol w:w="1474"/>
        <w:gridCol w:w="1462"/>
      </w:tblGrid>
      <w:tr w:rsidR="00C35C1F" w:rsidRPr="006F4C8B" w14:paraId="4C9BAFE2"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7EA2CDB" w14:textId="60057E6E"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 xml:space="preserve">Post-baseline </w:t>
            </w:r>
            <w:r w:rsidR="00597B82">
              <w:rPr>
                <w:rFonts w:ascii="Arial" w:hAnsi="Arial" w:cs="Arial"/>
                <w:sz w:val="20"/>
                <w:lang w:val="en-US"/>
              </w:rPr>
              <w:t>haematology</w:t>
            </w:r>
            <w:r w:rsidRPr="006F4C8B">
              <w:rPr>
                <w:rFonts w:ascii="Arial" w:hAnsi="Arial" w:cs="Arial"/>
                <w:sz w:val="20"/>
                <w:lang w:val="en-US"/>
              </w:rPr>
              <w:t xml:space="preserve"> laboratory values </w:t>
            </w:r>
          </w:p>
        </w:tc>
        <w:tc>
          <w:tcPr>
            <w:tcW w:w="1485" w:type="dxa"/>
            <w:shd w:val="clear" w:color="auto" w:fill="auto"/>
            <w:hideMark/>
          </w:tcPr>
          <w:p w14:paraId="3DC77FE9"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2982E9E2"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1E534D95"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479" w:type="dxa"/>
            <w:shd w:val="clear" w:color="auto" w:fill="auto"/>
            <w:hideMark/>
          </w:tcPr>
          <w:p w14:paraId="7CD415BB"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6F52A782"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N=334</w:t>
            </w:r>
          </w:p>
          <w:p w14:paraId="50F11ABD"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C35C1F" w:rsidRPr="006F4C8B" w14:paraId="59E962CE"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BB7482C" w14:textId="6277FE35" w:rsidR="00C35C1F" w:rsidRPr="006F4C8B" w:rsidRDefault="006F4C8B" w:rsidP="001D3F4A">
            <w:pPr>
              <w:pStyle w:val="TableBodyText-H54"/>
              <w:rPr>
                <w:rFonts w:ascii="Arial" w:hAnsi="Arial" w:cs="Arial"/>
                <w:sz w:val="20"/>
                <w:lang w:val="en-US"/>
              </w:rPr>
            </w:pPr>
            <w:r>
              <w:rPr>
                <w:rFonts w:ascii="Arial" w:hAnsi="Arial" w:cs="Arial"/>
                <w:sz w:val="20"/>
                <w:lang w:val="en-US"/>
              </w:rPr>
              <w:t>Haemoglobin</w:t>
            </w:r>
            <w:r w:rsidR="00C35C1F" w:rsidRPr="006F4C8B">
              <w:rPr>
                <w:rFonts w:ascii="Arial" w:hAnsi="Arial" w:cs="Arial"/>
                <w:sz w:val="20"/>
                <w:lang w:val="en-US"/>
              </w:rPr>
              <w:t>, N1</w:t>
            </w:r>
          </w:p>
        </w:tc>
        <w:tc>
          <w:tcPr>
            <w:tcW w:w="1485" w:type="dxa"/>
            <w:vAlign w:val="top"/>
            <w:hideMark/>
          </w:tcPr>
          <w:p w14:paraId="11587603"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292</w:t>
            </w:r>
          </w:p>
        </w:tc>
        <w:tc>
          <w:tcPr>
            <w:tcW w:w="1479" w:type="dxa"/>
            <w:vAlign w:val="top"/>
            <w:hideMark/>
          </w:tcPr>
          <w:p w14:paraId="09B4032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287</w:t>
            </w:r>
          </w:p>
        </w:tc>
      </w:tr>
      <w:tr w:rsidR="00C35C1F" w:rsidRPr="006F4C8B" w14:paraId="1855B40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98053CC"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Below LLN</w:t>
            </w:r>
          </w:p>
        </w:tc>
        <w:tc>
          <w:tcPr>
            <w:tcW w:w="1485" w:type="dxa"/>
            <w:vAlign w:val="top"/>
            <w:hideMark/>
          </w:tcPr>
          <w:p w14:paraId="7B1BA694"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147 (50.3)</w:t>
            </w:r>
          </w:p>
        </w:tc>
        <w:tc>
          <w:tcPr>
            <w:tcW w:w="1479" w:type="dxa"/>
            <w:vAlign w:val="top"/>
            <w:hideMark/>
          </w:tcPr>
          <w:p w14:paraId="6ED26410"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148 (51.6)</w:t>
            </w:r>
          </w:p>
        </w:tc>
      </w:tr>
      <w:tr w:rsidR="00C35C1F" w:rsidRPr="006F4C8B" w14:paraId="0FB1CAA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2AE8078C"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Substantially abnormal</w:t>
            </w:r>
          </w:p>
        </w:tc>
        <w:tc>
          <w:tcPr>
            <w:tcW w:w="1485" w:type="dxa"/>
            <w:vAlign w:val="top"/>
            <w:hideMark/>
          </w:tcPr>
          <w:p w14:paraId="227656A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4 (1.4)</w:t>
            </w:r>
          </w:p>
        </w:tc>
        <w:tc>
          <w:tcPr>
            <w:tcW w:w="1479" w:type="dxa"/>
            <w:vAlign w:val="top"/>
            <w:hideMark/>
          </w:tcPr>
          <w:p w14:paraId="30E6575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 (0.7)</w:t>
            </w:r>
          </w:p>
        </w:tc>
      </w:tr>
      <w:tr w:rsidR="00C35C1F" w:rsidRPr="006F4C8B" w14:paraId="6653FE09"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2B80990"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ANC, N1</w:t>
            </w:r>
          </w:p>
        </w:tc>
        <w:tc>
          <w:tcPr>
            <w:tcW w:w="1485" w:type="dxa"/>
            <w:vAlign w:val="top"/>
            <w:hideMark/>
          </w:tcPr>
          <w:p w14:paraId="5953A92F"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272</w:t>
            </w:r>
          </w:p>
        </w:tc>
        <w:tc>
          <w:tcPr>
            <w:tcW w:w="1479" w:type="dxa"/>
            <w:vAlign w:val="top"/>
            <w:hideMark/>
          </w:tcPr>
          <w:p w14:paraId="798E6209"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258</w:t>
            </w:r>
          </w:p>
        </w:tc>
      </w:tr>
      <w:tr w:rsidR="00C35C1F" w:rsidRPr="006F4C8B" w14:paraId="1C0A6284"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F458865"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Below LLN</w:t>
            </w:r>
          </w:p>
        </w:tc>
        <w:tc>
          <w:tcPr>
            <w:tcW w:w="1485" w:type="dxa"/>
            <w:vAlign w:val="top"/>
            <w:hideMark/>
          </w:tcPr>
          <w:p w14:paraId="698E5E76"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16 (5.9)</w:t>
            </w:r>
          </w:p>
        </w:tc>
        <w:tc>
          <w:tcPr>
            <w:tcW w:w="1479" w:type="dxa"/>
            <w:vAlign w:val="top"/>
            <w:hideMark/>
          </w:tcPr>
          <w:p w14:paraId="15CAB18E"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20 (7.8)</w:t>
            </w:r>
          </w:p>
        </w:tc>
      </w:tr>
      <w:tr w:rsidR="00C35C1F" w:rsidRPr="006F4C8B" w14:paraId="55808D04"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557211D5"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Substantially abnormal</w:t>
            </w:r>
          </w:p>
        </w:tc>
        <w:tc>
          <w:tcPr>
            <w:tcW w:w="1485" w:type="dxa"/>
            <w:vAlign w:val="top"/>
            <w:hideMark/>
          </w:tcPr>
          <w:p w14:paraId="1422F4D8"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3 (1.1)</w:t>
            </w:r>
          </w:p>
        </w:tc>
        <w:tc>
          <w:tcPr>
            <w:tcW w:w="1479" w:type="dxa"/>
            <w:vAlign w:val="top"/>
            <w:hideMark/>
          </w:tcPr>
          <w:p w14:paraId="1C17BB7E"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5 (1.9)</w:t>
            </w:r>
          </w:p>
        </w:tc>
      </w:tr>
      <w:tr w:rsidR="00C35C1F" w:rsidRPr="006F4C8B" w14:paraId="52F8751F"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FAEADCB"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Platelets, N1</w:t>
            </w:r>
          </w:p>
        </w:tc>
        <w:tc>
          <w:tcPr>
            <w:tcW w:w="1485" w:type="dxa"/>
            <w:vAlign w:val="top"/>
            <w:hideMark/>
          </w:tcPr>
          <w:p w14:paraId="2B4E0855"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275</w:t>
            </w:r>
          </w:p>
        </w:tc>
        <w:tc>
          <w:tcPr>
            <w:tcW w:w="1479" w:type="dxa"/>
            <w:vAlign w:val="top"/>
            <w:hideMark/>
          </w:tcPr>
          <w:p w14:paraId="6BA27892"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269</w:t>
            </w:r>
          </w:p>
        </w:tc>
      </w:tr>
      <w:tr w:rsidR="00C35C1F" w:rsidRPr="006F4C8B" w14:paraId="0028F706"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0B1F84F"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Below LLN</w:t>
            </w:r>
          </w:p>
        </w:tc>
        <w:tc>
          <w:tcPr>
            <w:tcW w:w="1485" w:type="dxa"/>
            <w:vAlign w:val="top"/>
            <w:hideMark/>
          </w:tcPr>
          <w:p w14:paraId="668FC491"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37 (13.5)</w:t>
            </w:r>
          </w:p>
        </w:tc>
        <w:tc>
          <w:tcPr>
            <w:tcW w:w="1479" w:type="dxa"/>
            <w:vAlign w:val="top"/>
            <w:hideMark/>
          </w:tcPr>
          <w:p w14:paraId="3474CEA9"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35 (13.0)</w:t>
            </w:r>
          </w:p>
        </w:tc>
      </w:tr>
      <w:tr w:rsidR="00C35C1F" w:rsidRPr="006F4C8B" w14:paraId="315BDCB5"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3E995B8D"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Substantially abnormal</w:t>
            </w:r>
          </w:p>
        </w:tc>
        <w:tc>
          <w:tcPr>
            <w:tcW w:w="1485" w:type="dxa"/>
            <w:hideMark/>
          </w:tcPr>
          <w:p w14:paraId="1C59F6CF"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9 (3.3)</w:t>
            </w:r>
          </w:p>
        </w:tc>
        <w:tc>
          <w:tcPr>
            <w:tcW w:w="1479" w:type="dxa"/>
            <w:hideMark/>
          </w:tcPr>
          <w:p w14:paraId="425E291C"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5 (1.9)</w:t>
            </w:r>
          </w:p>
        </w:tc>
      </w:tr>
    </w:tbl>
    <w:p w14:paraId="2C2ED4CF" w14:textId="38029AE9" w:rsidR="00C35C1F" w:rsidRPr="006F4C8B" w:rsidRDefault="00C35C1F" w:rsidP="006F4C8B">
      <w:pPr>
        <w:pStyle w:val="TableNote-H58"/>
        <w:spacing w:before="0" w:after="0"/>
        <w:jc w:val="left"/>
        <w:rPr>
          <w:rFonts w:ascii="Arial" w:hAnsi="Arial" w:cs="Arial"/>
          <w:sz w:val="18"/>
          <w:szCs w:val="18"/>
          <w:lang w:val="en-US"/>
        </w:rPr>
      </w:pPr>
      <w:r w:rsidRPr="006F4C8B">
        <w:rPr>
          <w:rFonts w:ascii="Arial" w:hAnsi="Arial" w:cs="Arial"/>
          <w:sz w:val="18"/>
          <w:szCs w:val="18"/>
          <w:lang w:val="en-US"/>
        </w:rPr>
        <w:t>SOURCE: ESTABLISH-2 CSR</w:t>
      </w:r>
      <w:r w:rsidR="004D6F82">
        <w:rPr>
          <w:rFonts w:ascii="Arial" w:hAnsi="Arial" w:cs="Arial"/>
          <w:sz w:val="18"/>
          <w:szCs w:val="18"/>
          <w:lang w:val="en-US"/>
        </w:rPr>
        <w:t xml:space="preserve"> </w:t>
      </w:r>
      <w:r w:rsidR="004D6F82">
        <w:rPr>
          <w:rFonts w:ascii="Arial" w:hAnsi="Arial" w:cs="Arial"/>
          <w:sz w:val="18"/>
          <w:szCs w:val="18"/>
          <w:lang w:val="en-US"/>
        </w:rPr>
        <w:fldChar w:fldCharType="begin"/>
      </w:r>
      <w:r w:rsidR="004D6F82">
        <w:rPr>
          <w:rFonts w:ascii="Arial" w:hAnsi="Arial" w:cs="Arial"/>
          <w:sz w:val="18"/>
          <w:szCs w:val="18"/>
          <w:lang w:val="en-US"/>
        </w:rPr>
        <w:instrText xml:space="preserve"> REF _Ref284171394 \r \h </w:instrText>
      </w:r>
      <w:r w:rsidR="004D6F82">
        <w:rPr>
          <w:rFonts w:ascii="Arial" w:hAnsi="Arial" w:cs="Arial"/>
          <w:sz w:val="18"/>
          <w:szCs w:val="18"/>
          <w:lang w:val="en-US"/>
        </w:rPr>
      </w:r>
      <w:r w:rsidR="004D6F82">
        <w:rPr>
          <w:rFonts w:ascii="Arial" w:hAnsi="Arial" w:cs="Arial"/>
          <w:sz w:val="18"/>
          <w:szCs w:val="18"/>
          <w:lang w:val="en-US"/>
        </w:rPr>
        <w:fldChar w:fldCharType="separate"/>
      </w:r>
      <w:r w:rsidR="00151A1C">
        <w:rPr>
          <w:rFonts w:ascii="Arial" w:hAnsi="Arial" w:cs="Arial"/>
          <w:sz w:val="18"/>
          <w:szCs w:val="18"/>
          <w:lang w:val="en-US"/>
        </w:rPr>
        <w:t>42</w:t>
      </w:r>
      <w:r w:rsidR="004D6F82">
        <w:rPr>
          <w:rFonts w:ascii="Arial" w:hAnsi="Arial" w:cs="Arial"/>
          <w:sz w:val="18"/>
          <w:szCs w:val="18"/>
          <w:lang w:val="en-US"/>
        </w:rPr>
        <w:fldChar w:fldCharType="end"/>
      </w:r>
      <w:r w:rsidRPr="006F4C8B">
        <w:rPr>
          <w:rFonts w:ascii="Arial" w:hAnsi="Arial" w:cs="Arial"/>
          <w:sz w:val="18"/>
          <w:szCs w:val="18"/>
          <w:lang w:val="en-US"/>
        </w:rPr>
        <w:t xml:space="preserve">: section 12.4.2.3.2 Table 12-13 </w:t>
      </w:r>
    </w:p>
    <w:p w14:paraId="1BA6E6DD" w14:textId="77777777" w:rsidR="00C35C1F" w:rsidRPr="006F4C8B" w:rsidRDefault="00C35C1F" w:rsidP="006F4C8B">
      <w:pPr>
        <w:pStyle w:val="TableNote-H58"/>
        <w:spacing w:before="0" w:after="0"/>
        <w:jc w:val="left"/>
        <w:rPr>
          <w:rFonts w:ascii="Arial" w:hAnsi="Arial" w:cs="Arial"/>
          <w:sz w:val="18"/>
          <w:szCs w:val="18"/>
          <w:lang w:val="en-US"/>
        </w:rPr>
      </w:pPr>
      <w:r w:rsidRPr="006F4C8B">
        <w:rPr>
          <w:rFonts w:ascii="Arial" w:hAnsi="Arial" w:cs="Arial"/>
          <w:sz w:val="18"/>
          <w:szCs w:val="18"/>
          <w:lang w:val="en-US"/>
        </w:rPr>
        <w:t xml:space="preserve">Note: Substantially abnormal is defined as </w:t>
      </w:r>
      <w:r w:rsidRPr="006F4C8B">
        <w:rPr>
          <w:rFonts w:ascii="Arial" w:eastAsia="TimesNewRoman" w:hAnsi="Arial" w:cs="Arial"/>
          <w:sz w:val="18"/>
          <w:szCs w:val="18"/>
          <w:lang w:val="en-US"/>
        </w:rPr>
        <w:t>&lt;75% of the LLN</w:t>
      </w:r>
      <w:r w:rsidRPr="006F4C8B">
        <w:rPr>
          <w:rFonts w:ascii="Arial" w:hAnsi="Arial" w:cs="Arial"/>
          <w:sz w:val="18"/>
          <w:szCs w:val="18"/>
          <w:lang w:val="en-US"/>
        </w:rPr>
        <w:t xml:space="preserve"> (&lt;50% of ANC) for values normal at baseline and &lt;75% of the LLN (&lt;50% for ANC) and of baseline for values abnormal at baseline</w:t>
      </w:r>
    </w:p>
    <w:p w14:paraId="6CF361B5" w14:textId="77777777" w:rsidR="00C35C1F" w:rsidRPr="006F4C8B" w:rsidRDefault="00C35C1F" w:rsidP="006F4C8B">
      <w:pPr>
        <w:pStyle w:val="TableNote-H58"/>
        <w:spacing w:before="0" w:after="0"/>
        <w:jc w:val="left"/>
        <w:rPr>
          <w:rFonts w:ascii="Arial" w:hAnsi="Arial" w:cs="Arial"/>
          <w:sz w:val="18"/>
          <w:szCs w:val="18"/>
          <w:lang w:val="en-US"/>
        </w:rPr>
      </w:pPr>
      <w:r w:rsidRPr="006F4C8B">
        <w:rPr>
          <w:rFonts w:ascii="Arial" w:hAnsi="Arial" w:cs="Arial"/>
          <w:sz w:val="18"/>
          <w:szCs w:val="18"/>
          <w:lang w:val="en-US"/>
        </w:rPr>
        <w:t>ANC: Absolute neutrophil count; LLN: Lower limit of normal; N: Number of patients in the population; N1: Number of patients in the population with the specified clinical laboratory value at baseline and post baseline; n: Number of patients in specific category based on SI results</w:t>
      </w:r>
    </w:p>
    <w:p w14:paraId="4FF84A26" w14:textId="77777777" w:rsidR="00C35C1F" w:rsidRPr="006F4C8B" w:rsidRDefault="00C35C1F" w:rsidP="006F4C8B">
      <w:pPr>
        <w:pStyle w:val="Heading4"/>
        <w:keepLines w:val="0"/>
        <w:spacing w:before="240" w:after="120"/>
        <w:rPr>
          <w:rFonts w:ascii="Arial" w:hAnsi="Arial" w:cs="Arial"/>
          <w:color w:val="auto"/>
          <w:sz w:val="22"/>
          <w:szCs w:val="22"/>
          <w:lang w:val="en-US"/>
        </w:rPr>
      </w:pPr>
      <w:bookmarkStart w:id="390" w:name="_Ref384391577"/>
      <w:r w:rsidRPr="006F4C8B">
        <w:rPr>
          <w:rFonts w:ascii="Arial" w:hAnsi="Arial" w:cs="Arial"/>
          <w:color w:val="auto"/>
          <w:sz w:val="22"/>
          <w:szCs w:val="22"/>
          <w:lang w:val="en-US"/>
        </w:rPr>
        <w:t xml:space="preserve">Tedizolid phosphate was associated with no observed risk of nephrotoxicity, </w:t>
      </w:r>
      <w:bookmarkEnd w:id="390"/>
      <w:r w:rsidRPr="006F4C8B">
        <w:rPr>
          <w:rFonts w:ascii="Arial" w:hAnsi="Arial" w:cs="Arial"/>
          <w:color w:val="auto"/>
          <w:sz w:val="22"/>
          <w:szCs w:val="22"/>
          <w:lang w:val="en-US"/>
        </w:rPr>
        <w:t>based on the ESTABLISH-2 safety data</w:t>
      </w:r>
    </w:p>
    <w:p w14:paraId="5346263E" w14:textId="620963A3" w:rsidR="00AA3D81" w:rsidRPr="006F4C8B" w:rsidRDefault="00C35C1F" w:rsidP="00AA3D81">
      <w:pPr>
        <w:rPr>
          <w:rFonts w:cs="Arial"/>
          <w:sz w:val="22"/>
          <w:szCs w:val="22"/>
          <w:lang w:val="en-US"/>
        </w:rPr>
      </w:pPr>
      <w:r w:rsidRPr="006F4C8B">
        <w:rPr>
          <w:rFonts w:cs="Arial"/>
          <w:sz w:val="22"/>
          <w:szCs w:val="22"/>
          <w:lang w:val="en-US"/>
        </w:rPr>
        <w:t xml:space="preserve">Measurement of laboratory parameters in ESTABLISH-2 demonstrated that tedizolid phosphate was associated with no observed risk of nephrotoxicity. The proportion of patients with post-baseline serum creatinine values classed as above the upper limit of normal was </w:t>
      </w:r>
      <w:r w:rsidRPr="004D6F82">
        <w:rPr>
          <w:rFonts w:cs="Arial"/>
          <w:sz w:val="22"/>
          <w:szCs w:val="22"/>
          <w:lang w:val="en-US"/>
        </w:rPr>
        <w:t xml:space="preserve">comparable in both the tedizolid phosphate group and linezolid group (18.9% vs. 21.7%) </w:t>
      </w:r>
      <w:r w:rsidR="00AA3D81">
        <w:rPr>
          <w:rFonts w:cs="Arial"/>
          <w:sz w:val="22"/>
          <w:szCs w:val="22"/>
          <w:lang w:val="en-US"/>
        </w:rPr>
        <w:t>(Table 81).</w:t>
      </w:r>
      <w:r w:rsidRPr="004D6F82">
        <w:rPr>
          <w:rFonts w:cs="Arial"/>
          <w:sz w:val="22"/>
          <w:szCs w:val="22"/>
          <w:lang w:val="en-US"/>
        </w:rPr>
        <w:t xml:space="preserve"> In addition, the proportion of patients with post-baseline BUN values classed as above the upper limit of normal was comparable in both the tedizolid phosphate group and linezolid group (7.8% vs. 9.6%)</w:t>
      </w:r>
      <w:r w:rsidR="00AA3D81">
        <w:rPr>
          <w:rFonts w:cs="Arial"/>
          <w:sz w:val="22"/>
          <w:szCs w:val="22"/>
          <w:lang w:val="en-US"/>
        </w:rPr>
        <w:t>(Table 81).</w:t>
      </w:r>
      <w:r w:rsidRPr="004D6F82">
        <w:rPr>
          <w:rFonts w:cs="Arial"/>
          <w:sz w:val="22"/>
          <w:szCs w:val="22"/>
          <w:lang w:val="en-US"/>
        </w:rPr>
        <w:t xml:space="preserve"> </w:t>
      </w:r>
    </w:p>
    <w:p w14:paraId="49173D07" w14:textId="77777777" w:rsidR="00AA3D81" w:rsidRDefault="00AA3D81" w:rsidP="004D6F82">
      <w:pPr>
        <w:rPr>
          <w:rFonts w:cs="Arial"/>
          <w:sz w:val="22"/>
          <w:szCs w:val="22"/>
          <w:lang w:val="en-US"/>
        </w:rPr>
      </w:pPr>
    </w:p>
    <w:p w14:paraId="03417524" w14:textId="1D405C07" w:rsidR="00C35C1F" w:rsidRPr="006F4C8B" w:rsidRDefault="00C35C1F" w:rsidP="004D6F82">
      <w:pPr>
        <w:rPr>
          <w:rFonts w:cs="Arial"/>
          <w:sz w:val="22"/>
          <w:szCs w:val="22"/>
          <w:lang w:val="en-US"/>
        </w:rPr>
      </w:pPr>
      <w:r w:rsidRPr="006F4C8B">
        <w:rPr>
          <w:rFonts w:cs="Arial"/>
          <w:sz w:val="22"/>
          <w:szCs w:val="22"/>
          <w:lang w:val="en-US"/>
        </w:rPr>
        <w:lastRenderedPageBreak/>
        <w:t>Few patients reported substantially abnormal values for serum creatinine and BUN across both study groups</w:t>
      </w:r>
      <w:r w:rsidR="004D6F82">
        <w:rPr>
          <w:rFonts w:cs="Arial"/>
          <w:sz w:val="22"/>
          <w:szCs w:val="22"/>
          <w:lang w:val="en-US"/>
        </w:rPr>
        <w:t>(</w:t>
      </w:r>
      <w:r w:rsidR="004D6F82">
        <w:rPr>
          <w:rFonts w:cs="Arial"/>
          <w:sz w:val="22"/>
          <w:szCs w:val="22"/>
          <w:lang w:val="en-US"/>
        </w:rPr>
        <w:fldChar w:fldCharType="begin"/>
      </w:r>
      <w:r w:rsidR="004D6F82">
        <w:rPr>
          <w:rFonts w:cs="Arial"/>
          <w:sz w:val="22"/>
          <w:szCs w:val="22"/>
          <w:lang w:val="en-US"/>
        </w:rPr>
        <w:instrText xml:space="preserve"> REF _Ref284171394 \r \h </w:instrText>
      </w:r>
      <w:r w:rsidR="004D6F82">
        <w:rPr>
          <w:rFonts w:cs="Arial"/>
          <w:sz w:val="22"/>
          <w:szCs w:val="22"/>
          <w:lang w:val="en-US"/>
        </w:rPr>
      </w:r>
      <w:r w:rsidR="004D6F82">
        <w:rPr>
          <w:rFonts w:cs="Arial"/>
          <w:sz w:val="22"/>
          <w:szCs w:val="22"/>
          <w:lang w:val="en-US"/>
        </w:rPr>
        <w:fldChar w:fldCharType="separate"/>
      </w:r>
      <w:r w:rsidR="00151A1C">
        <w:rPr>
          <w:rFonts w:cs="Arial"/>
          <w:sz w:val="22"/>
          <w:szCs w:val="22"/>
          <w:lang w:val="en-US"/>
        </w:rPr>
        <w:t>42</w:t>
      </w:r>
      <w:r w:rsidR="004D6F82">
        <w:rPr>
          <w:rFonts w:cs="Arial"/>
          <w:sz w:val="22"/>
          <w:szCs w:val="22"/>
          <w:lang w:val="en-US"/>
        </w:rPr>
        <w:fldChar w:fldCharType="end"/>
      </w:r>
      <w:r w:rsidR="004D6F82">
        <w:rPr>
          <w:rFonts w:cs="Arial"/>
          <w:sz w:val="22"/>
          <w:szCs w:val="22"/>
          <w:lang w:val="en-US"/>
        </w:rPr>
        <w:t>).</w:t>
      </w:r>
    </w:p>
    <w:p w14:paraId="03BE3817" w14:textId="77777777" w:rsidR="006F4C8B" w:rsidRPr="006F4C8B" w:rsidRDefault="006F4C8B" w:rsidP="006F4C8B">
      <w:pPr>
        <w:rPr>
          <w:rFonts w:cs="Arial"/>
          <w:sz w:val="22"/>
          <w:szCs w:val="22"/>
          <w:lang w:val="en-US"/>
        </w:rPr>
      </w:pPr>
      <w:bookmarkStart w:id="391" w:name="_Ref384389142"/>
      <w:bookmarkStart w:id="392" w:name="_Ref387680977"/>
      <w:bookmarkStart w:id="393" w:name="_Toc396058480"/>
    </w:p>
    <w:p w14:paraId="4CC2D17E" w14:textId="275BB1BC" w:rsidR="00C35C1F" w:rsidRDefault="00C35C1F" w:rsidP="006F4C8B">
      <w:pPr>
        <w:rPr>
          <w:rFonts w:cs="Arial"/>
          <w:b/>
          <w:sz w:val="22"/>
          <w:szCs w:val="22"/>
          <w:lang w:val="en-US"/>
        </w:rPr>
      </w:pPr>
      <w:r w:rsidRPr="006F4C8B">
        <w:rPr>
          <w:rFonts w:cs="Arial"/>
          <w:b/>
          <w:sz w:val="22"/>
          <w:szCs w:val="22"/>
          <w:lang w:val="en-US"/>
        </w:rPr>
        <w:t xml:space="preserve">Table </w:t>
      </w:r>
      <w:r w:rsidRPr="006F4C8B">
        <w:rPr>
          <w:rFonts w:cs="Arial"/>
          <w:b/>
          <w:sz w:val="22"/>
          <w:szCs w:val="22"/>
          <w:lang w:val="en-US"/>
        </w:rPr>
        <w:fldChar w:fldCharType="begin"/>
      </w:r>
      <w:r w:rsidRPr="006F4C8B">
        <w:rPr>
          <w:rFonts w:cs="Arial"/>
          <w:b/>
          <w:sz w:val="22"/>
          <w:szCs w:val="22"/>
          <w:lang w:val="en-US"/>
        </w:rPr>
        <w:instrText xml:space="preserve"> SEQ Table \* ARABIC </w:instrText>
      </w:r>
      <w:r w:rsidRPr="006F4C8B">
        <w:rPr>
          <w:rFonts w:cs="Arial"/>
          <w:b/>
          <w:sz w:val="22"/>
          <w:szCs w:val="22"/>
          <w:lang w:val="en-US"/>
        </w:rPr>
        <w:fldChar w:fldCharType="separate"/>
      </w:r>
      <w:r w:rsidR="00151A1C">
        <w:rPr>
          <w:rFonts w:cs="Arial"/>
          <w:b/>
          <w:noProof/>
          <w:sz w:val="22"/>
          <w:szCs w:val="22"/>
          <w:lang w:val="en-US"/>
        </w:rPr>
        <w:t>81</w:t>
      </w:r>
      <w:r w:rsidRPr="006F4C8B">
        <w:rPr>
          <w:rFonts w:cs="Arial"/>
          <w:b/>
          <w:sz w:val="22"/>
          <w:szCs w:val="22"/>
          <w:lang w:val="en-US"/>
        </w:rPr>
        <w:fldChar w:fldCharType="end"/>
      </w:r>
      <w:bookmarkEnd w:id="391"/>
      <w:bookmarkEnd w:id="392"/>
      <w:r w:rsidRPr="006F4C8B">
        <w:rPr>
          <w:rFonts w:cs="Arial"/>
          <w:b/>
          <w:sz w:val="22"/>
          <w:szCs w:val="22"/>
          <w:lang w:val="en-US"/>
        </w:rPr>
        <w:t>: Post-baseline serum creatinine and BUN laboratory values in ESTABLISH-2 (Safety population)</w:t>
      </w:r>
      <w:bookmarkEnd w:id="393"/>
    </w:p>
    <w:p w14:paraId="5CFE5AAF" w14:textId="77777777" w:rsidR="006F4C8B" w:rsidRPr="006F4C8B" w:rsidRDefault="006F4C8B" w:rsidP="006F4C8B">
      <w:pPr>
        <w:rPr>
          <w:rFonts w:cs="Arial"/>
          <w:b/>
          <w:sz w:val="22"/>
          <w:szCs w:val="22"/>
        </w:rPr>
      </w:pPr>
    </w:p>
    <w:tbl>
      <w:tblPr>
        <w:tblStyle w:val="Table-HERONplain"/>
        <w:tblW w:w="0" w:type="auto"/>
        <w:tblLook w:val="04A0" w:firstRow="1" w:lastRow="0" w:firstColumn="1" w:lastColumn="0" w:noHBand="0" w:noVBand="1"/>
      </w:tblPr>
      <w:tblGrid>
        <w:gridCol w:w="5967"/>
        <w:gridCol w:w="1474"/>
        <w:gridCol w:w="1462"/>
      </w:tblGrid>
      <w:tr w:rsidR="00C35C1F" w:rsidRPr="006F4C8B" w14:paraId="6B372FEB" w14:textId="77777777" w:rsidTr="00F2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68EBB318"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Post-baseline laboratory values through last dose of active study drug</w:t>
            </w:r>
          </w:p>
        </w:tc>
        <w:tc>
          <w:tcPr>
            <w:tcW w:w="1485" w:type="dxa"/>
            <w:shd w:val="clear" w:color="auto" w:fill="auto"/>
            <w:hideMark/>
          </w:tcPr>
          <w:p w14:paraId="35429522"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Tedizolid phosphate</w:t>
            </w:r>
          </w:p>
          <w:p w14:paraId="56600507"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(N=331)</w:t>
            </w:r>
          </w:p>
          <w:p w14:paraId="3CADC8EA"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c>
          <w:tcPr>
            <w:tcW w:w="1479" w:type="dxa"/>
            <w:shd w:val="clear" w:color="auto" w:fill="auto"/>
            <w:hideMark/>
          </w:tcPr>
          <w:p w14:paraId="72019E02"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Linezolid</w:t>
            </w:r>
          </w:p>
          <w:p w14:paraId="4317AD3C"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(N=327)</w:t>
            </w:r>
          </w:p>
          <w:p w14:paraId="7E5DB008" w14:textId="77777777" w:rsidR="00C35C1F" w:rsidRPr="006F4C8B" w:rsidRDefault="00C35C1F" w:rsidP="001D3F4A">
            <w:pPr>
              <w:pStyle w:val="TableBodyCentered-H52"/>
              <w:cnfStyle w:val="100000000000" w:firstRow="1" w:lastRow="0" w:firstColumn="0" w:lastColumn="0" w:oddVBand="0" w:evenVBand="0" w:oddHBand="0" w:evenHBand="0" w:firstRowFirstColumn="0" w:firstRowLastColumn="0" w:lastRowFirstColumn="0" w:lastRowLastColumn="0"/>
              <w:rPr>
                <w:rFonts w:ascii="Arial" w:hAnsi="Arial" w:cs="Arial"/>
                <w:sz w:val="20"/>
                <w:lang w:val="en-US"/>
              </w:rPr>
            </w:pPr>
            <w:r w:rsidRPr="006F4C8B">
              <w:rPr>
                <w:rFonts w:ascii="Arial" w:hAnsi="Arial" w:cs="Arial"/>
                <w:sz w:val="20"/>
                <w:lang w:val="en-US"/>
              </w:rPr>
              <w:t>n (%)</w:t>
            </w:r>
          </w:p>
        </w:tc>
      </w:tr>
      <w:tr w:rsidR="00C35C1F" w:rsidRPr="006F4C8B" w14:paraId="4B4722F4"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3F3644E1"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Serum creatinine, N1</w:t>
            </w:r>
          </w:p>
        </w:tc>
        <w:tc>
          <w:tcPr>
            <w:tcW w:w="1485" w:type="dxa"/>
            <w:vAlign w:val="top"/>
            <w:hideMark/>
          </w:tcPr>
          <w:p w14:paraId="1FFD44FB"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 xml:space="preserve">322 </w:t>
            </w:r>
          </w:p>
        </w:tc>
        <w:tc>
          <w:tcPr>
            <w:tcW w:w="1479" w:type="dxa"/>
            <w:vAlign w:val="top"/>
            <w:hideMark/>
          </w:tcPr>
          <w:p w14:paraId="524C1179"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 xml:space="preserve">313 </w:t>
            </w:r>
          </w:p>
        </w:tc>
      </w:tr>
      <w:tr w:rsidR="00C35C1F" w:rsidRPr="006F4C8B" w14:paraId="51552977"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0314B5DF"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Above ULN</w:t>
            </w:r>
          </w:p>
        </w:tc>
        <w:tc>
          <w:tcPr>
            <w:tcW w:w="1485" w:type="dxa"/>
            <w:vAlign w:val="top"/>
            <w:hideMark/>
          </w:tcPr>
          <w:p w14:paraId="4C91ED93"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61 (18.9)</w:t>
            </w:r>
          </w:p>
        </w:tc>
        <w:tc>
          <w:tcPr>
            <w:tcW w:w="1479" w:type="dxa"/>
            <w:vAlign w:val="top"/>
            <w:hideMark/>
          </w:tcPr>
          <w:p w14:paraId="1553F7C6"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68 (21.7)</w:t>
            </w:r>
          </w:p>
        </w:tc>
      </w:tr>
      <w:tr w:rsidR="00C35C1F" w:rsidRPr="006F4C8B" w14:paraId="39B7CEC6"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4B249F75"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Substantially abnormal</w:t>
            </w:r>
          </w:p>
        </w:tc>
        <w:tc>
          <w:tcPr>
            <w:tcW w:w="1485" w:type="dxa"/>
            <w:vAlign w:val="top"/>
            <w:hideMark/>
          </w:tcPr>
          <w:p w14:paraId="5706348D"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1 (0.3)</w:t>
            </w:r>
          </w:p>
        </w:tc>
        <w:tc>
          <w:tcPr>
            <w:tcW w:w="1479" w:type="dxa"/>
            <w:vAlign w:val="top"/>
            <w:hideMark/>
          </w:tcPr>
          <w:p w14:paraId="241AF864"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 (0.6)</w:t>
            </w:r>
          </w:p>
        </w:tc>
      </w:tr>
      <w:tr w:rsidR="00C35C1F" w:rsidRPr="006F4C8B" w14:paraId="49F08D45"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5B844F7B" w14:textId="77777777" w:rsidR="00C35C1F" w:rsidRPr="006F4C8B" w:rsidRDefault="00C35C1F" w:rsidP="001D3F4A">
            <w:pPr>
              <w:pStyle w:val="TableBodyText-H54"/>
              <w:rPr>
                <w:rFonts w:ascii="Arial" w:hAnsi="Arial" w:cs="Arial"/>
                <w:sz w:val="20"/>
                <w:lang w:val="en-US"/>
              </w:rPr>
            </w:pPr>
            <w:r w:rsidRPr="006F4C8B">
              <w:rPr>
                <w:rFonts w:ascii="Arial" w:hAnsi="Arial" w:cs="Arial"/>
                <w:sz w:val="20"/>
                <w:lang w:val="en-US"/>
              </w:rPr>
              <w:t>BUN, N1</w:t>
            </w:r>
          </w:p>
        </w:tc>
        <w:tc>
          <w:tcPr>
            <w:tcW w:w="1485" w:type="dxa"/>
            <w:vAlign w:val="top"/>
            <w:hideMark/>
          </w:tcPr>
          <w:p w14:paraId="7DE9FB72"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 xml:space="preserve">322 </w:t>
            </w:r>
          </w:p>
        </w:tc>
        <w:tc>
          <w:tcPr>
            <w:tcW w:w="1479" w:type="dxa"/>
            <w:vAlign w:val="top"/>
            <w:hideMark/>
          </w:tcPr>
          <w:p w14:paraId="1460357C"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eastAsia="TimesNewRoman,Bold" w:hAnsi="Arial" w:cs="Arial"/>
                <w:sz w:val="20"/>
                <w:lang w:val="en-US"/>
              </w:rPr>
            </w:pPr>
            <w:r w:rsidRPr="006F4C8B">
              <w:rPr>
                <w:rFonts w:ascii="Arial" w:eastAsia="TimesNewRoman,Bold" w:hAnsi="Arial" w:cs="Arial"/>
                <w:sz w:val="20"/>
                <w:lang w:val="en-US"/>
              </w:rPr>
              <w:t xml:space="preserve">313 </w:t>
            </w:r>
          </w:p>
        </w:tc>
      </w:tr>
      <w:tr w:rsidR="00C35C1F" w:rsidRPr="006F4C8B" w14:paraId="14338F8D" w14:textId="77777777" w:rsidTr="00F257FE">
        <w:tc>
          <w:tcPr>
            <w:cnfStyle w:val="001000000000" w:firstRow="0" w:lastRow="0" w:firstColumn="1" w:lastColumn="0" w:oddVBand="0" w:evenVBand="0" w:oddHBand="0" w:evenHBand="0" w:firstRowFirstColumn="0" w:firstRowLastColumn="0" w:lastRowFirstColumn="0" w:lastRowLastColumn="0"/>
            <w:tcW w:w="6165" w:type="dxa"/>
            <w:shd w:val="clear" w:color="auto" w:fill="auto"/>
            <w:hideMark/>
          </w:tcPr>
          <w:p w14:paraId="2C6864E3"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Above ULN</w:t>
            </w:r>
          </w:p>
        </w:tc>
        <w:tc>
          <w:tcPr>
            <w:tcW w:w="1485" w:type="dxa"/>
            <w:vAlign w:val="top"/>
            <w:hideMark/>
          </w:tcPr>
          <w:p w14:paraId="3BF3239E"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25 (7.8)</w:t>
            </w:r>
          </w:p>
        </w:tc>
        <w:tc>
          <w:tcPr>
            <w:tcW w:w="1479" w:type="dxa"/>
            <w:vAlign w:val="top"/>
            <w:hideMark/>
          </w:tcPr>
          <w:p w14:paraId="79AA455A" w14:textId="77777777" w:rsidR="00C35C1F" w:rsidRPr="006F4C8B" w:rsidRDefault="00C35C1F" w:rsidP="001D3F4A">
            <w:pPr>
              <w:pStyle w:val="TableBodyCentered-H52"/>
              <w:cnfStyle w:val="000000000000" w:firstRow="0" w:lastRow="0" w:firstColumn="0" w:lastColumn="0" w:oddVBand="0" w:evenVBand="0" w:oddHBand="0" w:evenHBand="0" w:firstRowFirstColumn="0" w:firstRowLastColumn="0" w:lastRowFirstColumn="0" w:lastRowLastColumn="0"/>
              <w:rPr>
                <w:rFonts w:ascii="Arial" w:eastAsia="TimesNewRoman" w:hAnsi="Arial" w:cs="Arial"/>
                <w:sz w:val="20"/>
                <w:lang w:val="en-US"/>
              </w:rPr>
            </w:pPr>
            <w:r w:rsidRPr="006F4C8B">
              <w:rPr>
                <w:rFonts w:ascii="Arial" w:eastAsia="TimesNewRoman" w:hAnsi="Arial" w:cs="Arial"/>
                <w:sz w:val="20"/>
                <w:lang w:val="en-US"/>
              </w:rPr>
              <w:t>30 (9.6)</w:t>
            </w:r>
          </w:p>
        </w:tc>
      </w:tr>
      <w:tr w:rsidR="00C35C1F" w:rsidRPr="006F4C8B" w14:paraId="316183CB" w14:textId="77777777" w:rsidTr="00F2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5" w:type="dxa"/>
            <w:shd w:val="clear" w:color="auto" w:fill="auto"/>
            <w:vAlign w:val="top"/>
            <w:hideMark/>
          </w:tcPr>
          <w:p w14:paraId="1916BF76" w14:textId="77777777" w:rsidR="00C35C1F" w:rsidRPr="006F4C8B" w:rsidRDefault="00C35C1F" w:rsidP="001D3F4A">
            <w:pPr>
              <w:pStyle w:val="TableBodyText-H54"/>
              <w:rPr>
                <w:rFonts w:ascii="Arial" w:hAnsi="Arial" w:cs="Arial"/>
                <w:b w:val="0"/>
                <w:sz w:val="20"/>
                <w:lang w:val="en-US"/>
              </w:rPr>
            </w:pPr>
            <w:r w:rsidRPr="006F4C8B">
              <w:rPr>
                <w:rFonts w:ascii="Arial" w:hAnsi="Arial" w:cs="Arial"/>
                <w:sz w:val="20"/>
                <w:lang w:val="en-US"/>
              </w:rPr>
              <w:t>Substantially abnormal</w:t>
            </w:r>
          </w:p>
        </w:tc>
        <w:tc>
          <w:tcPr>
            <w:tcW w:w="1485" w:type="dxa"/>
            <w:vAlign w:val="top"/>
            <w:hideMark/>
          </w:tcPr>
          <w:p w14:paraId="18BBBDEE"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1 (0.3)</w:t>
            </w:r>
          </w:p>
        </w:tc>
        <w:tc>
          <w:tcPr>
            <w:tcW w:w="1479" w:type="dxa"/>
            <w:vAlign w:val="top"/>
            <w:hideMark/>
          </w:tcPr>
          <w:p w14:paraId="7571FF71" w14:textId="77777777" w:rsidR="00C35C1F" w:rsidRPr="006F4C8B" w:rsidRDefault="00C35C1F" w:rsidP="001D3F4A">
            <w:pPr>
              <w:pStyle w:val="TableBodyCentered-H52"/>
              <w:cnfStyle w:val="000000010000" w:firstRow="0" w:lastRow="0" w:firstColumn="0" w:lastColumn="0" w:oddVBand="0" w:evenVBand="0" w:oddHBand="0" w:evenHBand="1" w:firstRowFirstColumn="0" w:firstRowLastColumn="0" w:lastRowFirstColumn="0" w:lastRowLastColumn="0"/>
              <w:rPr>
                <w:rFonts w:ascii="Arial" w:hAnsi="Arial" w:cs="Arial"/>
                <w:sz w:val="20"/>
                <w:lang w:val="en-US"/>
              </w:rPr>
            </w:pPr>
            <w:r w:rsidRPr="006F4C8B">
              <w:rPr>
                <w:rFonts w:ascii="Arial" w:hAnsi="Arial" w:cs="Arial"/>
                <w:sz w:val="20"/>
                <w:lang w:val="en-US"/>
              </w:rPr>
              <w:t>0</w:t>
            </w:r>
          </w:p>
        </w:tc>
      </w:tr>
    </w:tbl>
    <w:p w14:paraId="0509D266" w14:textId="1D24B132" w:rsidR="00C35C1F" w:rsidRPr="006F4C8B" w:rsidRDefault="00C35C1F" w:rsidP="00C35C1F">
      <w:pPr>
        <w:pStyle w:val="TableNote-H58"/>
        <w:rPr>
          <w:rFonts w:ascii="Arial" w:hAnsi="Arial" w:cs="Arial"/>
          <w:sz w:val="18"/>
          <w:szCs w:val="18"/>
          <w:lang w:val="en-US"/>
        </w:rPr>
      </w:pPr>
      <w:r w:rsidRPr="006F4C8B">
        <w:rPr>
          <w:rFonts w:ascii="Arial" w:hAnsi="Arial" w:cs="Arial"/>
          <w:sz w:val="18"/>
          <w:szCs w:val="18"/>
          <w:lang w:val="en-US"/>
        </w:rPr>
        <w:t>SOURCE: ESTABLISH-2 CSR</w:t>
      </w:r>
      <w:r w:rsidR="004D6F82">
        <w:rPr>
          <w:rFonts w:ascii="Arial" w:hAnsi="Arial" w:cs="Arial"/>
          <w:sz w:val="18"/>
          <w:szCs w:val="18"/>
          <w:lang w:val="en-US"/>
        </w:rPr>
        <w:t xml:space="preserve"> </w:t>
      </w:r>
      <w:r w:rsidR="004D6F82">
        <w:rPr>
          <w:rFonts w:ascii="Arial" w:hAnsi="Arial" w:cs="Arial"/>
          <w:sz w:val="18"/>
          <w:szCs w:val="18"/>
          <w:lang w:val="en-US"/>
        </w:rPr>
        <w:fldChar w:fldCharType="begin"/>
      </w:r>
      <w:r w:rsidR="004D6F82">
        <w:rPr>
          <w:rFonts w:ascii="Arial" w:hAnsi="Arial" w:cs="Arial"/>
          <w:sz w:val="18"/>
          <w:szCs w:val="18"/>
          <w:lang w:val="en-US"/>
        </w:rPr>
        <w:instrText xml:space="preserve"> REF _Ref284171394 \r \h </w:instrText>
      </w:r>
      <w:r w:rsidR="004D6F82">
        <w:rPr>
          <w:rFonts w:ascii="Arial" w:hAnsi="Arial" w:cs="Arial"/>
          <w:sz w:val="18"/>
          <w:szCs w:val="18"/>
          <w:lang w:val="en-US"/>
        </w:rPr>
      </w:r>
      <w:r w:rsidR="004D6F82">
        <w:rPr>
          <w:rFonts w:ascii="Arial" w:hAnsi="Arial" w:cs="Arial"/>
          <w:sz w:val="18"/>
          <w:szCs w:val="18"/>
          <w:lang w:val="en-US"/>
        </w:rPr>
        <w:fldChar w:fldCharType="separate"/>
      </w:r>
      <w:r w:rsidR="00151A1C">
        <w:rPr>
          <w:rFonts w:ascii="Arial" w:hAnsi="Arial" w:cs="Arial"/>
          <w:sz w:val="18"/>
          <w:szCs w:val="18"/>
          <w:lang w:val="en-US"/>
        </w:rPr>
        <w:t>42</w:t>
      </w:r>
      <w:r w:rsidR="004D6F82">
        <w:rPr>
          <w:rFonts w:ascii="Arial" w:hAnsi="Arial" w:cs="Arial"/>
          <w:sz w:val="18"/>
          <w:szCs w:val="18"/>
          <w:lang w:val="en-US"/>
        </w:rPr>
        <w:fldChar w:fldCharType="end"/>
      </w:r>
      <w:r w:rsidRPr="006F4C8B">
        <w:rPr>
          <w:rFonts w:ascii="Arial" w:hAnsi="Arial" w:cs="Arial"/>
          <w:sz w:val="18"/>
          <w:szCs w:val="18"/>
          <w:lang w:val="en-US"/>
        </w:rPr>
        <w:t>: section 12.4.2.3.1 Table 12-11</w:t>
      </w:r>
    </w:p>
    <w:p w14:paraId="64D949C0" w14:textId="77777777" w:rsidR="00C35C1F" w:rsidRDefault="00C35C1F" w:rsidP="00C35C1F">
      <w:pPr>
        <w:pStyle w:val="TableNote-H58"/>
        <w:rPr>
          <w:rFonts w:ascii="Arial" w:hAnsi="Arial" w:cs="Arial"/>
          <w:sz w:val="18"/>
          <w:szCs w:val="18"/>
          <w:lang w:val="en-US"/>
        </w:rPr>
      </w:pPr>
      <w:r w:rsidRPr="006F4C8B">
        <w:rPr>
          <w:rFonts w:ascii="Arial" w:hAnsi="Arial" w:cs="Arial"/>
          <w:sz w:val="18"/>
          <w:szCs w:val="18"/>
          <w:lang w:val="en-US"/>
        </w:rPr>
        <w:t>BUN: Blood urea nitrogen; N: Number of patients in the population; N1: Number of patients in the population with the specified clinical laboratory value at baseline and post baseline; n: Number of patients in specific category based on SI results; ULN: Upper limit of normal</w:t>
      </w:r>
    </w:p>
    <w:p w14:paraId="51BCE5CA" w14:textId="77777777" w:rsidR="004537A7" w:rsidRDefault="004537A7" w:rsidP="00C35C1F">
      <w:pPr>
        <w:pStyle w:val="TableNote-H58"/>
        <w:rPr>
          <w:rFonts w:ascii="Arial" w:hAnsi="Arial" w:cs="Arial"/>
          <w:sz w:val="18"/>
          <w:szCs w:val="18"/>
          <w:lang w:val="en-US"/>
        </w:rPr>
      </w:pPr>
    </w:p>
    <w:p w14:paraId="545EDCF4" w14:textId="77777777" w:rsidR="001F248F" w:rsidRDefault="001F248F">
      <w:pPr>
        <w:ind w:left="357" w:hanging="357"/>
        <w:jc w:val="both"/>
        <w:rPr>
          <w:rFonts w:cs="Arial"/>
          <w:b/>
          <w:szCs w:val="24"/>
          <w:lang w:val="en-US"/>
        </w:rPr>
      </w:pPr>
      <w:r>
        <w:rPr>
          <w:rFonts w:cs="Arial"/>
          <w:b/>
          <w:szCs w:val="24"/>
          <w:lang w:val="en-US"/>
        </w:rPr>
        <w:br w:type="page"/>
      </w:r>
    </w:p>
    <w:p w14:paraId="419D0A13" w14:textId="29DB126E" w:rsidR="004537A7" w:rsidRPr="004D6F82" w:rsidRDefault="004537A7" w:rsidP="004D6F82">
      <w:pPr>
        <w:ind w:left="357" w:hanging="357"/>
        <w:jc w:val="both"/>
        <w:rPr>
          <w:rFonts w:eastAsia="Times New Roman" w:cs="Arial"/>
          <w:bCs/>
          <w:sz w:val="18"/>
          <w:szCs w:val="18"/>
          <w:lang w:val="en-US"/>
        </w:rPr>
      </w:pPr>
      <w:r w:rsidRPr="0049441E">
        <w:rPr>
          <w:rFonts w:cs="Arial"/>
          <w:b/>
          <w:szCs w:val="24"/>
          <w:lang w:val="en-US"/>
        </w:rPr>
        <w:lastRenderedPageBreak/>
        <w:t xml:space="preserve">Appendix D </w:t>
      </w:r>
    </w:p>
    <w:p w14:paraId="2F0BEDCB" w14:textId="61D16427" w:rsidR="004537A7" w:rsidRPr="0049441E" w:rsidRDefault="004537A7" w:rsidP="00C35C1F">
      <w:pPr>
        <w:pStyle w:val="TableNote-H58"/>
        <w:rPr>
          <w:rFonts w:ascii="Arial" w:hAnsi="Arial" w:cs="Arial"/>
          <w:b/>
          <w:sz w:val="24"/>
          <w:szCs w:val="24"/>
          <w:lang w:val="en-US"/>
        </w:rPr>
      </w:pPr>
      <w:r w:rsidRPr="0049441E">
        <w:rPr>
          <w:rFonts w:ascii="Arial" w:hAnsi="Arial" w:cs="Arial"/>
          <w:b/>
          <w:sz w:val="24"/>
          <w:szCs w:val="24"/>
          <w:lang w:val="en-US"/>
        </w:rPr>
        <w:t>Systematic Review and Network Meta-Analysis informing Indirect Comparison</w:t>
      </w:r>
    </w:p>
    <w:p w14:paraId="49261C1E" w14:textId="77777777" w:rsidR="0049441E" w:rsidRPr="0049441E" w:rsidRDefault="0049441E" w:rsidP="00DC584A">
      <w:pPr>
        <w:pStyle w:val="TableNote-H58"/>
        <w:jc w:val="left"/>
        <w:rPr>
          <w:rFonts w:ascii="Arial" w:hAnsi="Arial" w:cs="Arial"/>
          <w:b/>
          <w:sz w:val="22"/>
          <w:szCs w:val="22"/>
          <w:lang w:val="en-US" w:eastAsia="ja-JP"/>
        </w:rPr>
      </w:pPr>
      <w:r w:rsidRPr="0049441E">
        <w:rPr>
          <w:rFonts w:ascii="Arial" w:hAnsi="Arial" w:cs="Arial"/>
          <w:b/>
          <w:sz w:val="22"/>
          <w:szCs w:val="22"/>
          <w:lang w:val="en-US" w:eastAsia="ja-JP"/>
        </w:rPr>
        <w:t xml:space="preserve">D.1 Introduction </w:t>
      </w:r>
    </w:p>
    <w:p w14:paraId="0010943F" w14:textId="561182DD" w:rsidR="00DC584A" w:rsidRDefault="00DC584A" w:rsidP="00DC584A">
      <w:pPr>
        <w:pStyle w:val="TableNote-H58"/>
        <w:jc w:val="left"/>
        <w:rPr>
          <w:rFonts w:ascii="Arial" w:hAnsi="Arial" w:cs="Arial"/>
          <w:sz w:val="22"/>
          <w:szCs w:val="22"/>
          <w:lang w:val="en-US" w:eastAsia="ja-JP"/>
        </w:rPr>
      </w:pPr>
      <w:r>
        <w:rPr>
          <w:rFonts w:ascii="Arial" w:hAnsi="Arial" w:cs="Arial"/>
          <w:sz w:val="22"/>
          <w:szCs w:val="22"/>
          <w:lang w:val="en-US" w:eastAsia="ja-JP"/>
        </w:rPr>
        <w:t>The manufacturer</w:t>
      </w:r>
      <w:r w:rsidRPr="00DC584A">
        <w:rPr>
          <w:rFonts w:ascii="Arial" w:hAnsi="Arial" w:cs="Arial"/>
          <w:sz w:val="22"/>
          <w:szCs w:val="22"/>
          <w:lang w:val="en-US" w:eastAsia="ja-JP"/>
        </w:rPr>
        <w:t xml:space="preserve"> believe</w:t>
      </w:r>
      <w:r>
        <w:rPr>
          <w:rFonts w:ascii="Arial" w:hAnsi="Arial" w:cs="Arial"/>
          <w:sz w:val="22"/>
          <w:szCs w:val="22"/>
          <w:lang w:val="en-US" w:eastAsia="ja-JP"/>
        </w:rPr>
        <w:t>s that it has</w:t>
      </w:r>
      <w:r w:rsidRPr="00DC584A">
        <w:rPr>
          <w:rFonts w:ascii="Arial" w:hAnsi="Arial" w:cs="Arial"/>
          <w:sz w:val="22"/>
          <w:szCs w:val="22"/>
          <w:lang w:val="en-US" w:eastAsia="ja-JP"/>
        </w:rPr>
        <w:t xml:space="preserve"> justified why </w:t>
      </w:r>
      <w:r>
        <w:rPr>
          <w:rFonts w:ascii="Arial" w:hAnsi="Arial" w:cs="Arial"/>
          <w:sz w:val="22"/>
          <w:szCs w:val="22"/>
          <w:lang w:val="en-US" w:eastAsia="ja-JP"/>
        </w:rPr>
        <w:t xml:space="preserve">the </w:t>
      </w:r>
      <w:r w:rsidRPr="00DC584A">
        <w:rPr>
          <w:rFonts w:ascii="Arial" w:hAnsi="Arial" w:cs="Arial"/>
          <w:sz w:val="22"/>
          <w:szCs w:val="22"/>
          <w:lang w:val="en-US" w:eastAsia="ja-JP"/>
        </w:rPr>
        <w:t>economics case is based on a comparison with linezolid - we have positioned tedizolid</w:t>
      </w:r>
      <w:r>
        <w:rPr>
          <w:rFonts w:ascii="Arial" w:hAnsi="Arial" w:cs="Arial"/>
          <w:sz w:val="22"/>
          <w:szCs w:val="22"/>
          <w:lang w:val="en-US" w:eastAsia="ja-JP"/>
        </w:rPr>
        <w:t xml:space="preserve"> phosphate for use</w:t>
      </w:r>
      <w:r w:rsidRPr="00DC584A">
        <w:rPr>
          <w:rFonts w:ascii="Arial" w:hAnsi="Arial" w:cs="Arial"/>
          <w:sz w:val="22"/>
          <w:szCs w:val="22"/>
          <w:lang w:val="en-US" w:eastAsia="ja-JP"/>
        </w:rPr>
        <w:t xml:space="preserve"> after vancomycin</w:t>
      </w:r>
      <w:r>
        <w:rPr>
          <w:rFonts w:ascii="Arial" w:hAnsi="Arial" w:cs="Arial"/>
          <w:sz w:val="22"/>
          <w:szCs w:val="22"/>
          <w:lang w:val="en-US" w:eastAsia="ja-JP"/>
        </w:rPr>
        <w:t xml:space="preserve"> treatment</w:t>
      </w:r>
      <w:r w:rsidRPr="00DC584A">
        <w:rPr>
          <w:rFonts w:ascii="Arial" w:hAnsi="Arial" w:cs="Arial"/>
          <w:sz w:val="22"/>
          <w:szCs w:val="22"/>
          <w:lang w:val="en-US" w:eastAsia="ja-JP"/>
        </w:rPr>
        <w:t xml:space="preserve">, </w:t>
      </w:r>
      <w:r>
        <w:rPr>
          <w:rFonts w:ascii="Arial" w:hAnsi="Arial" w:cs="Arial"/>
          <w:sz w:val="22"/>
          <w:szCs w:val="22"/>
          <w:lang w:val="en-US" w:eastAsia="ja-JP"/>
        </w:rPr>
        <w:t xml:space="preserve">which is where linezolid is currently used in NHS Scotland and elsewhere, and </w:t>
      </w:r>
      <w:r w:rsidRPr="00DC584A">
        <w:rPr>
          <w:rFonts w:ascii="Arial" w:hAnsi="Arial" w:cs="Arial"/>
          <w:sz w:val="22"/>
          <w:szCs w:val="22"/>
          <w:lang w:val="en-US" w:eastAsia="ja-JP"/>
        </w:rPr>
        <w:t>we have direct compar</w:t>
      </w:r>
      <w:r>
        <w:rPr>
          <w:rFonts w:ascii="Arial" w:hAnsi="Arial" w:cs="Arial"/>
          <w:sz w:val="22"/>
          <w:szCs w:val="22"/>
          <w:lang w:val="en-US" w:eastAsia="ja-JP"/>
        </w:rPr>
        <w:t>ative</w:t>
      </w:r>
      <w:r w:rsidRPr="00DC584A">
        <w:rPr>
          <w:rFonts w:ascii="Arial" w:hAnsi="Arial" w:cs="Arial"/>
          <w:sz w:val="22"/>
          <w:szCs w:val="22"/>
          <w:lang w:val="en-US" w:eastAsia="ja-JP"/>
        </w:rPr>
        <w:t xml:space="preserve"> evidence against linezolid</w:t>
      </w:r>
      <w:r>
        <w:rPr>
          <w:rFonts w:ascii="Arial" w:hAnsi="Arial" w:cs="Arial"/>
          <w:sz w:val="22"/>
          <w:szCs w:val="22"/>
          <w:lang w:val="en-US" w:eastAsia="ja-JP"/>
        </w:rPr>
        <w:t xml:space="preserve"> from the Phase 3 clinical studies. M</w:t>
      </w:r>
      <w:r w:rsidRPr="00DC584A">
        <w:rPr>
          <w:rFonts w:ascii="Arial" w:hAnsi="Arial" w:cs="Arial"/>
          <w:sz w:val="22"/>
          <w:szCs w:val="22"/>
          <w:lang w:val="en-US" w:eastAsia="ja-JP"/>
        </w:rPr>
        <w:t>ost important</w:t>
      </w:r>
      <w:r>
        <w:rPr>
          <w:rFonts w:ascii="Arial" w:hAnsi="Arial" w:cs="Arial"/>
          <w:sz w:val="22"/>
          <w:szCs w:val="22"/>
          <w:lang w:val="en-US" w:eastAsia="ja-JP"/>
        </w:rPr>
        <w:t xml:space="preserve">ly, </w:t>
      </w:r>
      <w:r w:rsidRPr="00DC584A">
        <w:rPr>
          <w:rFonts w:ascii="Arial" w:hAnsi="Arial" w:cs="Arial"/>
          <w:sz w:val="22"/>
          <w:szCs w:val="22"/>
          <w:lang w:val="en-US" w:eastAsia="ja-JP"/>
        </w:rPr>
        <w:t xml:space="preserve">the prescribers in Scotland consulted </w:t>
      </w:r>
      <w:r>
        <w:rPr>
          <w:rFonts w:ascii="Arial" w:hAnsi="Arial" w:cs="Arial"/>
          <w:sz w:val="22"/>
          <w:szCs w:val="22"/>
          <w:lang w:val="en-US" w:eastAsia="ja-JP"/>
        </w:rPr>
        <w:t>by the manufacturer confirmed that</w:t>
      </w:r>
      <w:r w:rsidRPr="00DC584A">
        <w:rPr>
          <w:rFonts w:ascii="Arial" w:hAnsi="Arial" w:cs="Arial"/>
          <w:sz w:val="22"/>
          <w:szCs w:val="22"/>
          <w:lang w:val="en-US" w:eastAsia="ja-JP"/>
        </w:rPr>
        <w:t xml:space="preserve"> this was an appropriate comparison.  </w:t>
      </w:r>
    </w:p>
    <w:p w14:paraId="2E51C06F" w14:textId="77777777" w:rsidR="00F610BA" w:rsidRDefault="00DC584A" w:rsidP="00DC584A">
      <w:pPr>
        <w:pStyle w:val="TableNote-H58"/>
        <w:jc w:val="left"/>
        <w:rPr>
          <w:rFonts w:ascii="Arial" w:hAnsi="Arial" w:cs="Arial"/>
          <w:sz w:val="22"/>
          <w:szCs w:val="22"/>
          <w:lang w:val="en-US" w:eastAsia="ja-JP"/>
        </w:rPr>
      </w:pPr>
      <w:r w:rsidRPr="00DC584A">
        <w:rPr>
          <w:rFonts w:ascii="Arial" w:hAnsi="Arial" w:cs="Arial"/>
          <w:sz w:val="22"/>
          <w:szCs w:val="22"/>
          <w:lang w:val="en-US" w:eastAsia="ja-JP"/>
        </w:rPr>
        <w:t xml:space="preserve">If </w:t>
      </w:r>
      <w:r>
        <w:rPr>
          <w:rFonts w:ascii="Arial" w:hAnsi="Arial" w:cs="Arial"/>
          <w:sz w:val="22"/>
          <w:szCs w:val="22"/>
          <w:lang w:val="en-US" w:eastAsia="ja-JP"/>
        </w:rPr>
        <w:t>the SMC wants</w:t>
      </w:r>
      <w:r w:rsidRPr="00DC584A">
        <w:rPr>
          <w:rFonts w:ascii="Arial" w:hAnsi="Arial" w:cs="Arial"/>
          <w:sz w:val="22"/>
          <w:szCs w:val="22"/>
          <w:lang w:val="en-US" w:eastAsia="ja-JP"/>
        </w:rPr>
        <w:t xml:space="preserve"> to see a comparison </w:t>
      </w:r>
      <w:r>
        <w:rPr>
          <w:rFonts w:ascii="Arial" w:hAnsi="Arial" w:cs="Arial"/>
          <w:sz w:val="22"/>
          <w:szCs w:val="22"/>
          <w:lang w:val="en-US" w:eastAsia="ja-JP"/>
        </w:rPr>
        <w:t>between tedizolid phosphate and any other</w:t>
      </w:r>
      <w:r w:rsidRPr="00DC584A">
        <w:rPr>
          <w:rFonts w:ascii="Arial" w:hAnsi="Arial" w:cs="Arial"/>
          <w:sz w:val="22"/>
          <w:szCs w:val="22"/>
          <w:lang w:val="en-US" w:eastAsia="ja-JP"/>
        </w:rPr>
        <w:t xml:space="preserve"> medicine</w:t>
      </w:r>
      <w:r>
        <w:rPr>
          <w:rFonts w:ascii="Arial" w:hAnsi="Arial" w:cs="Arial"/>
          <w:sz w:val="22"/>
          <w:szCs w:val="22"/>
          <w:lang w:val="en-US" w:eastAsia="ja-JP"/>
        </w:rPr>
        <w:t xml:space="preserve">, </w:t>
      </w:r>
      <w:r w:rsidRPr="00DC584A">
        <w:rPr>
          <w:rFonts w:ascii="Arial" w:hAnsi="Arial" w:cs="Arial"/>
          <w:sz w:val="22"/>
          <w:szCs w:val="22"/>
          <w:lang w:val="en-US" w:eastAsia="ja-JP"/>
        </w:rPr>
        <w:t xml:space="preserve">we would </w:t>
      </w:r>
      <w:r>
        <w:rPr>
          <w:rFonts w:ascii="Arial" w:hAnsi="Arial" w:cs="Arial"/>
          <w:sz w:val="22"/>
          <w:szCs w:val="22"/>
          <w:lang w:val="en-US" w:eastAsia="ja-JP"/>
        </w:rPr>
        <w:t xml:space="preserve">want to </w:t>
      </w:r>
      <w:r w:rsidRPr="00DC584A">
        <w:rPr>
          <w:rFonts w:ascii="Arial" w:hAnsi="Arial" w:cs="Arial"/>
          <w:sz w:val="22"/>
          <w:szCs w:val="22"/>
          <w:lang w:val="en-US" w:eastAsia="ja-JP"/>
        </w:rPr>
        <w:t>understand the SMC's rationale</w:t>
      </w:r>
      <w:r>
        <w:rPr>
          <w:rFonts w:ascii="Arial" w:hAnsi="Arial" w:cs="Arial"/>
          <w:sz w:val="22"/>
          <w:szCs w:val="22"/>
          <w:lang w:val="en-US" w:eastAsia="ja-JP"/>
        </w:rPr>
        <w:t xml:space="preserve"> for that</w:t>
      </w:r>
      <w:r w:rsidRPr="00DC584A">
        <w:rPr>
          <w:rFonts w:ascii="Arial" w:hAnsi="Arial" w:cs="Arial"/>
          <w:sz w:val="22"/>
          <w:szCs w:val="22"/>
          <w:lang w:val="en-US" w:eastAsia="ja-JP"/>
        </w:rPr>
        <w:t xml:space="preserve">, </w:t>
      </w:r>
      <w:r>
        <w:rPr>
          <w:rFonts w:ascii="Arial" w:hAnsi="Arial" w:cs="Arial"/>
          <w:sz w:val="22"/>
          <w:szCs w:val="22"/>
          <w:lang w:val="en-US" w:eastAsia="ja-JP"/>
        </w:rPr>
        <w:t>as</w:t>
      </w:r>
      <w:r w:rsidRPr="00DC584A">
        <w:rPr>
          <w:rFonts w:ascii="Arial" w:hAnsi="Arial" w:cs="Arial"/>
          <w:sz w:val="22"/>
          <w:szCs w:val="22"/>
          <w:lang w:val="en-US" w:eastAsia="ja-JP"/>
        </w:rPr>
        <w:t xml:space="preserve"> the basis </w:t>
      </w:r>
      <w:r>
        <w:rPr>
          <w:rFonts w:ascii="Arial" w:hAnsi="Arial" w:cs="Arial"/>
          <w:sz w:val="22"/>
          <w:szCs w:val="22"/>
          <w:lang w:val="en-US" w:eastAsia="ja-JP"/>
        </w:rPr>
        <w:t>of the manufacturer’s</w:t>
      </w:r>
      <w:r w:rsidRPr="00DC584A">
        <w:rPr>
          <w:rFonts w:ascii="Arial" w:hAnsi="Arial" w:cs="Arial"/>
          <w:sz w:val="22"/>
          <w:szCs w:val="22"/>
          <w:lang w:val="en-US" w:eastAsia="ja-JP"/>
        </w:rPr>
        <w:t xml:space="preserve"> reply would be an indirect comparison</w:t>
      </w:r>
      <w:r>
        <w:rPr>
          <w:rFonts w:ascii="Arial" w:hAnsi="Arial" w:cs="Arial"/>
          <w:sz w:val="22"/>
          <w:szCs w:val="22"/>
          <w:lang w:val="en-US" w:eastAsia="ja-JP"/>
        </w:rPr>
        <w:t xml:space="preserve"> only</w:t>
      </w:r>
      <w:r w:rsidRPr="00DC584A">
        <w:rPr>
          <w:rFonts w:ascii="Arial" w:hAnsi="Arial" w:cs="Arial"/>
          <w:sz w:val="22"/>
          <w:szCs w:val="22"/>
          <w:lang w:val="en-US" w:eastAsia="ja-JP"/>
        </w:rPr>
        <w:t>.  We hav</w:t>
      </w:r>
      <w:r>
        <w:rPr>
          <w:rFonts w:ascii="Arial" w:hAnsi="Arial" w:cs="Arial"/>
          <w:sz w:val="22"/>
          <w:szCs w:val="22"/>
          <w:lang w:val="en-US" w:eastAsia="ja-JP"/>
        </w:rPr>
        <w:t xml:space="preserve">e, therefore, </w:t>
      </w:r>
      <w:r w:rsidRPr="00DC584A">
        <w:rPr>
          <w:rFonts w:ascii="Arial" w:hAnsi="Arial" w:cs="Arial"/>
          <w:sz w:val="22"/>
          <w:szCs w:val="22"/>
          <w:lang w:val="en-US" w:eastAsia="ja-JP"/>
        </w:rPr>
        <w:t xml:space="preserve">included </w:t>
      </w:r>
      <w:r>
        <w:rPr>
          <w:rFonts w:ascii="Arial" w:hAnsi="Arial" w:cs="Arial"/>
          <w:sz w:val="22"/>
          <w:szCs w:val="22"/>
          <w:lang w:val="en-US" w:eastAsia="ja-JP"/>
        </w:rPr>
        <w:t>details of this comparison</w:t>
      </w:r>
      <w:r w:rsidRPr="00DC584A">
        <w:rPr>
          <w:rFonts w:ascii="Arial" w:hAnsi="Arial" w:cs="Arial"/>
          <w:sz w:val="22"/>
          <w:szCs w:val="22"/>
          <w:lang w:val="en-US" w:eastAsia="ja-JP"/>
        </w:rPr>
        <w:t xml:space="preserve"> in this appendix </w:t>
      </w:r>
      <w:r>
        <w:rPr>
          <w:rFonts w:ascii="Arial" w:hAnsi="Arial" w:cs="Arial"/>
          <w:sz w:val="22"/>
          <w:szCs w:val="22"/>
          <w:lang w:val="en-US" w:eastAsia="ja-JP"/>
        </w:rPr>
        <w:t xml:space="preserve">solely </w:t>
      </w:r>
      <w:r w:rsidRPr="00DC584A">
        <w:rPr>
          <w:rFonts w:ascii="Arial" w:hAnsi="Arial" w:cs="Arial"/>
          <w:sz w:val="22"/>
          <w:szCs w:val="22"/>
          <w:lang w:val="en-US" w:eastAsia="ja-JP"/>
        </w:rPr>
        <w:t>for that purpose. </w:t>
      </w:r>
      <w:r w:rsidR="00F610BA" w:rsidRPr="00DC584A">
        <w:rPr>
          <w:rFonts w:ascii="Arial" w:hAnsi="Arial" w:cs="Arial"/>
          <w:sz w:val="22"/>
          <w:szCs w:val="22"/>
          <w:lang w:val="en-US" w:eastAsia="ja-JP"/>
        </w:rPr>
        <w:t xml:space="preserve">It is not part of </w:t>
      </w:r>
      <w:r w:rsidR="00F610BA">
        <w:rPr>
          <w:rFonts w:ascii="Arial" w:hAnsi="Arial" w:cs="Arial"/>
          <w:sz w:val="22"/>
          <w:szCs w:val="22"/>
          <w:lang w:val="en-US" w:eastAsia="ja-JP"/>
        </w:rPr>
        <w:t>the manufacturer’s</w:t>
      </w:r>
      <w:r w:rsidR="00F610BA" w:rsidRPr="00DC584A">
        <w:rPr>
          <w:rFonts w:ascii="Arial" w:hAnsi="Arial" w:cs="Arial"/>
          <w:sz w:val="22"/>
          <w:szCs w:val="22"/>
          <w:lang w:val="en-US" w:eastAsia="ja-JP"/>
        </w:rPr>
        <w:t xml:space="preserve"> base case and</w:t>
      </w:r>
      <w:r w:rsidR="00F610BA">
        <w:rPr>
          <w:rFonts w:ascii="Arial" w:hAnsi="Arial" w:cs="Arial"/>
          <w:sz w:val="22"/>
          <w:szCs w:val="22"/>
          <w:lang w:val="en-US" w:eastAsia="ja-JP"/>
        </w:rPr>
        <w:t xml:space="preserve"> so,</w:t>
      </w:r>
      <w:r w:rsidR="00F610BA" w:rsidRPr="00DC584A">
        <w:rPr>
          <w:rFonts w:ascii="Arial" w:hAnsi="Arial" w:cs="Arial"/>
          <w:sz w:val="22"/>
          <w:szCs w:val="22"/>
          <w:lang w:val="en-US" w:eastAsia="ja-JP"/>
        </w:rPr>
        <w:t xml:space="preserve"> assuming </w:t>
      </w:r>
      <w:r w:rsidR="00F610BA">
        <w:rPr>
          <w:rFonts w:ascii="Arial" w:hAnsi="Arial" w:cs="Arial"/>
          <w:sz w:val="22"/>
          <w:szCs w:val="22"/>
          <w:lang w:val="en-US" w:eastAsia="ja-JP"/>
        </w:rPr>
        <w:t xml:space="preserve">the </w:t>
      </w:r>
      <w:r w:rsidR="00F610BA" w:rsidRPr="00DC584A">
        <w:rPr>
          <w:rFonts w:ascii="Arial" w:hAnsi="Arial" w:cs="Arial"/>
          <w:sz w:val="22"/>
          <w:szCs w:val="22"/>
          <w:lang w:val="en-US" w:eastAsia="ja-JP"/>
        </w:rPr>
        <w:t xml:space="preserve">SMC is content with the linezolid comparison, </w:t>
      </w:r>
      <w:r w:rsidR="00F610BA">
        <w:rPr>
          <w:rFonts w:ascii="Arial" w:hAnsi="Arial" w:cs="Arial"/>
          <w:sz w:val="22"/>
          <w:szCs w:val="22"/>
          <w:lang w:val="en-US" w:eastAsia="ja-JP"/>
        </w:rPr>
        <w:t>the manufacturer would not expect it to</w:t>
      </w:r>
      <w:r w:rsidR="00F610BA" w:rsidRPr="00DC584A">
        <w:rPr>
          <w:rFonts w:ascii="Arial" w:hAnsi="Arial" w:cs="Arial"/>
          <w:sz w:val="22"/>
          <w:szCs w:val="22"/>
          <w:lang w:val="en-US" w:eastAsia="ja-JP"/>
        </w:rPr>
        <w:t xml:space="preserve"> appear in </w:t>
      </w:r>
      <w:r w:rsidR="00F610BA">
        <w:rPr>
          <w:rFonts w:ascii="Arial" w:hAnsi="Arial" w:cs="Arial"/>
          <w:sz w:val="22"/>
          <w:szCs w:val="22"/>
          <w:lang w:val="en-US" w:eastAsia="ja-JP"/>
        </w:rPr>
        <w:t xml:space="preserve">the </w:t>
      </w:r>
      <w:r w:rsidR="00F610BA" w:rsidRPr="00DC584A">
        <w:rPr>
          <w:rFonts w:ascii="Arial" w:hAnsi="Arial" w:cs="Arial"/>
          <w:sz w:val="22"/>
          <w:szCs w:val="22"/>
          <w:lang w:val="en-US" w:eastAsia="ja-JP"/>
        </w:rPr>
        <w:t>SMC</w:t>
      </w:r>
      <w:r w:rsidR="00F610BA">
        <w:rPr>
          <w:rFonts w:ascii="Arial" w:hAnsi="Arial" w:cs="Arial"/>
          <w:sz w:val="22"/>
          <w:szCs w:val="22"/>
          <w:lang w:val="en-US" w:eastAsia="ja-JP"/>
        </w:rPr>
        <w:t>’s final advice.</w:t>
      </w:r>
    </w:p>
    <w:p w14:paraId="58C52D5F" w14:textId="1852CBB2" w:rsidR="00DC584A" w:rsidRPr="00DC584A" w:rsidRDefault="00F610BA" w:rsidP="00DC584A">
      <w:pPr>
        <w:pStyle w:val="TableNote-H58"/>
        <w:jc w:val="left"/>
        <w:rPr>
          <w:rFonts w:ascii="Arial" w:hAnsi="Arial" w:cs="Arial"/>
          <w:b/>
          <w:sz w:val="22"/>
          <w:szCs w:val="22"/>
          <w:lang w:val="en-US"/>
        </w:rPr>
      </w:pPr>
      <w:r w:rsidRPr="00DC2F0F">
        <w:rPr>
          <w:rFonts w:ascii="Arial" w:hAnsi="Arial" w:cs="Arial"/>
          <w:sz w:val="22"/>
          <w:szCs w:val="22"/>
          <w:u w:val="single"/>
          <w:lang w:val="en-US" w:eastAsia="ja-JP"/>
        </w:rPr>
        <w:t>A copy of the report commissioned by the manufacturer is also included in the reference pack on a confidential basis (YHEC, 2014</w:t>
      </w:r>
      <w:r w:rsidR="00DC2F0F">
        <w:rPr>
          <w:rFonts w:ascii="Arial" w:hAnsi="Arial" w:cs="Arial"/>
          <w:sz w:val="22"/>
          <w:szCs w:val="22"/>
          <w:lang w:val="en-US" w:eastAsia="ja-JP"/>
        </w:rPr>
        <w:t>)</w:t>
      </w:r>
      <w:r w:rsidR="004D6F82">
        <w:rPr>
          <w:rFonts w:ascii="Arial" w:hAnsi="Arial" w:cs="Arial"/>
          <w:sz w:val="22"/>
          <w:szCs w:val="22"/>
          <w:lang w:val="en-US" w:eastAsia="ja-JP"/>
        </w:rPr>
        <w:t>(</w:t>
      </w:r>
      <w:r w:rsidR="004D6F82">
        <w:rPr>
          <w:rFonts w:ascii="Arial" w:hAnsi="Arial" w:cs="Arial"/>
          <w:sz w:val="22"/>
          <w:szCs w:val="22"/>
          <w:lang w:val="en-US" w:eastAsia="ja-JP"/>
        </w:rPr>
        <w:fldChar w:fldCharType="begin"/>
      </w:r>
      <w:r w:rsidR="004D6F82">
        <w:rPr>
          <w:rFonts w:ascii="Arial" w:hAnsi="Arial" w:cs="Arial"/>
          <w:sz w:val="22"/>
          <w:szCs w:val="22"/>
          <w:lang w:val="en-US" w:eastAsia="ja-JP"/>
        </w:rPr>
        <w:instrText xml:space="preserve"> REF _Ref284177052 \r \h </w:instrText>
      </w:r>
      <w:r w:rsidR="004D6F82">
        <w:rPr>
          <w:rFonts w:ascii="Arial" w:hAnsi="Arial" w:cs="Arial"/>
          <w:sz w:val="22"/>
          <w:szCs w:val="22"/>
          <w:lang w:val="en-US" w:eastAsia="ja-JP"/>
        </w:rPr>
      </w:r>
      <w:r w:rsidR="004D6F82">
        <w:rPr>
          <w:rFonts w:ascii="Arial" w:hAnsi="Arial" w:cs="Arial"/>
          <w:sz w:val="22"/>
          <w:szCs w:val="22"/>
          <w:lang w:val="en-US" w:eastAsia="ja-JP"/>
        </w:rPr>
        <w:fldChar w:fldCharType="separate"/>
      </w:r>
      <w:r w:rsidR="00151A1C">
        <w:rPr>
          <w:rFonts w:ascii="Arial" w:hAnsi="Arial" w:cs="Arial"/>
          <w:sz w:val="22"/>
          <w:szCs w:val="22"/>
          <w:lang w:val="en-US" w:eastAsia="ja-JP"/>
        </w:rPr>
        <w:t>91</w:t>
      </w:r>
      <w:r w:rsidR="004D6F82">
        <w:rPr>
          <w:rFonts w:ascii="Arial" w:hAnsi="Arial" w:cs="Arial"/>
          <w:sz w:val="22"/>
          <w:szCs w:val="22"/>
          <w:lang w:val="en-US" w:eastAsia="ja-JP"/>
        </w:rPr>
        <w:fldChar w:fldCharType="end"/>
      </w:r>
      <w:r w:rsidR="004D6F82">
        <w:rPr>
          <w:rFonts w:ascii="Arial" w:hAnsi="Arial" w:cs="Arial"/>
          <w:sz w:val="22"/>
          <w:szCs w:val="22"/>
          <w:lang w:val="en-US" w:eastAsia="ja-JP"/>
        </w:rPr>
        <w:t>)</w:t>
      </w:r>
      <w:r w:rsidR="00DC584A">
        <w:rPr>
          <w:rFonts w:ascii="Arial" w:hAnsi="Arial" w:cs="Arial"/>
          <w:sz w:val="22"/>
          <w:szCs w:val="22"/>
          <w:lang w:val="en-US" w:eastAsia="ja-JP"/>
        </w:rPr>
        <w:t>.</w:t>
      </w:r>
    </w:p>
    <w:p w14:paraId="543EA35F" w14:textId="77777777" w:rsidR="0049441E" w:rsidRDefault="0049441E" w:rsidP="0049441E">
      <w:pPr>
        <w:tabs>
          <w:tab w:val="num" w:pos="0"/>
        </w:tabs>
        <w:rPr>
          <w:rFonts w:cs="Arial"/>
          <w:sz w:val="22"/>
          <w:szCs w:val="22"/>
        </w:rPr>
      </w:pPr>
    </w:p>
    <w:p w14:paraId="78D63B90" w14:textId="4DB7F700" w:rsidR="0049441E" w:rsidRDefault="0049441E" w:rsidP="0049441E">
      <w:pPr>
        <w:pStyle w:val="ReportText"/>
        <w:spacing w:line="240" w:lineRule="auto"/>
        <w:rPr>
          <w:rFonts w:cs="Arial"/>
          <w:b/>
          <w:szCs w:val="22"/>
        </w:rPr>
      </w:pPr>
      <w:r>
        <w:rPr>
          <w:rFonts w:cs="Arial"/>
          <w:b/>
          <w:szCs w:val="22"/>
        </w:rPr>
        <w:t>D.2 Overview and summary of results</w:t>
      </w:r>
    </w:p>
    <w:p w14:paraId="258BA639" w14:textId="77777777" w:rsidR="0049441E" w:rsidRPr="0049441E" w:rsidRDefault="0049441E" w:rsidP="0049441E">
      <w:pPr>
        <w:pStyle w:val="ReportText"/>
        <w:spacing w:line="240" w:lineRule="auto"/>
        <w:rPr>
          <w:rFonts w:cs="Arial"/>
          <w:b/>
          <w:szCs w:val="22"/>
        </w:rPr>
      </w:pPr>
    </w:p>
    <w:p w14:paraId="6C449A5D" w14:textId="77777777" w:rsidR="0049441E" w:rsidRPr="00F43488" w:rsidRDefault="0049441E" w:rsidP="0049441E">
      <w:pPr>
        <w:pStyle w:val="ReportText"/>
        <w:spacing w:line="240" w:lineRule="auto"/>
        <w:rPr>
          <w:rFonts w:cs="Arial"/>
          <w:szCs w:val="22"/>
        </w:rPr>
      </w:pPr>
      <w:r w:rsidRPr="00F43488">
        <w:rPr>
          <w:rFonts w:cs="Arial"/>
          <w:szCs w:val="22"/>
        </w:rPr>
        <w:t>A review and NMA were conducted to assess the relative efficacy of treatments for MRSA associated ABSSSI.  Three outcomes were analysed:</w:t>
      </w:r>
    </w:p>
    <w:p w14:paraId="1EE2D627" w14:textId="77777777" w:rsidR="0049441E" w:rsidRPr="00F43488" w:rsidRDefault="0049441E" w:rsidP="0049441E">
      <w:pPr>
        <w:pStyle w:val="ReportText"/>
        <w:spacing w:line="240" w:lineRule="auto"/>
        <w:rPr>
          <w:rFonts w:cs="Arial"/>
          <w:szCs w:val="22"/>
        </w:rPr>
      </w:pPr>
    </w:p>
    <w:p w14:paraId="7F3E4D16" w14:textId="77777777" w:rsidR="0049441E" w:rsidRPr="00F43488" w:rsidRDefault="0049441E" w:rsidP="009025E3">
      <w:pPr>
        <w:pStyle w:val="ReportText"/>
        <w:numPr>
          <w:ilvl w:val="0"/>
          <w:numId w:val="76"/>
        </w:numPr>
        <w:tabs>
          <w:tab w:val="left" w:pos="851"/>
        </w:tabs>
        <w:spacing w:line="240" w:lineRule="auto"/>
        <w:ind w:left="851"/>
        <w:rPr>
          <w:rFonts w:cs="Arial"/>
          <w:szCs w:val="22"/>
        </w:rPr>
      </w:pPr>
      <w:r w:rsidRPr="00F43488">
        <w:rPr>
          <w:rFonts w:cs="Arial"/>
          <w:szCs w:val="22"/>
        </w:rPr>
        <w:t>Clinical response at the end of treatment;</w:t>
      </w:r>
    </w:p>
    <w:p w14:paraId="14204AAB" w14:textId="77777777" w:rsidR="0049441E" w:rsidRPr="00F43488" w:rsidRDefault="0049441E" w:rsidP="009025E3">
      <w:pPr>
        <w:pStyle w:val="ReportText"/>
        <w:numPr>
          <w:ilvl w:val="0"/>
          <w:numId w:val="76"/>
        </w:numPr>
        <w:tabs>
          <w:tab w:val="left" w:pos="851"/>
        </w:tabs>
        <w:spacing w:line="240" w:lineRule="auto"/>
        <w:ind w:left="851"/>
        <w:rPr>
          <w:rFonts w:cs="Arial"/>
          <w:szCs w:val="22"/>
        </w:rPr>
      </w:pPr>
      <w:r w:rsidRPr="00F43488">
        <w:rPr>
          <w:rFonts w:cs="Arial"/>
          <w:szCs w:val="22"/>
        </w:rPr>
        <w:t>Clinical response at the post treatment evaluation or test of cure;</w:t>
      </w:r>
    </w:p>
    <w:p w14:paraId="35DD3765" w14:textId="77777777" w:rsidR="0049441E" w:rsidRPr="00F43488" w:rsidRDefault="0049441E" w:rsidP="009025E3">
      <w:pPr>
        <w:pStyle w:val="ReportText"/>
        <w:numPr>
          <w:ilvl w:val="0"/>
          <w:numId w:val="76"/>
        </w:numPr>
        <w:tabs>
          <w:tab w:val="left" w:pos="851"/>
        </w:tabs>
        <w:spacing w:line="240" w:lineRule="auto"/>
        <w:ind w:left="851"/>
        <w:rPr>
          <w:rFonts w:cs="Arial"/>
          <w:szCs w:val="22"/>
        </w:rPr>
      </w:pPr>
      <w:r w:rsidRPr="00F43488">
        <w:rPr>
          <w:rFonts w:cs="Arial"/>
          <w:szCs w:val="22"/>
        </w:rPr>
        <w:t xml:space="preserve">Discontinuations due to adverse events. </w:t>
      </w:r>
    </w:p>
    <w:p w14:paraId="02A2FD27" w14:textId="77777777" w:rsidR="0049441E" w:rsidRPr="00F43488" w:rsidRDefault="0049441E" w:rsidP="0049441E">
      <w:pPr>
        <w:pStyle w:val="ReportText"/>
        <w:spacing w:line="240" w:lineRule="auto"/>
        <w:rPr>
          <w:rFonts w:cs="Arial"/>
          <w:szCs w:val="22"/>
        </w:rPr>
      </w:pPr>
    </w:p>
    <w:p w14:paraId="5DA15475" w14:textId="77777777" w:rsidR="0049441E" w:rsidRPr="00245356" w:rsidRDefault="0049441E" w:rsidP="0049441E">
      <w:pPr>
        <w:pStyle w:val="ReportText"/>
        <w:spacing w:line="240" w:lineRule="auto"/>
        <w:jc w:val="left"/>
        <w:rPr>
          <w:rFonts w:cs="Arial"/>
          <w:szCs w:val="22"/>
        </w:rPr>
      </w:pPr>
      <w:r w:rsidRPr="00F43488">
        <w:rPr>
          <w:rFonts w:cs="Arial"/>
          <w:szCs w:val="22"/>
        </w:rPr>
        <w:t xml:space="preserve">This review and NMA were informed by extensive searches conducted in a range of databases and searches of the reference lists of relevant reviews to ensure that as many </w:t>
      </w:r>
      <w:r w:rsidRPr="00245356">
        <w:rPr>
          <w:rFonts w:cs="Arial"/>
          <w:szCs w:val="22"/>
        </w:rPr>
        <w:t xml:space="preserve">relevant studies as possible were identified. No limits were placed on date or language </w:t>
      </w:r>
      <w:r w:rsidRPr="00245356">
        <w:rPr>
          <w:rFonts w:cs="Arial"/>
          <w:szCs w:val="22"/>
        </w:rPr>
        <w:lastRenderedPageBreak/>
        <w:t>for the search but studies published in languages other than English were not reviewed in full.  The impact of these and other potential publication biases were not explored in this review.</w:t>
      </w:r>
    </w:p>
    <w:p w14:paraId="1131E778" w14:textId="77777777" w:rsidR="0049441E" w:rsidRPr="00245356" w:rsidRDefault="0049441E" w:rsidP="0049441E">
      <w:pPr>
        <w:pStyle w:val="ReportText"/>
        <w:spacing w:line="240" w:lineRule="auto"/>
        <w:jc w:val="left"/>
        <w:rPr>
          <w:szCs w:val="22"/>
        </w:rPr>
      </w:pPr>
    </w:p>
    <w:p w14:paraId="4289ADB3" w14:textId="77777777" w:rsidR="0049441E" w:rsidRPr="00245356" w:rsidRDefault="0049441E" w:rsidP="0049441E">
      <w:pPr>
        <w:pStyle w:val="ReportText"/>
        <w:spacing w:line="240" w:lineRule="auto"/>
        <w:jc w:val="left"/>
        <w:rPr>
          <w:rFonts w:cs="Arial"/>
          <w:szCs w:val="22"/>
        </w:rPr>
      </w:pPr>
      <w:r w:rsidRPr="00245356">
        <w:rPr>
          <w:rFonts w:cs="Arial"/>
          <w:szCs w:val="22"/>
        </w:rPr>
        <w:t>The results of the NMA were as follows:</w:t>
      </w:r>
    </w:p>
    <w:p w14:paraId="36D99454" w14:textId="77777777" w:rsidR="0049441E" w:rsidRPr="00245356" w:rsidRDefault="0049441E" w:rsidP="0049441E">
      <w:pPr>
        <w:pStyle w:val="Heading3"/>
        <w:rPr>
          <w:rFonts w:ascii="Arial" w:hAnsi="Arial" w:cs="Arial"/>
          <w:color w:val="auto"/>
          <w:sz w:val="22"/>
          <w:szCs w:val="22"/>
        </w:rPr>
      </w:pPr>
      <w:r w:rsidRPr="00245356">
        <w:rPr>
          <w:rFonts w:ascii="Arial" w:hAnsi="Arial" w:cs="Arial"/>
          <w:color w:val="auto"/>
          <w:sz w:val="22"/>
          <w:szCs w:val="22"/>
        </w:rPr>
        <w:t>(i) Clinical Response at the End of Treatment</w:t>
      </w:r>
    </w:p>
    <w:p w14:paraId="541C2E5C" w14:textId="77777777" w:rsidR="0049441E" w:rsidRPr="00245356" w:rsidRDefault="0049441E" w:rsidP="0049441E">
      <w:pPr>
        <w:pStyle w:val="ReportText"/>
        <w:spacing w:line="240" w:lineRule="auto"/>
        <w:jc w:val="left"/>
        <w:rPr>
          <w:rFonts w:cs="Arial"/>
          <w:szCs w:val="22"/>
        </w:rPr>
      </w:pPr>
    </w:p>
    <w:p w14:paraId="582B6313" w14:textId="77777777" w:rsidR="0049441E" w:rsidRPr="00245356" w:rsidRDefault="0049441E" w:rsidP="0049441E">
      <w:pPr>
        <w:pStyle w:val="ReportText"/>
        <w:spacing w:line="240" w:lineRule="auto"/>
        <w:jc w:val="left"/>
        <w:rPr>
          <w:rFonts w:cs="Arial"/>
          <w:szCs w:val="22"/>
        </w:rPr>
      </w:pPr>
      <w:r w:rsidRPr="00245356">
        <w:rPr>
          <w:rFonts w:cs="Arial"/>
          <w:szCs w:val="22"/>
        </w:rPr>
        <w:t>In the all trials network, both the fixed and random effects models, the estimated odds ratio for the tedizolid versus vancomycin and linezolid versus vancomycin comparisons was found to be around 2 suggesting that the odds of a clinical response at the end of treatment are twice as high for both tedizolid and linezolid when compared to vancomycin.  There was no evidence of a difference between any of the other comparisons assessed.</w:t>
      </w:r>
    </w:p>
    <w:p w14:paraId="1384C013" w14:textId="77777777" w:rsidR="0049441E" w:rsidRPr="00245356" w:rsidRDefault="0049441E" w:rsidP="0049441E">
      <w:pPr>
        <w:pStyle w:val="ReportText"/>
        <w:spacing w:line="240" w:lineRule="auto"/>
        <w:jc w:val="left"/>
        <w:rPr>
          <w:rFonts w:cs="Arial"/>
          <w:szCs w:val="22"/>
        </w:rPr>
      </w:pPr>
    </w:p>
    <w:p w14:paraId="66C94927" w14:textId="77777777" w:rsidR="0049441E" w:rsidRPr="00245356" w:rsidRDefault="0049441E" w:rsidP="0049441E">
      <w:pPr>
        <w:pStyle w:val="ReportText"/>
        <w:spacing w:line="240" w:lineRule="auto"/>
        <w:jc w:val="left"/>
        <w:rPr>
          <w:rFonts w:cs="Arial"/>
          <w:szCs w:val="22"/>
        </w:rPr>
      </w:pPr>
      <w:r w:rsidRPr="00245356">
        <w:rPr>
          <w:rFonts w:cs="Arial"/>
          <w:szCs w:val="22"/>
        </w:rPr>
        <w:t>The estimated absolute treatment effects were similar across models and populations.  Ceftaroline had the highest estimated event probability when this comparison was in the network (all trials case) followed by tedizolid and linezolid (fixed effects estimates 0.87, 0.83 and 0.84 for the three treatments respectively).  For the ITT/mITT network, in the absence of ceftaroline, linezolid had the highest estimated event probability followed by tedizolid (0.84 and 0.83 respectively).  In all cases CrI were wide indicating uncertainty in the point estimates.</w:t>
      </w:r>
    </w:p>
    <w:p w14:paraId="53085C78" w14:textId="77777777" w:rsidR="0049441E" w:rsidRPr="00245356" w:rsidRDefault="0049441E" w:rsidP="0049441E">
      <w:pPr>
        <w:pStyle w:val="Heading3"/>
        <w:rPr>
          <w:rFonts w:ascii="Arial" w:hAnsi="Arial" w:cs="Arial"/>
          <w:color w:val="auto"/>
          <w:sz w:val="22"/>
          <w:szCs w:val="22"/>
        </w:rPr>
      </w:pPr>
      <w:r w:rsidRPr="00245356">
        <w:rPr>
          <w:rFonts w:ascii="Arial" w:hAnsi="Arial" w:cs="Arial"/>
          <w:color w:val="auto"/>
          <w:sz w:val="22"/>
          <w:szCs w:val="22"/>
        </w:rPr>
        <w:t>(ii) Clinical Response at the Post Treatment Evaluation or Test of Cure</w:t>
      </w:r>
    </w:p>
    <w:p w14:paraId="02D058BD" w14:textId="77777777" w:rsidR="0049441E" w:rsidRPr="00245356" w:rsidRDefault="0049441E" w:rsidP="0049441E">
      <w:pPr>
        <w:pStyle w:val="ReportText"/>
        <w:spacing w:line="240" w:lineRule="auto"/>
        <w:jc w:val="left"/>
        <w:rPr>
          <w:rFonts w:cs="Arial"/>
          <w:bCs/>
          <w:szCs w:val="22"/>
        </w:rPr>
      </w:pPr>
    </w:p>
    <w:p w14:paraId="0DE908C7" w14:textId="77777777" w:rsidR="0049441E" w:rsidRPr="00245356" w:rsidRDefault="0049441E" w:rsidP="0049441E">
      <w:pPr>
        <w:pStyle w:val="ReportText"/>
        <w:spacing w:line="240" w:lineRule="auto"/>
        <w:jc w:val="left"/>
        <w:rPr>
          <w:rFonts w:cs="Arial"/>
          <w:szCs w:val="22"/>
        </w:rPr>
      </w:pPr>
      <w:r w:rsidRPr="00245356">
        <w:rPr>
          <w:rFonts w:cs="Arial"/>
          <w:szCs w:val="22"/>
        </w:rPr>
        <w:t>Results for three networks, corresponding to different populations, were estimated: all trials, ITT/mITT and MRSA only.</w:t>
      </w:r>
    </w:p>
    <w:p w14:paraId="40028406" w14:textId="77777777" w:rsidR="0049441E" w:rsidRPr="00245356" w:rsidRDefault="0049441E" w:rsidP="0049441E">
      <w:pPr>
        <w:pStyle w:val="ReportText"/>
        <w:spacing w:line="240" w:lineRule="auto"/>
        <w:jc w:val="left"/>
        <w:rPr>
          <w:rFonts w:cs="Arial"/>
          <w:szCs w:val="22"/>
        </w:rPr>
      </w:pPr>
    </w:p>
    <w:p w14:paraId="3B8FC0D5" w14:textId="77777777" w:rsidR="0049441E" w:rsidRPr="00245356" w:rsidRDefault="0049441E" w:rsidP="0049441E">
      <w:pPr>
        <w:rPr>
          <w:rFonts w:cs="Arial"/>
          <w:b/>
          <w:bCs/>
          <w:sz w:val="22"/>
          <w:szCs w:val="22"/>
        </w:rPr>
      </w:pPr>
      <w:r w:rsidRPr="00245356">
        <w:rPr>
          <w:rFonts w:cs="Arial"/>
          <w:sz w:val="22"/>
          <w:szCs w:val="22"/>
          <w:lang w:val="en-US"/>
        </w:rPr>
        <w:t xml:space="preserve">Results of the all trials and ITT/mITT networks were very similar.  </w:t>
      </w:r>
      <w:r w:rsidRPr="00245356">
        <w:rPr>
          <w:rFonts w:cs="Arial"/>
          <w:sz w:val="22"/>
          <w:szCs w:val="22"/>
        </w:rPr>
        <w:t>Only two studies were excluded from the all trials network for the ITT/mITT network and because they were comparatively small studies, the estimates for both the fixed effect and random effects models for the two networks are very similar.</w:t>
      </w:r>
    </w:p>
    <w:p w14:paraId="14E57F60" w14:textId="77777777" w:rsidR="0049441E" w:rsidRPr="00245356" w:rsidRDefault="0049441E" w:rsidP="0049441E">
      <w:pPr>
        <w:pStyle w:val="ReportText"/>
        <w:spacing w:line="240" w:lineRule="auto"/>
        <w:jc w:val="left"/>
        <w:rPr>
          <w:rFonts w:cs="Arial"/>
          <w:szCs w:val="22"/>
          <w:lang w:val="en-US"/>
        </w:rPr>
      </w:pPr>
    </w:p>
    <w:p w14:paraId="4354511A" w14:textId="77777777" w:rsidR="0049441E" w:rsidRPr="00245356" w:rsidRDefault="0049441E" w:rsidP="0049441E">
      <w:pPr>
        <w:pStyle w:val="ReportText"/>
        <w:spacing w:line="240" w:lineRule="auto"/>
        <w:jc w:val="left"/>
        <w:rPr>
          <w:rFonts w:cs="Arial"/>
          <w:szCs w:val="22"/>
        </w:rPr>
      </w:pPr>
      <w:r w:rsidRPr="00245356">
        <w:rPr>
          <w:rFonts w:cs="Arial"/>
          <w:szCs w:val="22"/>
        </w:rPr>
        <w:t xml:space="preserve">Results of both of the fixed effect model in both the all trials and ITT/mITT networks suggest that the odds of a clinical response at the end of treatment are higher for both </w:t>
      </w:r>
      <w:r w:rsidRPr="00245356">
        <w:rPr>
          <w:rFonts w:cs="Arial"/>
          <w:szCs w:val="22"/>
        </w:rPr>
        <w:lastRenderedPageBreak/>
        <w:t>tedizolid and linezolid when compared to vancomycin.  However, there was no agreement between the fixed and random effects models and significant heterogeneity was found for the linezolid vs. vancomycin comparison for all three networks, so conclusions should be drawn with care.  There was no evidence of a difference between any of the other comparisons assessed.</w:t>
      </w:r>
    </w:p>
    <w:p w14:paraId="14B83A60" w14:textId="77777777" w:rsidR="0049441E" w:rsidRPr="00245356" w:rsidRDefault="0049441E" w:rsidP="0049441E">
      <w:pPr>
        <w:pStyle w:val="ReportText"/>
        <w:spacing w:line="240" w:lineRule="auto"/>
        <w:jc w:val="left"/>
        <w:rPr>
          <w:rFonts w:cs="Arial"/>
          <w:szCs w:val="22"/>
        </w:rPr>
      </w:pPr>
    </w:p>
    <w:p w14:paraId="7AA425E0" w14:textId="77777777" w:rsidR="0049441E" w:rsidRPr="00245356" w:rsidRDefault="0049441E" w:rsidP="0049441E">
      <w:pPr>
        <w:pStyle w:val="ReportText"/>
        <w:spacing w:line="240" w:lineRule="auto"/>
        <w:jc w:val="left"/>
        <w:rPr>
          <w:rFonts w:cs="Arial"/>
          <w:szCs w:val="22"/>
        </w:rPr>
      </w:pPr>
      <w:r w:rsidRPr="00245356">
        <w:rPr>
          <w:rFonts w:cs="Arial"/>
          <w:szCs w:val="22"/>
        </w:rPr>
        <w:t>Conclusions on the absence of potential differences between treatments for the MRSA only population should be drawn with care as results for this network have been estimated using only eight studies while estimates for the all trials and ITT/mITT networks were informed by 14 and 12 studies respectively.  There were also fewer patients in the studies that had an MRSA subgroup.</w:t>
      </w:r>
    </w:p>
    <w:p w14:paraId="064DFAA4" w14:textId="77777777" w:rsidR="0049441E" w:rsidRPr="00245356" w:rsidRDefault="0049441E" w:rsidP="0049441E">
      <w:pPr>
        <w:pStyle w:val="ReportText"/>
      </w:pPr>
    </w:p>
    <w:p w14:paraId="78950738" w14:textId="77777777" w:rsidR="0049441E" w:rsidRPr="00245356" w:rsidRDefault="0049441E" w:rsidP="0049441E">
      <w:pPr>
        <w:pStyle w:val="ReportText"/>
        <w:spacing w:line="240" w:lineRule="auto"/>
        <w:jc w:val="left"/>
        <w:rPr>
          <w:rFonts w:cs="Arial"/>
          <w:szCs w:val="22"/>
        </w:rPr>
      </w:pPr>
      <w:r w:rsidRPr="00245356">
        <w:rPr>
          <w:rFonts w:cs="Arial"/>
          <w:szCs w:val="22"/>
        </w:rPr>
        <w:t>The estimated absolute treatment effects were similar across models (although the point estimates were slightly lower for the random effects model) and populations.  Ceftaroline, tedizolid and linezolid had the highest estimated event probability.  In all cases the CrI were very wide, indicating uncertainty in the point estimates.</w:t>
      </w:r>
    </w:p>
    <w:p w14:paraId="0842DE8B" w14:textId="77777777" w:rsidR="0049441E" w:rsidRPr="00245356" w:rsidRDefault="0049441E" w:rsidP="0049441E">
      <w:pPr>
        <w:pStyle w:val="ReportText"/>
        <w:spacing w:line="240" w:lineRule="auto"/>
        <w:jc w:val="left"/>
        <w:rPr>
          <w:rFonts w:cs="Arial"/>
          <w:szCs w:val="22"/>
        </w:rPr>
      </w:pPr>
    </w:p>
    <w:p w14:paraId="08601CE4" w14:textId="77777777" w:rsidR="0049441E" w:rsidRPr="00245356" w:rsidRDefault="0049441E" w:rsidP="0049441E">
      <w:pPr>
        <w:pStyle w:val="ReportText"/>
        <w:spacing w:line="240" w:lineRule="auto"/>
        <w:jc w:val="left"/>
        <w:rPr>
          <w:rFonts w:cs="Arial"/>
          <w:szCs w:val="22"/>
        </w:rPr>
      </w:pPr>
      <w:r w:rsidRPr="00245356">
        <w:rPr>
          <w:rFonts w:cs="Arial"/>
          <w:szCs w:val="22"/>
        </w:rPr>
        <w:t>For both all trials and ITT/mITT networks the ceftaroline treatment had the highest probability of being the best treatment.  However, only Talbot 2007 (a medium sized study) reported results for the ceftaroline treatment and this is reflected in the wide CrI estimated for comparisons involving ceftaroline.</w:t>
      </w:r>
    </w:p>
    <w:p w14:paraId="6A41189D" w14:textId="77777777" w:rsidR="0049441E" w:rsidRPr="00245356" w:rsidRDefault="0049441E" w:rsidP="0049441E">
      <w:pPr>
        <w:pStyle w:val="ReportText"/>
        <w:spacing w:line="240" w:lineRule="auto"/>
        <w:jc w:val="left"/>
        <w:rPr>
          <w:rFonts w:cs="Arial"/>
          <w:szCs w:val="22"/>
        </w:rPr>
      </w:pPr>
    </w:p>
    <w:p w14:paraId="5E5A2B4E" w14:textId="77777777" w:rsidR="0049441E" w:rsidRPr="00245356" w:rsidRDefault="0049441E" w:rsidP="0049441E">
      <w:pPr>
        <w:rPr>
          <w:rFonts w:eastAsia="Times New Roman" w:cs="Arial"/>
          <w:sz w:val="22"/>
          <w:szCs w:val="22"/>
        </w:rPr>
      </w:pPr>
      <w:r w:rsidRPr="00245356">
        <w:rPr>
          <w:rFonts w:cs="Arial"/>
          <w:sz w:val="22"/>
          <w:szCs w:val="22"/>
        </w:rPr>
        <w:t>Tedizolid and linezolid were the treatments with second and third highest probability (respectively) of being the best treatment after ceftaroline.  Talbot 2007 was excluded from the MRSA only network; therefore it was not possible to estimate best treatment probabilities for ceftaroline.  Thus, for the MRSA only population network tedizolid was the treatment with the highest probability of being the best treatment followed by linezolid (0.37 and 0.26 respectively).</w:t>
      </w:r>
    </w:p>
    <w:p w14:paraId="443C3B3C" w14:textId="77777777" w:rsidR="0049441E" w:rsidRPr="00245356" w:rsidRDefault="0049441E" w:rsidP="0049441E">
      <w:pPr>
        <w:pStyle w:val="Heading3"/>
        <w:rPr>
          <w:rFonts w:ascii="Arial" w:hAnsi="Arial" w:cs="Arial"/>
          <w:color w:val="auto"/>
          <w:sz w:val="22"/>
          <w:szCs w:val="22"/>
        </w:rPr>
      </w:pPr>
      <w:r w:rsidRPr="00245356">
        <w:rPr>
          <w:rFonts w:ascii="Arial" w:hAnsi="Arial" w:cs="Arial"/>
          <w:color w:val="auto"/>
          <w:sz w:val="22"/>
          <w:szCs w:val="22"/>
        </w:rPr>
        <w:t>(iii) Discontinuations Due to Adverse Events</w:t>
      </w:r>
    </w:p>
    <w:p w14:paraId="55B935DA" w14:textId="77777777" w:rsidR="0049441E" w:rsidRPr="00245356" w:rsidRDefault="0049441E" w:rsidP="0049441E">
      <w:pPr>
        <w:pStyle w:val="ReportText"/>
        <w:spacing w:line="240" w:lineRule="auto"/>
        <w:jc w:val="left"/>
        <w:rPr>
          <w:rFonts w:cs="Arial"/>
          <w:szCs w:val="22"/>
        </w:rPr>
      </w:pPr>
    </w:p>
    <w:p w14:paraId="3D53C9DB" w14:textId="77777777" w:rsidR="0049441E" w:rsidRPr="00245356" w:rsidRDefault="0049441E" w:rsidP="0049441E">
      <w:pPr>
        <w:pStyle w:val="ReportText"/>
        <w:spacing w:line="240" w:lineRule="auto"/>
        <w:jc w:val="left"/>
        <w:rPr>
          <w:rFonts w:cs="Arial"/>
          <w:bCs/>
          <w:szCs w:val="22"/>
        </w:rPr>
      </w:pPr>
      <w:r w:rsidRPr="00245356">
        <w:rPr>
          <w:rFonts w:cs="Arial"/>
          <w:szCs w:val="22"/>
        </w:rPr>
        <w:t xml:space="preserve">There was no evidence of a difference between any of the treatments for discontinuation due to AE:  all comparisons had CrI which included 1.  Tedizolid had the lowest probability of discontinuation due to AE (and also the narrowest CrI) and the highest </w:t>
      </w:r>
      <w:r w:rsidRPr="00245356">
        <w:rPr>
          <w:rFonts w:cs="Arial"/>
          <w:szCs w:val="22"/>
        </w:rPr>
        <w:lastRenderedPageBreak/>
        <w:t>probability of being the best treatment, followed closely by daptomycin (0.41 and 0.40 respectively).</w:t>
      </w:r>
    </w:p>
    <w:p w14:paraId="5273B258" w14:textId="77777777" w:rsidR="0049441E" w:rsidRPr="004537A7" w:rsidRDefault="0049441E" w:rsidP="0049441E">
      <w:pPr>
        <w:pStyle w:val="TableNote-H58"/>
        <w:rPr>
          <w:rFonts w:ascii="Arial" w:hAnsi="Arial" w:cs="Arial"/>
          <w:b/>
          <w:sz w:val="22"/>
          <w:szCs w:val="22"/>
          <w:lang w:val="en-US"/>
        </w:rPr>
      </w:pPr>
    </w:p>
    <w:p w14:paraId="020E4676" w14:textId="7974AFC5" w:rsidR="0049441E" w:rsidRPr="0049441E" w:rsidRDefault="0049441E" w:rsidP="0049441E">
      <w:pPr>
        <w:tabs>
          <w:tab w:val="num" w:pos="0"/>
        </w:tabs>
        <w:rPr>
          <w:rFonts w:cs="Arial"/>
          <w:b/>
          <w:sz w:val="22"/>
          <w:szCs w:val="22"/>
        </w:rPr>
      </w:pPr>
      <w:r w:rsidRPr="0049441E">
        <w:rPr>
          <w:rFonts w:cs="Arial"/>
          <w:b/>
          <w:sz w:val="22"/>
          <w:szCs w:val="22"/>
        </w:rPr>
        <w:t>D. 3 Methodology</w:t>
      </w:r>
    </w:p>
    <w:p w14:paraId="78B1D343" w14:textId="77777777" w:rsidR="0049441E" w:rsidRDefault="0049441E" w:rsidP="0049441E">
      <w:pPr>
        <w:tabs>
          <w:tab w:val="num" w:pos="0"/>
        </w:tabs>
        <w:rPr>
          <w:rFonts w:cs="Arial"/>
          <w:sz w:val="22"/>
          <w:szCs w:val="22"/>
        </w:rPr>
      </w:pPr>
    </w:p>
    <w:p w14:paraId="7905BD85" w14:textId="234CDB2F" w:rsidR="0049441E" w:rsidRDefault="0049441E" w:rsidP="0049441E">
      <w:pPr>
        <w:tabs>
          <w:tab w:val="num" w:pos="0"/>
        </w:tabs>
        <w:rPr>
          <w:rFonts w:cs="Arial"/>
          <w:sz w:val="22"/>
          <w:szCs w:val="22"/>
        </w:rPr>
      </w:pPr>
      <w:r>
        <w:rPr>
          <w:rFonts w:cs="Arial"/>
          <w:sz w:val="22"/>
          <w:szCs w:val="22"/>
        </w:rPr>
        <w:t xml:space="preserve">Full details of the </w:t>
      </w:r>
      <w:r w:rsidR="009025E3">
        <w:rPr>
          <w:rFonts w:cs="Arial"/>
          <w:sz w:val="22"/>
          <w:szCs w:val="22"/>
        </w:rPr>
        <w:t xml:space="preserve">literature review, </w:t>
      </w:r>
      <w:r>
        <w:rPr>
          <w:rFonts w:cs="Arial"/>
          <w:sz w:val="22"/>
          <w:szCs w:val="22"/>
        </w:rPr>
        <w:t>search strategies and methodology can be found in the YHEC report (</w:t>
      </w:r>
      <w:r>
        <w:rPr>
          <w:rFonts w:cs="Arial"/>
          <w:sz w:val="22"/>
          <w:szCs w:val="22"/>
        </w:rPr>
        <w:fldChar w:fldCharType="begin"/>
      </w:r>
      <w:r>
        <w:rPr>
          <w:rFonts w:cs="Arial"/>
          <w:sz w:val="22"/>
          <w:szCs w:val="22"/>
        </w:rPr>
        <w:instrText xml:space="preserve"> REF _Ref284177052 \r \h </w:instrText>
      </w:r>
      <w:r>
        <w:rPr>
          <w:rFonts w:cs="Arial"/>
          <w:sz w:val="22"/>
          <w:szCs w:val="22"/>
        </w:rPr>
      </w:r>
      <w:r>
        <w:rPr>
          <w:rFonts w:cs="Arial"/>
          <w:sz w:val="22"/>
          <w:szCs w:val="22"/>
        </w:rPr>
        <w:fldChar w:fldCharType="separate"/>
      </w:r>
      <w:r w:rsidR="00151A1C">
        <w:rPr>
          <w:rFonts w:cs="Arial"/>
          <w:sz w:val="22"/>
          <w:szCs w:val="22"/>
        </w:rPr>
        <w:t>91</w:t>
      </w:r>
      <w:r>
        <w:rPr>
          <w:rFonts w:cs="Arial"/>
          <w:sz w:val="22"/>
          <w:szCs w:val="22"/>
        </w:rPr>
        <w:fldChar w:fldCharType="end"/>
      </w:r>
      <w:r>
        <w:rPr>
          <w:rFonts w:cs="Arial"/>
          <w:sz w:val="22"/>
          <w:szCs w:val="22"/>
        </w:rPr>
        <w:t xml:space="preserve">). </w:t>
      </w:r>
    </w:p>
    <w:p w14:paraId="360BEE53" w14:textId="77777777" w:rsidR="0049441E" w:rsidRDefault="0049441E" w:rsidP="0049441E">
      <w:pPr>
        <w:tabs>
          <w:tab w:val="num" w:pos="0"/>
        </w:tabs>
        <w:rPr>
          <w:rFonts w:cs="Arial"/>
          <w:sz w:val="22"/>
          <w:szCs w:val="22"/>
        </w:rPr>
      </w:pPr>
    </w:p>
    <w:p w14:paraId="02C2ACD0" w14:textId="3693ED4C" w:rsidR="0049441E" w:rsidRPr="0049441E" w:rsidRDefault="0049441E" w:rsidP="0049441E">
      <w:pPr>
        <w:tabs>
          <w:tab w:val="num" w:pos="0"/>
        </w:tabs>
        <w:rPr>
          <w:rFonts w:cs="Arial"/>
          <w:b/>
          <w:sz w:val="22"/>
          <w:szCs w:val="22"/>
        </w:rPr>
      </w:pPr>
      <w:r>
        <w:rPr>
          <w:rFonts w:cs="Arial"/>
          <w:b/>
          <w:sz w:val="22"/>
          <w:szCs w:val="22"/>
        </w:rPr>
        <w:t>D.4 Producing the network</w:t>
      </w:r>
    </w:p>
    <w:p w14:paraId="016C660F" w14:textId="77777777" w:rsidR="0049441E" w:rsidRDefault="0049441E" w:rsidP="0049441E">
      <w:pPr>
        <w:tabs>
          <w:tab w:val="num" w:pos="0"/>
        </w:tabs>
        <w:rPr>
          <w:rFonts w:cs="Arial"/>
          <w:sz w:val="22"/>
          <w:szCs w:val="22"/>
        </w:rPr>
      </w:pPr>
    </w:p>
    <w:p w14:paraId="209F1EA3" w14:textId="77777777" w:rsidR="0049441E" w:rsidRDefault="0049441E" w:rsidP="0049441E">
      <w:pPr>
        <w:tabs>
          <w:tab w:val="num" w:pos="0"/>
        </w:tabs>
        <w:rPr>
          <w:rFonts w:cs="Arial"/>
          <w:sz w:val="22"/>
          <w:szCs w:val="22"/>
        </w:rPr>
      </w:pPr>
      <w:r w:rsidRPr="00D34316">
        <w:rPr>
          <w:rFonts w:cs="Arial"/>
          <w:sz w:val="22"/>
          <w:szCs w:val="22"/>
        </w:rPr>
        <w:t xml:space="preserve">Following the identification of relevant studies, theoretical networks were produced based on the interventions and comparators in each trial.  To achieve a NMA, the studies must form a connected network, i.e. the treatments of interest must link through a common comparator or comparators.  </w:t>
      </w:r>
    </w:p>
    <w:p w14:paraId="13671B60" w14:textId="77777777" w:rsidR="0049441E" w:rsidRDefault="0049441E" w:rsidP="0049441E">
      <w:pPr>
        <w:tabs>
          <w:tab w:val="num" w:pos="0"/>
        </w:tabs>
        <w:rPr>
          <w:rFonts w:cs="Arial"/>
          <w:sz w:val="22"/>
          <w:szCs w:val="22"/>
        </w:rPr>
      </w:pPr>
    </w:p>
    <w:p w14:paraId="7591E247" w14:textId="194FF36E" w:rsidR="0049441E" w:rsidRPr="00DD2C3F" w:rsidRDefault="0049441E" w:rsidP="005B65AE">
      <w:pPr>
        <w:pStyle w:val="ReportText"/>
        <w:spacing w:line="240" w:lineRule="auto"/>
      </w:pPr>
      <w:r>
        <w:t xml:space="preserve">The </w:t>
      </w:r>
      <w:r w:rsidRPr="00162F71">
        <w:t xml:space="preserve">interventions assessed in the 15 eligible RCTs identified by the searches are summarised in </w:t>
      </w:r>
      <w:r w:rsidR="005B65AE">
        <w:t>Table 82.</w:t>
      </w:r>
      <w:bookmarkStart w:id="394" w:name="_Ref281840325"/>
    </w:p>
    <w:p w14:paraId="78A2A4AB" w14:textId="77777777" w:rsidR="0049441E" w:rsidRDefault="0049441E" w:rsidP="0049441E">
      <w:pPr>
        <w:pStyle w:val="ReportText"/>
        <w:rPr>
          <w:b/>
        </w:rPr>
      </w:pPr>
    </w:p>
    <w:p w14:paraId="12941D19" w14:textId="77777777" w:rsidR="0049441E" w:rsidRPr="00EC77DF" w:rsidRDefault="0049441E" w:rsidP="0049441E">
      <w:pPr>
        <w:pStyle w:val="ReportText"/>
      </w:pPr>
      <w:r w:rsidRPr="00EC77DF">
        <w:rPr>
          <w:b/>
        </w:rPr>
        <w:t xml:space="preserve">Table </w:t>
      </w:r>
      <w:r w:rsidRPr="00EC77DF">
        <w:rPr>
          <w:b/>
        </w:rPr>
        <w:fldChar w:fldCharType="begin"/>
      </w:r>
      <w:r w:rsidRPr="00EC77DF">
        <w:rPr>
          <w:b/>
        </w:rPr>
        <w:instrText xml:space="preserve"> SEQ Table \* ARABIC </w:instrText>
      </w:r>
      <w:r w:rsidRPr="00EC77DF">
        <w:rPr>
          <w:b/>
        </w:rPr>
        <w:fldChar w:fldCharType="separate"/>
      </w:r>
      <w:r w:rsidR="00151A1C">
        <w:rPr>
          <w:b/>
          <w:noProof/>
        </w:rPr>
        <w:t>82</w:t>
      </w:r>
      <w:r w:rsidRPr="00EC77DF">
        <w:rPr>
          <w:b/>
        </w:rPr>
        <w:fldChar w:fldCharType="end"/>
      </w:r>
      <w:bookmarkEnd w:id="394"/>
      <w:r w:rsidRPr="00EC77DF">
        <w:rPr>
          <w:b/>
        </w:rPr>
        <w:t xml:space="preserve">: NMA: </w:t>
      </w:r>
      <w:r w:rsidRPr="00EC77DF">
        <w:rPr>
          <w:rFonts w:cs="Arial"/>
          <w:b/>
        </w:rPr>
        <w:t>Relevant trials</w:t>
      </w:r>
      <w:r w:rsidRPr="00F83CCE">
        <w:rPr>
          <w:rFonts w:cs="Arial"/>
          <w:b/>
        </w:rPr>
        <w:t xml:space="preserve"> by treatment arm</w:t>
      </w:r>
    </w:p>
    <w:p w14:paraId="572D0DFD" w14:textId="77777777" w:rsidR="0049441E" w:rsidRDefault="0049441E" w:rsidP="0049441E">
      <w:pPr>
        <w:pStyle w:val="ReportText"/>
        <w:rPr>
          <w:rFonts w:cs="Arial"/>
        </w:rPr>
      </w:pPr>
    </w:p>
    <w:tbl>
      <w:tblPr>
        <w:tblW w:w="4892"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841"/>
        <w:gridCol w:w="841"/>
        <w:gridCol w:w="842"/>
        <w:gridCol w:w="842"/>
        <w:gridCol w:w="842"/>
        <w:gridCol w:w="842"/>
        <w:gridCol w:w="842"/>
        <w:gridCol w:w="838"/>
      </w:tblGrid>
      <w:tr w:rsidR="0049441E" w:rsidRPr="00205F05" w14:paraId="58432A13" w14:textId="77777777" w:rsidTr="00F257FE">
        <w:trPr>
          <w:cantSplit/>
          <w:trHeight w:val="1392"/>
        </w:trPr>
        <w:tc>
          <w:tcPr>
            <w:tcW w:w="1186" w:type="pct"/>
            <w:shd w:val="clear" w:color="auto" w:fill="auto"/>
            <w:vAlign w:val="center"/>
            <w:hideMark/>
          </w:tcPr>
          <w:p w14:paraId="767E8ECE" w14:textId="77777777" w:rsidR="0049441E" w:rsidRPr="00205F05" w:rsidRDefault="0049441E" w:rsidP="0049441E">
            <w:pPr>
              <w:pStyle w:val="Title"/>
              <w:rPr>
                <w:rFonts w:ascii="Arial" w:hAnsi="Arial" w:cs="Arial"/>
                <w:b w:val="0"/>
                <w:sz w:val="20"/>
                <w:szCs w:val="20"/>
                <w:lang w:eastAsia="en-GB"/>
              </w:rPr>
            </w:pPr>
            <w:r w:rsidRPr="00205F05">
              <w:rPr>
                <w:rFonts w:ascii="Arial" w:hAnsi="Arial" w:cs="Arial"/>
                <w:sz w:val="20"/>
                <w:szCs w:val="20"/>
                <w:lang w:eastAsia="en-GB"/>
              </w:rPr>
              <w:t>Study reference</w:t>
            </w:r>
          </w:p>
        </w:tc>
        <w:tc>
          <w:tcPr>
            <w:tcW w:w="477" w:type="pct"/>
            <w:shd w:val="clear" w:color="auto" w:fill="auto"/>
            <w:textDirection w:val="btLr"/>
            <w:vAlign w:val="center"/>
            <w:hideMark/>
          </w:tcPr>
          <w:p w14:paraId="70396440" w14:textId="77777777" w:rsidR="0049441E" w:rsidRPr="00205F05" w:rsidRDefault="0049441E" w:rsidP="0049441E">
            <w:pPr>
              <w:pStyle w:val="Title"/>
              <w:rPr>
                <w:rFonts w:ascii="Arial" w:hAnsi="Arial" w:cs="Arial"/>
                <w:b w:val="0"/>
                <w:sz w:val="20"/>
                <w:szCs w:val="20"/>
                <w:lang w:eastAsia="en-GB"/>
              </w:rPr>
            </w:pPr>
            <w:r w:rsidRPr="00205F05">
              <w:rPr>
                <w:rFonts w:ascii="Arial" w:hAnsi="Arial" w:cs="Arial"/>
                <w:sz w:val="20"/>
                <w:szCs w:val="20"/>
                <w:lang w:eastAsia="en-GB"/>
              </w:rPr>
              <w:t>Tedizolid</w:t>
            </w:r>
          </w:p>
        </w:tc>
        <w:tc>
          <w:tcPr>
            <w:tcW w:w="477" w:type="pct"/>
            <w:shd w:val="clear" w:color="auto" w:fill="auto"/>
            <w:textDirection w:val="btLr"/>
            <w:vAlign w:val="center"/>
            <w:hideMark/>
          </w:tcPr>
          <w:p w14:paraId="64C7EF59" w14:textId="77777777" w:rsidR="0049441E" w:rsidRPr="00205F05" w:rsidRDefault="0049441E" w:rsidP="0049441E">
            <w:pPr>
              <w:pStyle w:val="Title"/>
              <w:rPr>
                <w:rFonts w:ascii="Arial" w:hAnsi="Arial" w:cs="Arial"/>
                <w:b w:val="0"/>
                <w:sz w:val="20"/>
                <w:szCs w:val="20"/>
                <w:lang w:eastAsia="en-GB"/>
              </w:rPr>
            </w:pPr>
            <w:r w:rsidRPr="00205F05">
              <w:rPr>
                <w:rFonts w:ascii="Arial" w:hAnsi="Arial" w:cs="Arial"/>
                <w:sz w:val="20"/>
                <w:szCs w:val="20"/>
                <w:lang w:eastAsia="en-GB"/>
              </w:rPr>
              <w:t>Tigecycline</w:t>
            </w:r>
          </w:p>
        </w:tc>
        <w:tc>
          <w:tcPr>
            <w:tcW w:w="477" w:type="pct"/>
            <w:shd w:val="clear" w:color="auto" w:fill="auto"/>
            <w:textDirection w:val="btLr"/>
            <w:vAlign w:val="center"/>
            <w:hideMark/>
          </w:tcPr>
          <w:p w14:paraId="65360C29" w14:textId="77777777" w:rsidR="0049441E" w:rsidRPr="00205F05" w:rsidRDefault="0049441E" w:rsidP="0049441E">
            <w:pPr>
              <w:pStyle w:val="Title"/>
              <w:rPr>
                <w:rFonts w:ascii="Arial" w:hAnsi="Arial" w:cs="Arial"/>
                <w:b w:val="0"/>
                <w:sz w:val="20"/>
                <w:szCs w:val="20"/>
                <w:lang w:eastAsia="en-GB"/>
              </w:rPr>
            </w:pPr>
            <w:r w:rsidRPr="00205F05">
              <w:rPr>
                <w:rFonts w:ascii="Arial" w:hAnsi="Arial" w:cs="Arial"/>
                <w:sz w:val="20"/>
                <w:szCs w:val="20"/>
                <w:lang w:eastAsia="en-GB"/>
              </w:rPr>
              <w:t>Ceftaroline</w:t>
            </w:r>
          </w:p>
        </w:tc>
        <w:tc>
          <w:tcPr>
            <w:tcW w:w="477" w:type="pct"/>
            <w:shd w:val="clear" w:color="auto" w:fill="auto"/>
            <w:textDirection w:val="btLr"/>
            <w:vAlign w:val="center"/>
            <w:hideMark/>
          </w:tcPr>
          <w:p w14:paraId="657D7123" w14:textId="77777777" w:rsidR="0049441E" w:rsidRPr="00205F05" w:rsidRDefault="0049441E" w:rsidP="0049441E">
            <w:pPr>
              <w:pStyle w:val="Title"/>
              <w:rPr>
                <w:rFonts w:ascii="Arial" w:hAnsi="Arial" w:cs="Arial"/>
                <w:b w:val="0"/>
                <w:sz w:val="20"/>
                <w:szCs w:val="20"/>
                <w:lang w:eastAsia="en-GB"/>
              </w:rPr>
            </w:pPr>
            <w:r w:rsidRPr="00205F05">
              <w:rPr>
                <w:rFonts w:ascii="Arial" w:hAnsi="Arial" w:cs="Arial"/>
                <w:sz w:val="20"/>
                <w:szCs w:val="20"/>
                <w:lang w:eastAsia="en-GB"/>
              </w:rPr>
              <w:t>Teicoplanin</w:t>
            </w:r>
          </w:p>
        </w:tc>
        <w:tc>
          <w:tcPr>
            <w:tcW w:w="477" w:type="pct"/>
            <w:shd w:val="clear" w:color="auto" w:fill="auto"/>
            <w:textDirection w:val="btLr"/>
            <w:vAlign w:val="center"/>
            <w:hideMark/>
          </w:tcPr>
          <w:p w14:paraId="186A294E" w14:textId="77777777" w:rsidR="0049441E" w:rsidRPr="00205F05" w:rsidRDefault="0049441E" w:rsidP="0049441E">
            <w:pPr>
              <w:pStyle w:val="Title"/>
              <w:rPr>
                <w:rFonts w:ascii="Arial" w:hAnsi="Arial" w:cs="Arial"/>
                <w:b w:val="0"/>
                <w:color w:val="000000"/>
                <w:sz w:val="20"/>
                <w:szCs w:val="20"/>
                <w:lang w:eastAsia="en-GB"/>
              </w:rPr>
            </w:pPr>
            <w:r w:rsidRPr="00205F05">
              <w:rPr>
                <w:rFonts w:ascii="Arial" w:hAnsi="Arial" w:cs="Arial"/>
                <w:color w:val="000000"/>
                <w:sz w:val="20"/>
                <w:szCs w:val="20"/>
                <w:lang w:eastAsia="en-GB"/>
              </w:rPr>
              <w:t>Linezolid</w:t>
            </w:r>
          </w:p>
        </w:tc>
        <w:tc>
          <w:tcPr>
            <w:tcW w:w="477" w:type="pct"/>
            <w:shd w:val="clear" w:color="auto" w:fill="auto"/>
            <w:textDirection w:val="btLr"/>
            <w:vAlign w:val="center"/>
            <w:hideMark/>
          </w:tcPr>
          <w:p w14:paraId="3BBF43CB" w14:textId="77777777" w:rsidR="0049441E" w:rsidRPr="00205F05" w:rsidRDefault="0049441E" w:rsidP="0049441E">
            <w:pPr>
              <w:pStyle w:val="Title"/>
              <w:rPr>
                <w:rFonts w:ascii="Arial" w:hAnsi="Arial" w:cs="Arial"/>
                <w:b w:val="0"/>
                <w:color w:val="000000"/>
                <w:sz w:val="20"/>
                <w:szCs w:val="20"/>
                <w:lang w:eastAsia="en-GB"/>
              </w:rPr>
            </w:pPr>
            <w:r w:rsidRPr="00205F05">
              <w:rPr>
                <w:rFonts w:ascii="Arial" w:hAnsi="Arial" w:cs="Arial"/>
                <w:color w:val="000000"/>
                <w:sz w:val="20"/>
                <w:szCs w:val="20"/>
                <w:lang w:eastAsia="en-GB"/>
              </w:rPr>
              <w:t>Vancomycin</w:t>
            </w:r>
          </w:p>
        </w:tc>
        <w:tc>
          <w:tcPr>
            <w:tcW w:w="477" w:type="pct"/>
            <w:shd w:val="clear" w:color="auto" w:fill="auto"/>
            <w:textDirection w:val="btLr"/>
            <w:vAlign w:val="center"/>
            <w:hideMark/>
          </w:tcPr>
          <w:p w14:paraId="33988DE6" w14:textId="77777777" w:rsidR="0049441E" w:rsidRPr="00205F05" w:rsidRDefault="0049441E" w:rsidP="0049441E">
            <w:pPr>
              <w:pStyle w:val="Title"/>
              <w:rPr>
                <w:rFonts w:ascii="Arial" w:hAnsi="Arial" w:cs="Arial"/>
                <w:b w:val="0"/>
                <w:color w:val="000000"/>
                <w:sz w:val="20"/>
                <w:szCs w:val="20"/>
                <w:lang w:eastAsia="en-GB"/>
              </w:rPr>
            </w:pPr>
            <w:r w:rsidRPr="00205F05">
              <w:rPr>
                <w:rFonts w:ascii="Arial" w:hAnsi="Arial" w:cs="Arial"/>
                <w:color w:val="000000"/>
                <w:sz w:val="20"/>
                <w:szCs w:val="20"/>
                <w:lang w:eastAsia="en-GB"/>
              </w:rPr>
              <w:t>Daptomycin</w:t>
            </w:r>
          </w:p>
        </w:tc>
        <w:tc>
          <w:tcPr>
            <w:tcW w:w="477" w:type="pct"/>
            <w:shd w:val="clear" w:color="auto" w:fill="auto"/>
            <w:textDirection w:val="btLr"/>
            <w:vAlign w:val="center"/>
            <w:hideMark/>
          </w:tcPr>
          <w:p w14:paraId="7E889182" w14:textId="77777777" w:rsidR="0049441E" w:rsidRPr="00205F05" w:rsidRDefault="0049441E" w:rsidP="0049441E">
            <w:pPr>
              <w:pStyle w:val="Title"/>
              <w:rPr>
                <w:rFonts w:ascii="Arial" w:hAnsi="Arial" w:cs="Arial"/>
                <w:b w:val="0"/>
                <w:color w:val="000000"/>
                <w:sz w:val="20"/>
                <w:szCs w:val="20"/>
                <w:lang w:eastAsia="en-GB"/>
              </w:rPr>
            </w:pPr>
            <w:r w:rsidRPr="00205F05">
              <w:rPr>
                <w:rFonts w:ascii="Arial" w:hAnsi="Arial" w:cs="Arial"/>
                <w:color w:val="000000"/>
                <w:sz w:val="20"/>
                <w:szCs w:val="20"/>
                <w:lang w:eastAsia="en-GB"/>
              </w:rPr>
              <w:t>Telavancin</w:t>
            </w:r>
          </w:p>
        </w:tc>
      </w:tr>
      <w:tr w:rsidR="0049441E" w:rsidRPr="00205F05" w14:paraId="3A45991F" w14:textId="77777777" w:rsidTr="00F257FE">
        <w:trPr>
          <w:trHeight w:val="300"/>
        </w:trPr>
        <w:tc>
          <w:tcPr>
            <w:tcW w:w="1186" w:type="pct"/>
            <w:shd w:val="clear" w:color="auto" w:fill="auto"/>
            <w:noWrap/>
            <w:vAlign w:val="bottom"/>
            <w:hideMark/>
          </w:tcPr>
          <w:p w14:paraId="23B212DD"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Aikawa 2013</w:t>
            </w:r>
          </w:p>
        </w:tc>
        <w:tc>
          <w:tcPr>
            <w:tcW w:w="477" w:type="pct"/>
            <w:shd w:val="clear" w:color="auto" w:fill="auto"/>
            <w:noWrap/>
            <w:vAlign w:val="center"/>
          </w:tcPr>
          <w:p w14:paraId="018A7AB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892441A"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E4B64D3"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D67CD9E"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247ED81"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C6F5629"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6495D1A"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785922C" w14:textId="77777777" w:rsidR="0049441E" w:rsidRPr="00205F05" w:rsidRDefault="0049441E" w:rsidP="0049441E">
            <w:pPr>
              <w:pStyle w:val="Title"/>
              <w:rPr>
                <w:rFonts w:ascii="Arial" w:hAnsi="Arial" w:cs="Arial"/>
                <w:sz w:val="20"/>
                <w:szCs w:val="20"/>
                <w:lang w:eastAsia="en-GB"/>
              </w:rPr>
            </w:pPr>
          </w:p>
        </w:tc>
      </w:tr>
      <w:tr w:rsidR="0049441E" w:rsidRPr="00205F05" w14:paraId="78050618" w14:textId="77777777" w:rsidTr="00F257FE">
        <w:trPr>
          <w:trHeight w:val="300"/>
        </w:trPr>
        <w:tc>
          <w:tcPr>
            <w:tcW w:w="1186" w:type="pct"/>
            <w:shd w:val="clear" w:color="auto" w:fill="auto"/>
            <w:noWrap/>
            <w:vAlign w:val="bottom"/>
          </w:tcPr>
          <w:p w14:paraId="1B100CC3"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Evers 2013 </w:t>
            </w:r>
          </w:p>
        </w:tc>
        <w:tc>
          <w:tcPr>
            <w:tcW w:w="477" w:type="pct"/>
            <w:shd w:val="clear" w:color="auto" w:fill="auto"/>
            <w:noWrap/>
            <w:vAlign w:val="center"/>
          </w:tcPr>
          <w:p w14:paraId="51C647CA"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EBCFE01"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3693C3C"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738BBC4"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6880C5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C4D6F84" w14:textId="77777777" w:rsidR="0049441E" w:rsidRPr="00205F05" w:rsidDel="00BD19C4"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1BC10F6"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6E3B0DE"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r>
      <w:tr w:rsidR="0049441E" w:rsidRPr="00205F05" w14:paraId="3ECDF0D3" w14:textId="77777777" w:rsidTr="00F257FE">
        <w:trPr>
          <w:trHeight w:val="300"/>
        </w:trPr>
        <w:tc>
          <w:tcPr>
            <w:tcW w:w="1186" w:type="pct"/>
            <w:shd w:val="clear" w:color="auto" w:fill="auto"/>
            <w:noWrap/>
            <w:vAlign w:val="bottom"/>
            <w:hideMark/>
          </w:tcPr>
          <w:p w14:paraId="73C7B190"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Florescu 2008 </w:t>
            </w:r>
          </w:p>
        </w:tc>
        <w:tc>
          <w:tcPr>
            <w:tcW w:w="477" w:type="pct"/>
            <w:shd w:val="clear" w:color="auto" w:fill="auto"/>
            <w:noWrap/>
            <w:vAlign w:val="center"/>
          </w:tcPr>
          <w:p w14:paraId="4EF3E26A"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D41D525"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619AE81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EC5EFA8"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A87AFD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2717A3D"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66B334C"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99BF335" w14:textId="77777777" w:rsidR="0049441E" w:rsidRPr="00205F05" w:rsidRDefault="0049441E" w:rsidP="0049441E">
            <w:pPr>
              <w:pStyle w:val="Title"/>
              <w:rPr>
                <w:rFonts w:ascii="Arial" w:hAnsi="Arial" w:cs="Arial"/>
                <w:sz w:val="20"/>
                <w:szCs w:val="20"/>
                <w:lang w:eastAsia="en-GB"/>
              </w:rPr>
            </w:pPr>
          </w:p>
        </w:tc>
      </w:tr>
      <w:tr w:rsidR="0049441E" w:rsidRPr="00205F05" w14:paraId="69AB8D07" w14:textId="77777777" w:rsidTr="00F257FE">
        <w:trPr>
          <w:trHeight w:val="300"/>
        </w:trPr>
        <w:tc>
          <w:tcPr>
            <w:tcW w:w="1186" w:type="pct"/>
            <w:shd w:val="clear" w:color="auto" w:fill="auto"/>
            <w:noWrap/>
            <w:vAlign w:val="bottom"/>
            <w:hideMark/>
          </w:tcPr>
          <w:p w14:paraId="7D9CADCF"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Itani 2010 </w:t>
            </w:r>
          </w:p>
        </w:tc>
        <w:tc>
          <w:tcPr>
            <w:tcW w:w="477" w:type="pct"/>
            <w:shd w:val="clear" w:color="auto" w:fill="auto"/>
            <w:noWrap/>
            <w:vAlign w:val="center"/>
          </w:tcPr>
          <w:p w14:paraId="7EC4D24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FC33C1D"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FE61467"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8A99487"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CB3C21B"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72A4F16"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0D28F19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6C7CA5F" w14:textId="77777777" w:rsidR="0049441E" w:rsidRPr="00205F05" w:rsidRDefault="0049441E" w:rsidP="0049441E">
            <w:pPr>
              <w:pStyle w:val="Title"/>
              <w:rPr>
                <w:rFonts w:ascii="Arial" w:hAnsi="Arial" w:cs="Arial"/>
                <w:sz w:val="20"/>
                <w:szCs w:val="20"/>
                <w:lang w:eastAsia="en-GB"/>
              </w:rPr>
            </w:pPr>
          </w:p>
        </w:tc>
      </w:tr>
      <w:tr w:rsidR="0049441E" w:rsidRPr="00205F05" w14:paraId="4001F195" w14:textId="77777777" w:rsidTr="00F257FE">
        <w:trPr>
          <w:trHeight w:val="300"/>
        </w:trPr>
        <w:tc>
          <w:tcPr>
            <w:tcW w:w="1186" w:type="pct"/>
            <w:shd w:val="clear" w:color="auto" w:fill="auto"/>
            <w:noWrap/>
            <w:vAlign w:val="bottom"/>
            <w:hideMark/>
          </w:tcPr>
          <w:p w14:paraId="754E42BF"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Kohno 2007 </w:t>
            </w:r>
          </w:p>
        </w:tc>
        <w:tc>
          <w:tcPr>
            <w:tcW w:w="477" w:type="pct"/>
            <w:shd w:val="clear" w:color="auto" w:fill="auto"/>
            <w:noWrap/>
            <w:vAlign w:val="center"/>
          </w:tcPr>
          <w:p w14:paraId="5663873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347C75D"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3B807F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61645A7"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F7AF6FB"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B61B074"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6DBB57F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72A6217" w14:textId="77777777" w:rsidR="0049441E" w:rsidRPr="00205F05" w:rsidRDefault="0049441E" w:rsidP="0049441E">
            <w:pPr>
              <w:pStyle w:val="Title"/>
              <w:rPr>
                <w:rFonts w:ascii="Arial" w:hAnsi="Arial" w:cs="Arial"/>
                <w:sz w:val="20"/>
                <w:szCs w:val="20"/>
                <w:lang w:eastAsia="en-GB"/>
              </w:rPr>
            </w:pPr>
          </w:p>
        </w:tc>
      </w:tr>
      <w:tr w:rsidR="0049441E" w:rsidRPr="00205F05" w14:paraId="1D190448" w14:textId="77777777" w:rsidTr="00F257FE">
        <w:trPr>
          <w:trHeight w:val="300"/>
        </w:trPr>
        <w:tc>
          <w:tcPr>
            <w:tcW w:w="1186" w:type="pct"/>
            <w:shd w:val="clear" w:color="auto" w:fill="auto"/>
            <w:vAlign w:val="bottom"/>
            <w:hideMark/>
          </w:tcPr>
          <w:p w14:paraId="259DCA2E"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Lin 2008 </w:t>
            </w:r>
          </w:p>
        </w:tc>
        <w:tc>
          <w:tcPr>
            <w:tcW w:w="477" w:type="pct"/>
            <w:shd w:val="clear" w:color="auto" w:fill="auto"/>
            <w:noWrap/>
            <w:vAlign w:val="center"/>
          </w:tcPr>
          <w:p w14:paraId="31621383"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A93696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43F3B9C"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8DE8313"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B573A9A"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C7029D1"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6012B23"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5E0D35B" w14:textId="77777777" w:rsidR="0049441E" w:rsidRPr="00205F05" w:rsidRDefault="0049441E" w:rsidP="0049441E">
            <w:pPr>
              <w:pStyle w:val="Title"/>
              <w:rPr>
                <w:rFonts w:ascii="Arial" w:hAnsi="Arial" w:cs="Arial"/>
                <w:sz w:val="20"/>
                <w:szCs w:val="20"/>
                <w:lang w:eastAsia="en-GB"/>
              </w:rPr>
            </w:pPr>
          </w:p>
        </w:tc>
      </w:tr>
      <w:tr w:rsidR="0049441E" w:rsidRPr="00205F05" w14:paraId="7BA12A3F" w14:textId="77777777" w:rsidTr="00F257FE">
        <w:trPr>
          <w:trHeight w:val="300"/>
        </w:trPr>
        <w:tc>
          <w:tcPr>
            <w:tcW w:w="1186" w:type="pct"/>
            <w:shd w:val="clear" w:color="auto" w:fill="auto"/>
            <w:noWrap/>
            <w:vAlign w:val="bottom"/>
          </w:tcPr>
          <w:p w14:paraId="63C5F6CD"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rPr>
              <w:t xml:space="preserve">Moran 2014 </w:t>
            </w:r>
          </w:p>
        </w:tc>
        <w:tc>
          <w:tcPr>
            <w:tcW w:w="477" w:type="pct"/>
            <w:shd w:val="clear" w:color="auto" w:fill="auto"/>
            <w:noWrap/>
            <w:vAlign w:val="center"/>
          </w:tcPr>
          <w:p w14:paraId="3C99FC9A"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A7C698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1E921C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7C0CE7E"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ABE8865"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A83759C"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043E9A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86812AB" w14:textId="77777777" w:rsidR="0049441E" w:rsidRPr="00205F05" w:rsidRDefault="0049441E" w:rsidP="0049441E">
            <w:pPr>
              <w:pStyle w:val="Title"/>
              <w:rPr>
                <w:rFonts w:ascii="Arial" w:hAnsi="Arial" w:cs="Arial"/>
                <w:sz w:val="20"/>
                <w:szCs w:val="20"/>
                <w:lang w:eastAsia="en-GB"/>
              </w:rPr>
            </w:pPr>
          </w:p>
        </w:tc>
      </w:tr>
      <w:tr w:rsidR="0049441E" w:rsidRPr="00205F05" w14:paraId="3F6BA998" w14:textId="77777777" w:rsidTr="00F257FE">
        <w:trPr>
          <w:trHeight w:val="300"/>
        </w:trPr>
        <w:tc>
          <w:tcPr>
            <w:tcW w:w="1186" w:type="pct"/>
            <w:shd w:val="clear" w:color="auto" w:fill="auto"/>
            <w:noWrap/>
            <w:vAlign w:val="bottom"/>
            <w:hideMark/>
          </w:tcPr>
          <w:p w14:paraId="70DEA3F3"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lastRenderedPageBreak/>
              <w:t xml:space="preserve">Pertel 2009 </w:t>
            </w:r>
          </w:p>
        </w:tc>
        <w:tc>
          <w:tcPr>
            <w:tcW w:w="477" w:type="pct"/>
            <w:shd w:val="clear" w:color="auto" w:fill="auto"/>
            <w:noWrap/>
            <w:vAlign w:val="center"/>
          </w:tcPr>
          <w:p w14:paraId="2844A53A"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C8376F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A77B3D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D3B8F08"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0EB01C4"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2AFB091"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191587E4"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6A0AE7CE" w14:textId="77777777" w:rsidR="0049441E" w:rsidRPr="00205F05" w:rsidRDefault="0049441E" w:rsidP="0049441E">
            <w:pPr>
              <w:pStyle w:val="Title"/>
              <w:rPr>
                <w:rFonts w:ascii="Arial" w:hAnsi="Arial" w:cs="Arial"/>
                <w:sz w:val="20"/>
                <w:szCs w:val="20"/>
                <w:lang w:eastAsia="en-GB"/>
              </w:rPr>
            </w:pPr>
          </w:p>
        </w:tc>
      </w:tr>
      <w:tr w:rsidR="0049441E" w:rsidRPr="00205F05" w14:paraId="7EBCDB05" w14:textId="77777777" w:rsidTr="00F257FE">
        <w:trPr>
          <w:trHeight w:val="300"/>
        </w:trPr>
        <w:tc>
          <w:tcPr>
            <w:tcW w:w="1186" w:type="pct"/>
            <w:shd w:val="clear" w:color="auto" w:fill="auto"/>
            <w:noWrap/>
            <w:vAlign w:val="bottom"/>
            <w:hideMark/>
          </w:tcPr>
          <w:p w14:paraId="20560B4E"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Prokocimer 2013 </w:t>
            </w:r>
          </w:p>
        </w:tc>
        <w:tc>
          <w:tcPr>
            <w:tcW w:w="477" w:type="pct"/>
            <w:shd w:val="clear" w:color="auto" w:fill="auto"/>
            <w:noWrap/>
            <w:vAlign w:val="center"/>
          </w:tcPr>
          <w:p w14:paraId="1FFC7612"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334A560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5D2001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45A2DC7"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29AE058"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A9D5A85"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1A6964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EDF11DA" w14:textId="77777777" w:rsidR="0049441E" w:rsidRPr="00205F05" w:rsidRDefault="0049441E" w:rsidP="0049441E">
            <w:pPr>
              <w:pStyle w:val="Title"/>
              <w:rPr>
                <w:rFonts w:ascii="Arial" w:hAnsi="Arial" w:cs="Arial"/>
                <w:sz w:val="20"/>
                <w:szCs w:val="20"/>
                <w:lang w:eastAsia="en-GB"/>
              </w:rPr>
            </w:pPr>
          </w:p>
        </w:tc>
      </w:tr>
      <w:tr w:rsidR="0049441E" w:rsidRPr="00205F05" w14:paraId="06ABF0E7" w14:textId="77777777" w:rsidTr="00F257FE">
        <w:trPr>
          <w:trHeight w:val="300"/>
        </w:trPr>
        <w:tc>
          <w:tcPr>
            <w:tcW w:w="1186" w:type="pct"/>
            <w:shd w:val="clear" w:color="auto" w:fill="auto"/>
            <w:noWrap/>
            <w:vAlign w:val="bottom"/>
            <w:hideMark/>
          </w:tcPr>
          <w:p w14:paraId="2E2B39BE"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Sharpe 2005 </w:t>
            </w:r>
          </w:p>
        </w:tc>
        <w:tc>
          <w:tcPr>
            <w:tcW w:w="477" w:type="pct"/>
            <w:shd w:val="clear" w:color="auto" w:fill="auto"/>
            <w:noWrap/>
            <w:vAlign w:val="center"/>
          </w:tcPr>
          <w:p w14:paraId="4B52E94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6CCAFB9"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57E1F01"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278383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9106693"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253BE6C7"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06111DD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9B16CE8" w14:textId="77777777" w:rsidR="0049441E" w:rsidRPr="00205F05" w:rsidRDefault="0049441E" w:rsidP="0049441E">
            <w:pPr>
              <w:pStyle w:val="Title"/>
              <w:rPr>
                <w:rFonts w:ascii="Arial" w:hAnsi="Arial" w:cs="Arial"/>
                <w:sz w:val="20"/>
                <w:szCs w:val="20"/>
                <w:lang w:eastAsia="en-GB"/>
              </w:rPr>
            </w:pPr>
          </w:p>
        </w:tc>
      </w:tr>
      <w:tr w:rsidR="0049441E" w:rsidRPr="00205F05" w14:paraId="718CE06A" w14:textId="77777777" w:rsidTr="00F257FE">
        <w:trPr>
          <w:trHeight w:val="300"/>
        </w:trPr>
        <w:tc>
          <w:tcPr>
            <w:tcW w:w="1186" w:type="pct"/>
            <w:shd w:val="clear" w:color="auto" w:fill="auto"/>
            <w:noWrap/>
            <w:vAlign w:val="bottom"/>
          </w:tcPr>
          <w:p w14:paraId="0D45819F"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Stevens 2002 </w:t>
            </w:r>
          </w:p>
        </w:tc>
        <w:tc>
          <w:tcPr>
            <w:tcW w:w="477" w:type="pct"/>
            <w:shd w:val="clear" w:color="auto" w:fill="auto"/>
            <w:noWrap/>
            <w:vAlign w:val="center"/>
          </w:tcPr>
          <w:p w14:paraId="3E8A70FA"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01CF3D8"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1C39B2E"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8251B43"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293B43B"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1775FB93" w14:textId="77777777" w:rsidR="0049441E" w:rsidRPr="00205F05" w:rsidDel="00BD19C4"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2440FC7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C220E56" w14:textId="77777777" w:rsidR="0049441E" w:rsidRPr="00205F05" w:rsidRDefault="0049441E" w:rsidP="0049441E">
            <w:pPr>
              <w:pStyle w:val="Title"/>
              <w:rPr>
                <w:rFonts w:ascii="Arial" w:hAnsi="Arial" w:cs="Arial"/>
                <w:sz w:val="20"/>
                <w:szCs w:val="20"/>
                <w:lang w:eastAsia="en-GB"/>
              </w:rPr>
            </w:pPr>
          </w:p>
        </w:tc>
      </w:tr>
      <w:tr w:rsidR="0049441E" w:rsidRPr="00205F05" w14:paraId="5AF8C534" w14:textId="77777777" w:rsidTr="00F257FE">
        <w:trPr>
          <w:trHeight w:val="300"/>
        </w:trPr>
        <w:tc>
          <w:tcPr>
            <w:tcW w:w="1186" w:type="pct"/>
            <w:shd w:val="clear" w:color="auto" w:fill="auto"/>
            <w:noWrap/>
            <w:vAlign w:val="bottom"/>
            <w:hideMark/>
          </w:tcPr>
          <w:p w14:paraId="448A475B"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Stryjewski 2008 </w:t>
            </w:r>
          </w:p>
        </w:tc>
        <w:tc>
          <w:tcPr>
            <w:tcW w:w="477" w:type="pct"/>
            <w:shd w:val="clear" w:color="auto" w:fill="auto"/>
            <w:noWrap/>
            <w:vAlign w:val="center"/>
          </w:tcPr>
          <w:p w14:paraId="07E049D9"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27DD0DD"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6FC28F9D"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60C785E"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7726B3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B87F83D"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2A4B45A8"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4BBFD7F"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r>
      <w:tr w:rsidR="0049441E" w:rsidRPr="00205F05" w14:paraId="3B86AA63" w14:textId="77777777" w:rsidTr="00F257FE">
        <w:trPr>
          <w:trHeight w:val="300"/>
        </w:trPr>
        <w:tc>
          <w:tcPr>
            <w:tcW w:w="1186" w:type="pct"/>
            <w:shd w:val="clear" w:color="auto" w:fill="auto"/>
            <w:noWrap/>
            <w:vAlign w:val="bottom"/>
            <w:hideMark/>
          </w:tcPr>
          <w:p w14:paraId="14B25474"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Talbot 2007 </w:t>
            </w:r>
          </w:p>
        </w:tc>
        <w:tc>
          <w:tcPr>
            <w:tcW w:w="477" w:type="pct"/>
            <w:shd w:val="clear" w:color="auto" w:fill="auto"/>
            <w:noWrap/>
            <w:vAlign w:val="center"/>
          </w:tcPr>
          <w:p w14:paraId="185EA39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1B662E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CFBD363"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73E956A7"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9AE45C5"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DB76F36"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1321986"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A09F848" w14:textId="77777777" w:rsidR="0049441E" w:rsidRPr="00205F05" w:rsidRDefault="0049441E" w:rsidP="0049441E">
            <w:pPr>
              <w:pStyle w:val="Title"/>
              <w:rPr>
                <w:rFonts w:ascii="Arial" w:hAnsi="Arial" w:cs="Arial"/>
                <w:sz w:val="20"/>
                <w:szCs w:val="20"/>
                <w:lang w:eastAsia="en-GB"/>
              </w:rPr>
            </w:pPr>
          </w:p>
        </w:tc>
      </w:tr>
      <w:tr w:rsidR="0049441E" w:rsidRPr="00205F05" w14:paraId="1E375F77" w14:textId="77777777" w:rsidTr="00F257FE">
        <w:trPr>
          <w:trHeight w:val="300"/>
        </w:trPr>
        <w:tc>
          <w:tcPr>
            <w:tcW w:w="1186" w:type="pct"/>
            <w:shd w:val="clear" w:color="auto" w:fill="auto"/>
            <w:noWrap/>
            <w:vAlign w:val="bottom"/>
            <w:hideMark/>
          </w:tcPr>
          <w:p w14:paraId="384375B3"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Weigelt 2005*</w:t>
            </w:r>
          </w:p>
        </w:tc>
        <w:tc>
          <w:tcPr>
            <w:tcW w:w="477" w:type="pct"/>
            <w:shd w:val="clear" w:color="auto" w:fill="auto"/>
            <w:noWrap/>
            <w:vAlign w:val="center"/>
          </w:tcPr>
          <w:p w14:paraId="0F0736C9"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2CD7FEF"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40B1AF2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B99D910"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58292FD9"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3F1D8D8B"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6BCBF50B"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0A84A840" w14:textId="77777777" w:rsidR="0049441E" w:rsidRPr="00205F05" w:rsidRDefault="0049441E" w:rsidP="0049441E">
            <w:pPr>
              <w:pStyle w:val="Title"/>
              <w:rPr>
                <w:rFonts w:ascii="Arial" w:hAnsi="Arial" w:cs="Arial"/>
                <w:sz w:val="20"/>
                <w:szCs w:val="20"/>
                <w:lang w:eastAsia="en-GB"/>
              </w:rPr>
            </w:pPr>
          </w:p>
        </w:tc>
      </w:tr>
      <w:tr w:rsidR="0049441E" w:rsidRPr="00205F05" w14:paraId="5AD9B2AE" w14:textId="77777777" w:rsidTr="00F257FE">
        <w:trPr>
          <w:trHeight w:val="300"/>
        </w:trPr>
        <w:tc>
          <w:tcPr>
            <w:tcW w:w="1186" w:type="pct"/>
            <w:shd w:val="clear" w:color="auto" w:fill="auto"/>
            <w:noWrap/>
            <w:vAlign w:val="bottom"/>
            <w:hideMark/>
          </w:tcPr>
          <w:p w14:paraId="4D562542" w14:textId="77777777" w:rsidR="0049441E" w:rsidRPr="00205F05" w:rsidRDefault="0049441E" w:rsidP="0049441E">
            <w:pPr>
              <w:pStyle w:val="Title"/>
              <w:rPr>
                <w:rFonts w:ascii="Arial" w:hAnsi="Arial" w:cs="Arial"/>
                <w:color w:val="000000"/>
                <w:sz w:val="20"/>
                <w:szCs w:val="20"/>
                <w:lang w:eastAsia="en-GB"/>
              </w:rPr>
            </w:pPr>
            <w:r w:rsidRPr="00205F05">
              <w:rPr>
                <w:rFonts w:ascii="Arial" w:hAnsi="Arial" w:cs="Arial"/>
                <w:color w:val="000000"/>
                <w:sz w:val="20"/>
                <w:szCs w:val="20"/>
              </w:rPr>
              <w:t xml:space="preserve">Wilcox 2004 </w:t>
            </w:r>
          </w:p>
        </w:tc>
        <w:tc>
          <w:tcPr>
            <w:tcW w:w="477" w:type="pct"/>
            <w:shd w:val="clear" w:color="auto" w:fill="auto"/>
            <w:noWrap/>
            <w:vAlign w:val="center"/>
          </w:tcPr>
          <w:p w14:paraId="7CE0245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3DDE6BB4"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8D6B36E"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7FAE5108"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5D67AA72" w14:textId="77777777" w:rsidR="0049441E" w:rsidRPr="00205F05" w:rsidRDefault="0049441E" w:rsidP="0049441E">
            <w:pPr>
              <w:pStyle w:val="Title"/>
              <w:rPr>
                <w:rFonts w:ascii="Arial" w:hAnsi="Arial" w:cs="Arial"/>
                <w:sz w:val="20"/>
                <w:szCs w:val="20"/>
                <w:lang w:eastAsia="en-GB"/>
              </w:rPr>
            </w:pPr>
            <w:r w:rsidRPr="00205F05">
              <w:rPr>
                <w:rFonts w:ascii="Arial" w:hAnsi="Arial" w:cs="Arial"/>
                <w:sz w:val="20"/>
                <w:szCs w:val="20"/>
                <w:lang w:eastAsia="en-GB"/>
              </w:rPr>
              <w:t>X</w:t>
            </w:r>
          </w:p>
        </w:tc>
        <w:tc>
          <w:tcPr>
            <w:tcW w:w="477" w:type="pct"/>
            <w:shd w:val="clear" w:color="auto" w:fill="auto"/>
            <w:noWrap/>
            <w:vAlign w:val="center"/>
          </w:tcPr>
          <w:p w14:paraId="6D02D212"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2041E3A5" w14:textId="77777777" w:rsidR="0049441E" w:rsidRPr="00205F05" w:rsidRDefault="0049441E" w:rsidP="0049441E">
            <w:pPr>
              <w:pStyle w:val="Title"/>
              <w:rPr>
                <w:rFonts w:ascii="Arial" w:hAnsi="Arial" w:cs="Arial"/>
                <w:sz w:val="20"/>
                <w:szCs w:val="20"/>
                <w:lang w:eastAsia="en-GB"/>
              </w:rPr>
            </w:pPr>
          </w:p>
        </w:tc>
        <w:tc>
          <w:tcPr>
            <w:tcW w:w="477" w:type="pct"/>
            <w:shd w:val="clear" w:color="auto" w:fill="auto"/>
            <w:noWrap/>
            <w:vAlign w:val="center"/>
          </w:tcPr>
          <w:p w14:paraId="1AC6E206" w14:textId="77777777" w:rsidR="0049441E" w:rsidRPr="00205F05" w:rsidRDefault="0049441E" w:rsidP="0049441E">
            <w:pPr>
              <w:pStyle w:val="Title"/>
              <w:rPr>
                <w:rFonts w:ascii="Arial" w:hAnsi="Arial" w:cs="Arial"/>
                <w:sz w:val="20"/>
                <w:szCs w:val="20"/>
                <w:lang w:eastAsia="en-GB"/>
              </w:rPr>
            </w:pPr>
          </w:p>
        </w:tc>
      </w:tr>
    </w:tbl>
    <w:p w14:paraId="6CA8A762" w14:textId="77777777" w:rsidR="0049441E" w:rsidRPr="00E03943" w:rsidRDefault="0049441E" w:rsidP="0049441E">
      <w:pPr>
        <w:pStyle w:val="ReportText"/>
        <w:spacing w:line="240" w:lineRule="auto"/>
        <w:ind w:left="284" w:hanging="284"/>
        <w:rPr>
          <w:rFonts w:cs="Arial"/>
          <w:sz w:val="16"/>
          <w:szCs w:val="16"/>
        </w:rPr>
      </w:pPr>
      <w:r w:rsidRPr="00E03943">
        <w:rPr>
          <w:rFonts w:cs="Arial"/>
          <w:sz w:val="16"/>
          <w:szCs w:val="16"/>
        </w:rPr>
        <w:t>*</w:t>
      </w:r>
      <w:r w:rsidRPr="00E03943">
        <w:rPr>
          <w:rFonts w:cs="Arial"/>
          <w:sz w:val="16"/>
          <w:szCs w:val="16"/>
        </w:rPr>
        <w:tab/>
        <w:t>Additional data from the trial reported by Weigelt 2005 was also reported in a later publication by Itani 2005.  This feasibility assessment uses data from both publications, but for the purpose of the report, the trial will hereafter be referred to as Weigelt 2005.</w:t>
      </w:r>
    </w:p>
    <w:p w14:paraId="1D2A4334" w14:textId="77777777" w:rsidR="0049441E" w:rsidRDefault="0049441E" w:rsidP="0049441E">
      <w:pPr>
        <w:pStyle w:val="ReportText"/>
        <w:rPr>
          <w:rFonts w:cs="Arial"/>
        </w:rPr>
      </w:pPr>
    </w:p>
    <w:p w14:paraId="7960EB3E" w14:textId="77777777" w:rsidR="0049441E" w:rsidRDefault="0049441E" w:rsidP="0049441E">
      <w:pPr>
        <w:pStyle w:val="ReportText"/>
        <w:spacing w:line="240" w:lineRule="auto"/>
        <w:jc w:val="left"/>
        <w:rPr>
          <w:rFonts w:cs="Arial"/>
          <w:szCs w:val="22"/>
        </w:rPr>
      </w:pPr>
      <w:r>
        <w:rPr>
          <w:rFonts w:cs="Arial"/>
          <w:szCs w:val="22"/>
        </w:rPr>
        <w:t xml:space="preserve">Data extraction of each of the </w:t>
      </w:r>
      <w:r w:rsidRPr="008659F1">
        <w:rPr>
          <w:rFonts w:cs="Arial"/>
          <w:szCs w:val="22"/>
        </w:rPr>
        <w:t>included studies</w:t>
      </w:r>
      <w:r>
        <w:rPr>
          <w:rFonts w:cs="Arial"/>
          <w:szCs w:val="22"/>
        </w:rPr>
        <w:t xml:space="preserve"> in the SR was carried out by two independent reviewers using a standardis</w:t>
      </w:r>
      <w:r w:rsidRPr="008659F1">
        <w:rPr>
          <w:rFonts w:cs="Arial"/>
          <w:szCs w:val="22"/>
        </w:rPr>
        <w:t>ed data extraction form</w:t>
      </w:r>
      <w:r>
        <w:rPr>
          <w:rFonts w:cs="Arial"/>
          <w:szCs w:val="22"/>
        </w:rPr>
        <w:t xml:space="preserve"> to capture these similarity elements</w:t>
      </w:r>
      <w:r w:rsidRPr="008659F1">
        <w:rPr>
          <w:rFonts w:cs="Arial"/>
          <w:szCs w:val="22"/>
        </w:rPr>
        <w:t xml:space="preserve"> in </w:t>
      </w:r>
      <w:r>
        <w:rPr>
          <w:rFonts w:cs="Arial"/>
          <w:szCs w:val="22"/>
        </w:rPr>
        <w:t xml:space="preserve">DistillerSR software.  </w:t>
      </w:r>
      <w:r w:rsidRPr="008659F1">
        <w:rPr>
          <w:rFonts w:cs="Arial"/>
          <w:szCs w:val="22"/>
        </w:rPr>
        <w:t xml:space="preserve">A </w:t>
      </w:r>
      <w:r>
        <w:rPr>
          <w:rFonts w:cs="Arial"/>
          <w:szCs w:val="22"/>
        </w:rPr>
        <w:t>third</w:t>
      </w:r>
      <w:r w:rsidRPr="008659F1">
        <w:rPr>
          <w:rFonts w:cs="Arial"/>
          <w:szCs w:val="22"/>
        </w:rPr>
        <w:t xml:space="preserve"> reviewer </w:t>
      </w:r>
      <w:r>
        <w:rPr>
          <w:rFonts w:cs="Arial"/>
          <w:szCs w:val="22"/>
        </w:rPr>
        <w:t xml:space="preserve">compared the extractions </w:t>
      </w:r>
      <w:r>
        <w:t>and highlighted any disagreements for discussion</w:t>
      </w:r>
      <w:r>
        <w:rPr>
          <w:rFonts w:cs="Arial"/>
          <w:szCs w:val="22"/>
        </w:rPr>
        <w:t>.</w:t>
      </w:r>
    </w:p>
    <w:p w14:paraId="162DA30F" w14:textId="77777777" w:rsidR="0049441E" w:rsidRPr="008659F1" w:rsidRDefault="0049441E" w:rsidP="0049441E">
      <w:pPr>
        <w:pStyle w:val="ReportText"/>
        <w:spacing w:line="240" w:lineRule="auto"/>
        <w:jc w:val="left"/>
        <w:rPr>
          <w:rFonts w:cs="Arial"/>
          <w:szCs w:val="22"/>
        </w:rPr>
      </w:pPr>
    </w:p>
    <w:p w14:paraId="6FD541E6" w14:textId="77777777" w:rsidR="0049441E" w:rsidRDefault="0049441E" w:rsidP="0049441E">
      <w:pPr>
        <w:pStyle w:val="ProposalText"/>
        <w:spacing w:line="240" w:lineRule="auto"/>
        <w:jc w:val="left"/>
      </w:pPr>
      <w:r>
        <w:rPr>
          <w:rFonts w:cs="Arial"/>
          <w:szCs w:val="22"/>
        </w:rPr>
        <w:t>T</w:t>
      </w:r>
      <w:r w:rsidRPr="008659F1">
        <w:rPr>
          <w:rFonts w:cs="Arial"/>
          <w:szCs w:val="22"/>
        </w:rPr>
        <w:t xml:space="preserve">he studies were assessed </w:t>
      </w:r>
      <w:r>
        <w:rPr>
          <w:rFonts w:cs="Arial"/>
          <w:szCs w:val="22"/>
        </w:rPr>
        <w:t xml:space="preserve">using these data </w:t>
      </w:r>
      <w:r w:rsidRPr="008659F1">
        <w:rPr>
          <w:rFonts w:cs="Arial"/>
          <w:szCs w:val="22"/>
        </w:rPr>
        <w:t>to determine whether they were sufficiently similar to combine in a</w:t>
      </w:r>
      <w:r>
        <w:rPr>
          <w:rFonts w:cs="Arial"/>
          <w:szCs w:val="22"/>
        </w:rPr>
        <w:t>n</w:t>
      </w:r>
      <w:r w:rsidRPr="008659F1">
        <w:rPr>
          <w:rFonts w:cs="Arial"/>
          <w:szCs w:val="22"/>
        </w:rPr>
        <w:t xml:space="preserve"> NMA, and to assess which of the studies provided usable data for the outcomes of interest</w:t>
      </w:r>
      <w:r>
        <w:rPr>
          <w:rFonts w:cs="Arial"/>
          <w:szCs w:val="22"/>
        </w:rPr>
        <w:t xml:space="preserve">.  </w:t>
      </w:r>
      <w:r>
        <w:t>None of the 15 studies assessed in the feasibility assessment were excluded from the NMA.</w:t>
      </w:r>
    </w:p>
    <w:p w14:paraId="634E1162" w14:textId="77777777" w:rsidR="0049441E" w:rsidRDefault="0049441E" w:rsidP="0049441E">
      <w:pPr>
        <w:pStyle w:val="ProposalText"/>
        <w:spacing w:line="240" w:lineRule="auto"/>
        <w:jc w:val="left"/>
      </w:pPr>
    </w:p>
    <w:p w14:paraId="44FDCE1E" w14:textId="6409BD20" w:rsidR="0049441E" w:rsidRDefault="0049441E" w:rsidP="005B65AE">
      <w:pPr>
        <w:pStyle w:val="ProposalText"/>
        <w:spacing w:line="240" w:lineRule="auto"/>
        <w:jc w:val="left"/>
      </w:pPr>
      <w:r>
        <w:t xml:space="preserve">The full network diagram showing all 15 included studies is at </w:t>
      </w:r>
      <w:bookmarkStart w:id="395" w:name="_Ref281658021"/>
      <w:r w:rsidR="005B65AE">
        <w:t>Figure 19.</w:t>
      </w:r>
    </w:p>
    <w:p w14:paraId="7D73F1A2" w14:textId="77777777" w:rsidR="005B65AE" w:rsidRDefault="005B65AE" w:rsidP="005B65AE">
      <w:pPr>
        <w:pStyle w:val="ProposalText"/>
        <w:spacing w:line="240" w:lineRule="auto"/>
        <w:jc w:val="left"/>
        <w:rPr>
          <w:rFonts w:cs="Arial"/>
          <w:b/>
        </w:rPr>
      </w:pPr>
    </w:p>
    <w:p w14:paraId="57D935DB" w14:textId="77777777" w:rsidR="0049441E" w:rsidRDefault="0049441E" w:rsidP="0049441E">
      <w:pPr>
        <w:pStyle w:val="ProposalText"/>
        <w:spacing w:line="240" w:lineRule="auto"/>
        <w:jc w:val="left"/>
        <w:rPr>
          <w:rFonts w:cs="Arial"/>
          <w:b/>
        </w:rPr>
      </w:pPr>
    </w:p>
    <w:p w14:paraId="42F3EE0C" w14:textId="77777777" w:rsidR="0049441E" w:rsidRPr="009B0708" w:rsidRDefault="0049441E" w:rsidP="0049441E">
      <w:pPr>
        <w:pStyle w:val="ProposalText"/>
        <w:spacing w:line="240" w:lineRule="auto"/>
        <w:jc w:val="left"/>
        <w:rPr>
          <w:rStyle w:val="TableTitle"/>
          <w:rFonts w:ascii="Arial" w:hAnsi="Arial" w:cs="Arial"/>
          <w:b w:val="0"/>
        </w:rPr>
      </w:pPr>
      <w:r w:rsidRPr="009B0708">
        <w:rPr>
          <w:rFonts w:cs="Arial"/>
          <w:b/>
        </w:rPr>
        <w:t xml:space="preserve">Figure </w:t>
      </w:r>
      <w:r w:rsidRPr="009B0708">
        <w:rPr>
          <w:rFonts w:cs="Arial"/>
          <w:b/>
        </w:rPr>
        <w:fldChar w:fldCharType="begin"/>
      </w:r>
      <w:r w:rsidRPr="009B0708">
        <w:rPr>
          <w:rFonts w:cs="Arial"/>
          <w:b/>
        </w:rPr>
        <w:instrText xml:space="preserve"> SEQ Figure \* ARABIC </w:instrText>
      </w:r>
      <w:r w:rsidRPr="009B0708">
        <w:rPr>
          <w:rFonts w:cs="Arial"/>
          <w:b/>
        </w:rPr>
        <w:fldChar w:fldCharType="separate"/>
      </w:r>
      <w:r w:rsidR="00151A1C">
        <w:rPr>
          <w:rFonts w:cs="Arial"/>
          <w:b/>
          <w:noProof/>
        </w:rPr>
        <w:t>19</w:t>
      </w:r>
      <w:r w:rsidRPr="009B0708">
        <w:rPr>
          <w:rFonts w:cs="Arial"/>
          <w:b/>
        </w:rPr>
        <w:fldChar w:fldCharType="end"/>
      </w:r>
      <w:bookmarkEnd w:id="395"/>
      <w:r w:rsidRPr="009B0708">
        <w:rPr>
          <w:rFonts w:cs="Arial"/>
        </w:rPr>
        <w:t xml:space="preserve">: </w:t>
      </w:r>
      <w:r w:rsidRPr="009B0708">
        <w:rPr>
          <w:rStyle w:val="TableTitle"/>
          <w:rFonts w:ascii="Arial" w:hAnsi="Arial" w:cs="Arial"/>
        </w:rPr>
        <w:t>Network diagram of studies of treatment of ABSSSI</w:t>
      </w:r>
    </w:p>
    <w:p w14:paraId="230013E2" w14:textId="77777777" w:rsidR="0049441E" w:rsidRDefault="0049441E" w:rsidP="0049441E">
      <w:pPr>
        <w:pStyle w:val="ProposalText"/>
        <w:spacing w:line="240" w:lineRule="auto"/>
        <w:jc w:val="left"/>
      </w:pPr>
    </w:p>
    <w:p w14:paraId="5507908E" w14:textId="77777777" w:rsidR="0049441E" w:rsidRDefault="0049441E" w:rsidP="0049441E">
      <w:pPr>
        <w:pStyle w:val="ProposalText"/>
        <w:jc w:val="left"/>
        <w:rPr>
          <w:rFonts w:cs="Arial"/>
          <w:szCs w:val="22"/>
        </w:rPr>
      </w:pPr>
    </w:p>
    <w:p w14:paraId="1E416E0E" w14:textId="59E7FF8C" w:rsidR="0049441E" w:rsidRDefault="0049441E" w:rsidP="0049441E">
      <w:pPr>
        <w:pStyle w:val="ProposalText"/>
        <w:jc w:val="left"/>
        <w:rPr>
          <w:rFonts w:cs="Arial"/>
          <w:szCs w:val="22"/>
        </w:rPr>
      </w:pPr>
      <w:r>
        <w:rPr>
          <w:noProof/>
          <w:lang w:eastAsia="en-GB"/>
        </w:rPr>
        <w:lastRenderedPageBreak/>
        <mc:AlternateContent>
          <mc:Choice Requires="wpg">
            <w:drawing>
              <wp:inline distT="0" distB="0" distL="0" distR="0" wp14:anchorId="7B2139CC" wp14:editId="153629A3">
                <wp:extent cx="5829300" cy="4467225"/>
                <wp:effectExtent l="0" t="0" r="38100" b="3175"/>
                <wp:docPr id="20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4467225"/>
                          <a:chOff x="0" y="0"/>
                          <a:chExt cx="5829300" cy="3886200"/>
                        </a:xfrm>
                      </wpg:grpSpPr>
                      <wpg:grpSp>
                        <wpg:cNvPr id="2060" name="Group 95"/>
                        <wpg:cNvGrpSpPr/>
                        <wpg:grpSpPr>
                          <a:xfrm>
                            <a:off x="0" y="0"/>
                            <a:ext cx="5829300" cy="3886200"/>
                            <a:chOff x="0" y="0"/>
                            <a:chExt cx="6112808" cy="4354051"/>
                          </a:xfrm>
                        </wpg:grpSpPr>
                        <wps:wsp>
                          <wps:cNvPr id="2061" name="Rounded Rectangle 4"/>
                          <wps:cNvSpPr/>
                          <wps:spPr>
                            <a:xfrm>
                              <a:off x="4043999" y="3954143"/>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2AAFD1D0"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Daptomycin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2" name="Rounded Rectangle 5"/>
                          <wps:cNvSpPr/>
                          <wps:spPr>
                            <a:xfrm>
                              <a:off x="2410158" y="2657273"/>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3EBAFE6F"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Vancomycin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3" name="Rounded Rectangle 8"/>
                          <wps:cNvSpPr/>
                          <wps:spPr>
                            <a:xfrm>
                              <a:off x="755641" y="3962054"/>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236F0F1E"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Telavancin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4" name="Rounded Rectangle 9"/>
                          <wps:cNvSpPr/>
                          <wps:spPr>
                            <a:xfrm>
                              <a:off x="0" y="2657272"/>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7F7C4080"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Ceftaroline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5" name="Rounded Rectangle 10"/>
                          <wps:cNvSpPr/>
                          <wps:spPr>
                            <a:xfrm>
                              <a:off x="4755814" y="2657657"/>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4F558E54" w14:textId="77777777" w:rsidR="00151A1C" w:rsidRDefault="00151A1C" w:rsidP="0049441E">
                                <w:pPr>
                                  <w:pStyle w:val="NormalWeb"/>
                                  <w:spacing w:before="0" w:after="0"/>
                                  <w:jc w:val="center"/>
                                </w:pPr>
                                <w:r w:rsidRPr="007E26B8">
                                  <w:rPr>
                                    <w:rFonts w:ascii="Arial" w:eastAsia="Times New Roman" w:hAnsi="Arial"/>
                                    <w:b/>
                                    <w:bCs/>
                                    <w:color w:val="FFFFFF" w:themeColor="light1"/>
                                    <w:kern w:val="24"/>
                                    <w:sz w:val="22"/>
                                    <w:szCs w:val="22"/>
                                    <w:lang w:val="en-US"/>
                                  </w:rPr>
                                  <w:t>Tigecycline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6" name="Rounded Rectangle 11"/>
                          <wps:cNvSpPr/>
                          <wps:spPr>
                            <a:xfrm>
                              <a:off x="2390228" y="960347"/>
                              <a:ext cx="1356994" cy="370420"/>
                            </a:xfrm>
                            <a:prstGeom prst="roundRect">
                              <a:avLst/>
                            </a:prstGeom>
                            <a:solidFill>
                              <a:srgbClr val="4F81BD"/>
                            </a:solidFill>
                            <a:ln w="25400" cap="flat" cmpd="sng" algn="ctr">
                              <a:solidFill>
                                <a:srgbClr val="4F81BD">
                                  <a:shade val="50000"/>
                                </a:srgbClr>
                              </a:solidFill>
                              <a:prstDash val="solid"/>
                            </a:ln>
                            <a:effectLst/>
                          </wps:spPr>
                          <wps:txbx>
                            <w:txbxContent>
                              <w:p w14:paraId="20B57A54"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Linezolid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0" name="Rounded Rectangle 12"/>
                          <wps:cNvSpPr/>
                          <wps:spPr>
                            <a:xfrm>
                              <a:off x="1226253" y="0"/>
                              <a:ext cx="1356995" cy="370420"/>
                            </a:xfrm>
                            <a:prstGeom prst="roundRect">
                              <a:avLst/>
                            </a:prstGeom>
                            <a:solidFill>
                              <a:srgbClr val="4F81BD"/>
                            </a:solidFill>
                            <a:ln w="25400" cap="flat" cmpd="sng" algn="ctr">
                              <a:solidFill>
                                <a:srgbClr val="4F81BD">
                                  <a:shade val="50000"/>
                                </a:srgbClr>
                              </a:solidFill>
                              <a:prstDash val="solid"/>
                            </a:ln>
                            <a:effectLst/>
                          </wps:spPr>
                          <wps:txbx>
                            <w:txbxContent>
                              <w:p w14:paraId="63CFD08E"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Tedizolid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1" name="Straight Connector 13"/>
                          <wps:cNvCnPr/>
                          <wps:spPr>
                            <a:xfrm>
                              <a:off x="3068725" y="1330767"/>
                              <a:ext cx="19930" cy="1326506"/>
                            </a:xfrm>
                            <a:prstGeom prst="line">
                              <a:avLst/>
                            </a:prstGeom>
                            <a:noFill/>
                            <a:ln w="28575" cap="flat" cmpd="sng" algn="ctr">
                              <a:solidFill>
                                <a:srgbClr val="4F81BD">
                                  <a:shade val="95000"/>
                                  <a:satMod val="105000"/>
                                </a:srgbClr>
                              </a:solidFill>
                              <a:prstDash val="solid"/>
                            </a:ln>
                            <a:effectLst/>
                          </wps:spPr>
                          <wps:bodyPr/>
                        </wps:wsp>
                        <wps:wsp>
                          <wps:cNvPr id="2072" name="Text Box 30"/>
                          <wps:cNvSpPr txBox="1"/>
                          <wps:spPr>
                            <a:xfrm>
                              <a:off x="2486295" y="1463253"/>
                              <a:ext cx="1132037" cy="941223"/>
                            </a:xfrm>
                            <a:prstGeom prst="rect">
                              <a:avLst/>
                            </a:prstGeom>
                            <a:solidFill>
                              <a:sysClr val="window" lastClr="FFFFFF"/>
                            </a:solidFill>
                            <a:ln w="6350">
                              <a:noFill/>
                            </a:ln>
                            <a:effectLst/>
                          </wps:spPr>
                          <wps:txbx>
                            <w:txbxContent>
                              <w:p w14:paraId="05FA880B" w14:textId="77777777" w:rsidR="00151A1C" w:rsidRPr="00151A1C" w:rsidRDefault="00151A1C" w:rsidP="0049441E">
                                <w:pPr>
                                  <w:pStyle w:val="NormalWeb"/>
                                  <w:spacing w:before="0" w:after="0"/>
                                  <w:jc w:val="center"/>
                                  <w:rPr>
                                    <w:rFonts w:ascii="Arial" w:eastAsia="Times New Roman" w:hAnsi="Arial"/>
                                    <w:b/>
                                    <w:bCs/>
                                    <w:color w:val="000000" w:themeColor="text1"/>
                                    <w:kern w:val="24"/>
                                    <w:sz w:val="20"/>
                                    <w:lang w:val="de-CH"/>
                                  </w:rPr>
                                </w:pPr>
                                <w:r w:rsidRPr="00151A1C">
                                  <w:rPr>
                                    <w:rFonts w:ascii="Arial" w:eastAsia="Times New Roman" w:hAnsi="Arial"/>
                                    <w:b/>
                                    <w:bCs/>
                                    <w:color w:val="000000" w:themeColor="text1"/>
                                    <w:kern w:val="24"/>
                                    <w:sz w:val="20"/>
                                    <w:lang w:val="de-CH"/>
                                  </w:rPr>
                                  <w:t>Itani 2010</w:t>
                                </w:r>
                              </w:p>
                              <w:p w14:paraId="7741CB0F" w14:textId="77777777" w:rsidR="00151A1C" w:rsidRPr="00151A1C" w:rsidRDefault="00151A1C" w:rsidP="0049441E">
                                <w:pPr>
                                  <w:pStyle w:val="NormalWeb"/>
                                  <w:spacing w:before="0" w:after="0"/>
                                  <w:jc w:val="center"/>
                                  <w:rPr>
                                    <w:rFonts w:ascii="Arial" w:eastAsia="Times New Roman" w:hAnsi="Arial"/>
                                    <w:b/>
                                    <w:bCs/>
                                    <w:color w:val="000000" w:themeColor="text1"/>
                                    <w:kern w:val="24"/>
                                    <w:sz w:val="20"/>
                                    <w:lang w:val="de-CH"/>
                                  </w:rPr>
                                </w:pPr>
                                <w:r w:rsidRPr="00151A1C">
                                  <w:rPr>
                                    <w:rFonts w:ascii="Arial" w:eastAsia="Times New Roman" w:hAnsi="Arial"/>
                                    <w:b/>
                                    <w:bCs/>
                                    <w:color w:val="000000" w:themeColor="text1"/>
                                    <w:kern w:val="24"/>
                                    <w:sz w:val="20"/>
                                    <w:lang w:val="de-CH"/>
                                  </w:rPr>
                                  <w:t>Lin 2008</w:t>
                                </w:r>
                              </w:p>
                              <w:p w14:paraId="32180014"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Kohno 2007</w:t>
                                </w:r>
                              </w:p>
                              <w:p w14:paraId="5DC7BC08"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Weigelt 2005</w:t>
                                </w:r>
                              </w:p>
                              <w:p w14:paraId="528564A8"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Sharpe 2005</w:t>
                                </w:r>
                              </w:p>
                              <w:p w14:paraId="6273747E" w14:textId="77777777" w:rsidR="00151A1C" w:rsidRPr="00254E2F" w:rsidRDefault="00151A1C" w:rsidP="0049441E">
                                <w:pPr>
                                  <w:pStyle w:val="NormalWeb"/>
                                  <w:spacing w:before="0" w:after="0"/>
                                  <w:jc w:val="center"/>
                                </w:pPr>
                                <w:r w:rsidRPr="00EE512C">
                                  <w:rPr>
                                    <w:rFonts w:ascii="Arial" w:eastAsia="Times New Roman" w:hAnsi="Arial"/>
                                    <w:b/>
                                    <w:bCs/>
                                    <w:color w:val="000000" w:themeColor="text1"/>
                                    <w:kern w:val="24"/>
                                    <w:sz w:val="20"/>
                                    <w:lang w:val="en-US"/>
                                  </w:rPr>
                                  <w:t>Stevens 2002</w:t>
                                </w:r>
                              </w:p>
                              <w:p w14:paraId="02490275" w14:textId="77777777" w:rsidR="00151A1C" w:rsidRDefault="00151A1C" w:rsidP="0049441E">
                                <w:pPr>
                                  <w:pStyle w:val="NormalWeb"/>
                                  <w:spacing w:before="0" w:after="0"/>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3" name="Straight Connector 16"/>
                          <wps:cNvCnPr/>
                          <wps:spPr>
                            <a:xfrm>
                              <a:off x="3088655" y="3027693"/>
                              <a:ext cx="1633841" cy="926450"/>
                            </a:xfrm>
                            <a:prstGeom prst="line">
                              <a:avLst/>
                            </a:prstGeom>
                            <a:noFill/>
                            <a:ln w="28575" cap="flat" cmpd="sng" algn="ctr">
                              <a:solidFill>
                                <a:srgbClr val="4F81BD">
                                  <a:shade val="95000"/>
                                  <a:satMod val="105000"/>
                                </a:srgbClr>
                              </a:solidFill>
                              <a:prstDash val="solid"/>
                            </a:ln>
                            <a:effectLst/>
                          </wps:spPr>
                          <wps:bodyPr/>
                        </wps:wsp>
                        <wps:wsp>
                          <wps:cNvPr id="2074" name="Text Box 22"/>
                          <wps:cNvSpPr txBox="1"/>
                          <wps:spPr>
                            <a:xfrm>
                              <a:off x="3338661" y="3299447"/>
                              <a:ext cx="1345043" cy="426186"/>
                            </a:xfrm>
                            <a:prstGeom prst="rect">
                              <a:avLst/>
                            </a:prstGeom>
                            <a:solidFill>
                              <a:sysClr val="window" lastClr="FFFFFF"/>
                            </a:solidFill>
                            <a:ln w="6350">
                              <a:noFill/>
                            </a:ln>
                            <a:effectLst/>
                          </wps:spPr>
                          <wps:txbx>
                            <w:txbxContent>
                              <w:p w14:paraId="232C5F4E" w14:textId="77777777" w:rsidR="00151A1C" w:rsidRPr="00EE512C" w:rsidRDefault="00151A1C" w:rsidP="0049441E">
                                <w:pPr>
                                  <w:pStyle w:val="NormalWeb"/>
                                  <w:spacing w:before="0" w:after="0"/>
                                  <w:jc w:val="center"/>
                                  <w:rPr>
                                    <w:color w:val="000000" w:themeColor="text1"/>
                                  </w:rPr>
                                </w:pPr>
                                <w:r w:rsidRPr="00EE512C">
                                  <w:rPr>
                                    <w:rFonts w:ascii="Arial" w:eastAsia="Times New Roman" w:hAnsi="Arial"/>
                                    <w:b/>
                                    <w:bCs/>
                                    <w:color w:val="000000" w:themeColor="text1"/>
                                    <w:kern w:val="24"/>
                                    <w:sz w:val="20"/>
                                    <w:lang w:val="en-US"/>
                                  </w:rPr>
                                  <w:t>Pertel 2009</w:t>
                                </w:r>
                              </w:p>
                              <w:p w14:paraId="785106F4" w14:textId="77777777" w:rsidR="00151A1C" w:rsidRPr="00EE512C" w:rsidRDefault="00151A1C" w:rsidP="0049441E">
                                <w:pPr>
                                  <w:pStyle w:val="NormalWeb"/>
                                  <w:spacing w:before="0" w:after="0"/>
                                  <w:jc w:val="center"/>
                                  <w:rPr>
                                    <w:color w:val="000000" w:themeColor="text1"/>
                                  </w:rPr>
                                </w:pPr>
                                <w:r w:rsidRPr="00EE512C">
                                  <w:rPr>
                                    <w:rFonts w:ascii="Arial" w:eastAsia="Times New Roman" w:hAnsi="Arial"/>
                                    <w:b/>
                                    <w:bCs/>
                                    <w:color w:val="000000" w:themeColor="text1"/>
                                    <w:kern w:val="24"/>
                                    <w:sz w:val="20"/>
                                    <w:lang w:val="en-US"/>
                                  </w:rPr>
                                  <w:t>Aikawa 2013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5" name="Straight Connector 18"/>
                          <wps:cNvCnPr/>
                          <wps:spPr>
                            <a:xfrm flipH="1">
                              <a:off x="1434138" y="3027693"/>
                              <a:ext cx="1654517" cy="934361"/>
                            </a:xfrm>
                            <a:prstGeom prst="line">
                              <a:avLst/>
                            </a:prstGeom>
                            <a:noFill/>
                            <a:ln w="28575" cap="flat" cmpd="sng" algn="ctr">
                              <a:solidFill>
                                <a:srgbClr val="4F81BD">
                                  <a:shade val="95000"/>
                                  <a:satMod val="105000"/>
                                </a:srgbClr>
                              </a:solidFill>
                              <a:prstDash val="solid"/>
                            </a:ln>
                            <a:effectLst/>
                          </wps:spPr>
                          <wps:bodyPr/>
                        </wps:wsp>
                        <wps:wsp>
                          <wps:cNvPr id="2076" name="Text Box 20"/>
                          <wps:cNvSpPr txBox="1"/>
                          <wps:spPr>
                            <a:xfrm>
                              <a:off x="1804880" y="3311206"/>
                              <a:ext cx="1136870" cy="414427"/>
                            </a:xfrm>
                            <a:prstGeom prst="rect">
                              <a:avLst/>
                            </a:prstGeom>
                            <a:solidFill>
                              <a:sysClr val="window" lastClr="FFFFFF"/>
                            </a:solidFill>
                            <a:ln w="6350">
                              <a:noFill/>
                            </a:ln>
                            <a:effectLst/>
                          </wps:spPr>
                          <wps:txbx>
                            <w:txbxContent>
                              <w:p w14:paraId="18F0C95C"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Stryjewski 2008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 name="Straight Connector 20"/>
                          <wps:cNvCnPr/>
                          <wps:spPr>
                            <a:xfrm flipV="1">
                              <a:off x="2112635" y="4139353"/>
                              <a:ext cx="1931364" cy="7911"/>
                            </a:xfrm>
                            <a:prstGeom prst="line">
                              <a:avLst/>
                            </a:prstGeom>
                            <a:noFill/>
                            <a:ln w="28575" cap="flat" cmpd="sng" algn="ctr">
                              <a:solidFill>
                                <a:srgbClr val="4F81BD">
                                  <a:shade val="95000"/>
                                  <a:satMod val="105000"/>
                                </a:srgbClr>
                              </a:solidFill>
                              <a:prstDash val="solid"/>
                            </a:ln>
                            <a:effectLst/>
                          </wps:spPr>
                          <wps:bodyPr/>
                        </wps:wsp>
                        <wps:wsp>
                          <wps:cNvPr id="2079" name="Text Box 10"/>
                          <wps:cNvSpPr txBox="1"/>
                          <wps:spPr>
                            <a:xfrm>
                              <a:off x="2583247" y="3983631"/>
                              <a:ext cx="1010816" cy="370420"/>
                            </a:xfrm>
                            <a:prstGeom prst="rect">
                              <a:avLst/>
                            </a:prstGeom>
                            <a:solidFill>
                              <a:sysClr val="window" lastClr="FFFFFF"/>
                            </a:solidFill>
                            <a:ln w="6350">
                              <a:noFill/>
                            </a:ln>
                            <a:effectLst/>
                          </wps:spPr>
                          <wps:txbx>
                            <w:txbxContent>
                              <w:p w14:paraId="330DC1B4"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Evers 2013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Straight Connector 22"/>
                          <wps:cNvCnPr/>
                          <wps:spPr>
                            <a:xfrm>
                              <a:off x="1356994" y="2788250"/>
                              <a:ext cx="1044958" cy="0"/>
                            </a:xfrm>
                            <a:prstGeom prst="line">
                              <a:avLst/>
                            </a:prstGeom>
                            <a:noFill/>
                            <a:ln w="28575" cap="flat" cmpd="sng" algn="ctr">
                              <a:solidFill>
                                <a:srgbClr val="4F81BD">
                                  <a:shade val="95000"/>
                                  <a:satMod val="105000"/>
                                </a:srgbClr>
                              </a:solidFill>
                              <a:prstDash val="solid"/>
                            </a:ln>
                            <a:effectLst/>
                          </wps:spPr>
                          <wps:bodyPr/>
                        </wps:wsp>
                        <wps:wsp>
                          <wps:cNvPr id="225" name="Straight Connector 23"/>
                          <wps:cNvCnPr/>
                          <wps:spPr>
                            <a:xfrm>
                              <a:off x="3715983" y="2800153"/>
                              <a:ext cx="1044958" cy="0"/>
                            </a:xfrm>
                            <a:prstGeom prst="line">
                              <a:avLst/>
                            </a:prstGeom>
                            <a:noFill/>
                            <a:ln w="28575" cap="flat" cmpd="sng" algn="ctr">
                              <a:solidFill>
                                <a:srgbClr val="4F81BD">
                                  <a:shade val="95000"/>
                                  <a:satMod val="105000"/>
                                </a:srgbClr>
                              </a:solidFill>
                              <a:prstDash val="solid"/>
                            </a:ln>
                            <a:effectLst/>
                          </wps:spPr>
                          <wps:bodyPr/>
                        </wps:wsp>
                        <wps:wsp>
                          <wps:cNvPr id="226" name="Text Box 23"/>
                          <wps:cNvSpPr txBox="1"/>
                          <wps:spPr>
                            <a:xfrm>
                              <a:off x="3886868" y="2624404"/>
                              <a:ext cx="761949" cy="403673"/>
                            </a:xfrm>
                            <a:prstGeom prst="rect">
                              <a:avLst/>
                            </a:prstGeom>
                            <a:solidFill>
                              <a:sysClr val="window" lastClr="FFFFFF"/>
                            </a:solidFill>
                            <a:ln w="6350">
                              <a:noFill/>
                            </a:ln>
                            <a:effectLst/>
                          </wps:spPr>
                          <wps:txbx>
                            <w:txbxContent>
                              <w:p w14:paraId="19B96C31" w14:textId="77777777" w:rsidR="00151A1C" w:rsidRDefault="00151A1C" w:rsidP="0049441E">
                                <w:pPr>
                                  <w:pStyle w:val="NormalWeb"/>
                                  <w:spacing w:before="0" w:after="0"/>
                                  <w:jc w:val="center"/>
                                </w:pPr>
                                <w:r w:rsidRPr="00EE512C">
                                  <w:rPr>
                                    <w:rFonts w:ascii="Arial" w:eastAsia="Times New Roman" w:hAnsi="Arial"/>
                                    <w:b/>
                                    <w:bCs/>
                                    <w:color w:val="000000" w:themeColor="text1"/>
                                    <w:kern w:val="24"/>
                                    <w:sz w:val="20"/>
                                    <w:lang w:val="en-US"/>
                                  </w:rPr>
                                  <w:t>Florescu 2008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Straight Connector 25"/>
                          <wps:cNvCnPr/>
                          <wps:spPr>
                            <a:xfrm>
                              <a:off x="1904750" y="370420"/>
                              <a:ext cx="1163975" cy="589927"/>
                            </a:xfrm>
                            <a:prstGeom prst="line">
                              <a:avLst/>
                            </a:prstGeom>
                            <a:noFill/>
                            <a:ln w="28575" cap="flat" cmpd="sng" algn="ctr">
                              <a:solidFill>
                                <a:srgbClr val="4F81BD">
                                  <a:shade val="95000"/>
                                  <a:satMod val="105000"/>
                                </a:srgbClr>
                              </a:solidFill>
                              <a:prstDash val="solid"/>
                            </a:ln>
                            <a:effectLst/>
                          </wps:spPr>
                          <wps:bodyPr/>
                        </wps:wsp>
                        <wps:wsp>
                          <wps:cNvPr id="228" name="Text Box 26"/>
                          <wps:cNvSpPr txBox="1"/>
                          <wps:spPr>
                            <a:xfrm>
                              <a:off x="1423083" y="447076"/>
                              <a:ext cx="1631899" cy="427291"/>
                            </a:xfrm>
                            <a:prstGeom prst="rect">
                              <a:avLst/>
                            </a:prstGeom>
                            <a:solidFill>
                              <a:sysClr val="window" lastClr="FFFFFF"/>
                            </a:solidFill>
                            <a:ln w="6350">
                              <a:noFill/>
                            </a:ln>
                            <a:effectLst/>
                          </wps:spPr>
                          <wps:txbx>
                            <w:txbxContent>
                              <w:p w14:paraId="18BD44AA" w14:textId="77777777" w:rsidR="00151A1C" w:rsidRDefault="00151A1C" w:rsidP="0049441E">
                                <w:pPr>
                                  <w:pStyle w:val="NormalWeb"/>
                                  <w:spacing w:before="0" w:after="0"/>
                                  <w:jc w:val="center"/>
                                  <w:rPr>
                                    <w:rFonts w:ascii="Arial" w:eastAsia="Times New Roman" w:hAnsi="Arial"/>
                                    <w:b/>
                                    <w:bCs/>
                                    <w:color w:val="000000" w:themeColor="dark1"/>
                                    <w:kern w:val="24"/>
                                    <w:sz w:val="20"/>
                                    <w:lang w:val="en-US"/>
                                  </w:rPr>
                                </w:pPr>
                                <w:r w:rsidRPr="00254E2F">
                                  <w:rPr>
                                    <w:rFonts w:ascii="Arial" w:eastAsia="Times New Roman" w:hAnsi="Arial"/>
                                    <w:b/>
                                    <w:bCs/>
                                    <w:color w:val="000000" w:themeColor="dark1"/>
                                    <w:kern w:val="24"/>
                                    <w:sz w:val="20"/>
                                    <w:lang w:val="en-US"/>
                                  </w:rPr>
                                  <w:t>Prokocimer 2013</w:t>
                                </w:r>
                              </w:p>
                              <w:p w14:paraId="2FFFDD30"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Moran 2014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29" name="Rounded Rectangle 27"/>
                        <wps:cNvSpPr/>
                        <wps:spPr>
                          <a:xfrm>
                            <a:off x="3429000" y="0"/>
                            <a:ext cx="1294058" cy="330618"/>
                          </a:xfrm>
                          <a:prstGeom prst="roundRect">
                            <a:avLst/>
                          </a:prstGeom>
                          <a:solidFill>
                            <a:srgbClr val="4F81BD"/>
                          </a:solidFill>
                          <a:ln w="25400" cap="flat" cmpd="sng" algn="ctr">
                            <a:solidFill>
                              <a:srgbClr val="4F81BD">
                                <a:shade val="50000"/>
                              </a:srgbClr>
                            </a:solidFill>
                            <a:prstDash val="solid"/>
                          </a:ln>
                          <a:effectLst/>
                        </wps:spPr>
                        <wps:txbx>
                          <w:txbxContent>
                            <w:p w14:paraId="63EF5AE3"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Teicoplanin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Connector 28"/>
                        <wps:cNvCnPr/>
                        <wps:spPr>
                          <a:xfrm flipH="1">
                            <a:off x="2943225" y="333375"/>
                            <a:ext cx="1154790" cy="523781"/>
                          </a:xfrm>
                          <a:prstGeom prst="line">
                            <a:avLst/>
                          </a:prstGeom>
                          <a:noFill/>
                          <a:ln w="28575" cap="flat" cmpd="sng" algn="ctr">
                            <a:solidFill>
                              <a:srgbClr val="4F81BD">
                                <a:shade val="95000"/>
                                <a:satMod val="105000"/>
                              </a:srgbClr>
                            </a:solidFill>
                            <a:prstDash val="solid"/>
                          </a:ln>
                          <a:effectLst/>
                        </wps:spPr>
                        <wps:bodyPr/>
                      </wps:wsp>
                      <wps:wsp>
                        <wps:cNvPr id="231" name="Text Box 26"/>
                        <wps:cNvSpPr txBox="1"/>
                        <wps:spPr>
                          <a:xfrm>
                            <a:off x="2905125" y="476250"/>
                            <a:ext cx="1555750" cy="228600"/>
                          </a:xfrm>
                          <a:prstGeom prst="rect">
                            <a:avLst/>
                          </a:prstGeom>
                          <a:solidFill>
                            <a:sysClr val="window" lastClr="FFFFFF"/>
                          </a:solidFill>
                          <a:ln w="6350">
                            <a:noFill/>
                          </a:ln>
                          <a:effectLst/>
                        </wps:spPr>
                        <wps:txbx>
                          <w:txbxContent>
                            <w:p w14:paraId="436CE6C2"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Wilcox 2004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2139CC" id="Group 1" o:spid="_x0000_s1080" style="width:459pt;height:351.75pt;mso-position-horizontal-relative:char;mso-position-vertical-relative:line" coordsize="58293,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">
                <v:group id="Group 95" o:spid="_x0000_s1081" style="position:absolute;width:58293;height:38862" coordsize="61128,4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oundrect id="Rounded Rectangle 4" o:spid="_x0000_s1082" style="position:absolute;left:40439;top:39541;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J3ccA&#10;AADdAAAADwAAAGRycy9kb3ducmV2LnhtbESPT2vCQBTE70K/w/IKvYhujCA1ZpVQEHJoKWovvT2z&#10;L3/a7NuQ3Sbpt3cLQo/DzPyGSQ+TacVAvWssK1gtIxDEhdUNVwo+LsfFMwjnkTW2lknBLzk47B9m&#10;KSbajnyi4ewrESDsElRQe98lUrqiJoNuaTvi4JW2N+iD7CupexwD3LQyjqKNNNhwWKixo5eaiu/z&#10;j1HwhrxtfPaZv8p5dvk6ruV7cS2Venqcsh0IT5P/D9/buVYQR5sV/L0JT0D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zSd3HAAAA3QAAAA8AAAAAAAAAAAAAAAAAmAIAAGRy&#10;cy9kb3ducmV2LnhtbFBLBQYAAAAABAAEAPUAAACMAwAAAAA=&#10;" fillcolor="#4f81bd" strokecolor="#385d8a" strokeweight="2pt">
                    <v:textbox>
                      <w:txbxContent>
                        <w:p w14:paraId="2AAFD1D0"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Daptomycin</w:t>
                          </w:r>
                        </w:p>
                      </w:txbxContent>
                    </v:textbox>
                  </v:roundrect>
                  <v:roundrect id="Rounded Rectangle 5" o:spid="_x0000_s1083" style="position:absolute;left:24101;top:26572;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XqsUA&#10;AADdAAAADwAAAGRycy9kb3ducmV2LnhtbESPQYvCMBSE7wv+h/AEL8uaWkHcapQiCB4UWetlb2+b&#10;Z1ttXkoTtf57Iyx4HGbmG2a+7EwtbtS6yrKC0TACQZxbXXGh4Jitv6YgnEfWWFsmBQ9ysFz0PuaY&#10;aHvnH7odfCEChF2CCkrvm0RKl5dk0A1tQxy8k20N+iDbQuoW7wFuahlH0UQarDgslNjQqqT8crga&#10;BTvk78qnv5ut/Eyz83os9/nfSalBv0tnIDx1/h3+b2+0gjiaxP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deqxQAAAN0AAAAPAAAAAAAAAAAAAAAAAJgCAABkcnMv&#10;ZG93bnJldi54bWxQSwUGAAAAAAQABAD1AAAAigMAAAAA&#10;" fillcolor="#4f81bd" strokecolor="#385d8a" strokeweight="2pt">
                    <v:textbox>
                      <w:txbxContent>
                        <w:p w14:paraId="3EBAFE6F"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Vancomycin</w:t>
                          </w:r>
                        </w:p>
                      </w:txbxContent>
                    </v:textbox>
                  </v:roundrect>
                  <v:roundrect id="Rounded Rectangle 8" o:spid="_x0000_s1084" style="position:absolute;left:7556;top:39620;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yMccA&#10;AADdAAAADwAAAGRycy9kb3ducmV2LnhtbESPT2vCQBTE7wW/w/KEXopuVJAaswlBCHhoKVUv3p7Z&#10;lz9t9m3IbmP67buFQo/DzPyGSbLJdGKkwbWWFayWEQji0uqWawWXc7F4BuE8ssbOMin4JgdZOntI&#10;MNb2zu80nnwtAoRdjAoa7/tYSlc2ZNAtbU8cvMoOBn2QQy31gPcAN51cR9FWGmw5LDTY06Gh8vP0&#10;ZRS8Iu9an1+PL/IpP38UG/lW3iqlHudTvgfhafL/4b/2UStYR9sN/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cjHHAAAA3QAAAA8AAAAAAAAAAAAAAAAAmAIAAGRy&#10;cy9kb3ducmV2LnhtbFBLBQYAAAAABAAEAPUAAACMAwAAAAA=&#10;" fillcolor="#4f81bd" strokecolor="#385d8a" strokeweight="2pt">
                    <v:textbox>
                      <w:txbxContent>
                        <w:p w14:paraId="236F0F1E"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Telavancin</w:t>
                          </w:r>
                        </w:p>
                      </w:txbxContent>
                    </v:textbox>
                  </v:roundrect>
                  <v:roundrect id="Rounded Rectangle 9" o:spid="_x0000_s1085" style="position:absolute;top:26572;width:13569;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qRcUA&#10;AADdAAAADwAAAGRycy9kb3ducmV2LnhtbESPQYvCMBSE74L/ITzBi2iqu4hWoxRB8KDIqhdvz+bZ&#10;VpuX0kTt/nsjLOxxmJlvmPmyMaV4Uu0KywqGgwgEcWp1wZmC03Hdn4BwHlljaZkU/JKD5aLdmmOs&#10;7Yt/6HnwmQgQdjEqyL2vYildmpNBN7AVcfCutjbog6wzqWt8Bbgp5SiKxtJgwWEhx4pWOaX3w8Mo&#10;2CFPC5+cN1vZS4639Zfcp5erUt1Ok8xAeGr8f/ivvdEKRtH4Gz5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pFxQAAAN0AAAAPAAAAAAAAAAAAAAAAAJgCAABkcnMv&#10;ZG93bnJldi54bWxQSwUGAAAAAAQABAD1AAAAigMAAAAA&#10;" fillcolor="#4f81bd" strokecolor="#385d8a" strokeweight="2pt">
                    <v:textbox>
                      <w:txbxContent>
                        <w:p w14:paraId="7F7C4080"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Ceftaroline</w:t>
                          </w:r>
                        </w:p>
                      </w:txbxContent>
                    </v:textbox>
                  </v:roundrect>
                  <v:roundrect id="Rounded Rectangle 10" o:spid="_x0000_s1086" style="position:absolute;left:47558;top:26576;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P3sUA&#10;AADdAAAADwAAAGRycy9kb3ducmV2LnhtbESPQYvCMBSE74L/ITzBi2iqy4pWoxRB8KDIqhdvz+bZ&#10;VpuX0kTt/nsjLOxxmJlvmPmyMaV4Uu0KywqGgwgEcWp1wZmC03Hdn4BwHlljaZkU/JKD5aLdmmOs&#10;7Yt/6HnwmQgQdjEqyL2vYildmpNBN7AVcfCutjbog6wzqWt8Bbgp5SiKxtJgwWEhx4pWOaX3w8Mo&#10;2CFPC5+cN1vZS4639Zfcp5erUt1Ok8xAeGr8f/ivvdEKRtH4Gz5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E/exQAAAN0AAAAPAAAAAAAAAAAAAAAAAJgCAABkcnMv&#10;ZG93bnJldi54bWxQSwUGAAAAAAQABAD1AAAAigMAAAAA&#10;" fillcolor="#4f81bd" strokecolor="#385d8a" strokeweight="2pt">
                    <v:textbox>
                      <w:txbxContent>
                        <w:p w14:paraId="4F558E54" w14:textId="77777777" w:rsidR="00151A1C" w:rsidRDefault="00151A1C" w:rsidP="0049441E">
                          <w:pPr>
                            <w:pStyle w:val="NormalWeb"/>
                            <w:spacing w:before="0" w:after="0"/>
                            <w:jc w:val="center"/>
                          </w:pPr>
                          <w:r w:rsidRPr="007E26B8">
                            <w:rPr>
                              <w:rFonts w:ascii="Arial" w:eastAsia="Times New Roman" w:hAnsi="Arial"/>
                              <w:b/>
                              <w:bCs/>
                              <w:color w:val="FFFFFF" w:themeColor="light1"/>
                              <w:kern w:val="24"/>
                              <w:sz w:val="22"/>
                              <w:szCs w:val="22"/>
                              <w:lang w:val="en-US"/>
                            </w:rPr>
                            <w:t>Tigecycline</w:t>
                          </w:r>
                        </w:p>
                      </w:txbxContent>
                    </v:textbox>
                  </v:roundrect>
                  <v:roundrect id="Rounded Rectangle 11" o:spid="_x0000_s1087" style="position:absolute;left:23902;top:9603;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RqcUA&#10;AADdAAAADwAAAGRycy9kb3ducmV2LnhtbESPQYvCMBSE7wv+h/AWvCyaqlC0a5QiCB6URevF27N5&#10;tt1tXkoTtf57syB4HGbmG2a+7EwtbtS6yrKC0TACQZxbXXGh4JitB1MQziNrrC2Tggc5WC56H3NM&#10;tL3znm4HX4gAYZeggtL7JpHS5SUZdEPbEAfvYluDPsi2kLrFe4CbWo6jKJYGKw4LJTa0Kin/O1yN&#10;gh3yrPLpabOVX2n2u57In/x8Uar/2aXfIDx1/h1+tTdawTiK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tGpxQAAAN0AAAAPAAAAAAAAAAAAAAAAAJgCAABkcnMv&#10;ZG93bnJldi54bWxQSwUGAAAAAAQABAD1AAAAigMAAAAA&#10;" fillcolor="#4f81bd" strokecolor="#385d8a" strokeweight="2pt">
                    <v:textbox>
                      <w:txbxContent>
                        <w:p w14:paraId="20B57A54"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Linezolid</w:t>
                          </w:r>
                        </w:p>
                      </w:txbxContent>
                    </v:textbox>
                  </v:roundrect>
                  <v:roundrect id="Rounded Rectangle 12" o:spid="_x0000_s1088" style="position:absolute;left:12262;width:13570;height:3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6m8QA&#10;AADdAAAADwAAAGRycy9kb3ducmV2LnhtbERPz2vCMBS+C/sfwht4GTOdg83VplIEwYND1nrZ7a15&#10;tnXNS0midv/9chA8fny/s9VoenEh5zvLCl5mCQji2uqOGwWHavO8AOEDssbeMin4Iw+r/GGSYart&#10;lb/oUoZGxBD2KSpoQxhSKX3dkkE/swNx5I7WGQwRukZqh9cYbno5T5I3abDj2NDiQOuW6t/ybBR8&#10;In90ofje7uRTUZ02r3Jf/xyVmj6OxRJEoDHcxTf3ViuYJ+9xf3wTn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epvEAAAA3QAAAA8AAAAAAAAAAAAAAAAAmAIAAGRycy9k&#10;b3ducmV2LnhtbFBLBQYAAAAABAAEAPUAAACJAwAAAAA=&#10;" fillcolor="#4f81bd" strokecolor="#385d8a" strokeweight="2pt">
                    <v:textbox>
                      <w:txbxContent>
                        <w:p w14:paraId="63CFD08E"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Tedizolid</w:t>
                          </w:r>
                        </w:p>
                      </w:txbxContent>
                    </v:textbox>
                  </v:roundrect>
                  <v:line id="Straight Connector 13" o:spid="_x0000_s1089" style="position:absolute;visibility:visible;mso-wrap-style:square" from="30687,13307" to="30886,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k8MUAAADdAAAADwAAAGRycy9kb3ducmV2LnhtbESPT4vCMBTE74LfITxhL7KmelDpGmUR&#10;XJb14p8ePD6St22xeSlJ1PrtjSB4HGbmN8xi1dlGXMmH2rGC8SgDQaydqblUUBw3n3MQISIbbByT&#10;gjsFWC37vQXmxt14T9dDLEWCcMhRQRVjm0sZdEUWw8i1xMn7d95iTNKX0ni8Jbht5CTLptJizWmh&#10;wpbWFenz4WIVbON0XvxIbczfcD+8+935pNeFUh+D7vsLRKQuvsOv9q9RMMlmY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ck8MUAAADdAAAADwAAAAAAAAAA&#10;AAAAAAChAgAAZHJzL2Rvd25yZXYueG1sUEsFBgAAAAAEAAQA+QAAAJMDAAAAAA==&#10;" strokecolor="#4a7ebb" strokeweight="2.25pt"/>
                  <v:shapetype id="_x0000_t202" coordsize="21600,21600" o:spt="202" path="m,l,21600r21600,l21600,xe">
                    <v:stroke joinstyle="miter"/>
                    <v:path gradientshapeok="t" o:connecttype="rect"/>
                  </v:shapetype>
                  <v:shape id="Text Box 30" o:spid="_x0000_s1090" type="#_x0000_t202" style="position:absolute;left:24862;top:14632;width:11321;height:9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YXccA&#10;AADdAAAADwAAAGRycy9kb3ducmV2LnhtbESPQWvCQBSE74X+h+UJ3urGHGyJrlKkpQoG21Tw+sg+&#10;k9Ts27C7mtRf3y0Uehxm5htmsRpMK67kfGNZwXSSgCAurW64UnD4fH14AuEDssbWMin4Jg+r5f3d&#10;AjNte/6gaxEqESHsM1RQh9BlUvqyJoN+Yjvi6J2sMxiidJXUDvsIN61Mk2QmDTYcF2rsaF1TeS4u&#10;RsGxL97cfrv9eu82+W1/K/IdveRKjUfD8xxEoCH8h//aG60gTR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mF3HAAAA3QAAAA8AAAAAAAAAAAAAAAAAmAIAAGRy&#10;cy9kb3ducmV2LnhtbFBLBQYAAAAABAAEAPUAAACMAwAAAAA=&#10;" fillcolor="window" stroked="f" strokeweight=".5pt">
                    <v:textbox>
                      <w:txbxContent>
                        <w:p w14:paraId="05FA880B" w14:textId="77777777" w:rsidR="00151A1C" w:rsidRPr="00151A1C" w:rsidRDefault="00151A1C" w:rsidP="0049441E">
                          <w:pPr>
                            <w:pStyle w:val="NormalWeb"/>
                            <w:spacing w:before="0" w:after="0"/>
                            <w:jc w:val="center"/>
                            <w:rPr>
                              <w:rFonts w:ascii="Arial" w:eastAsia="Times New Roman" w:hAnsi="Arial"/>
                              <w:b/>
                              <w:bCs/>
                              <w:color w:val="000000" w:themeColor="text1"/>
                              <w:kern w:val="24"/>
                              <w:sz w:val="20"/>
                              <w:lang w:val="de-CH"/>
                            </w:rPr>
                          </w:pPr>
                          <w:r w:rsidRPr="00151A1C">
                            <w:rPr>
                              <w:rFonts w:ascii="Arial" w:eastAsia="Times New Roman" w:hAnsi="Arial"/>
                              <w:b/>
                              <w:bCs/>
                              <w:color w:val="000000" w:themeColor="text1"/>
                              <w:kern w:val="24"/>
                              <w:sz w:val="20"/>
                              <w:lang w:val="de-CH"/>
                            </w:rPr>
                            <w:t>Itani 2010</w:t>
                          </w:r>
                        </w:p>
                        <w:p w14:paraId="7741CB0F" w14:textId="77777777" w:rsidR="00151A1C" w:rsidRPr="00151A1C" w:rsidRDefault="00151A1C" w:rsidP="0049441E">
                          <w:pPr>
                            <w:pStyle w:val="NormalWeb"/>
                            <w:spacing w:before="0" w:after="0"/>
                            <w:jc w:val="center"/>
                            <w:rPr>
                              <w:rFonts w:ascii="Arial" w:eastAsia="Times New Roman" w:hAnsi="Arial"/>
                              <w:b/>
                              <w:bCs/>
                              <w:color w:val="000000" w:themeColor="text1"/>
                              <w:kern w:val="24"/>
                              <w:sz w:val="20"/>
                              <w:lang w:val="de-CH"/>
                            </w:rPr>
                          </w:pPr>
                          <w:r w:rsidRPr="00151A1C">
                            <w:rPr>
                              <w:rFonts w:ascii="Arial" w:eastAsia="Times New Roman" w:hAnsi="Arial"/>
                              <w:b/>
                              <w:bCs/>
                              <w:color w:val="000000" w:themeColor="text1"/>
                              <w:kern w:val="24"/>
                              <w:sz w:val="20"/>
                              <w:lang w:val="de-CH"/>
                            </w:rPr>
                            <w:t>Lin 2008</w:t>
                          </w:r>
                        </w:p>
                        <w:p w14:paraId="32180014"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Kohno 2007</w:t>
                          </w:r>
                        </w:p>
                        <w:p w14:paraId="5DC7BC08"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Weigelt 2005</w:t>
                          </w:r>
                        </w:p>
                        <w:p w14:paraId="528564A8" w14:textId="77777777" w:rsidR="00151A1C" w:rsidRPr="00151A1C" w:rsidRDefault="00151A1C" w:rsidP="0049441E">
                          <w:pPr>
                            <w:pStyle w:val="NormalWeb"/>
                            <w:spacing w:before="0" w:after="0"/>
                            <w:jc w:val="center"/>
                            <w:rPr>
                              <w:color w:val="000000" w:themeColor="text1"/>
                              <w:lang w:val="de-CH"/>
                            </w:rPr>
                          </w:pPr>
                          <w:r w:rsidRPr="00151A1C">
                            <w:rPr>
                              <w:rFonts w:ascii="Arial" w:eastAsia="Times New Roman" w:hAnsi="Arial"/>
                              <w:b/>
                              <w:bCs/>
                              <w:color w:val="000000" w:themeColor="text1"/>
                              <w:kern w:val="24"/>
                              <w:sz w:val="20"/>
                              <w:lang w:val="de-CH"/>
                            </w:rPr>
                            <w:t>Sharpe 2005</w:t>
                          </w:r>
                        </w:p>
                        <w:p w14:paraId="6273747E" w14:textId="77777777" w:rsidR="00151A1C" w:rsidRPr="00254E2F" w:rsidRDefault="00151A1C" w:rsidP="0049441E">
                          <w:pPr>
                            <w:pStyle w:val="NormalWeb"/>
                            <w:spacing w:before="0" w:after="0"/>
                            <w:jc w:val="center"/>
                          </w:pPr>
                          <w:r w:rsidRPr="00EE512C">
                            <w:rPr>
                              <w:rFonts w:ascii="Arial" w:eastAsia="Times New Roman" w:hAnsi="Arial"/>
                              <w:b/>
                              <w:bCs/>
                              <w:color w:val="000000" w:themeColor="text1"/>
                              <w:kern w:val="24"/>
                              <w:sz w:val="20"/>
                              <w:lang w:val="en-US"/>
                            </w:rPr>
                            <w:t>Stevens 2002</w:t>
                          </w:r>
                        </w:p>
                        <w:p w14:paraId="02490275" w14:textId="77777777" w:rsidR="00151A1C" w:rsidRDefault="00151A1C" w:rsidP="0049441E">
                          <w:pPr>
                            <w:pStyle w:val="NormalWeb"/>
                            <w:spacing w:before="0" w:after="0"/>
                            <w:jc w:val="center"/>
                          </w:pPr>
                        </w:p>
                      </w:txbxContent>
                    </v:textbox>
                  </v:shape>
                  <v:line id="Straight Connector 16" o:spid="_x0000_s1091" style="position:absolute;visibility:visible;mso-wrap-style:square" from="30886,30276" to="47224,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fHMUAAADdAAAADwAAAGRycy9kb3ducmV2LnhtbESPQWsCMRSE7wX/Q3iCF9GsFqysRhFB&#10;kfZS7R48PpLn7uLmZUmirv/eFAo9DjPzDbNcd7YRd/KhdqxgMs5AEGtnai4VFD+70RxEiMgGG8ek&#10;4EkB1qve2xJz4x58pPspliJBOOSooIqxzaUMuiKLYexa4uRdnLcYk/SlNB4fCW4bOc2ymbRYc1qo&#10;sKVtRfp6ulkFX3E2L/ZSG/M5PA6f/vt61ttCqUG/2yxAROrif/ivfTAKptnHO/y+S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kfHMUAAADdAAAADwAAAAAAAAAA&#10;AAAAAAChAgAAZHJzL2Rvd25yZXYueG1sUEsFBgAAAAAEAAQA+QAAAJMDAAAAAA==&#10;" strokecolor="#4a7ebb" strokeweight="2.25pt"/>
                  <v:shape id="Text Box 22" o:spid="_x0000_s1092" type="#_x0000_t202" style="position:absolute;left:33386;top:32994;width:13451;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lsscA&#10;AADdAAAADwAAAGRycy9kb3ducmV2LnhtbESPQWvCQBSE7wX/w/IEb3WjSCupq0hpqUKDNi14fWSf&#10;STT7NuxuTeqv7wqFHoeZ+YZZrHrTiAs5X1tWMBknIIgLq2suFXx9vt7PQfiArLGxTAp+yMNqObhb&#10;YKptxx90yUMpIoR9igqqENpUSl9UZNCPbUscvaN1BkOUrpTaYRfhppHTJHmQBmuOCxW29FxRcc6/&#10;jYJDl7+53XZ72reb7Lq75tk7vWRKjYb9+glEoD78h//aG61gmjzO4PY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pbLHAAAA3QAAAA8AAAAAAAAAAAAAAAAAmAIAAGRy&#10;cy9kb3ducmV2LnhtbFBLBQYAAAAABAAEAPUAAACMAwAAAAA=&#10;" fillcolor="window" stroked="f" strokeweight=".5pt">
                    <v:textbox>
                      <w:txbxContent>
                        <w:p w14:paraId="232C5F4E" w14:textId="77777777" w:rsidR="00151A1C" w:rsidRPr="00EE512C" w:rsidRDefault="00151A1C" w:rsidP="0049441E">
                          <w:pPr>
                            <w:pStyle w:val="NormalWeb"/>
                            <w:spacing w:before="0" w:after="0"/>
                            <w:jc w:val="center"/>
                            <w:rPr>
                              <w:color w:val="000000" w:themeColor="text1"/>
                            </w:rPr>
                          </w:pPr>
                          <w:r w:rsidRPr="00EE512C">
                            <w:rPr>
                              <w:rFonts w:ascii="Arial" w:eastAsia="Times New Roman" w:hAnsi="Arial"/>
                              <w:b/>
                              <w:bCs/>
                              <w:color w:val="000000" w:themeColor="text1"/>
                              <w:kern w:val="24"/>
                              <w:sz w:val="20"/>
                              <w:lang w:val="en-US"/>
                            </w:rPr>
                            <w:t>Pertel 2009</w:t>
                          </w:r>
                        </w:p>
                        <w:p w14:paraId="785106F4" w14:textId="77777777" w:rsidR="00151A1C" w:rsidRPr="00EE512C" w:rsidRDefault="00151A1C" w:rsidP="0049441E">
                          <w:pPr>
                            <w:pStyle w:val="NormalWeb"/>
                            <w:spacing w:before="0" w:after="0"/>
                            <w:jc w:val="center"/>
                            <w:rPr>
                              <w:color w:val="000000" w:themeColor="text1"/>
                            </w:rPr>
                          </w:pPr>
                          <w:r w:rsidRPr="00EE512C">
                            <w:rPr>
                              <w:rFonts w:ascii="Arial" w:eastAsia="Times New Roman" w:hAnsi="Arial"/>
                              <w:b/>
                              <w:bCs/>
                              <w:color w:val="000000" w:themeColor="text1"/>
                              <w:kern w:val="24"/>
                              <w:sz w:val="20"/>
                              <w:lang w:val="en-US"/>
                            </w:rPr>
                            <w:t>Aikawa 2013</w:t>
                          </w:r>
                        </w:p>
                      </w:txbxContent>
                    </v:textbox>
                  </v:shape>
                  <v:line id="Straight Connector 18" o:spid="_x0000_s1093" style="position:absolute;flip:x;visibility:visible;mso-wrap-style:square" from="14341,30276" to="30886,3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7tcQAAADdAAAADwAAAGRycy9kb3ducmV2LnhtbESPQWvCQBSE7wX/w/KEXopuDFgldRUN&#10;tM21Knh9zb4modm3YXdN0n/fFQSPw8x8w2x2o2lFT843lhUs5gkI4tLqhisF59P7bA3CB2SNrWVS&#10;8EcedtvJ0wYzbQf+ov4YKhEh7DNUUIfQZVL6siaDfm474uj9WGcwROkqqR0OEW5amSbJqzTYcFyo&#10;saO8pvL3eDUKPorvdf+J54s1q0PKPLxc8o6Uep6O+zcQgcbwCN/bhVaQJqsl3N7EJ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ju1xAAAAN0AAAAPAAAAAAAAAAAA&#10;AAAAAKECAABkcnMvZG93bnJldi54bWxQSwUGAAAAAAQABAD5AAAAkgMAAAAA&#10;" strokecolor="#4a7ebb" strokeweight="2.25pt"/>
                  <v:shape id="Text Box 20" o:spid="_x0000_s1094" type="#_x0000_t202" style="position:absolute;left:18048;top:33112;width:11369;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eXscA&#10;AADdAAAADwAAAGRycy9kb3ducmV2LnhtbESPQWvCQBSE7wX/w/KE3uqmHmxJXUWKUoUGNRW8PrLP&#10;JG32bdjdmtRf7woFj8PMfMNM571pxJmcry0reB4lIIgLq2suFRy+Vk+vIHxA1thYJgV/5GE+GzxM&#10;MdW24z2d81CKCGGfooIqhDaV0hcVGfQj2xJH72SdwRClK6V22EW4aeQ4SSbSYM1xocKW3isqfvJf&#10;o+DY5R9uu9l879p1dtle8uyTlplSj8N+8QYiUB/u4f/2WisYJy8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nl7HAAAA3QAAAA8AAAAAAAAAAAAAAAAAmAIAAGRy&#10;cy9kb3ducmV2LnhtbFBLBQYAAAAABAAEAPUAAACMAwAAAAA=&#10;" fillcolor="window" stroked="f" strokeweight=".5pt">
                    <v:textbox>
                      <w:txbxContent>
                        <w:p w14:paraId="18F0C95C"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Stryjewski 2008</w:t>
                          </w:r>
                        </w:p>
                      </w:txbxContent>
                    </v:textbox>
                  </v:shape>
                  <v:line id="Straight Connector 20" o:spid="_x0000_s1095" style="position:absolute;flip:y;visibility:visible;mso-wrap-style:square" from="21126,41393" to="40439,4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AWcMAAADdAAAADwAAAGRycy9kb3ducmV2LnhtbESPT4vCMBTE74LfITxhL7Km24Mt1Siu&#10;sKtX/4DXt82zLTYvpcm29dsbQfA4zMxvmOV6MLXoqHWVZQVfswgEcW51xYWC8+nnMwXhPLLG2jIp&#10;uJOD9Wo8WmKmbc8H6o6+EAHCLkMFpfdNJqXLSzLoZrYhDt7VtgZ9kG0hdYt9gJtaxlE0lwYrDgsl&#10;NrQtKb8d/42C3/1f2u3wfLEm+Y6Z++ll25BSH5NhswDhafDv8Ku91wriKEng+SY8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wAFnDAAAA3QAAAA8AAAAAAAAAAAAA&#10;AAAAoQIAAGRycy9kb3ducmV2LnhtbFBLBQYAAAAABAAEAPkAAACRAwAAAAA=&#10;" strokecolor="#4a7ebb" strokeweight="2.25pt"/>
                  <v:shape id="Text Box 10" o:spid="_x0000_s1096" type="#_x0000_t202" style="position:absolute;left:25832;top:39836;width:10108;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KLMcA&#10;AADdAAAADwAAAGRycy9kb3ducmV2LnhtbESPQWvCQBSE7wX/w/IEb3WjB1tTV5HSUoUGbVrw+sg+&#10;k2j2bdjdmtRf3xUKPQ4z8w2zWPWmERdyvrasYDJOQBAXVtdcKvj6fL1/BOEDssbGMin4IQ+r5eBu&#10;gam2HX/QJQ+liBD2KSqoQmhTKX1RkUE/ti1x9I7WGQxRulJqh12Em0ZOk2QmDdYcFyps6bmi4px/&#10;GwWHLn9zu+32tG832XV3zbN3esmUGg379ROIQH34D/+1N1rBNHmYw+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CizHAAAA3QAAAA8AAAAAAAAAAAAAAAAAmAIAAGRy&#10;cy9kb3ducmV2LnhtbFBLBQYAAAAABAAEAPUAAACMAwAAAAA=&#10;" fillcolor="window" stroked="f" strokeweight=".5pt">
                    <v:textbox>
                      <w:txbxContent>
                        <w:p w14:paraId="330DC1B4"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Evers 2013</w:t>
                          </w:r>
                        </w:p>
                      </w:txbxContent>
                    </v:textbox>
                  </v:shape>
                  <v:line id="Straight Connector 22" o:spid="_x0000_s1097" style="position:absolute;visibility:visible;mso-wrap-style:square" from="13569,27882" to="24019,2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EzsQAAADcAAAADwAAAGRycy9kb3ducmV2LnhtbESPQWsCMRSE74L/ITyhF9FsFxHZGkUE&#10;RdpL1T14fCSvu4ublyVJdf33jVDwOMzMN8xy3dtW3MiHxrGC92kGglg703CloDzvJgsQISIbbB2T&#10;ggcFWK+GgyUWxt35SLdTrESCcChQQR1jV0gZdE0Ww9R1xMn7cd5iTNJX0ni8J7htZZ5lc2mx4bRQ&#10;Y0fbmvT19GsVfMX5otxLbczn+Dh++O/rRW9Lpd5G/eYDRKQ+vsL/7YNRkOczeJ5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0TOxAAAANwAAAAPAAAAAAAAAAAA&#10;AAAAAKECAABkcnMvZG93bnJldi54bWxQSwUGAAAAAAQABAD5AAAAkgMAAAAA&#10;" strokecolor="#4a7ebb" strokeweight="2.25pt"/>
                  <v:line id="Straight Connector 23" o:spid="_x0000_s1098" style="position:absolute;visibility:visible;mso-wrap-style:square" from="37159,28001" to="47609,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hVcQAAADcAAAADwAAAGRycy9kb3ducmV2LnhtbESPQWsCMRSE74L/ITyhF9FsFxTZGkUE&#10;RdpL1T14fCSvu4ublyVJdf33jVDwOMzMN8xy3dtW3MiHxrGC92kGglg703CloDzvJgsQISIbbB2T&#10;ggcFWK+GgyUWxt35SLdTrESCcChQQR1jV0gZdE0Ww9R1xMn7cd5iTNJX0ni8J7htZZ5lc2mx4bRQ&#10;Y0fbmvT19GsVfMX5otxLbczn+Dh++O/rRW9Lpd5G/eYDRKQ+vsL/7YNRkOczeJ5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1+FVxAAAANwAAAAPAAAAAAAAAAAA&#10;AAAAAKECAABkcnMvZG93bnJldi54bWxQSwUGAAAAAAQABAD5AAAAkgMAAAAA&#10;" strokecolor="#4a7ebb" strokeweight="2.25pt"/>
                  <v:shape id="Text Box 23" o:spid="_x0000_s1099" type="#_x0000_t202" style="position:absolute;left:38868;top:26244;width:7620;height:4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AYMYA&#10;AADcAAAADwAAAGRycy9kb3ducmV2LnhtbESPQWvCQBSE74L/YXlCb7ppDiLRVUppqYLBmhZ6fWRf&#10;k7TZt2F3a6K/3i0IHoeZ+YZZbQbTihM531hW8DhLQBCXVjdcKfj8eJ0uQPiArLG1TArO5GGzHo9W&#10;mGnb85FORahEhLDPUEEdQpdJ6cuaDPqZ7Yij922dwRClq6R22Ee4aWWaJHNpsOG4UGNHzzWVv8Wf&#10;UfDVF2/usNv9vHfb/HK4FPmeXnKlHibD0xJEoCHcw7f2VitI0z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AYMYAAADcAAAADwAAAAAAAAAAAAAAAACYAgAAZHJz&#10;L2Rvd25yZXYueG1sUEsFBgAAAAAEAAQA9QAAAIsDAAAAAA==&#10;" fillcolor="window" stroked="f" strokeweight=".5pt">
                    <v:textbox>
                      <w:txbxContent>
                        <w:p w14:paraId="19B96C31" w14:textId="77777777" w:rsidR="00151A1C" w:rsidRDefault="00151A1C" w:rsidP="0049441E">
                          <w:pPr>
                            <w:pStyle w:val="NormalWeb"/>
                            <w:spacing w:before="0" w:after="0"/>
                            <w:jc w:val="center"/>
                          </w:pPr>
                          <w:r w:rsidRPr="00EE512C">
                            <w:rPr>
                              <w:rFonts w:ascii="Arial" w:eastAsia="Times New Roman" w:hAnsi="Arial"/>
                              <w:b/>
                              <w:bCs/>
                              <w:color w:val="000000" w:themeColor="text1"/>
                              <w:kern w:val="24"/>
                              <w:sz w:val="20"/>
                              <w:lang w:val="en-US"/>
                            </w:rPr>
                            <w:t>Florescu 2008</w:t>
                          </w:r>
                        </w:p>
                      </w:txbxContent>
                    </v:textbox>
                  </v:shape>
                  <v:line id="Straight Connector 25" o:spid="_x0000_s1100" style="position:absolute;visibility:visible;mso-wrap-style:square" from="19047,3704" to="30687,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aucQAAADcAAAADwAAAGRycy9kb3ducmV2LnhtbESPQWsCMRSE7wX/Q3iCF9Fs92BlaxQR&#10;FLGXqnvw+Ehedxc3L0uS6vrvG0HocZiZb5jFqretuJEPjWMF79MMBLF2puFKQXneTuYgQkQ22Dom&#10;BQ8KsFoO3hZYGHfnI91OsRIJwqFABXWMXSFl0DVZDFPXESfvx3mLMUlfSePxnuC2lXmWzaTFhtNC&#10;jR1tatLX069V8BVn83IntTGH8XH88N/Xi96USo2G/foTRKQ+/odf7b1RkOcf8Dy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dq5xAAAANwAAAAPAAAAAAAAAAAA&#10;AAAAAKECAABkcnMvZG93bnJldi54bWxQSwUGAAAAAAQABAD5AAAAkgMAAAAA&#10;" strokecolor="#4a7ebb" strokeweight="2.25pt"/>
                  <v:shape id="Text Box 26" o:spid="_x0000_s1101" type="#_x0000_t202" style="position:absolute;left:14230;top:4470;width:16319;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xicMA&#10;AADcAAAADwAAAGRycy9kb3ducmV2LnhtbERPz2vCMBS+D/wfwhO8zdQeZHRGGaKoYHHrBl4fzbPt&#10;bF5KEm3nX78cBjt+fL8Xq8G04k7ON5YVzKYJCOLS6oYrBV+f2+cXED4ga2wtk4If8rBajp4WmGnb&#10;8wfdi1CJGMI+QwV1CF0mpS9rMuintiOO3MU6gyFCV0ntsI/hppVpksylwYZjQ40drWsqr8XNKDj3&#10;xc6dDofv926fP06PIj/SJldqMh7eXkEEGsK/+M+91wrSN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xicMAAADcAAAADwAAAAAAAAAAAAAAAACYAgAAZHJzL2Rv&#10;d25yZXYueG1sUEsFBgAAAAAEAAQA9QAAAIgDAAAAAA==&#10;" fillcolor="window" stroked="f" strokeweight=".5pt">
                    <v:textbox>
                      <w:txbxContent>
                        <w:p w14:paraId="18BD44AA" w14:textId="77777777" w:rsidR="00151A1C" w:rsidRDefault="00151A1C" w:rsidP="0049441E">
                          <w:pPr>
                            <w:pStyle w:val="NormalWeb"/>
                            <w:spacing w:before="0" w:after="0"/>
                            <w:jc w:val="center"/>
                            <w:rPr>
                              <w:rFonts w:ascii="Arial" w:eastAsia="Times New Roman" w:hAnsi="Arial"/>
                              <w:b/>
                              <w:bCs/>
                              <w:color w:val="000000" w:themeColor="dark1"/>
                              <w:kern w:val="24"/>
                              <w:sz w:val="20"/>
                              <w:lang w:val="en-US"/>
                            </w:rPr>
                          </w:pPr>
                          <w:r w:rsidRPr="00254E2F">
                            <w:rPr>
                              <w:rFonts w:ascii="Arial" w:eastAsia="Times New Roman" w:hAnsi="Arial"/>
                              <w:b/>
                              <w:bCs/>
                              <w:color w:val="000000" w:themeColor="dark1"/>
                              <w:kern w:val="24"/>
                              <w:sz w:val="20"/>
                              <w:lang w:val="en-US"/>
                            </w:rPr>
                            <w:t>Prokocimer 2013</w:t>
                          </w:r>
                        </w:p>
                        <w:p w14:paraId="2FFFDD30"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Moran 2014</w:t>
                          </w:r>
                        </w:p>
                      </w:txbxContent>
                    </v:textbox>
                  </v:shape>
                </v:group>
                <v:roundrect id="Rounded Rectangle 27" o:spid="_x0000_s1102" style="position:absolute;left:34290;width:12940;height:33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lpMUA&#10;AADcAAAADwAAAGRycy9kb3ducmV2LnhtbESPQWvCQBSE7wX/w/IEL8VsTKGY1FWCIHiwlKoXb6/Z&#10;Z5I2+zZk1yT++26h4HGYmW+Y1WY0jeipc7VlBYsoBkFcWF1zqeB82s2XIJxH1thYJgV3crBZT55W&#10;mGk78Cf1R1+KAGGXoYLK+zaT0hUVGXSRbYmDd7WdQR9kV0rd4RDgppFJHL9KgzWHhQpb2lZU/Bxv&#10;RsE7clr7/LI/yOf89L17kR/F11Wp2XTM30B4Gv0j/N/eawVJk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mWkxQAAANwAAAAPAAAAAAAAAAAAAAAAAJgCAABkcnMv&#10;ZG93bnJldi54bWxQSwUGAAAAAAQABAD1AAAAigMAAAAA&#10;" fillcolor="#4f81bd" strokecolor="#385d8a" strokeweight="2pt">
                  <v:textbox>
                    <w:txbxContent>
                      <w:p w14:paraId="63EF5AE3" w14:textId="77777777" w:rsidR="00151A1C" w:rsidRDefault="00151A1C" w:rsidP="0049441E">
                        <w:pPr>
                          <w:pStyle w:val="NormalWeb"/>
                          <w:spacing w:before="0" w:after="0"/>
                          <w:jc w:val="center"/>
                        </w:pPr>
                        <w:r>
                          <w:rPr>
                            <w:rFonts w:ascii="Arial" w:eastAsia="Times New Roman" w:hAnsi="Arial"/>
                            <w:b/>
                            <w:bCs/>
                            <w:color w:val="FFFFFF" w:themeColor="light1"/>
                            <w:kern w:val="24"/>
                            <w:sz w:val="22"/>
                            <w:szCs w:val="22"/>
                            <w:lang w:val="en-US"/>
                          </w:rPr>
                          <w:t>Teicoplanin</w:t>
                        </w:r>
                      </w:p>
                    </w:txbxContent>
                  </v:textbox>
                </v:roundrect>
                <v:line id="Straight Connector 28" o:spid="_x0000_s1103" style="position:absolute;flip:x;visibility:visible;mso-wrap-style:square" from="29432,3333" to="40980,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wIYMAAAADcAAAADwAAAGRycy9kb3ducmV2LnhtbERPy4rCMBTdD/gP4QpuBptOB1RqoziC&#10;jlsf4PbaXNtic1Oa2Na/N4uBWR7OO1sPphYdta6yrOArikEQ51ZXXCi4nHfTBQjnkTXWlknBixys&#10;V6OPDFNtez5Sd/KFCCHsUlRQet+kUrq8JIMusg1x4O62NegDbAupW+xDuKllEsczabDi0FBiQ9uS&#10;8sfpaRTsD7dF94uXqzXzn4S5/7xuG1JqMh42SxCeBv8v/nMftILkO8wPZ8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8CGDAAAAA3AAAAA8AAAAAAAAAAAAAAAAA&#10;oQIAAGRycy9kb3ducmV2LnhtbFBLBQYAAAAABAAEAPkAAACOAwAAAAA=&#10;" strokecolor="#4a7ebb" strokeweight="2.25pt"/>
                <v:shape id="Text Box 26" o:spid="_x0000_s1104" type="#_x0000_t202" style="position:absolute;left:29051;top:4762;width:155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OycYA&#10;AADcAAAADwAAAGRycy9kb3ducmV2LnhtbESPQWvCQBSE7wX/w/IK3upGhVJSV5FiqYJBmwpeH9ln&#10;kjb7NuyuJvXXu0Khx2FmvmFmi9404kLO15YVjEcJCOLC6ppLBYev96cXED4ga2wsk4Jf8rCYDx5m&#10;mGrb8Sdd8lCKCGGfooIqhDaV0hcVGfQj2xJH72SdwRClK6V22EW4aeQkSZ6lwZrjQoUtvVVU/ORn&#10;o+DY5R9ut9l879t1dt1d82xLq0yp4WO/fAURqA//4b/2WiuYTM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lOycYAAADcAAAADwAAAAAAAAAAAAAAAACYAgAAZHJz&#10;L2Rvd25yZXYueG1sUEsFBgAAAAAEAAQA9QAAAIsDAAAAAA==&#10;" fillcolor="window" stroked="f" strokeweight=".5pt">
                  <v:textbox>
                    <w:txbxContent>
                      <w:p w14:paraId="436CE6C2" w14:textId="77777777" w:rsidR="00151A1C" w:rsidRDefault="00151A1C" w:rsidP="0049441E">
                        <w:pPr>
                          <w:pStyle w:val="NormalWeb"/>
                          <w:spacing w:before="0" w:after="0"/>
                          <w:jc w:val="center"/>
                        </w:pPr>
                        <w:r>
                          <w:rPr>
                            <w:rFonts w:ascii="Arial" w:eastAsia="Times New Roman" w:hAnsi="Arial"/>
                            <w:b/>
                            <w:bCs/>
                            <w:color w:val="000000" w:themeColor="dark1"/>
                            <w:kern w:val="24"/>
                            <w:sz w:val="20"/>
                            <w:lang w:val="en-US"/>
                          </w:rPr>
                          <w:t>Wilcox 2004</w:t>
                        </w:r>
                      </w:p>
                    </w:txbxContent>
                  </v:textbox>
                </v:shape>
                <w10:anchorlock/>
              </v:group>
            </w:pict>
          </mc:Fallback>
        </mc:AlternateContent>
      </w:r>
    </w:p>
    <w:p w14:paraId="4F27DA17" w14:textId="77777777" w:rsidR="0049441E" w:rsidRDefault="0049441E" w:rsidP="0049441E">
      <w:pPr>
        <w:pStyle w:val="ProposalText"/>
        <w:jc w:val="left"/>
        <w:rPr>
          <w:rFonts w:cs="Arial"/>
          <w:szCs w:val="22"/>
        </w:rPr>
      </w:pPr>
    </w:p>
    <w:p w14:paraId="46E67760" w14:textId="77777777" w:rsidR="0049441E" w:rsidRPr="008E4E92" w:rsidRDefault="0049441E" w:rsidP="0049441E">
      <w:pPr>
        <w:pStyle w:val="ProposalText"/>
        <w:jc w:val="left"/>
        <w:rPr>
          <w:rFonts w:cs="Arial"/>
          <w:szCs w:val="22"/>
        </w:rPr>
      </w:pPr>
    </w:p>
    <w:p w14:paraId="1A3EE815" w14:textId="77777777" w:rsidR="0049441E" w:rsidRPr="008472CC" w:rsidRDefault="0049441E" w:rsidP="0049441E">
      <w:pPr>
        <w:ind w:left="567"/>
        <w:jc w:val="both"/>
        <w:rPr>
          <w:rFonts w:cs="Arial"/>
          <w:sz w:val="22"/>
          <w:szCs w:val="22"/>
        </w:rPr>
      </w:pPr>
    </w:p>
    <w:p w14:paraId="7A5A401F" w14:textId="77777777" w:rsidR="0049441E" w:rsidRPr="008472CC" w:rsidRDefault="0049441E" w:rsidP="0049441E">
      <w:pPr>
        <w:pStyle w:val="Heading3"/>
        <w:keepLines w:val="0"/>
        <w:numPr>
          <w:ilvl w:val="2"/>
          <w:numId w:val="0"/>
        </w:numPr>
        <w:tabs>
          <w:tab w:val="num" w:pos="0"/>
        </w:tabs>
        <w:spacing w:before="0"/>
        <w:rPr>
          <w:rFonts w:ascii="Arial" w:hAnsi="Arial" w:cs="Arial"/>
          <w:b w:val="0"/>
          <w:color w:val="auto"/>
          <w:sz w:val="22"/>
          <w:szCs w:val="22"/>
        </w:rPr>
      </w:pPr>
      <w:r w:rsidRPr="008472CC">
        <w:rPr>
          <w:rFonts w:ascii="Arial" w:hAnsi="Arial" w:cs="Arial"/>
          <w:b w:val="0"/>
          <w:color w:val="auto"/>
          <w:sz w:val="22"/>
          <w:szCs w:val="22"/>
        </w:rPr>
        <w:t>A feasibility assessment was undertaken to explore differences between the 15 included trials, as follows:</w:t>
      </w:r>
    </w:p>
    <w:p w14:paraId="735AE4F0" w14:textId="77777777" w:rsidR="0049441E" w:rsidRPr="00C21816" w:rsidRDefault="0049441E" w:rsidP="0049441E">
      <w:pPr>
        <w:rPr>
          <w:rFonts w:cs="Arial"/>
          <w:sz w:val="22"/>
          <w:szCs w:val="22"/>
        </w:rPr>
      </w:pPr>
    </w:p>
    <w:p w14:paraId="010DB8D0" w14:textId="77777777" w:rsidR="0049441E" w:rsidRPr="00C21816" w:rsidRDefault="0049441E" w:rsidP="009025E3">
      <w:pPr>
        <w:pStyle w:val="Heading3"/>
        <w:keepLines w:val="0"/>
        <w:numPr>
          <w:ilvl w:val="0"/>
          <w:numId w:val="75"/>
        </w:numPr>
        <w:spacing w:before="0"/>
        <w:rPr>
          <w:rFonts w:ascii="Arial" w:hAnsi="Arial" w:cs="Arial"/>
          <w:color w:val="auto"/>
          <w:sz w:val="22"/>
          <w:szCs w:val="22"/>
        </w:rPr>
      </w:pPr>
      <w:r w:rsidRPr="00C21816">
        <w:rPr>
          <w:rFonts w:ascii="Arial" w:hAnsi="Arial" w:cs="Arial"/>
          <w:color w:val="auto"/>
          <w:sz w:val="22"/>
          <w:szCs w:val="22"/>
        </w:rPr>
        <w:t>Quality of Trials and Methods of Randomisation</w:t>
      </w:r>
    </w:p>
    <w:p w14:paraId="0677AD27" w14:textId="77777777" w:rsidR="0049441E" w:rsidRPr="00C21816" w:rsidRDefault="0049441E" w:rsidP="0049441E">
      <w:pPr>
        <w:pStyle w:val="ReportText"/>
        <w:spacing w:line="240" w:lineRule="auto"/>
        <w:jc w:val="left"/>
        <w:rPr>
          <w:rFonts w:cs="Arial"/>
          <w:szCs w:val="22"/>
        </w:rPr>
      </w:pPr>
    </w:p>
    <w:p w14:paraId="383A5D61"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lastRenderedPageBreak/>
        <w:t xml:space="preserve">All trials were reported to be randomised controlled trials, however, reporting of randomisation methods and methods of sequence generation were variable across the trials and unclear for many trials.  For the purpose of the network meta-analysis, it was assumed that the randomisation process was adequate.  The type and degree of blinding or allocation concealment was also variable across trials.  Seven trials were open-label </w:t>
      </w:r>
      <w:r>
        <w:rPr>
          <w:rFonts w:cs="Arial"/>
          <w:szCs w:val="22"/>
          <w:lang w:eastAsia="en-GB"/>
        </w:rPr>
        <w:t xml:space="preserve"> (Aikawa, 2013; Itani, 2010; Kohno, 2007; Sharpe, 2005; Stevens, 2002; Weigelt, 2005; Wilcox, 2004)</w:t>
      </w:r>
      <w:r w:rsidRPr="00C21816">
        <w:rPr>
          <w:rFonts w:cs="Arial"/>
          <w:szCs w:val="22"/>
          <w:lang w:eastAsia="en-GB"/>
        </w:rPr>
        <w:t xml:space="preserve">, three were single blind </w:t>
      </w:r>
      <w:r>
        <w:rPr>
          <w:rFonts w:cs="Arial"/>
          <w:szCs w:val="22"/>
          <w:lang w:eastAsia="en-GB"/>
        </w:rPr>
        <w:t>(Evers, 2013; Pertel, 2009; Talbot, 2007)</w:t>
      </w:r>
      <w:r w:rsidRPr="00C21816">
        <w:rPr>
          <w:rFonts w:cs="Arial"/>
          <w:szCs w:val="22"/>
          <w:lang w:eastAsia="en-GB"/>
        </w:rPr>
        <w:t xml:space="preserve"> (two in which the assessors were blinded </w:t>
      </w:r>
      <w:r>
        <w:rPr>
          <w:rFonts w:cs="Arial"/>
          <w:szCs w:val="22"/>
          <w:lang w:eastAsia="en-GB"/>
        </w:rPr>
        <w:t>(Pertel, 2009; Talbot, 2007),</w:t>
      </w:r>
      <w:r w:rsidRPr="00C21816">
        <w:rPr>
          <w:rFonts w:cs="Arial"/>
          <w:szCs w:val="22"/>
          <w:lang w:eastAsia="en-GB"/>
        </w:rPr>
        <w:t xml:space="preserve"> four were double blind</w:t>
      </w:r>
      <w:r>
        <w:rPr>
          <w:rFonts w:cs="Arial"/>
          <w:szCs w:val="22"/>
          <w:lang w:eastAsia="en-GB"/>
        </w:rPr>
        <w:t xml:space="preserve"> (Moran, 2014; Prokocimer, 2013; Florescu, 2008; Stryjewski, 2008)</w:t>
      </w:r>
      <w:r w:rsidRPr="00C21816">
        <w:rPr>
          <w:rFonts w:cs="Arial"/>
          <w:szCs w:val="22"/>
          <w:lang w:eastAsia="en-GB"/>
        </w:rPr>
        <w:t xml:space="preserve"> and a further trial did not report details of blinding</w:t>
      </w:r>
      <w:r>
        <w:rPr>
          <w:rFonts w:cs="Arial"/>
          <w:szCs w:val="22"/>
          <w:lang w:eastAsia="en-GB"/>
        </w:rPr>
        <w:t xml:space="preserve"> (lin, 2008).</w:t>
      </w:r>
      <w:r w:rsidRPr="00C21816">
        <w:rPr>
          <w:rFonts w:cs="Arial"/>
          <w:szCs w:val="22"/>
          <w:lang w:eastAsia="en-GB"/>
        </w:rPr>
        <w:t xml:space="preserve"> These differences represent a potential source of heterogeneity.</w:t>
      </w:r>
    </w:p>
    <w:p w14:paraId="321D17A8" w14:textId="77777777" w:rsidR="0049441E" w:rsidRPr="00C21816" w:rsidRDefault="0049441E" w:rsidP="0049441E">
      <w:pPr>
        <w:pStyle w:val="ReportText"/>
        <w:spacing w:line="240" w:lineRule="auto"/>
        <w:jc w:val="left"/>
        <w:rPr>
          <w:rFonts w:cs="Arial"/>
          <w:szCs w:val="22"/>
        </w:rPr>
      </w:pPr>
    </w:p>
    <w:p w14:paraId="21215236"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t xml:space="preserve">Across the trials, similar treatment time periods were assessed and the follow-up time was generally similar for the end of treatment and end of study time points.  With one exception </w:t>
      </w:r>
      <w:r>
        <w:rPr>
          <w:rFonts w:cs="Arial"/>
          <w:szCs w:val="22"/>
          <w:lang w:eastAsia="en-GB"/>
        </w:rPr>
        <w:t>(Lin, 2008)</w:t>
      </w:r>
      <w:r w:rsidRPr="00C21816">
        <w:rPr>
          <w:rFonts w:cs="Arial"/>
          <w:szCs w:val="22"/>
          <w:lang w:eastAsia="en-GB"/>
        </w:rPr>
        <w:t>, the proportion lost to follow up or where patient data were missing was similar across treatment arms within a trial and these proportions were generally similar across trials (with the exception of Wilcox 2004 and Stryjewski 2007).  Large proportions and/or different proportions lost to follow up between treatment arms can be a source of attrition bias.</w:t>
      </w:r>
    </w:p>
    <w:p w14:paraId="165BB4B7" w14:textId="77777777" w:rsidR="0049441E" w:rsidRPr="00C21816" w:rsidRDefault="0049441E" w:rsidP="0049441E">
      <w:pPr>
        <w:pStyle w:val="ReportText"/>
        <w:spacing w:line="240" w:lineRule="auto"/>
        <w:jc w:val="left"/>
        <w:rPr>
          <w:rFonts w:cs="Arial"/>
          <w:szCs w:val="22"/>
          <w:lang w:eastAsia="en-GB"/>
        </w:rPr>
      </w:pPr>
    </w:p>
    <w:p w14:paraId="573094D0" w14:textId="77777777" w:rsidR="0049441E" w:rsidRPr="008472CC" w:rsidRDefault="0049441E" w:rsidP="009025E3">
      <w:pPr>
        <w:pStyle w:val="Heading4"/>
        <w:keepLines w:val="0"/>
        <w:numPr>
          <w:ilvl w:val="0"/>
          <w:numId w:val="75"/>
        </w:numPr>
        <w:spacing w:before="0"/>
        <w:rPr>
          <w:rFonts w:ascii="Arial" w:hAnsi="Arial" w:cs="Arial"/>
          <w:i w:val="0"/>
          <w:color w:val="auto"/>
          <w:sz w:val="22"/>
          <w:szCs w:val="22"/>
          <w:lang w:eastAsia="en-GB"/>
        </w:rPr>
      </w:pPr>
      <w:r w:rsidRPr="008472CC">
        <w:rPr>
          <w:rFonts w:ascii="Arial" w:hAnsi="Arial" w:cs="Arial"/>
          <w:i w:val="0"/>
          <w:color w:val="auto"/>
          <w:sz w:val="22"/>
          <w:szCs w:val="22"/>
          <w:lang w:eastAsia="en-GB"/>
        </w:rPr>
        <w:t>Analysis population</w:t>
      </w:r>
    </w:p>
    <w:p w14:paraId="7DC9E293" w14:textId="77777777" w:rsidR="0049441E" w:rsidRPr="00C21816" w:rsidRDefault="0049441E" w:rsidP="0049441E">
      <w:pPr>
        <w:rPr>
          <w:rFonts w:cs="Arial"/>
          <w:sz w:val="22"/>
          <w:szCs w:val="22"/>
          <w:lang w:eastAsia="en-GB"/>
        </w:rPr>
      </w:pPr>
    </w:p>
    <w:p w14:paraId="45061AA3"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t>There was variety in the population groups analysed and several trials reported data for a number of populations.  A few trials assessed the ITT population, but most trials assessed a modified ITT comprising only those patients that received a baseline amount of a</w:t>
      </w:r>
      <w:r>
        <w:rPr>
          <w:rFonts w:cs="Arial"/>
          <w:szCs w:val="22"/>
          <w:lang w:eastAsia="en-GB"/>
        </w:rPr>
        <w:t xml:space="preserve"> medicine</w:t>
      </w:r>
      <w:r w:rsidRPr="00C21816">
        <w:rPr>
          <w:rFonts w:cs="Arial"/>
          <w:szCs w:val="22"/>
          <w:lang w:eastAsia="en-GB"/>
        </w:rPr>
        <w:t xml:space="preserve">, and/or patients that were evaluable (definitions varied across trials) or those that followed the protocol (to varying degrees).  </w:t>
      </w:r>
      <w:r w:rsidRPr="00C21816">
        <w:rPr>
          <w:rFonts w:cs="Arial"/>
          <w:szCs w:val="22"/>
        </w:rPr>
        <w:t>There is no way to account for these differences in populations in a network meta-analysis; it is a fundamental limitation of the data available</w:t>
      </w:r>
      <w:r w:rsidRPr="00C21816">
        <w:rPr>
          <w:rFonts w:cs="Arial"/>
          <w:szCs w:val="22"/>
          <w:lang w:eastAsia="en-GB"/>
        </w:rPr>
        <w:t xml:space="preserve"> and represents a potential source of heterogeneity.  </w:t>
      </w:r>
    </w:p>
    <w:p w14:paraId="1638B529" w14:textId="77777777" w:rsidR="0049441E" w:rsidRPr="00C21816" w:rsidRDefault="0049441E" w:rsidP="0049441E">
      <w:pPr>
        <w:pStyle w:val="ReportText"/>
        <w:spacing w:line="240" w:lineRule="auto"/>
        <w:jc w:val="left"/>
        <w:rPr>
          <w:rFonts w:cs="Arial"/>
          <w:szCs w:val="22"/>
          <w:lang w:eastAsia="en-GB"/>
        </w:rPr>
      </w:pPr>
    </w:p>
    <w:p w14:paraId="188AA67C" w14:textId="77777777" w:rsidR="0049441E" w:rsidRPr="00C21816" w:rsidRDefault="0049441E" w:rsidP="009025E3">
      <w:pPr>
        <w:pStyle w:val="Heading3"/>
        <w:keepLines w:val="0"/>
        <w:numPr>
          <w:ilvl w:val="0"/>
          <w:numId w:val="75"/>
        </w:numPr>
        <w:spacing w:before="0"/>
        <w:rPr>
          <w:rFonts w:ascii="Arial" w:hAnsi="Arial" w:cs="Arial"/>
          <w:color w:val="auto"/>
          <w:sz w:val="22"/>
          <w:szCs w:val="22"/>
        </w:rPr>
      </w:pPr>
      <w:r w:rsidRPr="00C21816">
        <w:rPr>
          <w:rFonts w:ascii="Arial" w:hAnsi="Arial" w:cs="Arial"/>
          <w:color w:val="auto"/>
          <w:sz w:val="22"/>
          <w:szCs w:val="22"/>
        </w:rPr>
        <w:t>Participant Populations</w:t>
      </w:r>
    </w:p>
    <w:p w14:paraId="1A21AC8E" w14:textId="77777777" w:rsidR="0049441E" w:rsidRPr="00C21816" w:rsidRDefault="0049441E" w:rsidP="0049441E">
      <w:pPr>
        <w:pStyle w:val="ReportText"/>
        <w:spacing w:line="240" w:lineRule="auto"/>
        <w:jc w:val="left"/>
        <w:rPr>
          <w:rFonts w:cs="Arial"/>
          <w:szCs w:val="22"/>
        </w:rPr>
      </w:pPr>
    </w:p>
    <w:p w14:paraId="18E57E55" w14:textId="77777777" w:rsidR="0049441E" w:rsidRPr="00C21816" w:rsidRDefault="0049441E" w:rsidP="0049441E">
      <w:pPr>
        <w:pStyle w:val="ReportText"/>
        <w:spacing w:line="240" w:lineRule="auto"/>
        <w:jc w:val="left"/>
        <w:rPr>
          <w:rFonts w:cs="Arial"/>
          <w:szCs w:val="22"/>
        </w:rPr>
      </w:pPr>
      <w:r w:rsidRPr="00C21816">
        <w:rPr>
          <w:rFonts w:cs="Arial"/>
          <w:szCs w:val="22"/>
        </w:rPr>
        <w:t xml:space="preserve">Across the 15 trials and between treatment arms, populations were broadly similar in eligible age, actual age and gender proportions, although several populations were slightly </w:t>
      </w:r>
      <w:r w:rsidRPr="00C21816">
        <w:rPr>
          <w:rFonts w:cs="Arial"/>
          <w:szCs w:val="22"/>
        </w:rPr>
        <w:lastRenderedPageBreak/>
        <w:t>older and two trials had comparatively low proportions of males in one treatment arm</w:t>
      </w:r>
      <w:r>
        <w:rPr>
          <w:rFonts w:cs="Arial"/>
          <w:szCs w:val="22"/>
        </w:rPr>
        <w:t xml:space="preserve"> (Pertel, 2009; Sharpe, 2005).</w:t>
      </w:r>
      <w:r w:rsidRPr="00C21816">
        <w:rPr>
          <w:rFonts w:cs="Arial"/>
          <w:szCs w:val="22"/>
        </w:rPr>
        <w:t xml:space="preserve"> Where reported, the majority of participants were White, with Blacks and Asian/Other races making up the minority.  Race was not reported by the two Japanese trials (Aikawa 2013 and Kohno 2007</w:t>
      </w:r>
      <w:r>
        <w:rPr>
          <w:rFonts w:cs="Arial"/>
          <w:szCs w:val="22"/>
        </w:rPr>
        <w:t xml:space="preserve">), </w:t>
      </w:r>
      <w:r w:rsidRPr="00C21816">
        <w:rPr>
          <w:rFonts w:cs="Arial"/>
          <w:szCs w:val="22"/>
        </w:rPr>
        <w:t xml:space="preserve">but we have assumed they were likely to have recruited a mainly Asian population, as indicated by the characteristically low body weight reported.  These two studies are different from the mainly white and relatively heavier participants of the other studies where race and body weight/BMI were reported.  The racial difference between the two Japanese trials and the other 13 trials suggests a source of heterogeneity in baseline population characteristics, but this is unlikely to affect the </w:t>
      </w:r>
      <w:r w:rsidRPr="00C21816">
        <w:rPr>
          <w:rFonts w:cs="Arial"/>
          <w:i/>
          <w:szCs w:val="22"/>
        </w:rPr>
        <w:t xml:space="preserve">relative difference </w:t>
      </w:r>
      <w:r w:rsidRPr="00C21816">
        <w:rPr>
          <w:rFonts w:cs="Arial"/>
          <w:szCs w:val="22"/>
        </w:rPr>
        <w:t>between the treatments being assessed.</w:t>
      </w:r>
    </w:p>
    <w:p w14:paraId="372C45F1" w14:textId="77777777" w:rsidR="0049441E" w:rsidRPr="00C21816" w:rsidRDefault="0049441E" w:rsidP="0049441E">
      <w:pPr>
        <w:pStyle w:val="ReportText"/>
        <w:spacing w:line="240" w:lineRule="auto"/>
        <w:jc w:val="left"/>
        <w:rPr>
          <w:rFonts w:cs="Arial"/>
          <w:szCs w:val="22"/>
        </w:rPr>
      </w:pPr>
    </w:p>
    <w:p w14:paraId="3883F7D5" w14:textId="77777777" w:rsidR="0049441E" w:rsidRPr="00C21816" w:rsidRDefault="0049441E" w:rsidP="0049441E">
      <w:pPr>
        <w:pStyle w:val="ReportText"/>
        <w:spacing w:line="240" w:lineRule="auto"/>
        <w:jc w:val="left"/>
        <w:rPr>
          <w:rFonts w:cs="Arial"/>
          <w:szCs w:val="22"/>
        </w:rPr>
      </w:pPr>
      <w:r w:rsidRPr="00C21816">
        <w:rPr>
          <w:rFonts w:cs="Arial"/>
          <w:szCs w:val="22"/>
        </w:rPr>
        <w:t>Diagnostic work up was generally well reported by the trials, but there were some differences in the criteria used to determine infection and/or MRSA infection.  This is likely to be due to the variability of presentation of infection symptoms.  Differences between studies generally reflected differences in the population groups assessed by studies. For example, some studies required a suspected or proven MRSA infection (e.g. Itani 2010), while others used only clinical signs of SSSI (e.g. Evers 2013) as diagnostic tools.  The inclusion criteria for this review required a ‘suspicion’ of MRSA, however the implications of this lack of a rigorous definition should be acknowledged: populations in the studies may not all have had an MRSA-associated infection.</w:t>
      </w:r>
    </w:p>
    <w:p w14:paraId="39C77295" w14:textId="77777777" w:rsidR="0049441E" w:rsidRPr="00C21816" w:rsidRDefault="0049441E" w:rsidP="0049441E">
      <w:pPr>
        <w:pStyle w:val="ReportText"/>
        <w:spacing w:line="240" w:lineRule="auto"/>
        <w:jc w:val="left"/>
        <w:rPr>
          <w:rFonts w:cs="Arial"/>
          <w:szCs w:val="22"/>
        </w:rPr>
      </w:pPr>
    </w:p>
    <w:p w14:paraId="33838D8E"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t>With the exception of the differences in diagnostic work-up between studies, and the racial difference of the two Japanese trials, the baseline population characteristics of the included trials did not present major heterogeneity for the proposed NMA.</w:t>
      </w:r>
    </w:p>
    <w:p w14:paraId="58DA48BE" w14:textId="77777777" w:rsidR="0049441E" w:rsidRPr="00C21816" w:rsidRDefault="0049441E" w:rsidP="0049441E">
      <w:pPr>
        <w:pStyle w:val="ReportText"/>
        <w:spacing w:line="240" w:lineRule="auto"/>
        <w:jc w:val="left"/>
        <w:rPr>
          <w:rFonts w:cs="Arial"/>
          <w:szCs w:val="22"/>
          <w:lang w:eastAsia="en-GB"/>
        </w:rPr>
      </w:pPr>
    </w:p>
    <w:p w14:paraId="492577CA" w14:textId="77777777" w:rsidR="0049441E" w:rsidRPr="00C21816" w:rsidRDefault="0049441E" w:rsidP="0049441E">
      <w:pPr>
        <w:pStyle w:val="ReportText"/>
        <w:spacing w:line="240" w:lineRule="auto"/>
        <w:jc w:val="left"/>
        <w:rPr>
          <w:rFonts w:cs="Arial"/>
          <w:szCs w:val="22"/>
        </w:rPr>
      </w:pPr>
      <w:r w:rsidRPr="00C21816">
        <w:rPr>
          <w:rFonts w:cs="Arial"/>
          <w:szCs w:val="22"/>
        </w:rPr>
        <w:t xml:space="preserve">Variability exists between the trials in the proportions of patients with cellulitis, wounds, abscess, and other types of infection, each varying from around 10% up to 50%.  The variability was generally between trials rather than between treatment arms of a trial.  Some studies, particularly those </w:t>
      </w:r>
      <w:r>
        <w:rPr>
          <w:rFonts w:cs="Arial"/>
          <w:szCs w:val="22"/>
        </w:rPr>
        <w:t>that</w:t>
      </w:r>
      <w:r w:rsidRPr="00C21816">
        <w:rPr>
          <w:rFonts w:cs="Arial"/>
          <w:szCs w:val="22"/>
        </w:rPr>
        <w:t xml:space="preserve"> also included patients with non-SSSI infections, did not report the infection details and the type of infection was not taken into consideration in the NMA.  Trials also varied in the proportion of patients with confirmed MRSA.  This variability reflects the different scope of the trials, some of which focused on MRSA</w:t>
      </w:r>
      <w:r>
        <w:rPr>
          <w:rFonts w:cs="Arial"/>
          <w:szCs w:val="22"/>
        </w:rPr>
        <w:t xml:space="preserve"> (Florescu, 2008),</w:t>
      </w:r>
      <w:r w:rsidRPr="00C21816">
        <w:rPr>
          <w:rFonts w:cs="Arial"/>
          <w:szCs w:val="22"/>
        </w:rPr>
        <w:t xml:space="preserve"> whereas other trials had a wider scope of infective agents</w:t>
      </w:r>
      <w:r>
        <w:rPr>
          <w:rFonts w:cs="Arial"/>
          <w:szCs w:val="22"/>
        </w:rPr>
        <w:t xml:space="preserve"> (Talbot, 2007).</w:t>
      </w:r>
    </w:p>
    <w:p w14:paraId="3D716743" w14:textId="77777777" w:rsidR="0049441E" w:rsidRPr="00C21816" w:rsidRDefault="0049441E" w:rsidP="0049441E">
      <w:pPr>
        <w:pStyle w:val="ReportText"/>
        <w:spacing w:line="240" w:lineRule="auto"/>
        <w:jc w:val="left"/>
        <w:rPr>
          <w:rFonts w:cs="Arial"/>
          <w:szCs w:val="22"/>
        </w:rPr>
      </w:pPr>
    </w:p>
    <w:p w14:paraId="429337E0" w14:textId="77777777" w:rsidR="0049441E" w:rsidRPr="00C21816" w:rsidRDefault="0049441E" w:rsidP="0049441E">
      <w:pPr>
        <w:pStyle w:val="ReportText"/>
        <w:spacing w:line="240" w:lineRule="auto"/>
        <w:jc w:val="left"/>
        <w:rPr>
          <w:rFonts w:cs="Arial"/>
          <w:szCs w:val="22"/>
        </w:rPr>
      </w:pPr>
      <w:r w:rsidRPr="00C21816">
        <w:rPr>
          <w:rFonts w:cs="Arial"/>
          <w:szCs w:val="22"/>
        </w:rPr>
        <w:lastRenderedPageBreak/>
        <w:t>Previous, potentially effective antibiotic treatment was generally reported as an exclusion criterion for entry into the trials.  Where details of prior therapy were reported, most trials allowed some degree of concomitant therapy or antibiotic use.  Coexisting diseases, where reported, occurred in similar proportions between treatment arms of a trial, although there were wide differences in the proportion of patients with diabetes across trials.  Values were generally similar between treatment arms and across studies for other reported baseline characteristics.</w:t>
      </w:r>
    </w:p>
    <w:p w14:paraId="24D3719B" w14:textId="77777777" w:rsidR="0049441E" w:rsidRPr="00C21816" w:rsidRDefault="0049441E" w:rsidP="0049441E">
      <w:pPr>
        <w:pStyle w:val="ReportText"/>
        <w:spacing w:line="240" w:lineRule="auto"/>
        <w:jc w:val="left"/>
        <w:rPr>
          <w:rFonts w:cs="Arial"/>
          <w:szCs w:val="22"/>
        </w:rPr>
      </w:pPr>
    </w:p>
    <w:p w14:paraId="5EBA09FE"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t xml:space="preserve">With the exception of the variability in the infection details between studies, the baseline population characteristics of the included trials did not present major heterogeneity for </w:t>
      </w:r>
      <w:r>
        <w:rPr>
          <w:rFonts w:cs="Arial"/>
          <w:szCs w:val="22"/>
          <w:lang w:eastAsia="en-GB"/>
        </w:rPr>
        <w:t xml:space="preserve">the </w:t>
      </w:r>
      <w:r w:rsidRPr="00C21816">
        <w:rPr>
          <w:rFonts w:cs="Arial"/>
          <w:szCs w:val="22"/>
          <w:lang w:eastAsia="en-GB"/>
        </w:rPr>
        <w:t>NMA.</w:t>
      </w:r>
    </w:p>
    <w:p w14:paraId="221E4871" w14:textId="77777777" w:rsidR="0049441E" w:rsidRPr="00C21816" w:rsidRDefault="0049441E" w:rsidP="0049441E">
      <w:pPr>
        <w:pStyle w:val="ReportText"/>
        <w:spacing w:line="240" w:lineRule="auto"/>
        <w:jc w:val="left"/>
        <w:rPr>
          <w:rFonts w:cs="Arial"/>
          <w:szCs w:val="22"/>
        </w:rPr>
      </w:pPr>
    </w:p>
    <w:p w14:paraId="7ECDD17E" w14:textId="77777777" w:rsidR="0049441E" w:rsidRPr="00C21816" w:rsidRDefault="0049441E" w:rsidP="009025E3">
      <w:pPr>
        <w:pStyle w:val="Heading3"/>
        <w:keepLines w:val="0"/>
        <w:numPr>
          <w:ilvl w:val="0"/>
          <w:numId w:val="75"/>
        </w:numPr>
        <w:spacing w:before="0"/>
        <w:rPr>
          <w:rFonts w:ascii="Arial" w:hAnsi="Arial" w:cs="Arial"/>
          <w:color w:val="auto"/>
          <w:sz w:val="22"/>
          <w:szCs w:val="22"/>
        </w:rPr>
      </w:pPr>
      <w:r w:rsidRPr="00C21816">
        <w:rPr>
          <w:rFonts w:ascii="Arial" w:hAnsi="Arial" w:cs="Arial"/>
          <w:color w:val="auto"/>
          <w:sz w:val="22"/>
          <w:szCs w:val="22"/>
        </w:rPr>
        <w:t>Trial Circumstances</w:t>
      </w:r>
    </w:p>
    <w:p w14:paraId="38EAC2B0" w14:textId="77777777" w:rsidR="0049441E" w:rsidRPr="00C21816" w:rsidRDefault="0049441E" w:rsidP="0049441E">
      <w:pPr>
        <w:pStyle w:val="ReportText"/>
        <w:spacing w:line="240" w:lineRule="auto"/>
        <w:jc w:val="left"/>
        <w:rPr>
          <w:rFonts w:cs="Arial"/>
          <w:szCs w:val="22"/>
        </w:rPr>
      </w:pPr>
    </w:p>
    <w:p w14:paraId="213BB3C7" w14:textId="77777777" w:rsidR="0049441E" w:rsidRPr="00C21816" w:rsidRDefault="0049441E" w:rsidP="0049441E">
      <w:pPr>
        <w:pStyle w:val="ReportText"/>
        <w:spacing w:line="240" w:lineRule="auto"/>
        <w:jc w:val="left"/>
        <w:rPr>
          <w:rFonts w:cs="Arial"/>
          <w:szCs w:val="22"/>
          <w:lang w:eastAsia="en-GB"/>
        </w:rPr>
      </w:pPr>
      <w:r w:rsidRPr="00C21816">
        <w:rPr>
          <w:rFonts w:cs="Arial"/>
          <w:szCs w:val="22"/>
          <w:lang w:eastAsia="en-GB"/>
        </w:rPr>
        <w:t xml:space="preserve">Where reported, the location of trials was North America, Europe, Japan, China, South America, Latin America and elsewhere in Asia, with ten of the trials being multinational.  Two trials did not report a location.  The setting of the trials was generally unreported, though where reported, it was clinical or medical sites.  All trials were conducted from July 1998 onwards.  The circumstances of the included trials did not present major heterogeneity for </w:t>
      </w:r>
      <w:r>
        <w:rPr>
          <w:rFonts w:cs="Arial"/>
          <w:szCs w:val="22"/>
          <w:lang w:eastAsia="en-GB"/>
        </w:rPr>
        <w:t>the</w:t>
      </w:r>
      <w:r w:rsidRPr="00C21816">
        <w:rPr>
          <w:rFonts w:cs="Arial"/>
          <w:szCs w:val="22"/>
          <w:lang w:eastAsia="en-GB"/>
        </w:rPr>
        <w:t xml:space="preserve"> NMA.</w:t>
      </w:r>
    </w:p>
    <w:p w14:paraId="0A6CAAF8" w14:textId="77777777" w:rsidR="0049441E" w:rsidRPr="00C21816" w:rsidRDefault="0049441E" w:rsidP="0049441E">
      <w:pPr>
        <w:pStyle w:val="ReportText"/>
        <w:spacing w:line="240" w:lineRule="auto"/>
        <w:jc w:val="left"/>
        <w:rPr>
          <w:rFonts w:cs="Arial"/>
          <w:szCs w:val="22"/>
        </w:rPr>
      </w:pPr>
    </w:p>
    <w:p w14:paraId="05E79F20" w14:textId="77777777" w:rsidR="0049441E" w:rsidRPr="00C21816" w:rsidRDefault="0049441E" w:rsidP="009025E3">
      <w:pPr>
        <w:pStyle w:val="Heading3"/>
        <w:keepLines w:val="0"/>
        <w:numPr>
          <w:ilvl w:val="0"/>
          <w:numId w:val="75"/>
        </w:numPr>
        <w:spacing w:before="0"/>
        <w:rPr>
          <w:rFonts w:ascii="Arial" w:hAnsi="Arial" w:cs="Arial"/>
          <w:color w:val="auto"/>
          <w:sz w:val="22"/>
          <w:szCs w:val="22"/>
        </w:rPr>
      </w:pPr>
      <w:r w:rsidRPr="00C21816">
        <w:rPr>
          <w:rFonts w:ascii="Arial" w:hAnsi="Arial" w:cs="Arial"/>
          <w:color w:val="auto"/>
          <w:sz w:val="22"/>
          <w:szCs w:val="22"/>
        </w:rPr>
        <w:t>Common Treatment Arms</w:t>
      </w:r>
    </w:p>
    <w:p w14:paraId="21D0367D" w14:textId="77777777" w:rsidR="0049441E" w:rsidRPr="00C21816" w:rsidRDefault="0049441E" w:rsidP="0049441E">
      <w:pPr>
        <w:pStyle w:val="ReportText"/>
        <w:spacing w:line="240" w:lineRule="auto"/>
        <w:jc w:val="left"/>
        <w:rPr>
          <w:rFonts w:cs="Arial"/>
          <w:szCs w:val="22"/>
        </w:rPr>
      </w:pPr>
    </w:p>
    <w:p w14:paraId="4BC7252A" w14:textId="77777777" w:rsidR="0049441E" w:rsidRPr="00C21816" w:rsidRDefault="0049441E" w:rsidP="0049441E">
      <w:pPr>
        <w:pStyle w:val="ReportText"/>
        <w:spacing w:line="240" w:lineRule="auto"/>
        <w:jc w:val="left"/>
        <w:rPr>
          <w:rFonts w:cs="Arial"/>
          <w:szCs w:val="22"/>
        </w:rPr>
      </w:pPr>
      <w:r w:rsidRPr="00C21816">
        <w:rPr>
          <w:rFonts w:cs="Arial"/>
          <w:szCs w:val="22"/>
        </w:rPr>
        <w:t>Similarity assessments of the treatment arms common to more than one study, and that feature in the NMA, was also explored.  For each of the treatments, the treatment dose, schedule and duration were similar across trials, and do not present heterogeneity issues for the potential NMA, with the exception of vancomycin where the treatment duration was 7-14 days in 7 studies, and up to 21-28 days in the other four studies, three of which included patients with a range of infections (i.e. not restricted to skin infections) which could explain the longer treatment duration</w:t>
      </w:r>
      <w:r>
        <w:rPr>
          <w:rFonts w:cs="Arial"/>
          <w:szCs w:val="22"/>
        </w:rPr>
        <w:t xml:space="preserve"> (Florescu, 2008; Kohno, 2007; Lin, 2008). </w:t>
      </w:r>
      <w:r w:rsidRPr="00C21816">
        <w:rPr>
          <w:rFonts w:cs="Arial"/>
          <w:szCs w:val="22"/>
        </w:rPr>
        <w:t xml:space="preserve">There were some differences in the administration methods for both tedizolid </w:t>
      </w:r>
      <w:r>
        <w:rPr>
          <w:rFonts w:cs="Arial"/>
          <w:szCs w:val="22"/>
        </w:rPr>
        <w:t xml:space="preserve">phosphate </w:t>
      </w:r>
      <w:r w:rsidRPr="00C21816">
        <w:rPr>
          <w:rFonts w:cs="Arial"/>
          <w:szCs w:val="22"/>
        </w:rPr>
        <w:t>and linezolid, both treatments could be administered orally or intravenously.</w:t>
      </w:r>
    </w:p>
    <w:p w14:paraId="31E9883C" w14:textId="77777777" w:rsidR="0049441E" w:rsidRPr="00C21816" w:rsidRDefault="0049441E" w:rsidP="0049441E">
      <w:pPr>
        <w:pStyle w:val="ReportText"/>
        <w:spacing w:line="240" w:lineRule="auto"/>
        <w:jc w:val="left"/>
        <w:rPr>
          <w:rFonts w:cs="Arial"/>
          <w:szCs w:val="22"/>
        </w:rPr>
      </w:pPr>
    </w:p>
    <w:p w14:paraId="671C46AD" w14:textId="77777777" w:rsidR="0049441E" w:rsidRPr="00C21816" w:rsidRDefault="0049441E" w:rsidP="009025E3">
      <w:pPr>
        <w:pStyle w:val="Heading3"/>
        <w:keepLines w:val="0"/>
        <w:numPr>
          <w:ilvl w:val="0"/>
          <w:numId w:val="75"/>
        </w:numPr>
        <w:spacing w:before="0"/>
        <w:rPr>
          <w:rFonts w:ascii="Arial" w:hAnsi="Arial" w:cs="Arial"/>
          <w:color w:val="auto"/>
          <w:sz w:val="22"/>
          <w:szCs w:val="22"/>
        </w:rPr>
      </w:pPr>
      <w:r w:rsidRPr="00C21816">
        <w:rPr>
          <w:rFonts w:ascii="Arial" w:hAnsi="Arial" w:cs="Arial"/>
          <w:color w:val="auto"/>
          <w:sz w:val="22"/>
          <w:szCs w:val="22"/>
        </w:rPr>
        <w:lastRenderedPageBreak/>
        <w:t>Outcomes of Interest</w:t>
      </w:r>
    </w:p>
    <w:p w14:paraId="42D055BB" w14:textId="77777777" w:rsidR="0049441E" w:rsidRPr="00C21816" w:rsidRDefault="0049441E" w:rsidP="0049441E">
      <w:pPr>
        <w:rPr>
          <w:rFonts w:cs="Arial"/>
          <w:sz w:val="22"/>
          <w:szCs w:val="22"/>
        </w:rPr>
      </w:pPr>
    </w:p>
    <w:p w14:paraId="4D75BC93" w14:textId="77777777" w:rsidR="0049441E" w:rsidRPr="00C21816" w:rsidRDefault="0049441E" w:rsidP="0049441E">
      <w:pPr>
        <w:pStyle w:val="Heading4"/>
        <w:keepLines w:val="0"/>
        <w:numPr>
          <w:ilvl w:val="3"/>
          <w:numId w:val="0"/>
        </w:numPr>
        <w:tabs>
          <w:tab w:val="num" w:pos="851"/>
        </w:tabs>
        <w:spacing w:before="0"/>
        <w:ind w:left="851" w:hanging="851"/>
        <w:rPr>
          <w:rFonts w:ascii="Arial" w:hAnsi="Arial" w:cs="Arial"/>
          <w:color w:val="auto"/>
          <w:sz w:val="22"/>
          <w:szCs w:val="22"/>
        </w:rPr>
      </w:pPr>
      <w:r w:rsidRPr="00C21816">
        <w:rPr>
          <w:rFonts w:ascii="Arial" w:hAnsi="Arial" w:cs="Arial"/>
          <w:color w:val="auto"/>
          <w:sz w:val="22"/>
          <w:szCs w:val="22"/>
        </w:rPr>
        <w:t>Clinical response</w:t>
      </w:r>
    </w:p>
    <w:p w14:paraId="38D044D8" w14:textId="77777777" w:rsidR="0049441E" w:rsidRPr="00C21816" w:rsidRDefault="0049441E" w:rsidP="0049441E">
      <w:pPr>
        <w:pStyle w:val="ReportText"/>
        <w:spacing w:line="240" w:lineRule="auto"/>
        <w:jc w:val="left"/>
        <w:rPr>
          <w:rFonts w:cs="Arial"/>
          <w:szCs w:val="22"/>
        </w:rPr>
      </w:pPr>
    </w:p>
    <w:p w14:paraId="28EDEC76" w14:textId="77777777" w:rsidR="0049441E" w:rsidRPr="00C21816" w:rsidRDefault="0049441E" w:rsidP="0049441E">
      <w:pPr>
        <w:pStyle w:val="ReportText"/>
        <w:spacing w:line="240" w:lineRule="auto"/>
        <w:jc w:val="left"/>
        <w:rPr>
          <w:rFonts w:cs="Arial"/>
          <w:b/>
          <w:szCs w:val="22"/>
        </w:rPr>
      </w:pPr>
      <w:r w:rsidRPr="00C21816">
        <w:rPr>
          <w:rFonts w:cs="Arial"/>
          <w:b/>
          <w:szCs w:val="22"/>
        </w:rPr>
        <w:t>Definition of response</w:t>
      </w:r>
    </w:p>
    <w:p w14:paraId="4A95241D" w14:textId="77777777" w:rsidR="0049441E" w:rsidRPr="00C21816" w:rsidRDefault="0049441E" w:rsidP="0049441E">
      <w:pPr>
        <w:pStyle w:val="ReportText"/>
        <w:spacing w:line="240" w:lineRule="auto"/>
        <w:jc w:val="left"/>
        <w:rPr>
          <w:rFonts w:cs="Arial"/>
          <w:b/>
          <w:i/>
          <w:szCs w:val="22"/>
        </w:rPr>
      </w:pPr>
    </w:p>
    <w:p w14:paraId="56973DAE" w14:textId="77777777" w:rsidR="0049441E" w:rsidRPr="00C21816" w:rsidRDefault="0049441E" w:rsidP="0049441E">
      <w:pPr>
        <w:pStyle w:val="ReportText"/>
        <w:spacing w:line="240" w:lineRule="auto"/>
        <w:jc w:val="left"/>
        <w:rPr>
          <w:rFonts w:cs="Arial"/>
          <w:szCs w:val="22"/>
        </w:rPr>
      </w:pPr>
      <w:r w:rsidRPr="00C21816">
        <w:rPr>
          <w:rFonts w:cs="Arial"/>
          <w:szCs w:val="22"/>
        </w:rPr>
        <w:t>All but one of the trials stated that patients with a resolution or improvement in key clinical symptoms, or a cessation of infection spread were classed as responders.  Only Itani 2010 did not report the details of assessment</w:t>
      </w:r>
      <w:r>
        <w:rPr>
          <w:rFonts w:cs="Arial"/>
          <w:szCs w:val="22"/>
        </w:rPr>
        <w:t xml:space="preserve"> (Itani, 2010)</w:t>
      </w:r>
      <w:r w:rsidRPr="00C21816">
        <w:rPr>
          <w:rFonts w:cs="Arial"/>
          <w:szCs w:val="22"/>
        </w:rPr>
        <w:t xml:space="preserve">.  Although there were differences in the details of assessment reported in each trial, the trials were deemed similar enough to facilitate comparison in a network.  </w:t>
      </w:r>
    </w:p>
    <w:p w14:paraId="0326318D" w14:textId="77777777" w:rsidR="0049441E" w:rsidRPr="00C21816" w:rsidRDefault="0049441E" w:rsidP="0049441E">
      <w:pPr>
        <w:pStyle w:val="ReportText"/>
        <w:spacing w:line="240" w:lineRule="auto"/>
        <w:jc w:val="left"/>
        <w:rPr>
          <w:rFonts w:cs="Arial"/>
          <w:szCs w:val="22"/>
        </w:rPr>
      </w:pPr>
    </w:p>
    <w:p w14:paraId="6B47B2EE" w14:textId="77777777" w:rsidR="0049441E" w:rsidRPr="00C21816" w:rsidRDefault="0049441E" w:rsidP="0049441E">
      <w:pPr>
        <w:pStyle w:val="ReportText"/>
        <w:spacing w:line="240" w:lineRule="auto"/>
        <w:jc w:val="left"/>
        <w:rPr>
          <w:rFonts w:cs="Arial"/>
          <w:b/>
          <w:szCs w:val="22"/>
        </w:rPr>
      </w:pPr>
      <w:r w:rsidRPr="00C21816">
        <w:rPr>
          <w:rFonts w:cs="Arial"/>
          <w:b/>
          <w:szCs w:val="22"/>
        </w:rPr>
        <w:t>Time points of assessment</w:t>
      </w:r>
    </w:p>
    <w:p w14:paraId="38A843F5" w14:textId="77777777" w:rsidR="0049441E" w:rsidRPr="00C21816" w:rsidRDefault="0049441E" w:rsidP="0049441E">
      <w:pPr>
        <w:pStyle w:val="ReportText"/>
        <w:spacing w:line="240" w:lineRule="auto"/>
        <w:jc w:val="left"/>
        <w:rPr>
          <w:rFonts w:cs="Arial"/>
          <w:b/>
          <w:i/>
          <w:szCs w:val="22"/>
        </w:rPr>
      </w:pPr>
    </w:p>
    <w:p w14:paraId="2A43E359" w14:textId="77777777" w:rsidR="0049441E" w:rsidRPr="00C21816" w:rsidRDefault="0049441E" w:rsidP="0049441E">
      <w:pPr>
        <w:pStyle w:val="ReportText"/>
        <w:spacing w:line="240" w:lineRule="auto"/>
        <w:jc w:val="left"/>
        <w:rPr>
          <w:rFonts w:cs="Arial"/>
          <w:szCs w:val="22"/>
        </w:rPr>
      </w:pPr>
      <w:r w:rsidRPr="00C21816">
        <w:rPr>
          <w:rFonts w:cs="Arial"/>
          <w:szCs w:val="22"/>
        </w:rPr>
        <w:t>Clinical response data were collected at three main time points in the trials assessed:</w:t>
      </w:r>
    </w:p>
    <w:p w14:paraId="0975A2E7" w14:textId="77777777" w:rsidR="0049441E" w:rsidRPr="00C21816" w:rsidRDefault="0049441E" w:rsidP="0049441E">
      <w:pPr>
        <w:pStyle w:val="ReportText"/>
        <w:spacing w:line="240" w:lineRule="auto"/>
        <w:jc w:val="left"/>
        <w:rPr>
          <w:rFonts w:cs="Arial"/>
          <w:szCs w:val="22"/>
        </w:rPr>
      </w:pPr>
    </w:p>
    <w:p w14:paraId="00F73C08" w14:textId="77777777" w:rsidR="0049441E" w:rsidRPr="00C21816" w:rsidRDefault="0049441E" w:rsidP="009025E3">
      <w:pPr>
        <w:pStyle w:val="ReportText"/>
        <w:numPr>
          <w:ilvl w:val="0"/>
          <w:numId w:val="74"/>
        </w:numPr>
        <w:spacing w:line="240" w:lineRule="auto"/>
        <w:jc w:val="left"/>
        <w:rPr>
          <w:rFonts w:cs="Arial"/>
          <w:szCs w:val="22"/>
        </w:rPr>
      </w:pPr>
      <w:r w:rsidRPr="00C21816">
        <w:rPr>
          <w:rFonts w:cs="Arial"/>
          <w:szCs w:val="22"/>
        </w:rPr>
        <w:t>Early assessment (48-72 hours after first dose);</w:t>
      </w:r>
    </w:p>
    <w:p w14:paraId="27C6B6A8" w14:textId="77777777" w:rsidR="0049441E" w:rsidRPr="00C21816" w:rsidRDefault="0049441E" w:rsidP="009025E3">
      <w:pPr>
        <w:pStyle w:val="ReportText"/>
        <w:numPr>
          <w:ilvl w:val="0"/>
          <w:numId w:val="74"/>
        </w:numPr>
        <w:spacing w:line="240" w:lineRule="auto"/>
        <w:jc w:val="left"/>
        <w:rPr>
          <w:rFonts w:cs="Arial"/>
          <w:szCs w:val="22"/>
        </w:rPr>
      </w:pPr>
      <w:r w:rsidRPr="00C21816">
        <w:rPr>
          <w:rFonts w:cs="Arial"/>
          <w:szCs w:val="22"/>
        </w:rPr>
        <w:t>End of treatment (within 48 hours of final treatment);</w:t>
      </w:r>
    </w:p>
    <w:p w14:paraId="0D5A03E8" w14:textId="77777777" w:rsidR="0049441E" w:rsidRPr="00C21816" w:rsidRDefault="0049441E" w:rsidP="009025E3">
      <w:pPr>
        <w:pStyle w:val="ReportText"/>
        <w:numPr>
          <w:ilvl w:val="0"/>
          <w:numId w:val="74"/>
        </w:numPr>
        <w:spacing w:line="240" w:lineRule="auto"/>
        <w:jc w:val="left"/>
        <w:rPr>
          <w:rFonts w:cs="Arial"/>
          <w:szCs w:val="22"/>
        </w:rPr>
      </w:pPr>
      <w:r w:rsidRPr="00C21816">
        <w:rPr>
          <w:rFonts w:cs="Arial"/>
          <w:szCs w:val="22"/>
        </w:rPr>
        <w:t>Post treatment evaluation/test of cure (1-3 weeks following final treatment).</w:t>
      </w:r>
    </w:p>
    <w:p w14:paraId="51549516" w14:textId="77777777" w:rsidR="0049441E" w:rsidRPr="00C21816" w:rsidRDefault="0049441E" w:rsidP="0049441E">
      <w:pPr>
        <w:pStyle w:val="ReportText"/>
        <w:spacing w:line="240" w:lineRule="auto"/>
        <w:jc w:val="left"/>
        <w:rPr>
          <w:rFonts w:cs="Arial"/>
          <w:szCs w:val="22"/>
        </w:rPr>
      </w:pPr>
    </w:p>
    <w:p w14:paraId="34E85F39" w14:textId="77777777" w:rsidR="0049441E" w:rsidRPr="00C21816" w:rsidRDefault="0049441E" w:rsidP="0049441E">
      <w:pPr>
        <w:pStyle w:val="ReportText"/>
        <w:spacing w:line="240" w:lineRule="auto"/>
        <w:jc w:val="left"/>
        <w:rPr>
          <w:rFonts w:cs="Arial"/>
          <w:szCs w:val="22"/>
        </w:rPr>
      </w:pPr>
      <w:r w:rsidRPr="00C21816">
        <w:rPr>
          <w:rFonts w:cs="Arial"/>
          <w:szCs w:val="22"/>
        </w:rPr>
        <w:t xml:space="preserve">However, only two trials reported data on early clinical response (48-72 hours after the first dose of study medication) </w:t>
      </w:r>
      <w:r>
        <w:rPr>
          <w:rFonts w:cs="Arial"/>
          <w:szCs w:val="22"/>
        </w:rPr>
        <w:t xml:space="preserve">(Prokocimer, 2013; Moran, 2014) </w:t>
      </w:r>
      <w:r w:rsidRPr="00C21816">
        <w:rPr>
          <w:rFonts w:cs="Arial"/>
          <w:szCs w:val="22"/>
        </w:rPr>
        <w:t>so networks were only possible for the end of treatment assessment an</w:t>
      </w:r>
      <w:r>
        <w:rPr>
          <w:rFonts w:cs="Arial"/>
          <w:szCs w:val="22"/>
        </w:rPr>
        <w:t>d for post treatment evaluation.</w:t>
      </w:r>
    </w:p>
    <w:p w14:paraId="5199D0FE" w14:textId="77777777" w:rsidR="0049441E" w:rsidRPr="00C21816" w:rsidRDefault="0049441E" w:rsidP="0049441E">
      <w:pPr>
        <w:pStyle w:val="ReportText"/>
        <w:spacing w:line="240" w:lineRule="auto"/>
        <w:jc w:val="left"/>
        <w:rPr>
          <w:rFonts w:cs="Arial"/>
          <w:i/>
          <w:szCs w:val="22"/>
        </w:rPr>
      </w:pPr>
    </w:p>
    <w:p w14:paraId="14F37E76" w14:textId="77777777" w:rsidR="0049441E" w:rsidRPr="00C21816" w:rsidRDefault="0049441E" w:rsidP="0049441E">
      <w:pPr>
        <w:pStyle w:val="Heading4"/>
        <w:keepLines w:val="0"/>
        <w:numPr>
          <w:ilvl w:val="3"/>
          <w:numId w:val="0"/>
        </w:numPr>
        <w:tabs>
          <w:tab w:val="num" w:pos="851"/>
        </w:tabs>
        <w:spacing w:before="0"/>
        <w:ind w:left="851" w:hanging="851"/>
        <w:rPr>
          <w:rFonts w:ascii="Arial" w:hAnsi="Arial" w:cs="Arial"/>
          <w:color w:val="auto"/>
          <w:sz w:val="22"/>
          <w:szCs w:val="22"/>
        </w:rPr>
      </w:pPr>
      <w:r w:rsidRPr="00C21816">
        <w:rPr>
          <w:rFonts w:ascii="Arial" w:hAnsi="Arial" w:cs="Arial"/>
          <w:color w:val="auto"/>
          <w:sz w:val="22"/>
          <w:szCs w:val="22"/>
        </w:rPr>
        <w:t>Nephrotoxicity</w:t>
      </w:r>
    </w:p>
    <w:p w14:paraId="5C4734B4" w14:textId="77777777" w:rsidR="0049441E" w:rsidRPr="00C21816" w:rsidRDefault="0049441E" w:rsidP="0049441E">
      <w:pPr>
        <w:pStyle w:val="ReportText"/>
        <w:spacing w:line="240" w:lineRule="auto"/>
        <w:jc w:val="left"/>
        <w:rPr>
          <w:rFonts w:cs="Arial"/>
          <w:i/>
          <w:szCs w:val="22"/>
        </w:rPr>
      </w:pPr>
    </w:p>
    <w:p w14:paraId="32BDD44E" w14:textId="77777777" w:rsidR="0049441E" w:rsidRPr="00C21816" w:rsidRDefault="0049441E" w:rsidP="0049441E">
      <w:pPr>
        <w:pStyle w:val="ReportText"/>
        <w:spacing w:line="240" w:lineRule="auto"/>
        <w:jc w:val="left"/>
        <w:rPr>
          <w:rFonts w:cs="Arial"/>
          <w:szCs w:val="22"/>
        </w:rPr>
      </w:pPr>
      <w:r w:rsidRPr="00C21816">
        <w:rPr>
          <w:rFonts w:cs="Arial"/>
          <w:szCs w:val="22"/>
        </w:rPr>
        <w:t xml:space="preserve">Relevant data were available from two trials for this outcome </w:t>
      </w:r>
      <w:r>
        <w:rPr>
          <w:rFonts w:cs="Arial"/>
          <w:szCs w:val="22"/>
        </w:rPr>
        <w:t>(Prokocimer, 2013; Stryjewski, 2008)</w:t>
      </w:r>
      <w:r w:rsidRPr="00C21816">
        <w:rPr>
          <w:rFonts w:cs="Arial"/>
          <w:szCs w:val="22"/>
        </w:rPr>
        <w:t xml:space="preserve">.  The two trials </w:t>
      </w:r>
      <w:r w:rsidRPr="00C21816">
        <w:rPr>
          <w:rFonts w:cs="Arial"/>
          <w:bCs/>
          <w:szCs w:val="22"/>
        </w:rPr>
        <w:t>compared tedizolid vs. linezolid and vancomycin vs. telavancin.  The trials do not share a common treatment arm so a NMA could not be conducted.</w:t>
      </w:r>
    </w:p>
    <w:p w14:paraId="378671EE" w14:textId="77777777" w:rsidR="0049441E" w:rsidRPr="00C21816" w:rsidRDefault="0049441E" w:rsidP="0049441E">
      <w:pPr>
        <w:pStyle w:val="ReportText"/>
        <w:spacing w:line="240" w:lineRule="auto"/>
        <w:jc w:val="left"/>
        <w:rPr>
          <w:rFonts w:cs="Arial"/>
          <w:szCs w:val="22"/>
        </w:rPr>
      </w:pPr>
    </w:p>
    <w:p w14:paraId="3BCD76C7" w14:textId="77777777" w:rsidR="0049441E" w:rsidRPr="009B0708" w:rsidRDefault="0049441E" w:rsidP="0049441E">
      <w:pPr>
        <w:rPr>
          <w:rFonts w:eastAsia="Times New Roman" w:cs="Arial"/>
          <w:b/>
          <w:bCs/>
          <w:i/>
          <w:sz w:val="22"/>
          <w:szCs w:val="22"/>
        </w:rPr>
      </w:pPr>
      <w:r w:rsidRPr="009B0708">
        <w:rPr>
          <w:rFonts w:cs="Arial"/>
          <w:b/>
          <w:i/>
          <w:sz w:val="22"/>
          <w:szCs w:val="22"/>
        </w:rPr>
        <w:t>Discontinuation due to adverse events</w:t>
      </w:r>
    </w:p>
    <w:p w14:paraId="5452766D" w14:textId="77777777" w:rsidR="0049441E" w:rsidRPr="00C21816" w:rsidRDefault="0049441E" w:rsidP="0049441E">
      <w:pPr>
        <w:pStyle w:val="ReportText"/>
        <w:spacing w:line="240" w:lineRule="auto"/>
        <w:jc w:val="left"/>
        <w:rPr>
          <w:rFonts w:cs="Arial"/>
          <w:szCs w:val="22"/>
        </w:rPr>
      </w:pPr>
    </w:p>
    <w:p w14:paraId="7A960E08" w14:textId="77777777" w:rsidR="0049441E" w:rsidRPr="00C21816" w:rsidRDefault="0049441E" w:rsidP="0049441E">
      <w:pPr>
        <w:pStyle w:val="ReportText"/>
        <w:spacing w:line="240" w:lineRule="auto"/>
        <w:jc w:val="left"/>
        <w:rPr>
          <w:rFonts w:cs="Arial"/>
          <w:szCs w:val="22"/>
        </w:rPr>
      </w:pPr>
      <w:r w:rsidRPr="00C21816">
        <w:rPr>
          <w:rFonts w:cs="Arial"/>
          <w:szCs w:val="22"/>
        </w:rPr>
        <w:lastRenderedPageBreak/>
        <w:t xml:space="preserve">Relevant data were available from seven trials </w:t>
      </w:r>
      <w:r>
        <w:rPr>
          <w:rFonts w:cs="Arial"/>
          <w:szCs w:val="22"/>
        </w:rPr>
        <w:t xml:space="preserve"> (Moran, 2014; Prokocimer, 2013; Aikawa, 2013; Pertel, 2009; Stryjewski, 2008; Talbot, 2007; Weigelt, 2005). </w:t>
      </w:r>
      <w:r w:rsidRPr="00C21816">
        <w:rPr>
          <w:rFonts w:cs="Arial"/>
          <w:szCs w:val="22"/>
        </w:rPr>
        <w:t>The data were reported for either ITT or modified / all-treated populations.  A further three trials reported discontinuations due to adverse events, but they did not report results separately for the subgroups of patients with SSSI</w:t>
      </w:r>
      <w:r>
        <w:rPr>
          <w:rFonts w:cs="Arial"/>
          <w:szCs w:val="22"/>
        </w:rPr>
        <w:t xml:space="preserve"> (Florescu, 2008; Kohno, 2007; Stevens, 2002). </w:t>
      </w:r>
      <w:r w:rsidRPr="00C21816">
        <w:rPr>
          <w:rFonts w:cs="Arial"/>
          <w:szCs w:val="22"/>
        </w:rPr>
        <w:t>There was limited reporting of the definition of adverse events by many of the trials, but the definitions were assumed to be similar for the purpose of thes</w:t>
      </w:r>
      <w:r>
        <w:rPr>
          <w:rFonts w:cs="Arial"/>
          <w:szCs w:val="22"/>
        </w:rPr>
        <w:t>e analyses.</w:t>
      </w:r>
    </w:p>
    <w:p w14:paraId="69A55253" w14:textId="77777777" w:rsidR="0049441E" w:rsidRPr="00C21816" w:rsidRDefault="0049441E" w:rsidP="0049441E">
      <w:pPr>
        <w:pStyle w:val="ReportText"/>
        <w:spacing w:line="240" w:lineRule="auto"/>
        <w:jc w:val="left"/>
        <w:rPr>
          <w:rFonts w:cs="Arial"/>
          <w:szCs w:val="22"/>
        </w:rPr>
      </w:pPr>
    </w:p>
    <w:p w14:paraId="06541917" w14:textId="77777777" w:rsidR="0049441E" w:rsidRPr="0007260D" w:rsidRDefault="0049441E" w:rsidP="0049441E">
      <w:pPr>
        <w:pStyle w:val="ReportText"/>
        <w:spacing w:line="240" w:lineRule="auto"/>
        <w:jc w:val="left"/>
        <w:rPr>
          <w:rFonts w:cs="Arial"/>
        </w:rPr>
      </w:pPr>
      <w:r w:rsidRPr="0007260D">
        <w:rPr>
          <w:rFonts w:cs="Arial"/>
        </w:rPr>
        <w:t xml:space="preserve">With the limited data available, all three networks were not achievable for each outcome.  </w:t>
      </w:r>
      <w:r>
        <w:rPr>
          <w:rFonts w:cs="Arial"/>
        </w:rPr>
        <w:fldChar w:fldCharType="begin"/>
      </w:r>
      <w:r>
        <w:rPr>
          <w:rFonts w:cs="Arial"/>
        </w:rPr>
        <w:instrText xml:space="preserve"> REF _Ref281840548 \h </w:instrText>
      </w:r>
      <w:r>
        <w:rPr>
          <w:rFonts w:cs="Arial"/>
        </w:rPr>
      </w:r>
      <w:r>
        <w:rPr>
          <w:rFonts w:cs="Arial"/>
        </w:rPr>
        <w:fldChar w:fldCharType="separate"/>
      </w:r>
      <w:r w:rsidR="00151A1C" w:rsidRPr="004D6F82">
        <w:rPr>
          <w:rFonts w:cs="Arial"/>
          <w:szCs w:val="22"/>
        </w:rPr>
        <w:t xml:space="preserve">Table </w:t>
      </w:r>
      <w:r w:rsidR="00151A1C">
        <w:rPr>
          <w:rFonts w:cs="Arial"/>
          <w:noProof/>
          <w:szCs w:val="22"/>
        </w:rPr>
        <w:t>83</w:t>
      </w:r>
      <w:r>
        <w:rPr>
          <w:rFonts w:cs="Arial"/>
        </w:rPr>
        <w:fldChar w:fldCharType="end"/>
      </w:r>
      <w:r w:rsidRPr="0007260D">
        <w:rPr>
          <w:rFonts w:cs="Arial"/>
        </w:rPr>
        <w:t xml:space="preserve"> identifies which treatments are included in each study and also identifies which studies are included in each of the networks possible with the data available.</w:t>
      </w:r>
    </w:p>
    <w:p w14:paraId="63534026" w14:textId="77777777" w:rsidR="0049441E" w:rsidRPr="004D6F82" w:rsidRDefault="0049441E" w:rsidP="0049441E">
      <w:pPr>
        <w:pStyle w:val="Caption"/>
        <w:jc w:val="left"/>
        <w:rPr>
          <w:rFonts w:ascii="Arial" w:hAnsi="Arial" w:cs="Arial"/>
          <w:b w:val="0"/>
          <w:sz w:val="22"/>
          <w:szCs w:val="22"/>
        </w:rPr>
      </w:pPr>
      <w:bookmarkStart w:id="396" w:name="_Ref281840548"/>
      <w:bookmarkStart w:id="397" w:name="_Ref281662067"/>
      <w:r w:rsidRPr="004D6F82">
        <w:rPr>
          <w:rFonts w:ascii="Arial" w:hAnsi="Arial" w:cs="Arial"/>
          <w:sz w:val="22"/>
          <w:szCs w:val="22"/>
        </w:rPr>
        <w:t xml:space="preserve">Table </w:t>
      </w:r>
      <w:r w:rsidRPr="004D6F82">
        <w:rPr>
          <w:rFonts w:ascii="Arial" w:hAnsi="Arial" w:cs="Arial"/>
          <w:sz w:val="22"/>
          <w:szCs w:val="22"/>
        </w:rPr>
        <w:fldChar w:fldCharType="begin"/>
      </w:r>
      <w:r w:rsidRPr="004D6F82">
        <w:rPr>
          <w:rFonts w:ascii="Arial" w:hAnsi="Arial" w:cs="Arial"/>
          <w:sz w:val="22"/>
          <w:szCs w:val="22"/>
        </w:rPr>
        <w:instrText xml:space="preserve"> SEQ Table \* ARABIC </w:instrText>
      </w:r>
      <w:r w:rsidRPr="004D6F82">
        <w:rPr>
          <w:rFonts w:ascii="Arial" w:hAnsi="Arial" w:cs="Arial"/>
          <w:sz w:val="22"/>
          <w:szCs w:val="22"/>
        </w:rPr>
        <w:fldChar w:fldCharType="separate"/>
      </w:r>
      <w:r w:rsidR="00151A1C">
        <w:rPr>
          <w:rFonts w:ascii="Arial" w:hAnsi="Arial" w:cs="Arial"/>
          <w:noProof/>
          <w:sz w:val="22"/>
          <w:szCs w:val="22"/>
        </w:rPr>
        <w:t>83</w:t>
      </w:r>
      <w:r w:rsidRPr="004D6F82">
        <w:rPr>
          <w:rFonts w:ascii="Arial" w:hAnsi="Arial" w:cs="Arial"/>
          <w:sz w:val="22"/>
          <w:szCs w:val="22"/>
        </w:rPr>
        <w:fldChar w:fldCharType="end"/>
      </w:r>
      <w:bookmarkEnd w:id="396"/>
      <w:r w:rsidRPr="004D6F82">
        <w:rPr>
          <w:rStyle w:val="TableTitle"/>
          <w:rFonts w:ascii="Arial" w:hAnsi="Arial" w:cs="Arial"/>
          <w:szCs w:val="22"/>
        </w:rPr>
        <w:t xml:space="preserve">: </w:t>
      </w:r>
      <w:r w:rsidRPr="004D6F82">
        <w:rPr>
          <w:rStyle w:val="TableTitle"/>
          <w:rFonts w:ascii="Arial" w:hAnsi="Arial" w:cs="Arial"/>
          <w:b/>
          <w:szCs w:val="22"/>
        </w:rPr>
        <w:t>Summary of treatments assessed in each trial and the networks possible with the available data</w:t>
      </w:r>
      <w:bookmarkEnd w:id="397"/>
    </w:p>
    <w:tbl>
      <w:tblPr>
        <w:tblW w:w="5000" w:type="pct"/>
        <w:tblLayout w:type="fixed"/>
        <w:tblLook w:val="04A0" w:firstRow="1" w:lastRow="0" w:firstColumn="1" w:lastColumn="0" w:noHBand="0" w:noVBand="1"/>
      </w:tblPr>
      <w:tblGrid>
        <w:gridCol w:w="2101"/>
        <w:gridCol w:w="424"/>
        <w:gridCol w:w="426"/>
        <w:gridCol w:w="424"/>
        <w:gridCol w:w="426"/>
        <w:gridCol w:w="424"/>
        <w:gridCol w:w="426"/>
        <w:gridCol w:w="424"/>
        <w:gridCol w:w="428"/>
        <w:gridCol w:w="586"/>
        <w:gridCol w:w="586"/>
        <w:gridCol w:w="588"/>
        <w:gridCol w:w="586"/>
        <w:gridCol w:w="586"/>
        <w:gridCol w:w="586"/>
      </w:tblGrid>
      <w:tr w:rsidR="0049441E" w:rsidRPr="00770560" w14:paraId="47AEC4CA" w14:textId="77777777" w:rsidTr="0049441E">
        <w:trPr>
          <w:cantSplit/>
          <w:trHeight w:val="260"/>
        </w:trPr>
        <w:tc>
          <w:tcPr>
            <w:tcW w:w="1164" w:type="pct"/>
            <w:tcBorders>
              <w:bottom w:val="single" w:sz="4" w:space="0" w:color="auto"/>
              <w:right w:val="single" w:sz="4" w:space="0" w:color="auto"/>
            </w:tcBorders>
            <w:shd w:val="clear" w:color="auto" w:fill="auto"/>
            <w:vAlign w:val="center"/>
          </w:tcPr>
          <w:p w14:paraId="0BD0E5DF" w14:textId="77777777" w:rsidR="0049441E" w:rsidRPr="00770560" w:rsidRDefault="0049441E" w:rsidP="0049441E">
            <w:pPr>
              <w:pStyle w:val="Title"/>
              <w:rPr>
                <w:rFonts w:ascii="Arial" w:hAnsi="Arial" w:cs="Arial"/>
                <w:b w:val="0"/>
                <w:sz w:val="20"/>
                <w:szCs w:val="20"/>
                <w:lang w:eastAsia="en-GB"/>
              </w:rPr>
            </w:pPr>
          </w:p>
        </w:tc>
        <w:tc>
          <w:tcPr>
            <w:tcW w:w="188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80F5D59" w14:textId="77777777" w:rsidR="0049441E" w:rsidRPr="00770560" w:rsidRDefault="0049441E" w:rsidP="0049441E">
            <w:pPr>
              <w:pStyle w:val="Title"/>
              <w:rPr>
                <w:rFonts w:ascii="Arial" w:hAnsi="Arial" w:cs="Arial"/>
                <w:b w:val="0"/>
                <w:sz w:val="20"/>
                <w:szCs w:val="20"/>
                <w:u w:val="none"/>
                <w:lang w:eastAsia="en-GB"/>
              </w:rPr>
            </w:pPr>
            <w:r w:rsidRPr="00770560">
              <w:rPr>
                <w:rFonts w:ascii="Arial" w:hAnsi="Arial" w:cs="Arial"/>
                <w:sz w:val="20"/>
                <w:szCs w:val="20"/>
                <w:u w:val="none"/>
                <w:lang w:eastAsia="en-GB"/>
              </w:rPr>
              <w:t>Treatments</w:t>
            </w:r>
          </w:p>
        </w:tc>
        <w:tc>
          <w:tcPr>
            <w:tcW w:w="1952" w:type="pct"/>
            <w:gridSpan w:val="6"/>
            <w:tcBorders>
              <w:top w:val="single" w:sz="4" w:space="0" w:color="auto"/>
              <w:left w:val="single" w:sz="4" w:space="0" w:color="auto"/>
              <w:bottom w:val="single" w:sz="4" w:space="0" w:color="auto"/>
              <w:right w:val="single" w:sz="4" w:space="0" w:color="auto"/>
            </w:tcBorders>
            <w:vAlign w:val="center"/>
          </w:tcPr>
          <w:p w14:paraId="307D0828" w14:textId="77777777" w:rsidR="0049441E" w:rsidRPr="00770560" w:rsidRDefault="0049441E" w:rsidP="0049441E">
            <w:pPr>
              <w:pStyle w:val="Title"/>
              <w:rPr>
                <w:rFonts w:ascii="Arial" w:hAnsi="Arial" w:cs="Arial"/>
                <w:b w:val="0"/>
                <w:sz w:val="20"/>
                <w:szCs w:val="20"/>
                <w:u w:val="none"/>
                <w:lang w:eastAsia="en-GB"/>
              </w:rPr>
            </w:pPr>
            <w:r w:rsidRPr="00770560">
              <w:rPr>
                <w:rFonts w:ascii="Arial" w:hAnsi="Arial" w:cs="Arial"/>
                <w:sz w:val="20"/>
                <w:szCs w:val="20"/>
                <w:u w:val="none"/>
                <w:lang w:eastAsia="en-GB"/>
              </w:rPr>
              <w:t>Outcomes Assessed</w:t>
            </w:r>
          </w:p>
        </w:tc>
      </w:tr>
      <w:tr w:rsidR="0049441E" w:rsidRPr="00770560" w14:paraId="257C9478" w14:textId="77777777" w:rsidTr="0049441E">
        <w:trPr>
          <w:cantSplit/>
          <w:trHeight w:val="2211"/>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0668E"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Study reference</w:t>
            </w:r>
          </w:p>
        </w:tc>
        <w:tc>
          <w:tcPr>
            <w:tcW w:w="2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2B2203"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Tedizolid</w:t>
            </w:r>
          </w:p>
        </w:tc>
        <w:tc>
          <w:tcPr>
            <w:tcW w:w="2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C4B16C"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Tigecycline</w:t>
            </w:r>
          </w:p>
        </w:tc>
        <w:tc>
          <w:tcPr>
            <w:tcW w:w="2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D7381B"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Ceftaroline</w:t>
            </w:r>
          </w:p>
        </w:tc>
        <w:tc>
          <w:tcPr>
            <w:tcW w:w="2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901C4F"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Teicoplanin</w:t>
            </w:r>
          </w:p>
        </w:tc>
        <w:tc>
          <w:tcPr>
            <w:tcW w:w="2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9AB487"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Linezolid</w:t>
            </w:r>
          </w:p>
        </w:tc>
        <w:tc>
          <w:tcPr>
            <w:tcW w:w="2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0C70DD"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Vancomycin</w:t>
            </w:r>
          </w:p>
        </w:tc>
        <w:tc>
          <w:tcPr>
            <w:tcW w:w="2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52B59C"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Daptomycin</w:t>
            </w:r>
          </w:p>
        </w:tc>
        <w:tc>
          <w:tcPr>
            <w:tcW w:w="23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0E0E05"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Telavancin</w:t>
            </w:r>
          </w:p>
        </w:tc>
        <w:tc>
          <w:tcPr>
            <w:tcW w:w="325" w:type="pct"/>
            <w:tcBorders>
              <w:top w:val="single" w:sz="4" w:space="0" w:color="auto"/>
              <w:left w:val="single" w:sz="4" w:space="0" w:color="auto"/>
              <w:bottom w:val="single" w:sz="4" w:space="0" w:color="auto"/>
              <w:right w:val="single" w:sz="4" w:space="0" w:color="auto"/>
            </w:tcBorders>
            <w:textDirection w:val="btLr"/>
            <w:vAlign w:val="center"/>
          </w:tcPr>
          <w:p w14:paraId="493CA278"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EOT – all</w:t>
            </w:r>
          </w:p>
        </w:tc>
        <w:tc>
          <w:tcPr>
            <w:tcW w:w="325" w:type="pct"/>
            <w:tcBorders>
              <w:top w:val="single" w:sz="4" w:space="0" w:color="auto"/>
              <w:left w:val="single" w:sz="4" w:space="0" w:color="auto"/>
              <w:bottom w:val="single" w:sz="4" w:space="0" w:color="auto"/>
              <w:right w:val="single" w:sz="4" w:space="0" w:color="auto"/>
            </w:tcBorders>
            <w:textDirection w:val="btLr"/>
            <w:vAlign w:val="center"/>
          </w:tcPr>
          <w:p w14:paraId="3631A877"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EOT – ITT/mITT only</w:t>
            </w:r>
          </w:p>
        </w:tc>
        <w:tc>
          <w:tcPr>
            <w:tcW w:w="326" w:type="pct"/>
            <w:tcBorders>
              <w:top w:val="single" w:sz="4" w:space="0" w:color="auto"/>
              <w:left w:val="single" w:sz="4" w:space="0" w:color="auto"/>
              <w:bottom w:val="single" w:sz="4" w:space="0" w:color="auto"/>
              <w:right w:val="single" w:sz="4" w:space="0" w:color="auto"/>
            </w:tcBorders>
            <w:textDirection w:val="btLr"/>
            <w:vAlign w:val="center"/>
          </w:tcPr>
          <w:p w14:paraId="2A18B306"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PTE/TOC – all</w:t>
            </w:r>
          </w:p>
        </w:tc>
        <w:tc>
          <w:tcPr>
            <w:tcW w:w="325" w:type="pct"/>
            <w:tcBorders>
              <w:top w:val="single" w:sz="4" w:space="0" w:color="auto"/>
              <w:left w:val="single" w:sz="4" w:space="0" w:color="auto"/>
              <w:bottom w:val="single" w:sz="4" w:space="0" w:color="auto"/>
              <w:right w:val="single" w:sz="4" w:space="0" w:color="auto"/>
            </w:tcBorders>
            <w:textDirection w:val="btLr"/>
            <w:vAlign w:val="center"/>
          </w:tcPr>
          <w:p w14:paraId="1098C633"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PTE/TOC – ITT/mITT only</w:t>
            </w:r>
          </w:p>
        </w:tc>
        <w:tc>
          <w:tcPr>
            <w:tcW w:w="325" w:type="pct"/>
            <w:tcBorders>
              <w:top w:val="single" w:sz="4" w:space="0" w:color="auto"/>
              <w:left w:val="single" w:sz="4" w:space="0" w:color="auto"/>
              <w:bottom w:val="single" w:sz="4" w:space="0" w:color="auto"/>
              <w:right w:val="single" w:sz="4" w:space="0" w:color="auto"/>
            </w:tcBorders>
            <w:textDirection w:val="btLr"/>
            <w:vAlign w:val="center"/>
          </w:tcPr>
          <w:p w14:paraId="4FF83DE9"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EOS/PTE/TOC – MRSA only</w:t>
            </w:r>
          </w:p>
        </w:tc>
        <w:tc>
          <w:tcPr>
            <w:tcW w:w="326" w:type="pct"/>
            <w:tcBorders>
              <w:top w:val="single" w:sz="4" w:space="0" w:color="auto"/>
              <w:left w:val="single" w:sz="4" w:space="0" w:color="auto"/>
              <w:bottom w:val="single" w:sz="4" w:space="0" w:color="auto"/>
              <w:right w:val="single" w:sz="4" w:space="0" w:color="auto"/>
            </w:tcBorders>
            <w:textDirection w:val="btLr"/>
            <w:vAlign w:val="center"/>
          </w:tcPr>
          <w:p w14:paraId="016BF402" w14:textId="77777777" w:rsidR="0049441E" w:rsidRPr="00770560" w:rsidRDefault="0049441E" w:rsidP="0049441E">
            <w:pPr>
              <w:pStyle w:val="Title"/>
              <w:rPr>
                <w:rFonts w:ascii="Arial" w:hAnsi="Arial" w:cs="Arial"/>
                <w:b w:val="0"/>
                <w:sz w:val="20"/>
                <w:szCs w:val="20"/>
                <w:lang w:eastAsia="en-GB"/>
              </w:rPr>
            </w:pPr>
            <w:r w:rsidRPr="00770560">
              <w:rPr>
                <w:rFonts w:ascii="Arial" w:hAnsi="Arial" w:cs="Arial"/>
                <w:sz w:val="20"/>
                <w:szCs w:val="20"/>
                <w:lang w:eastAsia="en-GB"/>
              </w:rPr>
              <w:t>Discontinuation due to AE - all</w:t>
            </w:r>
          </w:p>
        </w:tc>
      </w:tr>
      <w:tr w:rsidR="0049441E" w:rsidRPr="0007260D" w14:paraId="5E34A218"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88BB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 xml:space="preserve">Aikawa 2013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50C2A"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0823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08BD1"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092DC"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EFC22"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B61B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0A09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E9FE5"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3E8ED83"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9EC727C"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EF0EC3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BA2ECC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46225E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454A46D"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3D9ED128"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B4AE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Evers 2013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59E78"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D228E"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38DEE"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8D67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8D932"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10297" w14:textId="77777777" w:rsidR="0049441E" w:rsidRPr="00770560" w:rsidDel="00BD19C4"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D5A3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B818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CD591DB"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84948AA"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E756DE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A0565E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C23DB02"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695D87C" w14:textId="77777777" w:rsidR="0049441E" w:rsidRPr="00770560" w:rsidRDefault="0049441E" w:rsidP="0049441E">
            <w:pPr>
              <w:pStyle w:val="Title"/>
              <w:rPr>
                <w:rFonts w:ascii="Arial" w:hAnsi="Arial" w:cs="Arial"/>
                <w:sz w:val="20"/>
                <w:szCs w:val="20"/>
                <w:lang w:eastAsia="en-GB"/>
              </w:rPr>
            </w:pPr>
          </w:p>
        </w:tc>
      </w:tr>
      <w:tr w:rsidR="0049441E" w:rsidRPr="0007260D" w14:paraId="62BF5286"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C9A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Florescu 2008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677D0"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F3B3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02A03"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89E4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D579F"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74754"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82FD0"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F37A6"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B96A329"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CFE3D28"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07CD252"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F9D3C67"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E23002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FC8BB1E" w14:textId="77777777" w:rsidR="0049441E" w:rsidRPr="00770560" w:rsidRDefault="0049441E" w:rsidP="0049441E">
            <w:pPr>
              <w:pStyle w:val="Title"/>
              <w:rPr>
                <w:rFonts w:ascii="Arial" w:hAnsi="Arial" w:cs="Arial"/>
                <w:sz w:val="20"/>
                <w:szCs w:val="20"/>
                <w:lang w:eastAsia="en-GB"/>
              </w:rPr>
            </w:pPr>
          </w:p>
        </w:tc>
      </w:tr>
      <w:tr w:rsidR="0049441E" w:rsidRPr="0007260D" w14:paraId="5D3A308E"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DCB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Itani 2010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8F986"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9677E"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41021"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BCD81"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7B01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B6794"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170F5"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738D4"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B8BDDF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FCFAC2A"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D0CBA1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C4D22A2"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63685D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4B9F6B4" w14:textId="77777777" w:rsidR="0049441E" w:rsidRPr="00770560" w:rsidRDefault="0049441E" w:rsidP="0049441E">
            <w:pPr>
              <w:pStyle w:val="Title"/>
              <w:rPr>
                <w:rFonts w:ascii="Arial" w:hAnsi="Arial" w:cs="Arial"/>
                <w:sz w:val="20"/>
                <w:szCs w:val="20"/>
                <w:lang w:eastAsia="en-GB"/>
              </w:rPr>
            </w:pPr>
          </w:p>
        </w:tc>
      </w:tr>
      <w:tr w:rsidR="0049441E" w:rsidRPr="0007260D" w14:paraId="331E57A5"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5974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Kohno 2007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90A30"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877ED"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DAA8C"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490D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5ECC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9C2F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9549"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3BD0E"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A288A0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043A3AD"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DEB171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EE18EEA"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E34A4D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4A39881" w14:textId="77777777" w:rsidR="0049441E" w:rsidRPr="00770560" w:rsidRDefault="0049441E" w:rsidP="0049441E">
            <w:pPr>
              <w:pStyle w:val="Title"/>
              <w:rPr>
                <w:rFonts w:ascii="Arial" w:hAnsi="Arial" w:cs="Arial"/>
                <w:sz w:val="20"/>
                <w:szCs w:val="20"/>
                <w:lang w:eastAsia="en-GB"/>
              </w:rPr>
            </w:pPr>
          </w:p>
        </w:tc>
      </w:tr>
      <w:tr w:rsidR="0049441E" w:rsidRPr="0007260D" w14:paraId="0D21F35A"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5130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Lin 2008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F02D"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2E45D"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F7A8E"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D9153"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CDAD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3709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27990"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E7210"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40AA74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7BF417A"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F3FCFA4"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E0DBD1E"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01CE902"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023EC02" w14:textId="77777777" w:rsidR="0049441E" w:rsidRPr="00770560" w:rsidRDefault="0049441E" w:rsidP="0049441E">
            <w:pPr>
              <w:pStyle w:val="Title"/>
              <w:rPr>
                <w:rFonts w:ascii="Arial" w:hAnsi="Arial" w:cs="Arial"/>
                <w:sz w:val="20"/>
                <w:szCs w:val="20"/>
                <w:lang w:eastAsia="en-GB"/>
              </w:rPr>
            </w:pPr>
          </w:p>
        </w:tc>
      </w:tr>
      <w:tr w:rsidR="0049441E" w:rsidRPr="0007260D" w14:paraId="7C1CE040"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18960" w14:textId="77777777" w:rsidR="0049441E" w:rsidRPr="00770560" w:rsidRDefault="0049441E" w:rsidP="0049441E">
            <w:pPr>
              <w:pStyle w:val="Title"/>
              <w:rPr>
                <w:rFonts w:ascii="Arial" w:hAnsi="Arial" w:cs="Arial"/>
                <w:sz w:val="20"/>
                <w:szCs w:val="20"/>
              </w:rPr>
            </w:pPr>
            <w:r w:rsidRPr="00770560">
              <w:rPr>
                <w:rFonts w:ascii="Arial" w:hAnsi="Arial" w:cs="Arial"/>
                <w:sz w:val="20"/>
                <w:szCs w:val="20"/>
              </w:rPr>
              <w:t xml:space="preserve">Moran 2014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0253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11DD9"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310BA"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5BC5D"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7FAF2"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31AD7"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6692"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0DF49"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F32B922"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7F4F70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BB507A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AF287A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54AD553"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2E6D24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55FFB75C"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F2E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Pertel 2009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996DA"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CFF70"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04826"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CB931"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9490B"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4065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3D4D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89CB6"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FF0C7D5"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32F3A40"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5DA9D7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ED7AD8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3280E71"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2BF0A6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0613BFCD"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345D"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Prokocimer 2013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7BBD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ECC3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D96BA"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C2640"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4466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EDA5A"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B9A38"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822FF"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713638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DDD480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D20C0D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C927D2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D714F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84CD1A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50BF71CE"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BD9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lastRenderedPageBreak/>
              <w:t xml:space="preserve">Sharpe 2005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22FF4"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67A09"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46F4D"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EDA79"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05DC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96A1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7B7F1"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86C3F"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E3D829B"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8C8465B"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63FE6E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C8AF21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975DD54"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9B8C737" w14:textId="77777777" w:rsidR="0049441E" w:rsidRPr="00770560" w:rsidRDefault="0049441E" w:rsidP="0049441E">
            <w:pPr>
              <w:pStyle w:val="Title"/>
              <w:rPr>
                <w:rFonts w:ascii="Arial" w:hAnsi="Arial" w:cs="Arial"/>
                <w:sz w:val="20"/>
                <w:szCs w:val="20"/>
                <w:lang w:eastAsia="en-GB"/>
              </w:rPr>
            </w:pPr>
          </w:p>
        </w:tc>
      </w:tr>
      <w:tr w:rsidR="0049441E" w:rsidRPr="0007260D" w14:paraId="6EA221CD"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DCA1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Stevens 2002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EE7E5"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2E241"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EBBF2"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BCEEB5"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E6DA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12F41" w14:textId="77777777" w:rsidR="0049441E" w:rsidRPr="00770560" w:rsidDel="00BD19C4"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EA210"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7C044C"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0BDB233"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86A1928"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953EA12"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347ACE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FBFDC6D"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E780D46" w14:textId="77777777" w:rsidR="0049441E" w:rsidRPr="00770560" w:rsidRDefault="0049441E" w:rsidP="0049441E">
            <w:pPr>
              <w:pStyle w:val="Title"/>
              <w:rPr>
                <w:rFonts w:ascii="Arial" w:hAnsi="Arial" w:cs="Arial"/>
                <w:sz w:val="20"/>
                <w:szCs w:val="20"/>
                <w:lang w:eastAsia="en-GB"/>
              </w:rPr>
            </w:pPr>
          </w:p>
        </w:tc>
      </w:tr>
      <w:tr w:rsidR="0049441E" w:rsidRPr="0007260D" w14:paraId="3234C969"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9A7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Stryjewski 2008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E0E78"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DC465"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43660"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6D8FE"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F5321"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4DE1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84484"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9259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374D193"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398D0A4"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888EE0E"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8217E0D"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7EDB94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5EA8D2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78C88129"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913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Talbot 2007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3D809"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382F2"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3682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FDC9D"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F4634"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52A8F"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E787B"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0D9EE"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49551BB"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F6D5DB4"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1B0BC6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4377DA1"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FDB394B"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831C7BE"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56A04ACB"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00A7D"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Weigelt 2005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F3C58"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ADB20"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54EB0"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89DB7"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73EE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54AC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2C846"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EA1BAA"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4343ABA"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2BDAF9C"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206DCCC"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C5151E0"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6BF016E"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8A68099"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r>
      <w:tr w:rsidR="0049441E" w:rsidRPr="0007260D" w14:paraId="48771A59" w14:textId="77777777" w:rsidTr="0049441E">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261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rPr>
              <w:t xml:space="preserve">Wilcox 2004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BF9BF"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919D6"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0ED8D" w14:textId="77777777" w:rsidR="0049441E" w:rsidRPr="00770560" w:rsidRDefault="0049441E" w:rsidP="0049441E">
            <w:pPr>
              <w:pStyle w:val="Title"/>
              <w:rPr>
                <w:rFonts w:ascii="Arial" w:hAnsi="Arial" w:cs="Arial"/>
                <w:sz w:val="20"/>
                <w:szCs w:val="20"/>
                <w:lang w:eastAsia="en-GB"/>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9606A6"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9F2A3"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E1316" w14:textId="77777777" w:rsidR="0049441E" w:rsidRPr="00770560" w:rsidRDefault="0049441E" w:rsidP="0049441E">
            <w:pPr>
              <w:pStyle w:val="Title"/>
              <w:rPr>
                <w:rFonts w:ascii="Arial" w:hAnsi="Arial" w:cs="Arial"/>
                <w:sz w:val="20"/>
                <w:szCs w:val="20"/>
                <w:lang w:eastAsia="en-GB"/>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EEB7D" w14:textId="77777777" w:rsidR="0049441E" w:rsidRPr="00770560" w:rsidRDefault="0049441E" w:rsidP="0049441E">
            <w:pPr>
              <w:pStyle w:val="Title"/>
              <w:rPr>
                <w:rFonts w:ascii="Arial" w:hAnsi="Arial" w:cs="Arial"/>
                <w:sz w:val="20"/>
                <w:szCs w:val="20"/>
                <w:lang w:eastAsia="en-GB"/>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CF29A"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6B3CFC5"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B367988" w14:textId="77777777" w:rsidR="0049441E" w:rsidRPr="00770560" w:rsidRDefault="0049441E" w:rsidP="0049441E">
            <w:pPr>
              <w:pStyle w:val="Title"/>
              <w:rPr>
                <w:rFonts w:ascii="Arial" w:hAnsi="Arial" w:cs="Arial"/>
                <w:sz w:val="20"/>
                <w:szCs w:val="20"/>
                <w:lang w:eastAsia="en-GB"/>
              </w:rPr>
            </w:pPr>
            <w:r w:rsidRPr="00770560">
              <w:rPr>
                <w:rFonts w:ascii="Arial" w:hAnsi="Arial" w:cs="Arial"/>
                <w:sz w:val="20"/>
                <w:szCs w:val="20"/>
                <w:lang w:eastAsia="en-GB"/>
              </w:rPr>
              <w:t>X</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3E11C64"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E0AF4D4" w14:textId="77777777" w:rsidR="0049441E" w:rsidRPr="00770560" w:rsidRDefault="0049441E" w:rsidP="0049441E">
            <w:pPr>
              <w:pStyle w:val="Title"/>
              <w:rPr>
                <w:rFonts w:ascii="Arial" w:hAnsi="Arial" w:cs="Arial"/>
                <w:sz w:val="20"/>
                <w:szCs w:val="20"/>
                <w:lang w:eastAsia="en-GB"/>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55F5450" w14:textId="77777777" w:rsidR="0049441E" w:rsidRPr="00770560" w:rsidRDefault="0049441E" w:rsidP="0049441E">
            <w:pPr>
              <w:pStyle w:val="Title"/>
              <w:rPr>
                <w:rFonts w:ascii="Arial" w:hAnsi="Arial" w:cs="Arial"/>
                <w:sz w:val="20"/>
                <w:szCs w:val="20"/>
                <w:lang w:eastAsia="en-GB"/>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5325F1A" w14:textId="77777777" w:rsidR="0049441E" w:rsidRPr="00770560" w:rsidRDefault="0049441E" w:rsidP="0049441E">
            <w:pPr>
              <w:pStyle w:val="Title"/>
              <w:rPr>
                <w:rFonts w:ascii="Arial" w:hAnsi="Arial" w:cs="Arial"/>
                <w:sz w:val="20"/>
                <w:szCs w:val="20"/>
                <w:lang w:eastAsia="en-GB"/>
              </w:rPr>
            </w:pPr>
          </w:p>
        </w:tc>
      </w:tr>
    </w:tbl>
    <w:p w14:paraId="1C3AA120" w14:textId="77777777" w:rsidR="0049441E" w:rsidRPr="00373501" w:rsidRDefault="0049441E" w:rsidP="0049441E">
      <w:pPr>
        <w:pStyle w:val="ReportText"/>
        <w:spacing w:line="240" w:lineRule="auto"/>
        <w:rPr>
          <w:rFonts w:cs="Arial"/>
          <w:sz w:val="16"/>
          <w:szCs w:val="16"/>
        </w:rPr>
      </w:pPr>
      <w:r w:rsidRPr="00373501">
        <w:rPr>
          <w:rFonts w:cs="Arial"/>
          <w:sz w:val="16"/>
          <w:szCs w:val="16"/>
        </w:rPr>
        <w:t>EOT- clinical response at the end of treatment, ITT- intention to treat, mITT- modified intention to treat, PTE- clinical response at the post treatment evaluation, TOC- clinical response at the test of cure, AE- adverse events.</w:t>
      </w:r>
    </w:p>
    <w:p w14:paraId="10440578" w14:textId="77777777" w:rsidR="0049441E" w:rsidRDefault="0049441E" w:rsidP="0049441E">
      <w:pPr>
        <w:pStyle w:val="Heading3"/>
        <w:keepLines w:val="0"/>
        <w:numPr>
          <w:ilvl w:val="2"/>
          <w:numId w:val="0"/>
        </w:numPr>
        <w:tabs>
          <w:tab w:val="num" w:pos="851"/>
        </w:tabs>
        <w:spacing w:before="0"/>
        <w:rPr>
          <w:rFonts w:ascii="Arial" w:hAnsi="Arial" w:cs="Arial"/>
          <w:color w:val="auto"/>
          <w:sz w:val="22"/>
          <w:szCs w:val="22"/>
        </w:rPr>
      </w:pPr>
    </w:p>
    <w:p w14:paraId="1C9292F4" w14:textId="77777777" w:rsidR="0049441E" w:rsidRPr="00C21816" w:rsidRDefault="0049441E" w:rsidP="0049441E">
      <w:pPr>
        <w:pStyle w:val="Heading3"/>
        <w:keepLines w:val="0"/>
        <w:numPr>
          <w:ilvl w:val="2"/>
          <w:numId w:val="0"/>
        </w:numPr>
        <w:tabs>
          <w:tab w:val="num" w:pos="851"/>
        </w:tabs>
        <w:spacing w:before="0"/>
        <w:ind w:left="851" w:hanging="851"/>
        <w:rPr>
          <w:rFonts w:ascii="Arial" w:hAnsi="Arial" w:cs="Arial"/>
          <w:color w:val="auto"/>
          <w:sz w:val="22"/>
          <w:szCs w:val="22"/>
        </w:rPr>
      </w:pPr>
      <w:r w:rsidRPr="00C21816">
        <w:rPr>
          <w:rFonts w:ascii="Arial" w:hAnsi="Arial" w:cs="Arial"/>
          <w:color w:val="auto"/>
          <w:sz w:val="22"/>
          <w:szCs w:val="22"/>
        </w:rPr>
        <w:t>Conclusions of the Feasibility Assessment</w:t>
      </w:r>
    </w:p>
    <w:p w14:paraId="3E1C639F" w14:textId="77777777" w:rsidR="0049441E" w:rsidRPr="00C21816" w:rsidRDefault="0049441E" w:rsidP="0049441E">
      <w:pPr>
        <w:pStyle w:val="ReportText"/>
        <w:spacing w:line="240" w:lineRule="auto"/>
        <w:jc w:val="left"/>
        <w:rPr>
          <w:rFonts w:cs="Arial"/>
          <w:szCs w:val="22"/>
        </w:rPr>
      </w:pPr>
      <w:r w:rsidRPr="00C21816">
        <w:rPr>
          <w:rFonts w:cs="Arial"/>
          <w:szCs w:val="22"/>
        </w:rPr>
        <w:t>While there were some differences in the methodology employed and patient populations included in the identified trials, the studies were deemed similar enough to derive reasonable estimates of the comparative efficacy of the treatments using methods of indirect treatment comparison.</w:t>
      </w:r>
    </w:p>
    <w:p w14:paraId="6226A174" w14:textId="77777777" w:rsidR="0049441E" w:rsidRPr="00C21816" w:rsidRDefault="0049441E" w:rsidP="0049441E">
      <w:pPr>
        <w:pStyle w:val="ReportText"/>
        <w:spacing w:line="240" w:lineRule="auto"/>
        <w:jc w:val="left"/>
        <w:rPr>
          <w:rFonts w:cs="Arial"/>
          <w:szCs w:val="22"/>
        </w:rPr>
      </w:pPr>
    </w:p>
    <w:p w14:paraId="7F0CBF0C" w14:textId="77777777" w:rsidR="0049441E" w:rsidRPr="00C21816" w:rsidRDefault="0049441E" w:rsidP="0049441E">
      <w:pPr>
        <w:pStyle w:val="ReportText"/>
        <w:spacing w:line="240" w:lineRule="auto"/>
        <w:jc w:val="left"/>
        <w:rPr>
          <w:rFonts w:cs="Arial"/>
          <w:szCs w:val="22"/>
        </w:rPr>
      </w:pPr>
      <w:r w:rsidRPr="00C21816">
        <w:rPr>
          <w:rFonts w:cs="Arial"/>
          <w:szCs w:val="22"/>
        </w:rPr>
        <w:t>The difference in the analysis populations across the trials was considered a notable source of heterogeneity.  There is no way to account for these differences in populations in a NMA; it is a fundamental limitation of the data available.  Therefore, these differences were explored further in a sensitivity analysis.  The primary network analysed included all trials with data for the particular outcome.  Where data were reported for multiple populations in one trial, data for the ITT population was used or the population that most closely resembled the ITT.  A second network was then analysed including only the trials reporting data for an ITT or modified population.</w:t>
      </w:r>
    </w:p>
    <w:p w14:paraId="270A1C62" w14:textId="77777777" w:rsidR="0049441E" w:rsidRPr="00C21816" w:rsidRDefault="0049441E" w:rsidP="0049441E">
      <w:pPr>
        <w:pStyle w:val="ReportText"/>
        <w:spacing w:line="240" w:lineRule="auto"/>
        <w:ind w:left="720" w:hanging="720"/>
        <w:jc w:val="left"/>
        <w:rPr>
          <w:rFonts w:cs="Arial"/>
          <w:szCs w:val="22"/>
        </w:rPr>
      </w:pPr>
    </w:p>
    <w:p w14:paraId="49EF9A2B" w14:textId="77777777" w:rsidR="0049441E" w:rsidRPr="009B0708" w:rsidRDefault="0049441E" w:rsidP="0049441E">
      <w:pPr>
        <w:pStyle w:val="ReportText"/>
        <w:spacing w:line="240" w:lineRule="auto"/>
        <w:jc w:val="left"/>
        <w:rPr>
          <w:rFonts w:cs="Arial"/>
          <w:i/>
          <w:szCs w:val="22"/>
        </w:rPr>
      </w:pPr>
      <w:r w:rsidRPr="00C21816">
        <w:rPr>
          <w:rFonts w:cs="Arial"/>
          <w:szCs w:val="22"/>
        </w:rPr>
        <w:t xml:space="preserve">The primary population of interest to this review was patients with </w:t>
      </w:r>
      <w:r w:rsidRPr="00FE7BBD">
        <w:rPr>
          <w:rFonts w:cs="Arial"/>
          <w:szCs w:val="22"/>
        </w:rPr>
        <w:t>MRSA-associated ABSSSI</w:t>
      </w:r>
      <w:r w:rsidRPr="00C21816">
        <w:rPr>
          <w:rFonts w:cs="Arial"/>
          <w:i/>
          <w:szCs w:val="22"/>
        </w:rPr>
        <w:t xml:space="preserve">. </w:t>
      </w:r>
      <w:r w:rsidRPr="00C21816">
        <w:rPr>
          <w:rFonts w:cs="Arial"/>
          <w:szCs w:val="22"/>
        </w:rPr>
        <w:t>However, several of the trials included patients with infections caused by other gram positive pathogens</w:t>
      </w:r>
      <w:r w:rsidRPr="00C21816">
        <w:rPr>
          <w:rFonts w:cs="Arial"/>
          <w:i/>
          <w:szCs w:val="22"/>
        </w:rPr>
        <w:t xml:space="preserve">.  </w:t>
      </w:r>
      <w:r w:rsidRPr="00C21816">
        <w:rPr>
          <w:rFonts w:cs="Arial"/>
          <w:szCs w:val="22"/>
        </w:rPr>
        <w:t>For this reason, a third network was also explored for each outcome which included only trials of patients with confirmed MRSA or trials reporting data for subgroups of patients with confirmed MRSA</w:t>
      </w:r>
      <w:r w:rsidRPr="009B0708">
        <w:rPr>
          <w:rFonts w:cs="Arial"/>
          <w:szCs w:val="22"/>
        </w:rPr>
        <w:t xml:space="preserve">. This analysis </w:t>
      </w:r>
      <w:r w:rsidRPr="009B0708">
        <w:rPr>
          <w:rFonts w:cs="Arial"/>
          <w:bCs/>
          <w:iCs/>
          <w:szCs w:val="22"/>
        </w:rPr>
        <w:t>included</w:t>
      </w:r>
      <w:r w:rsidRPr="00C21816">
        <w:rPr>
          <w:rFonts w:cs="Arial"/>
          <w:bCs/>
          <w:iCs/>
          <w:szCs w:val="22"/>
        </w:rPr>
        <w:t xml:space="preserve"> data from an additional phase 3 trial of ceftaroline vs. vancomycin plus aztreona</w:t>
      </w:r>
      <w:r>
        <w:rPr>
          <w:rFonts w:cs="Arial"/>
          <w:bCs/>
          <w:iCs/>
          <w:szCs w:val="22"/>
        </w:rPr>
        <w:t>m</w:t>
      </w:r>
      <w:r w:rsidRPr="00C21816">
        <w:rPr>
          <w:rFonts w:cs="Arial"/>
          <w:bCs/>
          <w:iCs/>
          <w:szCs w:val="22"/>
        </w:rPr>
        <w:t>.  This study did not feature in the main review because s</w:t>
      </w:r>
      <w:r w:rsidRPr="00C21816">
        <w:rPr>
          <w:rFonts w:cs="Arial"/>
          <w:szCs w:val="22"/>
        </w:rPr>
        <w:t>tudies assessing combinations of treatments were not eligible for inclusion. However, because aztreonam primarily targets Gram-negative pathogens, it was decided that it would be appropriate to include it in a supplementary network.</w:t>
      </w:r>
    </w:p>
    <w:p w14:paraId="07FA30CD" w14:textId="77777777" w:rsidR="0049441E" w:rsidRPr="008E4E92" w:rsidRDefault="0049441E" w:rsidP="0049441E">
      <w:pPr>
        <w:jc w:val="both"/>
        <w:rPr>
          <w:rFonts w:cs="Arial"/>
          <w:sz w:val="22"/>
          <w:szCs w:val="22"/>
        </w:rPr>
      </w:pPr>
    </w:p>
    <w:p w14:paraId="242EDF66" w14:textId="110705B2" w:rsidR="0049441E" w:rsidRPr="009025E3" w:rsidRDefault="009025E3" w:rsidP="0049441E">
      <w:pPr>
        <w:ind w:left="567" w:hanging="567"/>
        <w:jc w:val="both"/>
        <w:rPr>
          <w:rFonts w:cs="Arial"/>
          <w:b/>
          <w:sz w:val="22"/>
          <w:szCs w:val="22"/>
        </w:rPr>
      </w:pPr>
      <w:r w:rsidRPr="009025E3">
        <w:rPr>
          <w:rFonts w:cs="Arial"/>
          <w:b/>
          <w:sz w:val="22"/>
          <w:szCs w:val="22"/>
        </w:rPr>
        <w:t>D. 5 Results</w:t>
      </w:r>
    </w:p>
    <w:p w14:paraId="353D0500" w14:textId="77777777" w:rsidR="0049441E" w:rsidRDefault="0049441E" w:rsidP="0049441E">
      <w:pPr>
        <w:jc w:val="both"/>
        <w:rPr>
          <w:rFonts w:cs="Arial"/>
          <w:sz w:val="22"/>
          <w:szCs w:val="22"/>
        </w:rPr>
      </w:pPr>
    </w:p>
    <w:p w14:paraId="00F5ACA4" w14:textId="77777777" w:rsidR="0049441E" w:rsidRPr="00770560" w:rsidRDefault="0049441E" w:rsidP="0049441E">
      <w:pPr>
        <w:pStyle w:val="ReportText"/>
        <w:spacing w:line="240" w:lineRule="auto"/>
        <w:jc w:val="left"/>
        <w:rPr>
          <w:rFonts w:cs="Arial"/>
        </w:rPr>
      </w:pPr>
      <w:r w:rsidRPr="0007260D">
        <w:rPr>
          <w:rFonts w:cs="Arial"/>
        </w:rPr>
        <w:t xml:space="preserve">The results of the NMA were analysed by network (‘all trials’, ITT/mITT and MRSA-only) for three of the outcomes of interest: clinical response at the end of treatment, clinical response at the PTE visit or ‘test of cure’ point, and discontinuation due to AE. It was not possible to create a connected network comparing tedizolid and the comparators of interest for the other two outcomes of interest. </w:t>
      </w:r>
    </w:p>
    <w:p w14:paraId="6BECC8AC" w14:textId="77777777" w:rsidR="0049441E" w:rsidRDefault="0049441E" w:rsidP="0049441E">
      <w:pPr>
        <w:pStyle w:val="ReportText"/>
        <w:spacing w:line="240" w:lineRule="auto"/>
        <w:jc w:val="left"/>
      </w:pPr>
    </w:p>
    <w:p w14:paraId="75DB580E" w14:textId="3B7BF6BB" w:rsidR="0049441E" w:rsidRDefault="0049441E" w:rsidP="0049441E">
      <w:pPr>
        <w:pStyle w:val="ReportText"/>
        <w:spacing w:line="240" w:lineRule="auto"/>
        <w:jc w:val="left"/>
      </w:pPr>
      <w:r w:rsidRPr="00FE7BBD">
        <w:t>A summary of the results for the ‘all trials’ and ‘ITT/mITT’ networks is provid</w:t>
      </w:r>
      <w:r>
        <w:t xml:space="preserve">ed below in section </w:t>
      </w:r>
      <w:r w:rsidR="009025E3">
        <w:t>D.</w:t>
      </w:r>
      <w:r>
        <w:t>5</w:t>
      </w:r>
      <w:r w:rsidR="009025E3">
        <w:t>.1</w:t>
      </w:r>
      <w:r>
        <w:t xml:space="preserve"> </w:t>
      </w:r>
      <w:r w:rsidRPr="00FE7BBD">
        <w:t xml:space="preserve">The full results for these two networks are presented in </w:t>
      </w:r>
      <w:r w:rsidR="009025E3">
        <w:t>the YHEC report (</w:t>
      </w:r>
      <w:r w:rsidR="009025E3">
        <w:fldChar w:fldCharType="begin"/>
      </w:r>
      <w:r w:rsidR="009025E3">
        <w:instrText xml:space="preserve"> REF _Ref284177052 \r \h </w:instrText>
      </w:r>
      <w:r w:rsidR="009025E3">
        <w:fldChar w:fldCharType="separate"/>
      </w:r>
      <w:r w:rsidR="00151A1C">
        <w:t>91</w:t>
      </w:r>
      <w:r w:rsidR="009025E3">
        <w:fldChar w:fldCharType="end"/>
      </w:r>
      <w:r w:rsidR="009025E3">
        <w:t>).</w:t>
      </w:r>
    </w:p>
    <w:p w14:paraId="7ACE1A47" w14:textId="77777777" w:rsidR="0049441E" w:rsidRPr="00AF3642" w:rsidRDefault="0049441E" w:rsidP="0049441E">
      <w:pPr>
        <w:pStyle w:val="ReportText"/>
        <w:spacing w:line="240" w:lineRule="auto"/>
        <w:jc w:val="left"/>
      </w:pPr>
    </w:p>
    <w:p w14:paraId="4FD3061C" w14:textId="4375114D" w:rsidR="0049441E" w:rsidRPr="00AF3642" w:rsidRDefault="0049441E" w:rsidP="0049441E">
      <w:pPr>
        <w:pStyle w:val="ReportText"/>
        <w:spacing w:line="240" w:lineRule="auto"/>
        <w:jc w:val="left"/>
      </w:pPr>
      <w:r w:rsidRPr="00AF3642">
        <w:t xml:space="preserve">The full results for the MRSA-only network (fixed effect model) are presented below in section </w:t>
      </w:r>
      <w:r w:rsidR="009025E3">
        <w:t xml:space="preserve">D.5.2 below. </w:t>
      </w:r>
      <w:r w:rsidRPr="00AF3642">
        <w:t xml:space="preserve">Results for the MRSA-only network (random effects model) are presented in </w:t>
      </w:r>
      <w:r w:rsidR="009025E3">
        <w:t>the YHEC report (</w:t>
      </w:r>
      <w:r w:rsidR="009025E3">
        <w:fldChar w:fldCharType="begin"/>
      </w:r>
      <w:r w:rsidR="009025E3">
        <w:instrText xml:space="preserve"> REF _Ref284177052 \r \h </w:instrText>
      </w:r>
      <w:r w:rsidR="009025E3">
        <w:fldChar w:fldCharType="separate"/>
      </w:r>
      <w:r w:rsidR="00151A1C">
        <w:t>91</w:t>
      </w:r>
      <w:r w:rsidR="009025E3">
        <w:fldChar w:fldCharType="end"/>
      </w:r>
      <w:r w:rsidR="009025E3">
        <w:t>).</w:t>
      </w:r>
    </w:p>
    <w:p w14:paraId="6D9E44CC" w14:textId="77777777" w:rsidR="0049441E" w:rsidRPr="00AF3642" w:rsidRDefault="0049441E" w:rsidP="0049441E">
      <w:pPr>
        <w:pStyle w:val="ReportText"/>
        <w:spacing w:line="240" w:lineRule="auto"/>
        <w:jc w:val="left"/>
      </w:pPr>
    </w:p>
    <w:p w14:paraId="6BC24423" w14:textId="06EFC150" w:rsidR="0049441E" w:rsidRPr="00AF3642" w:rsidRDefault="0049441E" w:rsidP="0049441E">
      <w:pPr>
        <w:pStyle w:val="ReportText"/>
        <w:spacing w:line="240" w:lineRule="auto"/>
        <w:jc w:val="left"/>
        <w:rPr>
          <w:rFonts w:cs="Arial"/>
          <w:szCs w:val="22"/>
          <w:lang w:val="en-US"/>
        </w:rPr>
      </w:pPr>
      <w:r w:rsidRPr="00AF3642">
        <w:rPr>
          <w:rFonts w:cs="Arial"/>
          <w:szCs w:val="22"/>
          <w:lang w:val="en-US"/>
        </w:rPr>
        <w:t xml:space="preserve">In addition, a post-hoc analysis of the MRSA sub-group was subsequently conducted which </w:t>
      </w:r>
      <w:r w:rsidRPr="0030609C">
        <w:rPr>
          <w:rFonts w:cs="Arial"/>
          <w:szCs w:val="22"/>
          <w:lang w:val="en-US"/>
        </w:rPr>
        <w:t>included the Corey 2010 study which compares ceftaroline to vancomycin plus aztreonam (excluded from the primary review because of the combination treatment arm), as w</w:t>
      </w:r>
      <w:r w:rsidR="009025E3">
        <w:rPr>
          <w:rFonts w:cs="Arial"/>
          <w:szCs w:val="22"/>
          <w:lang w:val="en-US"/>
        </w:rPr>
        <w:t>ell as the Talbot 2007 study</w:t>
      </w:r>
      <w:r w:rsidRPr="0030609C">
        <w:rPr>
          <w:rFonts w:cs="Arial"/>
          <w:szCs w:val="22"/>
          <w:lang w:val="en-US"/>
        </w:rPr>
        <w:t xml:space="preserve">)(see commentary below). Results for this post-hoc analysis  - which explored the </w:t>
      </w:r>
      <w:r w:rsidRPr="0030609C">
        <w:rPr>
          <w:rFonts w:cs="Arial"/>
          <w:szCs w:val="22"/>
        </w:rPr>
        <w:t>clinical response at the PTE or Test for Cure outcome only in the MRSA population - a</w:t>
      </w:r>
      <w:r w:rsidRPr="0030609C">
        <w:rPr>
          <w:rFonts w:cs="Arial"/>
          <w:szCs w:val="22"/>
          <w:lang w:val="en-US"/>
        </w:rPr>
        <w:t xml:space="preserve">re shown below in section </w:t>
      </w:r>
      <w:r w:rsidR="009025E3">
        <w:rPr>
          <w:rFonts w:cs="Arial"/>
          <w:szCs w:val="22"/>
          <w:lang w:val="en-US"/>
        </w:rPr>
        <w:t>D.5.3.</w:t>
      </w:r>
    </w:p>
    <w:p w14:paraId="16BCE0A3" w14:textId="77777777" w:rsidR="0049441E" w:rsidRPr="00770560" w:rsidRDefault="0049441E" w:rsidP="0049441E">
      <w:pPr>
        <w:pStyle w:val="ReportText"/>
        <w:spacing w:line="240" w:lineRule="auto"/>
        <w:jc w:val="left"/>
      </w:pPr>
    </w:p>
    <w:p w14:paraId="670292AC" w14:textId="60E907A9" w:rsidR="0049441E" w:rsidRDefault="009025E3" w:rsidP="0049441E">
      <w:pPr>
        <w:pStyle w:val="ReportText"/>
        <w:spacing w:line="240" w:lineRule="auto"/>
        <w:jc w:val="left"/>
        <w:rPr>
          <w:b/>
        </w:rPr>
      </w:pPr>
      <w:r>
        <w:rPr>
          <w:b/>
        </w:rPr>
        <w:t>D. 5.1</w:t>
      </w:r>
      <w:r w:rsidR="0049441E">
        <w:rPr>
          <w:b/>
        </w:rPr>
        <w:t xml:space="preserve"> ‘All trials’ and ‘ITT/mITT’ networks</w:t>
      </w:r>
    </w:p>
    <w:p w14:paraId="68C1B8EF" w14:textId="77777777" w:rsidR="0049441E" w:rsidRDefault="0049441E" w:rsidP="0049441E">
      <w:pPr>
        <w:pStyle w:val="ReportText"/>
        <w:spacing w:line="240" w:lineRule="auto"/>
        <w:jc w:val="left"/>
        <w:rPr>
          <w:b/>
        </w:rPr>
      </w:pPr>
    </w:p>
    <w:p w14:paraId="6AE08A9A" w14:textId="77777777" w:rsidR="0049441E" w:rsidRPr="00C47079" w:rsidRDefault="0049441E" w:rsidP="0049441E">
      <w:pPr>
        <w:pStyle w:val="ReportText"/>
        <w:spacing w:line="240" w:lineRule="auto"/>
        <w:jc w:val="left"/>
        <w:rPr>
          <w:b/>
          <w:i/>
        </w:rPr>
      </w:pPr>
      <w:r w:rsidRPr="00C47079">
        <w:rPr>
          <w:b/>
          <w:i/>
        </w:rPr>
        <w:t>Clinical response at the end of treatment</w:t>
      </w:r>
    </w:p>
    <w:p w14:paraId="433237B9" w14:textId="77777777" w:rsidR="0049441E" w:rsidRPr="00C36F09" w:rsidRDefault="0049441E" w:rsidP="0049441E">
      <w:pPr>
        <w:pStyle w:val="ReportText"/>
        <w:jc w:val="left"/>
      </w:pPr>
    </w:p>
    <w:p w14:paraId="78907EC2" w14:textId="77777777" w:rsidR="0049441E" w:rsidRDefault="0049441E" w:rsidP="0049441E">
      <w:pPr>
        <w:pStyle w:val="ReportText"/>
        <w:spacing w:line="240" w:lineRule="auto"/>
        <w:jc w:val="left"/>
      </w:pPr>
      <w:r>
        <w:t>In the all trials network using the fixed effects model, the odds of a clinical response at the end of treatment were 1.7 [95% credible intervals (CrI) 1.0, 3.0] for tedizolid vs. vancomycin and 1.8 [CrI 1.1, 2.9] for linezolid vs. vancomycin. This suggests that the odds of a clinical response at the end of treatment are almost twice as high for both tedizolid and linezolid when compared to vancomycin.  There was no evidence of a difference between any of the other comparisons assessed.</w:t>
      </w:r>
    </w:p>
    <w:p w14:paraId="5A5BCE6A" w14:textId="77777777" w:rsidR="0049441E" w:rsidRDefault="0049441E" w:rsidP="0049441E">
      <w:pPr>
        <w:pStyle w:val="ReportText"/>
        <w:spacing w:line="240" w:lineRule="auto"/>
        <w:jc w:val="left"/>
      </w:pPr>
    </w:p>
    <w:p w14:paraId="0F0A8EC1" w14:textId="77777777" w:rsidR="0049441E" w:rsidRDefault="0049441E" w:rsidP="0049441E">
      <w:pPr>
        <w:pStyle w:val="ReportText"/>
        <w:spacing w:line="240" w:lineRule="auto"/>
        <w:jc w:val="left"/>
      </w:pPr>
      <w:r w:rsidRPr="007172EF">
        <w:t xml:space="preserve">For the ITT/mITT network, there was no evidence of a difference between any of the </w:t>
      </w:r>
      <w:r>
        <w:t>comparisons with the fixed effects model.  Estimates for this network were assessed using data from only four studies so the absence of statistical differences could be due to the limited data rather than the absence of an effect.</w:t>
      </w:r>
    </w:p>
    <w:p w14:paraId="23133837" w14:textId="77777777" w:rsidR="0049441E" w:rsidRDefault="0049441E" w:rsidP="0049441E">
      <w:pPr>
        <w:pStyle w:val="ReportText"/>
        <w:spacing w:line="240" w:lineRule="auto"/>
        <w:jc w:val="left"/>
      </w:pPr>
    </w:p>
    <w:p w14:paraId="33604F01" w14:textId="77777777" w:rsidR="0049441E" w:rsidRDefault="0049441E" w:rsidP="0049441E">
      <w:pPr>
        <w:pStyle w:val="ReportText"/>
        <w:spacing w:line="240" w:lineRule="auto"/>
        <w:jc w:val="left"/>
      </w:pPr>
      <w:r w:rsidRPr="009B32DA">
        <w:t xml:space="preserve">Ceftaroline had the highest estimated event probability </w:t>
      </w:r>
      <w:r>
        <w:t xml:space="preserve">in the </w:t>
      </w:r>
      <w:r w:rsidRPr="009B32DA">
        <w:t xml:space="preserve">all trials </w:t>
      </w:r>
      <w:r>
        <w:t>network</w:t>
      </w:r>
      <w:r w:rsidRPr="009B32DA">
        <w:t xml:space="preserve"> followed by tedizolid and linezolid (fixed effects estimates 0.55, 0.24 and 0.16 for the three treatments respectively)</w:t>
      </w:r>
      <w:r>
        <w:t xml:space="preserve">. </w:t>
      </w:r>
      <w:r w:rsidRPr="009B32DA">
        <w:t>In the absence of ceftaroline in the ITT/mITT network, linezolid had the highest estimated event probability followed by tedizolid (0.53 and 0.41 respectively).  In all cases CrI were wide</w:t>
      </w:r>
      <w:r>
        <w:t>,</w:t>
      </w:r>
      <w:r w:rsidRPr="009B32DA">
        <w:t xml:space="preserve"> indicating uncertainty in the point estimates.</w:t>
      </w:r>
    </w:p>
    <w:p w14:paraId="10C3959C" w14:textId="77777777" w:rsidR="0049441E" w:rsidRDefault="0049441E" w:rsidP="0049441E">
      <w:pPr>
        <w:pStyle w:val="ReportText"/>
        <w:spacing w:line="240" w:lineRule="auto"/>
        <w:jc w:val="left"/>
      </w:pPr>
    </w:p>
    <w:p w14:paraId="3A4F36A6" w14:textId="77777777" w:rsidR="0049441E" w:rsidRPr="00AF3642" w:rsidRDefault="0049441E" w:rsidP="0049441E">
      <w:pPr>
        <w:pStyle w:val="ReportText"/>
        <w:spacing w:line="240" w:lineRule="auto"/>
        <w:jc w:val="left"/>
        <w:rPr>
          <w:b/>
          <w:i/>
        </w:rPr>
      </w:pPr>
      <w:r w:rsidRPr="00AF3642">
        <w:rPr>
          <w:b/>
          <w:i/>
        </w:rPr>
        <w:t xml:space="preserve">Clinical response at the post treatment evaluation or test of cure </w:t>
      </w:r>
    </w:p>
    <w:p w14:paraId="0BF041E5" w14:textId="77777777" w:rsidR="0049441E" w:rsidRDefault="0049441E" w:rsidP="0049441E">
      <w:pPr>
        <w:pStyle w:val="ReportText"/>
        <w:spacing w:line="240" w:lineRule="auto"/>
        <w:jc w:val="left"/>
      </w:pPr>
    </w:p>
    <w:p w14:paraId="1B1C9B87" w14:textId="77777777" w:rsidR="0049441E" w:rsidRPr="00F55DFA" w:rsidRDefault="0049441E" w:rsidP="0049441E">
      <w:pPr>
        <w:pStyle w:val="ReportText"/>
        <w:spacing w:line="240" w:lineRule="auto"/>
        <w:jc w:val="left"/>
        <w:rPr>
          <w:szCs w:val="22"/>
        </w:rPr>
      </w:pPr>
      <w:r w:rsidRPr="00F55DFA">
        <w:rPr>
          <w:szCs w:val="22"/>
        </w:rPr>
        <w:t>In the all trials and the ITT/mITT networks, the results from the fixed effect analysis suggest that odds of a clinical response at the post treatment evaluation or test of cure are higher for both tedizolid and linezolid when compared to vancomycin (OR: 1.6 [CrI 1.1, 2.5] and OR: 1.6 [CrI 1.3, 2.1] respectively) and for linezolid compared to telavancin (OR: 1.5 [CrI 1.0-2.0]).  There was no evidence of a difference between any of the other comparisons assessed.</w:t>
      </w:r>
    </w:p>
    <w:p w14:paraId="33873966" w14:textId="77777777" w:rsidR="0049441E" w:rsidRPr="00F55DFA" w:rsidRDefault="0049441E" w:rsidP="0049441E">
      <w:pPr>
        <w:pStyle w:val="ReportText"/>
        <w:spacing w:line="240" w:lineRule="auto"/>
        <w:jc w:val="left"/>
        <w:rPr>
          <w:szCs w:val="22"/>
        </w:rPr>
      </w:pPr>
    </w:p>
    <w:p w14:paraId="65B1D019" w14:textId="77777777" w:rsidR="0049441E" w:rsidRPr="00F55DFA" w:rsidRDefault="0049441E" w:rsidP="0049441E">
      <w:pPr>
        <w:pStyle w:val="ReportText"/>
        <w:spacing w:line="240" w:lineRule="auto"/>
        <w:jc w:val="left"/>
        <w:rPr>
          <w:szCs w:val="22"/>
        </w:rPr>
      </w:pPr>
      <w:r w:rsidRPr="00F55DFA">
        <w:rPr>
          <w:szCs w:val="22"/>
        </w:rPr>
        <w:t>For both all trials and ITT/mITT networks the ceftaroline treatment had the highest probability of being the best treatment from the fixed effect analysis.  Ceftaroline did not feature in the MRSA only network.  Tedizolid was the treatment with the highest probability of being the best followed by linezolid (0.37 and 0.26 respectively).</w:t>
      </w:r>
    </w:p>
    <w:p w14:paraId="71894B4F" w14:textId="77777777" w:rsidR="0049441E" w:rsidRPr="00F55DFA" w:rsidRDefault="0049441E" w:rsidP="0049441E">
      <w:pPr>
        <w:pStyle w:val="ReportText"/>
        <w:spacing w:line="240" w:lineRule="auto"/>
        <w:jc w:val="left"/>
        <w:rPr>
          <w:szCs w:val="22"/>
        </w:rPr>
      </w:pPr>
    </w:p>
    <w:p w14:paraId="3B1B1C0C" w14:textId="77777777" w:rsidR="0049441E" w:rsidRPr="00AF3642" w:rsidRDefault="0049441E" w:rsidP="0049441E">
      <w:pPr>
        <w:pStyle w:val="ReportText"/>
        <w:spacing w:line="240" w:lineRule="auto"/>
        <w:jc w:val="left"/>
        <w:rPr>
          <w:b/>
          <w:i/>
          <w:szCs w:val="22"/>
        </w:rPr>
      </w:pPr>
      <w:r w:rsidRPr="00AF3642">
        <w:rPr>
          <w:b/>
          <w:i/>
          <w:szCs w:val="22"/>
        </w:rPr>
        <w:t>Discontinuation due to AE</w:t>
      </w:r>
    </w:p>
    <w:p w14:paraId="1A0FC610" w14:textId="77777777" w:rsidR="0049441E" w:rsidRPr="00F55DFA" w:rsidRDefault="0049441E" w:rsidP="0049441E">
      <w:pPr>
        <w:pStyle w:val="ReportText"/>
        <w:spacing w:line="240" w:lineRule="auto"/>
        <w:jc w:val="left"/>
        <w:rPr>
          <w:b/>
          <w:szCs w:val="22"/>
        </w:rPr>
      </w:pPr>
    </w:p>
    <w:p w14:paraId="6A2E1526" w14:textId="77777777" w:rsidR="0049441E" w:rsidRPr="00F55DFA" w:rsidRDefault="0049441E" w:rsidP="0049441E">
      <w:pPr>
        <w:pStyle w:val="ReportText"/>
        <w:spacing w:line="240" w:lineRule="auto"/>
        <w:jc w:val="left"/>
        <w:rPr>
          <w:szCs w:val="22"/>
        </w:rPr>
      </w:pPr>
      <w:r w:rsidRPr="00F55DFA">
        <w:rPr>
          <w:szCs w:val="22"/>
        </w:rPr>
        <w:t>There was no evidence of a difference between any of the treatments for discontinuation due to AE using the fixed effect model.  Tedizolid had the lowest probability of discontinuation due to AE (and also the narrowest CrI) and the highest probability of being the best treatment, followed by daptomycin (0.41 and 0.40 respectively).</w:t>
      </w:r>
    </w:p>
    <w:p w14:paraId="04EE3BA2" w14:textId="77777777" w:rsidR="0049441E" w:rsidRDefault="0049441E" w:rsidP="0049441E">
      <w:pPr>
        <w:rPr>
          <w:rFonts w:cs="Arial"/>
          <w:sz w:val="22"/>
          <w:szCs w:val="22"/>
        </w:rPr>
      </w:pPr>
    </w:p>
    <w:p w14:paraId="42726DC0" w14:textId="0F5F7F88" w:rsidR="0049441E" w:rsidRPr="00094A11" w:rsidRDefault="009025E3" w:rsidP="0049441E">
      <w:pPr>
        <w:rPr>
          <w:rFonts w:cs="Arial"/>
          <w:b/>
          <w:iCs/>
          <w:sz w:val="22"/>
          <w:szCs w:val="22"/>
        </w:rPr>
      </w:pPr>
      <w:r>
        <w:rPr>
          <w:rFonts w:cs="Arial"/>
          <w:b/>
          <w:iCs/>
          <w:sz w:val="22"/>
          <w:szCs w:val="22"/>
        </w:rPr>
        <w:t xml:space="preserve">D.5.2 </w:t>
      </w:r>
      <w:r w:rsidR="0049441E" w:rsidRPr="00094A11">
        <w:rPr>
          <w:rFonts w:cs="Arial"/>
          <w:b/>
          <w:iCs/>
          <w:sz w:val="22"/>
          <w:szCs w:val="22"/>
        </w:rPr>
        <w:t xml:space="preserve"> MRSA-only network</w:t>
      </w:r>
    </w:p>
    <w:p w14:paraId="3AE9258F" w14:textId="77777777" w:rsidR="0049441E" w:rsidRPr="00BC1EF1" w:rsidRDefault="0049441E" w:rsidP="0049441E">
      <w:pPr>
        <w:pStyle w:val="Heading4"/>
        <w:rPr>
          <w:rFonts w:ascii="Arial" w:hAnsi="Arial" w:cs="Arial"/>
          <w:color w:val="auto"/>
          <w:sz w:val="22"/>
          <w:szCs w:val="22"/>
        </w:rPr>
      </w:pPr>
      <w:r w:rsidRPr="00BC1EF1">
        <w:rPr>
          <w:rFonts w:ascii="Arial" w:hAnsi="Arial" w:cs="Arial"/>
          <w:color w:val="auto"/>
          <w:sz w:val="22"/>
          <w:szCs w:val="22"/>
        </w:rPr>
        <w:lastRenderedPageBreak/>
        <w:t>Assessment of heterogeneity and inconsistency</w:t>
      </w:r>
    </w:p>
    <w:p w14:paraId="1D52AB61" w14:textId="77777777" w:rsidR="0049441E" w:rsidRPr="0033087F" w:rsidRDefault="0049441E" w:rsidP="0049441E">
      <w:pPr>
        <w:pStyle w:val="ReportText"/>
        <w:spacing w:line="240" w:lineRule="auto"/>
        <w:jc w:val="left"/>
        <w:rPr>
          <w:rFonts w:cs="Arial"/>
          <w:szCs w:val="22"/>
        </w:rPr>
      </w:pPr>
    </w:p>
    <w:p w14:paraId="07856635" w14:textId="77777777" w:rsidR="0049441E" w:rsidRPr="0033087F" w:rsidRDefault="0049441E" w:rsidP="0049441E">
      <w:pPr>
        <w:pStyle w:val="ReportText"/>
        <w:spacing w:line="240" w:lineRule="auto"/>
        <w:jc w:val="left"/>
        <w:rPr>
          <w:rFonts w:cs="Arial"/>
          <w:szCs w:val="22"/>
        </w:rPr>
      </w:pPr>
      <w:r w:rsidRPr="0033087F">
        <w:rPr>
          <w:rFonts w:cs="Arial"/>
          <w:szCs w:val="22"/>
        </w:rPr>
        <w:t xml:space="preserve">For the outcome of clinical response at the PTE of test of cure, only one pairwise treatment comparison was informed by more than one trial (linezolid versus vancomycin).  Similarly to the results for the all trials and ITT/mITT populations, significant heterogeneity was found for this comparison.  </w:t>
      </w:r>
    </w:p>
    <w:p w14:paraId="23AEBB0C" w14:textId="77777777" w:rsidR="0049441E" w:rsidRPr="0033087F" w:rsidRDefault="0049441E" w:rsidP="0049441E">
      <w:pPr>
        <w:pStyle w:val="ReportText"/>
        <w:spacing w:line="240" w:lineRule="auto"/>
        <w:jc w:val="left"/>
        <w:rPr>
          <w:rFonts w:cs="Arial"/>
          <w:szCs w:val="22"/>
        </w:rPr>
      </w:pPr>
    </w:p>
    <w:p w14:paraId="014A9341" w14:textId="77777777" w:rsidR="0049441E" w:rsidRPr="0033087F" w:rsidRDefault="0049441E" w:rsidP="0049441E">
      <w:pPr>
        <w:pStyle w:val="ReportText"/>
        <w:spacing w:line="240" w:lineRule="auto"/>
        <w:jc w:val="left"/>
        <w:rPr>
          <w:rFonts w:cs="Arial"/>
          <w:szCs w:val="22"/>
        </w:rPr>
      </w:pPr>
      <w:r w:rsidRPr="0033087F">
        <w:rPr>
          <w:rFonts w:cs="Arial"/>
          <w:szCs w:val="22"/>
        </w:rPr>
        <w:t>In this case the I-squared statistic is 72% suggesting moderate to high heterogeneity between the trials.  In addition</w:t>
      </w:r>
      <w:r>
        <w:rPr>
          <w:rFonts w:cs="Arial"/>
          <w:szCs w:val="22"/>
        </w:rPr>
        <w:t>,</w:t>
      </w:r>
      <w:r w:rsidRPr="0033087F">
        <w:rPr>
          <w:rFonts w:cs="Arial"/>
          <w:szCs w:val="22"/>
        </w:rPr>
        <w:t xml:space="preserve"> the p-value for the Q statistic is 0.0134</w:t>
      </w:r>
      <w:r>
        <w:rPr>
          <w:rFonts w:cs="Arial"/>
          <w:szCs w:val="22"/>
        </w:rPr>
        <w:t>,</w:t>
      </w:r>
      <w:r w:rsidRPr="0033087F">
        <w:rPr>
          <w:rFonts w:cs="Arial"/>
          <w:szCs w:val="22"/>
        </w:rPr>
        <w:t xml:space="preserve"> which provides further evidence of significant heterogeneity. Similar results were found for the all trials and the ITT/mITT population.</w:t>
      </w:r>
    </w:p>
    <w:p w14:paraId="24FFDA90" w14:textId="77777777" w:rsidR="0049441E" w:rsidRPr="0033087F" w:rsidRDefault="0049441E" w:rsidP="0049441E">
      <w:pPr>
        <w:pStyle w:val="ReportText"/>
        <w:spacing w:line="240" w:lineRule="auto"/>
        <w:jc w:val="left"/>
        <w:rPr>
          <w:rFonts w:cs="Arial"/>
          <w:szCs w:val="22"/>
        </w:rPr>
      </w:pPr>
    </w:p>
    <w:p w14:paraId="067097C4" w14:textId="77777777" w:rsidR="0049441E" w:rsidRPr="0033087F" w:rsidRDefault="0049441E" w:rsidP="0049441E">
      <w:pPr>
        <w:pStyle w:val="ReportText"/>
        <w:spacing w:line="240" w:lineRule="auto"/>
        <w:jc w:val="left"/>
        <w:rPr>
          <w:rFonts w:cs="Arial"/>
          <w:szCs w:val="22"/>
        </w:rPr>
      </w:pPr>
      <w:r w:rsidRPr="0033087F">
        <w:rPr>
          <w:rFonts w:cs="Arial"/>
          <w:szCs w:val="22"/>
        </w:rPr>
        <w:t xml:space="preserve">In </w:t>
      </w:r>
      <w:r>
        <w:rPr>
          <w:rFonts w:cs="Arial"/>
          <w:szCs w:val="22"/>
        </w:rPr>
        <w:fldChar w:fldCharType="begin"/>
      </w:r>
      <w:r>
        <w:rPr>
          <w:rFonts w:cs="Arial"/>
          <w:szCs w:val="22"/>
        </w:rPr>
        <w:instrText xml:space="preserve"> REF _Ref281664669 \h </w:instrText>
      </w:r>
      <w:r>
        <w:rPr>
          <w:rFonts w:cs="Arial"/>
          <w:szCs w:val="22"/>
        </w:rPr>
      </w:r>
      <w:r>
        <w:rPr>
          <w:rFonts w:cs="Arial"/>
          <w:szCs w:val="22"/>
        </w:rPr>
        <w:fldChar w:fldCharType="separate"/>
      </w:r>
      <w:r w:rsidR="00151A1C" w:rsidRPr="0033087F">
        <w:rPr>
          <w:rFonts w:cs="Arial"/>
          <w:szCs w:val="22"/>
        </w:rPr>
        <w:t xml:space="preserve">Figure </w:t>
      </w:r>
      <w:r w:rsidR="00151A1C">
        <w:rPr>
          <w:rFonts w:cs="Arial"/>
          <w:noProof/>
          <w:szCs w:val="22"/>
        </w:rPr>
        <w:t>20</w:t>
      </w:r>
      <w:r>
        <w:rPr>
          <w:rFonts w:cs="Arial"/>
          <w:szCs w:val="22"/>
        </w:rPr>
        <w:fldChar w:fldCharType="end"/>
      </w:r>
      <w:r w:rsidRPr="0033087F">
        <w:rPr>
          <w:rFonts w:cs="Arial"/>
          <w:szCs w:val="22"/>
        </w:rPr>
        <w:t>, the Sharpe 2005 study stands out for having a high odds ratio compared to the other studies.  There is also little overlap between its confidence interval and the rest.  This may explain the heterogeneity identified for this meta-analysis.  No obvious differences were found between Sharpe 2005 and the other studies to justify its exclusion from the dataset.  Moreover, because this is quite a small study its exclusion is unlikely to have a big effect on the results of the meta-analysis.</w:t>
      </w:r>
    </w:p>
    <w:p w14:paraId="287AE3D4" w14:textId="77777777" w:rsidR="0049441E" w:rsidRPr="0033087F" w:rsidRDefault="0049441E" w:rsidP="0049441E">
      <w:pPr>
        <w:pStyle w:val="Caption"/>
        <w:jc w:val="left"/>
        <w:rPr>
          <w:rStyle w:val="TableTitle"/>
          <w:rFonts w:ascii="Arial" w:hAnsi="Arial" w:cs="Arial"/>
          <w:szCs w:val="22"/>
        </w:rPr>
      </w:pPr>
      <w:bookmarkStart w:id="398" w:name="_Ref281664669"/>
      <w:r w:rsidRPr="0033087F">
        <w:rPr>
          <w:rFonts w:ascii="Arial" w:hAnsi="Arial" w:cs="Arial"/>
          <w:sz w:val="22"/>
          <w:szCs w:val="22"/>
        </w:rPr>
        <w:t xml:space="preserve">Figure </w:t>
      </w:r>
      <w:r w:rsidRPr="0033087F">
        <w:rPr>
          <w:rFonts w:ascii="Arial" w:hAnsi="Arial" w:cs="Arial"/>
          <w:sz w:val="22"/>
          <w:szCs w:val="22"/>
        </w:rPr>
        <w:fldChar w:fldCharType="begin"/>
      </w:r>
      <w:r w:rsidRPr="0033087F">
        <w:rPr>
          <w:rFonts w:ascii="Arial" w:hAnsi="Arial" w:cs="Arial"/>
          <w:sz w:val="22"/>
          <w:szCs w:val="22"/>
        </w:rPr>
        <w:instrText xml:space="preserve"> SEQ Figure \* ARABIC </w:instrText>
      </w:r>
      <w:r w:rsidRPr="0033087F">
        <w:rPr>
          <w:rFonts w:ascii="Arial" w:hAnsi="Arial" w:cs="Arial"/>
          <w:sz w:val="22"/>
          <w:szCs w:val="22"/>
        </w:rPr>
        <w:fldChar w:fldCharType="separate"/>
      </w:r>
      <w:r w:rsidR="00151A1C">
        <w:rPr>
          <w:rFonts w:ascii="Arial" w:hAnsi="Arial" w:cs="Arial"/>
          <w:noProof/>
          <w:sz w:val="22"/>
          <w:szCs w:val="22"/>
        </w:rPr>
        <w:t>20</w:t>
      </w:r>
      <w:r w:rsidRPr="0033087F">
        <w:rPr>
          <w:rFonts w:ascii="Arial" w:hAnsi="Arial" w:cs="Arial"/>
          <w:sz w:val="22"/>
          <w:szCs w:val="22"/>
        </w:rPr>
        <w:fldChar w:fldCharType="end"/>
      </w:r>
      <w:bookmarkEnd w:id="398"/>
      <w:r w:rsidRPr="0033087F">
        <w:rPr>
          <w:rStyle w:val="TableTitle"/>
          <w:rFonts w:ascii="Arial" w:hAnsi="Arial" w:cs="Arial"/>
          <w:szCs w:val="22"/>
        </w:rPr>
        <w:t>:</w:t>
      </w:r>
      <w:r>
        <w:rPr>
          <w:rStyle w:val="TableTitle"/>
          <w:rFonts w:ascii="Arial" w:hAnsi="Arial" w:cs="Arial"/>
          <w:szCs w:val="22"/>
        </w:rPr>
        <w:t xml:space="preserve"> </w:t>
      </w:r>
      <w:r w:rsidRPr="00BC1EF1">
        <w:rPr>
          <w:rStyle w:val="TableTitle"/>
          <w:rFonts w:ascii="Arial" w:hAnsi="Arial" w:cs="Arial"/>
          <w:b/>
          <w:szCs w:val="22"/>
        </w:rPr>
        <w:t>Clinical response at the post treatment evaluation of test of cure: MRSA only.  Pairwise meta-analysis of Linezolid vs. Vancomycin</w:t>
      </w:r>
    </w:p>
    <w:p w14:paraId="0D82FEE4" w14:textId="77777777" w:rsidR="0049441E" w:rsidRPr="0033087F" w:rsidRDefault="0049441E" w:rsidP="0049441E">
      <w:pPr>
        <w:pStyle w:val="ReportText"/>
        <w:spacing w:line="240" w:lineRule="auto"/>
        <w:jc w:val="left"/>
        <w:rPr>
          <w:rFonts w:cs="Arial"/>
          <w:szCs w:val="22"/>
        </w:rPr>
      </w:pPr>
      <w:r w:rsidRPr="0033087F">
        <w:rPr>
          <w:rFonts w:cs="Arial"/>
          <w:noProof/>
          <w:szCs w:val="22"/>
          <w:lang w:eastAsia="en-GB"/>
        </w:rPr>
        <w:drawing>
          <wp:inline distT="0" distB="0" distL="0" distR="0" wp14:anchorId="6E42D49A" wp14:editId="14E2FB01">
            <wp:extent cx="5733415" cy="2050186"/>
            <wp:effectExtent l="0" t="0" r="635" b="762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3415" cy="2050186"/>
                    </a:xfrm>
                    <a:prstGeom prst="rect">
                      <a:avLst/>
                    </a:prstGeom>
                  </pic:spPr>
                </pic:pic>
              </a:graphicData>
            </a:graphic>
          </wp:inline>
        </w:drawing>
      </w:r>
    </w:p>
    <w:p w14:paraId="75793BDE" w14:textId="77777777" w:rsidR="0049441E" w:rsidRPr="00BC1EF1" w:rsidRDefault="0049441E" w:rsidP="0049441E">
      <w:pPr>
        <w:pStyle w:val="Heading4"/>
        <w:rPr>
          <w:rFonts w:ascii="Arial" w:hAnsi="Arial" w:cs="Arial"/>
          <w:color w:val="auto"/>
          <w:sz w:val="22"/>
          <w:szCs w:val="22"/>
        </w:rPr>
      </w:pPr>
      <w:bookmarkStart w:id="399" w:name="_Ref397351186"/>
      <w:r w:rsidRPr="00BC1EF1">
        <w:rPr>
          <w:rFonts w:ascii="Arial" w:hAnsi="Arial" w:cs="Arial"/>
          <w:color w:val="auto"/>
          <w:sz w:val="22"/>
          <w:szCs w:val="22"/>
        </w:rPr>
        <w:lastRenderedPageBreak/>
        <w:t>Exclusion of the Talbot 2007 study from the ‘clinical response at the post treatment evaluation or test of cure: MRSA only’ outcome</w:t>
      </w:r>
      <w:bookmarkEnd w:id="399"/>
      <w:r w:rsidRPr="00BC1EF1">
        <w:rPr>
          <w:rFonts w:ascii="Arial" w:hAnsi="Arial" w:cs="Arial"/>
          <w:color w:val="auto"/>
          <w:sz w:val="22"/>
          <w:szCs w:val="22"/>
        </w:rPr>
        <w:t xml:space="preserve"> dataset</w:t>
      </w:r>
    </w:p>
    <w:p w14:paraId="46FA9D56" w14:textId="77777777" w:rsidR="0049441E" w:rsidRPr="0033087F" w:rsidRDefault="0049441E" w:rsidP="0049441E">
      <w:pPr>
        <w:pStyle w:val="ReportText"/>
        <w:spacing w:line="240" w:lineRule="auto"/>
        <w:jc w:val="left"/>
        <w:rPr>
          <w:rFonts w:cs="Arial"/>
          <w:szCs w:val="22"/>
          <w:lang w:val="en-US"/>
        </w:rPr>
      </w:pPr>
    </w:p>
    <w:p w14:paraId="1772BAD8" w14:textId="77777777" w:rsidR="0049441E" w:rsidRPr="0033087F" w:rsidRDefault="0049441E" w:rsidP="0049441E">
      <w:pPr>
        <w:pStyle w:val="ReportText"/>
        <w:spacing w:line="240" w:lineRule="auto"/>
        <w:jc w:val="left"/>
        <w:rPr>
          <w:rFonts w:cs="Arial"/>
          <w:szCs w:val="22"/>
          <w:lang w:val="en-US"/>
        </w:rPr>
      </w:pPr>
      <w:r w:rsidRPr="0033087F">
        <w:rPr>
          <w:rFonts w:cs="Arial"/>
          <w:szCs w:val="22"/>
          <w:lang w:val="en-US"/>
        </w:rPr>
        <w:t xml:space="preserve">The Talbot 2007 study was the only study informing the ceftaroline versus vancomycin comparison.  For the MRSA only population this study only had five patients in each arm.  Moreover, for vancomycin all of the five patients had the clinical response.  The lack of data for this comparison led to problems when fitting NMA models for this outcome.  Results could only be obtained when using a different, more informative prior: </w:t>
      </w:r>
      <m:oMath>
        <m:r>
          <m:rPr>
            <m:nor/>
          </m:rPr>
          <w:rPr>
            <w:rFonts w:cs="Arial"/>
            <w:szCs w:val="22"/>
            <w:lang w:val="en-US"/>
          </w:rPr>
          <m:t>Normal</m:t>
        </m:r>
        <m:d>
          <m:dPr>
            <m:ctrlPr>
              <w:rPr>
                <w:rFonts w:ascii="Cambria Math" w:hAnsi="Cambria Math" w:cs="Arial"/>
                <w:szCs w:val="22"/>
                <w:lang w:val="en-US"/>
              </w:rPr>
            </m:ctrlPr>
          </m:dPr>
          <m:e>
            <m:r>
              <m:rPr>
                <m:nor/>
              </m:rPr>
              <w:rPr>
                <w:rFonts w:cs="Arial"/>
                <w:szCs w:val="22"/>
                <w:lang w:val="en-US"/>
              </w:rPr>
              <m:t>0,10</m:t>
            </m:r>
          </m:e>
        </m:d>
      </m:oMath>
      <w:r w:rsidRPr="0033087F">
        <w:rPr>
          <w:rFonts w:cs="Arial"/>
          <w:szCs w:val="22"/>
          <w:lang w:val="en-US"/>
        </w:rPr>
        <w:t xml:space="preserve"> instead of </w:t>
      </w:r>
      <m:oMath>
        <m:r>
          <m:rPr>
            <m:nor/>
          </m:rPr>
          <w:rPr>
            <w:rFonts w:cs="Arial"/>
            <w:szCs w:val="22"/>
            <w:lang w:val="en-US"/>
          </w:rPr>
          <m:t>Normal</m:t>
        </m:r>
        <m:d>
          <m:dPr>
            <m:ctrlPr>
              <w:rPr>
                <w:rFonts w:ascii="Cambria Math" w:hAnsi="Cambria Math" w:cs="Arial"/>
                <w:szCs w:val="22"/>
                <w:lang w:val="en-US"/>
              </w:rPr>
            </m:ctrlPr>
          </m:dPr>
          <m:e>
            <m:r>
              <m:rPr>
                <m:nor/>
              </m:rPr>
              <w:rPr>
                <w:rFonts w:cs="Arial"/>
                <w:szCs w:val="22"/>
                <w:lang w:val="en-US"/>
              </w:rPr>
              <m:t>0,</m:t>
            </m:r>
            <m:sSup>
              <m:sSupPr>
                <m:ctrlPr>
                  <w:rPr>
                    <w:rFonts w:ascii="Cambria Math" w:hAnsi="Cambria Math" w:cs="Arial"/>
                    <w:szCs w:val="22"/>
                    <w:lang w:val="en-US"/>
                  </w:rPr>
                </m:ctrlPr>
              </m:sSupPr>
              <m:e>
                <m:r>
                  <m:rPr>
                    <m:nor/>
                  </m:rPr>
                  <w:rPr>
                    <w:rFonts w:cs="Arial"/>
                    <w:szCs w:val="22"/>
                    <w:lang w:val="en-US"/>
                  </w:rPr>
                  <m:t>100</m:t>
                </m:r>
              </m:e>
              <m:sup>
                <m:r>
                  <m:rPr>
                    <m:nor/>
                  </m:rPr>
                  <w:rPr>
                    <w:rFonts w:cs="Arial"/>
                    <w:szCs w:val="22"/>
                    <w:lang w:val="en-US"/>
                  </w:rPr>
                  <m:t>2</m:t>
                </m:r>
              </m:sup>
            </m:sSup>
          </m:e>
        </m:d>
      </m:oMath>
      <w:r w:rsidRPr="0033087F">
        <w:rPr>
          <w:rFonts w:cs="Arial"/>
          <w:szCs w:val="22"/>
          <w:lang w:val="en-US"/>
        </w:rPr>
        <w:t>.  Even for this prior the CrI for comparisons involving ceftaroline were very wide.</w:t>
      </w:r>
    </w:p>
    <w:p w14:paraId="2776B8B4" w14:textId="77777777" w:rsidR="0049441E" w:rsidRPr="0033087F" w:rsidRDefault="0049441E" w:rsidP="0049441E">
      <w:pPr>
        <w:pStyle w:val="ReportText"/>
        <w:spacing w:line="240" w:lineRule="auto"/>
        <w:jc w:val="left"/>
        <w:rPr>
          <w:rFonts w:cs="Arial"/>
          <w:szCs w:val="22"/>
          <w:lang w:val="en-US"/>
        </w:rPr>
      </w:pPr>
    </w:p>
    <w:p w14:paraId="109888C4" w14:textId="77777777" w:rsidR="0049441E" w:rsidRPr="0033087F" w:rsidRDefault="0049441E" w:rsidP="0049441E">
      <w:pPr>
        <w:pStyle w:val="ReportText"/>
        <w:spacing w:line="240" w:lineRule="auto"/>
        <w:jc w:val="left"/>
        <w:rPr>
          <w:rFonts w:cs="Arial"/>
          <w:szCs w:val="22"/>
          <w:lang w:val="en-US"/>
        </w:rPr>
      </w:pPr>
      <w:r w:rsidRPr="0033087F">
        <w:rPr>
          <w:rFonts w:cs="Arial"/>
          <w:szCs w:val="22"/>
          <w:lang w:val="en-US"/>
        </w:rPr>
        <w:t>This is likely to be a consequence of the lack of information to estimate comparisons involving ceftaroline.  It was therefore decided not to estimate the ceftaroline versus vancomycin comparison and the Talbot 2007 study was dropped from the analysis.  As a consequence, comparisons involving ceftaroline were not estimated for the ‘clinical response at the post treatment evaluation or test of cure: MRSA only’ outcome.</w:t>
      </w:r>
    </w:p>
    <w:p w14:paraId="46C38398" w14:textId="77777777" w:rsidR="0049441E" w:rsidRPr="0066183E" w:rsidRDefault="0049441E" w:rsidP="0049441E">
      <w:pPr>
        <w:pStyle w:val="Heading4"/>
        <w:rPr>
          <w:rFonts w:ascii="Arial" w:hAnsi="Arial" w:cs="Arial"/>
          <w:color w:val="auto"/>
          <w:sz w:val="22"/>
          <w:szCs w:val="22"/>
        </w:rPr>
      </w:pPr>
      <w:r w:rsidRPr="0066183E">
        <w:rPr>
          <w:rFonts w:ascii="Arial" w:hAnsi="Arial" w:cs="Arial"/>
          <w:color w:val="auto"/>
          <w:sz w:val="22"/>
          <w:szCs w:val="22"/>
        </w:rPr>
        <w:t>Results of the NMA, MRSA-only network</w:t>
      </w:r>
    </w:p>
    <w:p w14:paraId="559C477E" w14:textId="77777777" w:rsidR="0049441E" w:rsidRPr="0066183E" w:rsidRDefault="0049441E" w:rsidP="0049441E">
      <w:pPr>
        <w:pStyle w:val="ReportText"/>
        <w:spacing w:line="240" w:lineRule="auto"/>
        <w:jc w:val="left"/>
        <w:rPr>
          <w:rFonts w:cs="Arial"/>
          <w:szCs w:val="22"/>
        </w:rPr>
      </w:pPr>
    </w:p>
    <w:p w14:paraId="25061AA2" w14:textId="77777777" w:rsidR="00151A1C" w:rsidRPr="0066183E" w:rsidRDefault="0049441E" w:rsidP="0049441E">
      <w:pPr>
        <w:rPr>
          <w:rFonts w:cs="Arial"/>
          <w:sz w:val="22"/>
          <w:szCs w:val="22"/>
        </w:rPr>
      </w:pPr>
      <w:r w:rsidRPr="00DD7EE4">
        <w:rPr>
          <w:rFonts w:cs="Arial"/>
          <w:sz w:val="22"/>
          <w:szCs w:val="22"/>
        </w:rPr>
        <w:t xml:space="preserve">The forest plots for the NMA results are presented as tedizolid versus all other treatments.  The results for the fixed effect </w:t>
      </w:r>
      <w:r w:rsidRPr="004D6F82">
        <w:rPr>
          <w:rFonts w:cs="Arial"/>
          <w:sz w:val="22"/>
          <w:szCs w:val="22"/>
        </w:rPr>
        <w:t xml:space="preserve">model are shown in </w:t>
      </w:r>
      <w:r w:rsidRPr="004D6F82">
        <w:rPr>
          <w:rFonts w:cs="Arial"/>
          <w:sz w:val="22"/>
          <w:szCs w:val="22"/>
        </w:rPr>
        <w:fldChar w:fldCharType="begin"/>
      </w:r>
      <w:r w:rsidRPr="004D6F82">
        <w:rPr>
          <w:rFonts w:cs="Arial"/>
          <w:sz w:val="22"/>
          <w:szCs w:val="22"/>
        </w:rPr>
        <w:instrText xml:space="preserve"> REF _Ref281664932 \h </w:instrText>
      </w:r>
      <w:r w:rsidRPr="004D6F82">
        <w:rPr>
          <w:rFonts w:cs="Arial"/>
          <w:sz w:val="22"/>
          <w:szCs w:val="22"/>
        </w:rPr>
      </w:r>
      <w:r w:rsidRPr="004D6F82">
        <w:rPr>
          <w:rFonts w:cs="Arial"/>
          <w:sz w:val="22"/>
          <w:szCs w:val="22"/>
        </w:rPr>
        <w:fldChar w:fldCharType="separate"/>
      </w:r>
    </w:p>
    <w:p w14:paraId="676F8E7A" w14:textId="30A8C7CE" w:rsidR="0049441E" w:rsidRPr="004D6F82" w:rsidRDefault="00151A1C" w:rsidP="0049441E">
      <w:pPr>
        <w:rPr>
          <w:rFonts w:cs="Arial"/>
          <w:sz w:val="22"/>
          <w:szCs w:val="22"/>
        </w:rPr>
      </w:pPr>
      <w:r w:rsidRPr="0066183E">
        <w:rPr>
          <w:b/>
          <w:sz w:val="22"/>
          <w:szCs w:val="22"/>
        </w:rPr>
        <w:t xml:space="preserve">Figure </w:t>
      </w:r>
      <w:r>
        <w:rPr>
          <w:b/>
          <w:noProof/>
          <w:sz w:val="22"/>
          <w:szCs w:val="22"/>
        </w:rPr>
        <w:t>21</w:t>
      </w:r>
      <w:r w:rsidR="0049441E" w:rsidRPr="004D6F82">
        <w:rPr>
          <w:rFonts w:cs="Arial"/>
          <w:sz w:val="22"/>
          <w:szCs w:val="22"/>
        </w:rPr>
        <w:fldChar w:fldCharType="end"/>
      </w:r>
      <w:r w:rsidR="0049441E" w:rsidRPr="004D6F82">
        <w:rPr>
          <w:rFonts w:cs="Arial"/>
          <w:sz w:val="22"/>
          <w:szCs w:val="22"/>
          <w:lang w:val="en-US"/>
        </w:rPr>
        <w:t xml:space="preserve"> and those for the random effects model are in Appendix F.  Since the Talbot 2007 study was excluded from this network, no comparisons involving the ceftaroline treatment have been estimated.</w:t>
      </w:r>
    </w:p>
    <w:p w14:paraId="3DB9D921" w14:textId="77777777" w:rsidR="0049441E" w:rsidRPr="004D6F82" w:rsidRDefault="0049441E" w:rsidP="0049441E">
      <w:pPr>
        <w:pStyle w:val="ReportText"/>
        <w:spacing w:line="240" w:lineRule="auto"/>
        <w:jc w:val="left"/>
        <w:rPr>
          <w:rFonts w:cs="Arial"/>
          <w:szCs w:val="22"/>
          <w:lang w:val="en-US"/>
        </w:rPr>
      </w:pPr>
    </w:p>
    <w:p w14:paraId="6E66FB43" w14:textId="77777777" w:rsidR="00151A1C" w:rsidRPr="0066183E" w:rsidRDefault="0049441E" w:rsidP="0049441E">
      <w:pPr>
        <w:rPr>
          <w:rFonts w:cs="Arial"/>
          <w:sz w:val="22"/>
          <w:szCs w:val="22"/>
        </w:rPr>
      </w:pPr>
      <w:bookmarkStart w:id="400" w:name="_Ref397416228"/>
      <w:r w:rsidRPr="004D6F82">
        <w:rPr>
          <w:rFonts w:cs="Arial"/>
          <w:sz w:val="22"/>
          <w:szCs w:val="22"/>
        </w:rPr>
        <w:t xml:space="preserve">All CrI in </w:t>
      </w:r>
      <w:r w:rsidRPr="004D6F82">
        <w:rPr>
          <w:rFonts w:cs="Arial"/>
          <w:sz w:val="22"/>
          <w:szCs w:val="22"/>
        </w:rPr>
        <w:fldChar w:fldCharType="begin"/>
      </w:r>
      <w:r w:rsidRPr="004D6F82">
        <w:rPr>
          <w:rFonts w:cs="Arial"/>
          <w:sz w:val="22"/>
          <w:szCs w:val="22"/>
        </w:rPr>
        <w:instrText xml:space="preserve"> REF _Ref281664932 \h </w:instrText>
      </w:r>
      <w:r w:rsidRPr="004D6F82">
        <w:rPr>
          <w:rFonts w:cs="Arial"/>
          <w:sz w:val="22"/>
          <w:szCs w:val="22"/>
        </w:rPr>
      </w:r>
      <w:r w:rsidRPr="004D6F82">
        <w:rPr>
          <w:rFonts w:cs="Arial"/>
          <w:sz w:val="22"/>
          <w:szCs w:val="22"/>
        </w:rPr>
        <w:fldChar w:fldCharType="separate"/>
      </w:r>
    </w:p>
    <w:p w14:paraId="1DCB95AA" w14:textId="5605EBB2" w:rsidR="0049441E" w:rsidRPr="004D6F82" w:rsidRDefault="00151A1C" w:rsidP="0049441E">
      <w:pPr>
        <w:rPr>
          <w:rFonts w:cs="Arial"/>
          <w:sz w:val="22"/>
          <w:szCs w:val="22"/>
        </w:rPr>
      </w:pPr>
      <w:r w:rsidRPr="0066183E">
        <w:rPr>
          <w:b/>
          <w:sz w:val="22"/>
          <w:szCs w:val="22"/>
        </w:rPr>
        <w:t xml:space="preserve">Figure </w:t>
      </w:r>
      <w:r>
        <w:rPr>
          <w:b/>
          <w:noProof/>
          <w:sz w:val="22"/>
          <w:szCs w:val="22"/>
        </w:rPr>
        <w:t>21</w:t>
      </w:r>
      <w:r w:rsidR="0049441E" w:rsidRPr="004D6F82">
        <w:rPr>
          <w:rFonts w:cs="Arial"/>
          <w:sz w:val="22"/>
          <w:szCs w:val="22"/>
        </w:rPr>
        <w:fldChar w:fldCharType="end"/>
      </w:r>
      <w:r w:rsidR="0049441E" w:rsidRPr="004D6F82">
        <w:rPr>
          <w:rFonts w:cs="Arial"/>
          <w:sz w:val="22"/>
          <w:szCs w:val="22"/>
        </w:rPr>
        <w:t xml:space="preserve"> include 1, which suggests that tedizolid is no different to the other treatments for post clinical evaluation or test of cure when looking at the MRSA only population. The same conclusions were arrived at when using the random effects model.</w:t>
      </w:r>
    </w:p>
    <w:p w14:paraId="263969F5" w14:textId="77777777" w:rsidR="0049441E" w:rsidRPr="0066183E" w:rsidRDefault="0049441E" w:rsidP="0049441E">
      <w:pPr>
        <w:rPr>
          <w:rFonts w:cs="Arial"/>
          <w:sz w:val="22"/>
          <w:szCs w:val="22"/>
        </w:rPr>
      </w:pPr>
      <w:bookmarkStart w:id="401" w:name="_Ref281664932"/>
      <w:bookmarkEnd w:id="400"/>
    </w:p>
    <w:p w14:paraId="03A2B59F" w14:textId="77777777" w:rsidR="0049441E" w:rsidRPr="0066183E" w:rsidRDefault="0049441E" w:rsidP="0049441E">
      <w:pPr>
        <w:rPr>
          <w:rFonts w:cs="Arial"/>
          <w:b/>
          <w:bCs/>
          <w:sz w:val="22"/>
          <w:szCs w:val="22"/>
        </w:rPr>
      </w:pPr>
      <w:r w:rsidRPr="0066183E">
        <w:rPr>
          <w:b/>
          <w:sz w:val="22"/>
          <w:szCs w:val="22"/>
        </w:rPr>
        <w:t xml:space="preserve">Figure </w:t>
      </w:r>
      <w:r w:rsidRPr="0066183E">
        <w:rPr>
          <w:b/>
          <w:sz w:val="22"/>
          <w:szCs w:val="22"/>
        </w:rPr>
        <w:fldChar w:fldCharType="begin"/>
      </w:r>
      <w:r w:rsidRPr="0066183E">
        <w:rPr>
          <w:b/>
          <w:sz w:val="22"/>
          <w:szCs w:val="22"/>
        </w:rPr>
        <w:instrText xml:space="preserve"> SEQ Figure \* ARABIC </w:instrText>
      </w:r>
      <w:r w:rsidRPr="0066183E">
        <w:rPr>
          <w:b/>
          <w:sz w:val="22"/>
          <w:szCs w:val="22"/>
        </w:rPr>
        <w:fldChar w:fldCharType="separate"/>
      </w:r>
      <w:r w:rsidR="00151A1C">
        <w:rPr>
          <w:b/>
          <w:noProof/>
          <w:sz w:val="22"/>
          <w:szCs w:val="22"/>
        </w:rPr>
        <w:t>21</w:t>
      </w:r>
      <w:r w:rsidRPr="0066183E">
        <w:rPr>
          <w:b/>
          <w:sz w:val="22"/>
          <w:szCs w:val="22"/>
        </w:rPr>
        <w:fldChar w:fldCharType="end"/>
      </w:r>
      <w:bookmarkEnd w:id="401"/>
      <w:r w:rsidRPr="0066183E">
        <w:rPr>
          <w:rFonts w:cs="Arial"/>
          <w:b/>
          <w:sz w:val="22"/>
          <w:szCs w:val="22"/>
        </w:rPr>
        <w:t>: Clinical response at the post treatment evaluation or test of cure: MRSA only population.  Odds ratios (fixed effect model)</w:t>
      </w:r>
    </w:p>
    <w:p w14:paraId="141E5188" w14:textId="77777777" w:rsidR="0049441E" w:rsidRPr="0033087F" w:rsidRDefault="0049441E" w:rsidP="0049441E">
      <w:pPr>
        <w:rPr>
          <w:rFonts w:cs="Arial"/>
          <w:sz w:val="22"/>
          <w:szCs w:val="22"/>
        </w:rPr>
      </w:pPr>
    </w:p>
    <w:p w14:paraId="6A2A8DCB" w14:textId="77777777" w:rsidR="0049441E" w:rsidRPr="0033087F" w:rsidRDefault="0049441E" w:rsidP="0049441E">
      <w:pPr>
        <w:pStyle w:val="ReportText"/>
        <w:spacing w:line="240" w:lineRule="auto"/>
        <w:jc w:val="left"/>
        <w:rPr>
          <w:rFonts w:cs="Arial"/>
          <w:szCs w:val="22"/>
          <w:lang w:val="en-US"/>
        </w:rPr>
      </w:pPr>
      <w:r w:rsidRPr="0033087F">
        <w:rPr>
          <w:rFonts w:cs="Arial"/>
          <w:noProof/>
          <w:szCs w:val="22"/>
          <w:lang w:eastAsia="en-GB"/>
        </w:rPr>
        <w:lastRenderedPageBreak/>
        <w:drawing>
          <wp:inline distT="0" distB="0" distL="0" distR="0" wp14:anchorId="62C40DEF" wp14:editId="165768FC">
            <wp:extent cx="4828613" cy="27527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49703" cy="2764748"/>
                    </a:xfrm>
                    <a:prstGeom prst="rect">
                      <a:avLst/>
                    </a:prstGeom>
                  </pic:spPr>
                </pic:pic>
              </a:graphicData>
            </a:graphic>
          </wp:inline>
        </w:drawing>
      </w:r>
    </w:p>
    <w:p w14:paraId="7D8E9835" w14:textId="77777777" w:rsidR="0049441E" w:rsidRPr="0033087F" w:rsidRDefault="0049441E" w:rsidP="0049441E">
      <w:pPr>
        <w:pStyle w:val="ReportText"/>
        <w:spacing w:line="240" w:lineRule="auto"/>
        <w:jc w:val="left"/>
        <w:rPr>
          <w:rFonts w:cs="Arial"/>
          <w:szCs w:val="22"/>
          <w:lang w:val="en-US"/>
        </w:rPr>
      </w:pPr>
    </w:p>
    <w:p w14:paraId="627225EF" w14:textId="0A2E636B" w:rsidR="0049441E" w:rsidRPr="00FE7BBD" w:rsidRDefault="0049441E" w:rsidP="0049441E">
      <w:pPr>
        <w:pStyle w:val="ReportText"/>
        <w:spacing w:line="240" w:lineRule="auto"/>
        <w:jc w:val="left"/>
        <w:rPr>
          <w:rFonts w:cs="Arial"/>
          <w:szCs w:val="22"/>
        </w:rPr>
      </w:pPr>
      <w:r w:rsidRPr="0033087F">
        <w:rPr>
          <w:rFonts w:cs="Arial"/>
          <w:szCs w:val="22"/>
        </w:rPr>
        <w:t xml:space="preserve">A matrix table including point estimates of the odds ratios accompanied by 95% CrI for all available treatment comparisons is shown in </w:t>
      </w:r>
      <w:r>
        <w:rPr>
          <w:rFonts w:cs="Arial"/>
          <w:szCs w:val="22"/>
        </w:rPr>
        <w:fldChar w:fldCharType="begin"/>
      </w:r>
      <w:r>
        <w:rPr>
          <w:rFonts w:cs="Arial"/>
          <w:szCs w:val="22"/>
        </w:rPr>
        <w:instrText xml:space="preserve"> REF _Ref281840853 \h </w:instrText>
      </w:r>
      <w:r>
        <w:rPr>
          <w:rFonts w:cs="Arial"/>
          <w:szCs w:val="22"/>
        </w:rPr>
      </w:r>
      <w:r>
        <w:rPr>
          <w:rFonts w:cs="Arial"/>
          <w:szCs w:val="22"/>
        </w:rPr>
        <w:fldChar w:fldCharType="separate"/>
      </w:r>
      <w:r w:rsidR="00151A1C" w:rsidRPr="0012359D">
        <w:rPr>
          <w:rFonts w:cs="Arial"/>
          <w:szCs w:val="22"/>
        </w:rPr>
        <w:t xml:space="preserve">Table </w:t>
      </w:r>
      <w:r w:rsidR="00151A1C">
        <w:rPr>
          <w:rFonts w:cs="Arial"/>
          <w:noProof/>
          <w:szCs w:val="22"/>
        </w:rPr>
        <w:t>84</w:t>
      </w:r>
      <w:r>
        <w:rPr>
          <w:rFonts w:cs="Arial"/>
          <w:szCs w:val="22"/>
        </w:rPr>
        <w:fldChar w:fldCharType="end"/>
      </w:r>
      <w:r w:rsidRPr="0033087F">
        <w:rPr>
          <w:rFonts w:cs="Arial"/>
          <w:szCs w:val="22"/>
        </w:rPr>
        <w:t xml:space="preserve"> for the fixed effect model</w:t>
      </w:r>
      <w:r w:rsidRPr="00FE7BBD">
        <w:rPr>
          <w:rFonts w:cs="Arial"/>
          <w:szCs w:val="22"/>
        </w:rPr>
        <w:t>.</w:t>
      </w:r>
    </w:p>
    <w:p w14:paraId="50262541" w14:textId="77777777" w:rsidR="0049441E" w:rsidRPr="00FE7BBD" w:rsidRDefault="0049441E" w:rsidP="0049441E">
      <w:pPr>
        <w:pStyle w:val="ReportText"/>
        <w:spacing w:line="240" w:lineRule="auto"/>
        <w:jc w:val="left"/>
        <w:rPr>
          <w:rFonts w:cs="Arial"/>
          <w:szCs w:val="22"/>
        </w:rPr>
      </w:pPr>
    </w:p>
    <w:p w14:paraId="627009E0" w14:textId="5AA51548" w:rsidR="0049441E" w:rsidRPr="0033087F" w:rsidRDefault="0049441E" w:rsidP="0049441E">
      <w:pPr>
        <w:pStyle w:val="ReportText"/>
        <w:spacing w:line="240" w:lineRule="auto"/>
        <w:jc w:val="left"/>
        <w:rPr>
          <w:rFonts w:cs="Arial"/>
          <w:szCs w:val="22"/>
        </w:rPr>
      </w:pPr>
      <w:r w:rsidRPr="00FE7BBD">
        <w:rPr>
          <w:rFonts w:cs="Arial"/>
          <w:szCs w:val="22"/>
        </w:rPr>
        <w:t>The linezolid versus vancomycin comparison had a CrI that did not include one.  In this case the odds of a clinical response at the end of treatment were higher for linezolid than vancomycin, suggesting the superiority of the first treatment.  This was also the case</w:t>
      </w:r>
      <w:r w:rsidR="004D6F82">
        <w:rPr>
          <w:rFonts w:cs="Arial"/>
          <w:szCs w:val="22"/>
        </w:rPr>
        <w:t xml:space="preserve"> when random effects were used.</w:t>
      </w:r>
    </w:p>
    <w:p w14:paraId="7F37B95A" w14:textId="77777777" w:rsidR="0049441E" w:rsidRPr="0033087F" w:rsidRDefault="0049441E" w:rsidP="0049441E">
      <w:pPr>
        <w:pStyle w:val="ReportText"/>
        <w:spacing w:line="240" w:lineRule="auto"/>
        <w:jc w:val="left"/>
        <w:rPr>
          <w:rFonts w:cs="Arial"/>
          <w:szCs w:val="22"/>
        </w:rPr>
      </w:pPr>
    </w:p>
    <w:p w14:paraId="17CEAFE1" w14:textId="77777777" w:rsidR="0049441E" w:rsidRDefault="0049441E" w:rsidP="0049441E">
      <w:pPr>
        <w:pStyle w:val="ReportText"/>
        <w:spacing w:line="240" w:lineRule="auto"/>
        <w:jc w:val="left"/>
        <w:rPr>
          <w:rFonts w:cs="Arial"/>
          <w:szCs w:val="22"/>
        </w:rPr>
      </w:pPr>
      <w:r w:rsidRPr="0033087F">
        <w:rPr>
          <w:rFonts w:cs="Arial"/>
          <w:szCs w:val="22"/>
        </w:rPr>
        <w:t>Comparisons for which the 95% CrI does not include one have been highlighted.</w:t>
      </w:r>
    </w:p>
    <w:p w14:paraId="6F3DF9B7" w14:textId="77777777" w:rsidR="0049441E" w:rsidRDefault="0049441E" w:rsidP="0049441E">
      <w:pPr>
        <w:pStyle w:val="ReportText"/>
        <w:spacing w:line="240" w:lineRule="auto"/>
        <w:jc w:val="left"/>
        <w:rPr>
          <w:rFonts w:cs="Arial"/>
          <w:szCs w:val="22"/>
        </w:rPr>
      </w:pPr>
    </w:p>
    <w:p w14:paraId="37A1DD6A" w14:textId="77777777" w:rsidR="0049441E" w:rsidRPr="0033087F" w:rsidRDefault="0049441E" w:rsidP="0049441E">
      <w:pPr>
        <w:pStyle w:val="ReportText"/>
        <w:spacing w:line="240" w:lineRule="auto"/>
        <w:jc w:val="left"/>
        <w:rPr>
          <w:rFonts w:cs="Arial"/>
          <w:szCs w:val="22"/>
        </w:rPr>
      </w:pPr>
    </w:p>
    <w:p w14:paraId="57B7EFC4" w14:textId="77777777" w:rsidR="0049441E" w:rsidRPr="0033087F" w:rsidRDefault="0049441E" w:rsidP="0049441E">
      <w:pPr>
        <w:pStyle w:val="ReportText"/>
        <w:spacing w:line="240" w:lineRule="auto"/>
        <w:jc w:val="left"/>
        <w:rPr>
          <w:rFonts w:cs="Arial"/>
          <w:szCs w:val="22"/>
        </w:rPr>
      </w:pPr>
    </w:p>
    <w:p w14:paraId="46761E40" w14:textId="77777777" w:rsidR="0049441E" w:rsidRDefault="0049441E" w:rsidP="0049441E">
      <w:pPr>
        <w:pStyle w:val="Caption"/>
        <w:ind w:left="1418" w:hanging="1418"/>
        <w:jc w:val="left"/>
        <w:rPr>
          <w:rFonts w:ascii="Arial" w:hAnsi="Arial" w:cs="Arial"/>
          <w:sz w:val="22"/>
          <w:szCs w:val="22"/>
        </w:rPr>
      </w:pPr>
      <w:bookmarkStart w:id="402" w:name="_Ref397416333"/>
    </w:p>
    <w:p w14:paraId="3C73543E" w14:textId="77777777" w:rsidR="0049441E" w:rsidRPr="000D6EA8" w:rsidRDefault="0049441E" w:rsidP="0049441E">
      <w:pPr>
        <w:pStyle w:val="BodyText"/>
        <w:sectPr w:rsidR="0049441E" w:rsidRPr="000D6EA8" w:rsidSect="007764DC">
          <w:footerReference w:type="default" r:id="rId54"/>
          <w:pgSz w:w="11906" w:h="16838" w:code="9"/>
          <w:pgMar w:top="992" w:right="1440" w:bottom="1135" w:left="1440" w:header="709" w:footer="533" w:gutter="0"/>
          <w:cols w:space="708"/>
          <w:docGrid w:linePitch="360"/>
        </w:sectPr>
      </w:pPr>
    </w:p>
    <w:p w14:paraId="2F73A3F1" w14:textId="77777777" w:rsidR="0049441E" w:rsidRPr="003A5B0B" w:rsidRDefault="0049441E" w:rsidP="0049441E">
      <w:pPr>
        <w:pStyle w:val="Caption"/>
        <w:rPr>
          <w:rFonts w:ascii="Arial" w:hAnsi="Arial" w:cs="Arial"/>
          <w:sz w:val="22"/>
          <w:szCs w:val="22"/>
        </w:rPr>
      </w:pPr>
      <w:bookmarkStart w:id="403" w:name="_Ref281840853"/>
      <w:bookmarkEnd w:id="402"/>
      <w:r w:rsidRPr="0012359D">
        <w:rPr>
          <w:rFonts w:ascii="Arial" w:hAnsi="Arial" w:cs="Arial"/>
          <w:sz w:val="22"/>
          <w:szCs w:val="22"/>
        </w:rPr>
        <w:lastRenderedPageBreak/>
        <w:t xml:space="preserve">Table </w:t>
      </w:r>
      <w:r w:rsidRPr="0012359D">
        <w:rPr>
          <w:rFonts w:ascii="Arial" w:hAnsi="Arial" w:cs="Arial"/>
          <w:sz w:val="22"/>
          <w:szCs w:val="22"/>
        </w:rPr>
        <w:fldChar w:fldCharType="begin"/>
      </w:r>
      <w:r w:rsidRPr="0012359D">
        <w:rPr>
          <w:rFonts w:ascii="Arial" w:hAnsi="Arial" w:cs="Arial"/>
          <w:sz w:val="22"/>
          <w:szCs w:val="22"/>
        </w:rPr>
        <w:instrText xml:space="preserve"> SEQ Table \* ARABIC </w:instrText>
      </w:r>
      <w:r w:rsidRPr="0012359D">
        <w:rPr>
          <w:rFonts w:ascii="Arial" w:hAnsi="Arial" w:cs="Arial"/>
          <w:sz w:val="22"/>
          <w:szCs w:val="22"/>
        </w:rPr>
        <w:fldChar w:fldCharType="separate"/>
      </w:r>
      <w:r w:rsidR="00151A1C">
        <w:rPr>
          <w:rFonts w:ascii="Arial" w:hAnsi="Arial" w:cs="Arial"/>
          <w:noProof/>
          <w:sz w:val="22"/>
          <w:szCs w:val="22"/>
        </w:rPr>
        <w:t>84</w:t>
      </w:r>
      <w:r w:rsidRPr="0012359D">
        <w:rPr>
          <w:rFonts w:ascii="Arial" w:hAnsi="Arial" w:cs="Arial"/>
          <w:sz w:val="22"/>
          <w:szCs w:val="22"/>
        </w:rPr>
        <w:fldChar w:fldCharType="end"/>
      </w:r>
      <w:bookmarkEnd w:id="403"/>
      <w:r w:rsidRPr="0012359D">
        <w:rPr>
          <w:rFonts w:ascii="Arial" w:hAnsi="Arial" w:cs="Arial"/>
          <w:sz w:val="22"/>
          <w:szCs w:val="22"/>
        </w:rPr>
        <w:t>:</w:t>
      </w:r>
      <w:r w:rsidRPr="003A5B0B">
        <w:rPr>
          <w:rFonts w:ascii="Arial" w:hAnsi="Arial" w:cs="Arial"/>
          <w:sz w:val="22"/>
          <w:szCs w:val="22"/>
        </w:rPr>
        <w:t xml:space="preserve"> Clinical response at the post treatment evaluation or test of cure: MRSA only population.  Odds ratios and 95% CrI (fixed effect model)</w:t>
      </w:r>
    </w:p>
    <w:tbl>
      <w:tblPr>
        <w:tblW w:w="5000" w:type="pct"/>
        <w:tblLook w:val="04A0" w:firstRow="1" w:lastRow="0" w:firstColumn="1" w:lastColumn="0" w:noHBand="0" w:noVBand="1"/>
      </w:tblPr>
      <w:tblGrid>
        <w:gridCol w:w="2020"/>
        <w:gridCol w:w="2020"/>
        <w:gridCol w:w="2019"/>
        <w:gridCol w:w="2019"/>
        <w:gridCol w:w="2019"/>
        <w:gridCol w:w="2019"/>
        <w:gridCol w:w="2019"/>
      </w:tblGrid>
      <w:tr w:rsidR="0049441E" w:rsidRPr="0033087F" w14:paraId="7FF0BF52" w14:textId="77777777" w:rsidTr="0049441E">
        <w:trPr>
          <w:trHeight w:val="170"/>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3117"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Treatment</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F18FF57"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Tedizolid</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D08B174"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Daptomycin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518CA1DB"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Linezolid</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B2A2BFF"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Telavancin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3BE69C85"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Tigecycline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90F6DB7"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Vancomycin</w:t>
            </w:r>
          </w:p>
        </w:tc>
      </w:tr>
      <w:tr w:rsidR="0049441E" w:rsidRPr="0033087F" w14:paraId="0DE42BC2"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51E8B5AF"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Tedizolid</w:t>
            </w:r>
          </w:p>
        </w:tc>
        <w:tc>
          <w:tcPr>
            <w:tcW w:w="714" w:type="pct"/>
            <w:tcBorders>
              <w:top w:val="nil"/>
              <w:left w:val="nil"/>
              <w:bottom w:val="single" w:sz="4" w:space="0" w:color="auto"/>
              <w:right w:val="single" w:sz="4" w:space="0" w:color="auto"/>
            </w:tcBorders>
            <w:shd w:val="clear" w:color="auto" w:fill="auto"/>
            <w:noWrap/>
            <w:vAlign w:val="center"/>
            <w:hideMark/>
          </w:tcPr>
          <w:p w14:paraId="678ECF04" w14:textId="77777777" w:rsidR="0049441E" w:rsidRPr="0033087F" w:rsidRDefault="0049441E" w:rsidP="0049441E">
            <w:pPr>
              <w:rPr>
                <w:rFonts w:eastAsia="Times New Roman" w:cs="Arial"/>
                <w:color w:val="000000"/>
                <w:szCs w:val="22"/>
                <w:lang w:eastAsia="en-GB"/>
              </w:rPr>
            </w:pPr>
          </w:p>
        </w:tc>
        <w:tc>
          <w:tcPr>
            <w:tcW w:w="714" w:type="pct"/>
            <w:tcBorders>
              <w:top w:val="nil"/>
              <w:left w:val="nil"/>
              <w:bottom w:val="single" w:sz="4" w:space="0" w:color="auto"/>
              <w:right w:val="single" w:sz="4" w:space="0" w:color="auto"/>
            </w:tcBorders>
            <w:shd w:val="clear" w:color="auto" w:fill="auto"/>
            <w:noWrap/>
            <w:vAlign w:val="center"/>
            <w:hideMark/>
          </w:tcPr>
          <w:p w14:paraId="6CA8C17D"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2.1 [0.4, 13.4]</w:t>
            </w:r>
          </w:p>
        </w:tc>
        <w:tc>
          <w:tcPr>
            <w:tcW w:w="714" w:type="pct"/>
            <w:tcBorders>
              <w:top w:val="nil"/>
              <w:left w:val="nil"/>
              <w:bottom w:val="single" w:sz="4" w:space="0" w:color="auto"/>
              <w:right w:val="single" w:sz="4" w:space="0" w:color="auto"/>
            </w:tcBorders>
            <w:shd w:val="clear" w:color="auto" w:fill="auto"/>
            <w:noWrap/>
            <w:vAlign w:val="center"/>
            <w:hideMark/>
          </w:tcPr>
          <w:p w14:paraId="2113CDFA"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1.0 [0.4, 2.3]</w:t>
            </w:r>
          </w:p>
        </w:tc>
        <w:tc>
          <w:tcPr>
            <w:tcW w:w="714" w:type="pct"/>
            <w:tcBorders>
              <w:top w:val="nil"/>
              <w:left w:val="nil"/>
              <w:bottom w:val="single" w:sz="4" w:space="0" w:color="auto"/>
              <w:right w:val="single" w:sz="4" w:space="0" w:color="auto"/>
            </w:tcBorders>
            <w:shd w:val="clear" w:color="auto" w:fill="auto"/>
            <w:noWrap/>
            <w:vAlign w:val="center"/>
            <w:hideMark/>
          </w:tcPr>
          <w:p w14:paraId="0FD1A326"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1.1 [0.4, 3.0]</w:t>
            </w:r>
          </w:p>
        </w:tc>
        <w:tc>
          <w:tcPr>
            <w:tcW w:w="714" w:type="pct"/>
            <w:tcBorders>
              <w:top w:val="nil"/>
              <w:left w:val="nil"/>
              <w:bottom w:val="single" w:sz="4" w:space="0" w:color="auto"/>
              <w:right w:val="single" w:sz="4" w:space="0" w:color="auto"/>
            </w:tcBorders>
            <w:shd w:val="clear" w:color="auto" w:fill="auto"/>
            <w:noWrap/>
            <w:vAlign w:val="center"/>
            <w:hideMark/>
          </w:tcPr>
          <w:p w14:paraId="786CAC89"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3.2 [0.7, 20.0]</w:t>
            </w:r>
          </w:p>
        </w:tc>
        <w:tc>
          <w:tcPr>
            <w:tcW w:w="714" w:type="pct"/>
            <w:tcBorders>
              <w:top w:val="nil"/>
              <w:left w:val="nil"/>
              <w:bottom w:val="single" w:sz="4" w:space="0" w:color="auto"/>
              <w:right w:val="single" w:sz="4" w:space="0" w:color="auto"/>
            </w:tcBorders>
            <w:shd w:val="clear" w:color="auto" w:fill="auto"/>
            <w:noWrap/>
            <w:vAlign w:val="center"/>
            <w:hideMark/>
          </w:tcPr>
          <w:p w14:paraId="7C240BC3"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1.6 [0.7, 4.0]</w:t>
            </w:r>
          </w:p>
        </w:tc>
      </w:tr>
      <w:tr w:rsidR="0049441E" w:rsidRPr="0033087F" w14:paraId="3A3AC16C"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56F64F5"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Daptomycin</w:t>
            </w:r>
          </w:p>
        </w:tc>
        <w:tc>
          <w:tcPr>
            <w:tcW w:w="714" w:type="pct"/>
            <w:tcBorders>
              <w:top w:val="nil"/>
              <w:left w:val="nil"/>
              <w:bottom w:val="single" w:sz="4" w:space="0" w:color="auto"/>
              <w:right w:val="single" w:sz="4" w:space="0" w:color="auto"/>
            </w:tcBorders>
            <w:shd w:val="clear" w:color="auto" w:fill="auto"/>
            <w:noWrap/>
            <w:vAlign w:val="center"/>
            <w:hideMark/>
          </w:tcPr>
          <w:p w14:paraId="1D80B651"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0.5 [0.1, 2.5]</w:t>
            </w:r>
          </w:p>
        </w:tc>
        <w:tc>
          <w:tcPr>
            <w:tcW w:w="714" w:type="pct"/>
            <w:tcBorders>
              <w:top w:val="nil"/>
              <w:left w:val="nil"/>
              <w:bottom w:val="single" w:sz="4" w:space="0" w:color="auto"/>
              <w:right w:val="single" w:sz="4" w:space="0" w:color="auto"/>
            </w:tcBorders>
            <w:shd w:val="clear" w:color="auto" w:fill="auto"/>
            <w:noWrap/>
            <w:vAlign w:val="center"/>
            <w:hideMark/>
          </w:tcPr>
          <w:p w14:paraId="6DDEF473" w14:textId="77777777" w:rsidR="0049441E" w:rsidRPr="0033087F" w:rsidRDefault="0049441E" w:rsidP="0049441E">
            <w:pPr>
              <w:rPr>
                <w:rFonts w:eastAsia="Times New Roman" w:cs="Arial"/>
                <w:color w:val="000000"/>
                <w:szCs w:val="22"/>
                <w:lang w:eastAsia="en-GB"/>
              </w:rPr>
            </w:pPr>
          </w:p>
        </w:tc>
        <w:tc>
          <w:tcPr>
            <w:tcW w:w="714" w:type="pct"/>
            <w:tcBorders>
              <w:top w:val="nil"/>
              <w:left w:val="nil"/>
              <w:bottom w:val="single" w:sz="4" w:space="0" w:color="auto"/>
              <w:right w:val="single" w:sz="4" w:space="0" w:color="auto"/>
            </w:tcBorders>
            <w:shd w:val="clear" w:color="auto" w:fill="auto"/>
            <w:noWrap/>
            <w:vAlign w:val="center"/>
            <w:hideMark/>
          </w:tcPr>
          <w:p w14:paraId="1D54D45E"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0.5 [0.1, 1.9]</w:t>
            </w:r>
          </w:p>
        </w:tc>
        <w:tc>
          <w:tcPr>
            <w:tcW w:w="714" w:type="pct"/>
            <w:tcBorders>
              <w:top w:val="nil"/>
              <w:left w:val="nil"/>
              <w:bottom w:val="single" w:sz="4" w:space="0" w:color="auto"/>
              <w:right w:val="single" w:sz="4" w:space="0" w:color="auto"/>
            </w:tcBorders>
            <w:shd w:val="clear" w:color="auto" w:fill="auto"/>
            <w:noWrap/>
            <w:vAlign w:val="center"/>
            <w:hideMark/>
          </w:tcPr>
          <w:p w14:paraId="5A63E5E6"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0.5 [0.1, 2.2]</w:t>
            </w:r>
          </w:p>
        </w:tc>
        <w:tc>
          <w:tcPr>
            <w:tcW w:w="714" w:type="pct"/>
            <w:tcBorders>
              <w:top w:val="nil"/>
              <w:left w:val="nil"/>
              <w:bottom w:val="single" w:sz="4" w:space="0" w:color="auto"/>
              <w:right w:val="single" w:sz="4" w:space="0" w:color="auto"/>
            </w:tcBorders>
            <w:shd w:val="clear" w:color="auto" w:fill="auto"/>
            <w:noWrap/>
            <w:vAlign w:val="center"/>
            <w:hideMark/>
          </w:tcPr>
          <w:p w14:paraId="45779AE5"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1.6 [0.2, 12.6]</w:t>
            </w:r>
          </w:p>
        </w:tc>
        <w:tc>
          <w:tcPr>
            <w:tcW w:w="714" w:type="pct"/>
            <w:tcBorders>
              <w:top w:val="nil"/>
              <w:left w:val="nil"/>
              <w:bottom w:val="single" w:sz="4" w:space="0" w:color="auto"/>
              <w:right w:val="single" w:sz="4" w:space="0" w:color="auto"/>
            </w:tcBorders>
            <w:shd w:val="clear" w:color="auto" w:fill="auto"/>
            <w:noWrap/>
            <w:vAlign w:val="center"/>
            <w:hideMark/>
          </w:tcPr>
          <w:p w14:paraId="187E2414"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0.8 [0.2, 3.1]</w:t>
            </w:r>
          </w:p>
        </w:tc>
      </w:tr>
      <w:tr w:rsidR="0049441E" w:rsidRPr="0033087F" w14:paraId="0F82183C"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B1B21E0"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Linezolid</w:t>
            </w:r>
          </w:p>
        </w:tc>
        <w:tc>
          <w:tcPr>
            <w:tcW w:w="714" w:type="pct"/>
            <w:tcBorders>
              <w:top w:val="nil"/>
              <w:left w:val="nil"/>
              <w:bottom w:val="single" w:sz="4" w:space="0" w:color="auto"/>
              <w:right w:val="single" w:sz="4" w:space="0" w:color="auto"/>
            </w:tcBorders>
            <w:shd w:val="clear" w:color="auto" w:fill="auto"/>
            <w:noWrap/>
            <w:vAlign w:val="center"/>
            <w:hideMark/>
          </w:tcPr>
          <w:p w14:paraId="5AEF7FD1"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1.0 [0.4, 2.4]</w:t>
            </w:r>
          </w:p>
        </w:tc>
        <w:tc>
          <w:tcPr>
            <w:tcW w:w="714" w:type="pct"/>
            <w:tcBorders>
              <w:top w:val="nil"/>
              <w:left w:val="nil"/>
              <w:bottom w:val="single" w:sz="4" w:space="0" w:color="auto"/>
              <w:right w:val="single" w:sz="4" w:space="0" w:color="auto"/>
            </w:tcBorders>
            <w:shd w:val="clear" w:color="auto" w:fill="auto"/>
            <w:noWrap/>
            <w:vAlign w:val="center"/>
            <w:hideMark/>
          </w:tcPr>
          <w:p w14:paraId="31074F11"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2.1 [0.5, 11.3]</w:t>
            </w:r>
          </w:p>
        </w:tc>
        <w:tc>
          <w:tcPr>
            <w:tcW w:w="714" w:type="pct"/>
            <w:tcBorders>
              <w:top w:val="nil"/>
              <w:left w:val="nil"/>
              <w:bottom w:val="single" w:sz="4" w:space="0" w:color="auto"/>
              <w:right w:val="single" w:sz="4" w:space="0" w:color="auto"/>
            </w:tcBorders>
            <w:shd w:val="clear" w:color="auto" w:fill="auto"/>
            <w:noWrap/>
            <w:vAlign w:val="center"/>
            <w:hideMark/>
          </w:tcPr>
          <w:p w14:paraId="0071065D" w14:textId="77777777" w:rsidR="0049441E" w:rsidRPr="0033087F" w:rsidRDefault="0049441E" w:rsidP="0049441E">
            <w:pPr>
              <w:rPr>
                <w:rFonts w:eastAsia="Times New Roman" w:cs="Arial"/>
                <w:color w:val="000000"/>
                <w:szCs w:val="22"/>
                <w:lang w:eastAsia="en-GB"/>
              </w:rPr>
            </w:pPr>
          </w:p>
        </w:tc>
        <w:tc>
          <w:tcPr>
            <w:tcW w:w="714" w:type="pct"/>
            <w:tcBorders>
              <w:top w:val="nil"/>
              <w:left w:val="nil"/>
              <w:bottom w:val="single" w:sz="4" w:space="0" w:color="auto"/>
              <w:right w:val="single" w:sz="4" w:space="0" w:color="auto"/>
            </w:tcBorders>
            <w:shd w:val="clear" w:color="auto" w:fill="auto"/>
            <w:noWrap/>
            <w:vAlign w:val="center"/>
            <w:hideMark/>
          </w:tcPr>
          <w:p w14:paraId="0B0DC055"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1.1 [0.6, 2.0]</w:t>
            </w:r>
          </w:p>
        </w:tc>
        <w:tc>
          <w:tcPr>
            <w:tcW w:w="714" w:type="pct"/>
            <w:tcBorders>
              <w:top w:val="nil"/>
              <w:left w:val="nil"/>
              <w:bottom w:val="single" w:sz="4" w:space="0" w:color="auto"/>
              <w:right w:val="single" w:sz="4" w:space="0" w:color="auto"/>
            </w:tcBorders>
            <w:shd w:val="clear" w:color="auto" w:fill="auto"/>
            <w:noWrap/>
            <w:vAlign w:val="center"/>
            <w:hideMark/>
          </w:tcPr>
          <w:p w14:paraId="2998263E"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3.3 [0.9, 16.8]</w:t>
            </w:r>
          </w:p>
        </w:tc>
        <w:tc>
          <w:tcPr>
            <w:tcW w:w="714" w:type="pct"/>
            <w:tcBorders>
              <w:top w:val="nil"/>
              <w:left w:val="nil"/>
              <w:bottom w:val="single" w:sz="4" w:space="0" w:color="auto"/>
              <w:right w:val="single" w:sz="4" w:space="0" w:color="auto"/>
            </w:tcBorders>
            <w:shd w:val="clear" w:color="000000" w:fill="C6EFCE"/>
            <w:noWrap/>
            <w:vAlign w:val="center"/>
            <w:hideMark/>
          </w:tcPr>
          <w:p w14:paraId="4CFFE1B1" w14:textId="77777777" w:rsidR="0049441E" w:rsidRPr="0033087F" w:rsidRDefault="0049441E" w:rsidP="0049441E">
            <w:pPr>
              <w:rPr>
                <w:rFonts w:eastAsia="Times New Roman" w:cs="Arial"/>
                <w:color w:val="006100"/>
                <w:szCs w:val="22"/>
                <w:lang w:eastAsia="en-GB"/>
              </w:rPr>
            </w:pPr>
            <w:r w:rsidRPr="0033087F">
              <w:rPr>
                <w:rFonts w:eastAsia="Times New Roman" w:cs="Arial"/>
                <w:color w:val="006100"/>
                <w:sz w:val="22"/>
                <w:szCs w:val="22"/>
                <w:lang w:eastAsia="en-GB"/>
              </w:rPr>
              <w:t>1.7 [1.2, 2.3]</w:t>
            </w:r>
          </w:p>
        </w:tc>
      </w:tr>
      <w:tr w:rsidR="0049441E" w:rsidRPr="0033087F" w14:paraId="53ACD5D8"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CE87830"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Telavancin</w:t>
            </w:r>
          </w:p>
        </w:tc>
        <w:tc>
          <w:tcPr>
            <w:tcW w:w="714" w:type="pct"/>
            <w:tcBorders>
              <w:top w:val="nil"/>
              <w:left w:val="nil"/>
              <w:bottom w:val="single" w:sz="4" w:space="0" w:color="auto"/>
              <w:right w:val="single" w:sz="4" w:space="0" w:color="auto"/>
            </w:tcBorders>
            <w:shd w:val="clear" w:color="auto" w:fill="auto"/>
            <w:noWrap/>
            <w:vAlign w:val="center"/>
            <w:hideMark/>
          </w:tcPr>
          <w:p w14:paraId="4D577A5D"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0.9 [0.3, 2.7]</w:t>
            </w:r>
          </w:p>
        </w:tc>
        <w:tc>
          <w:tcPr>
            <w:tcW w:w="714" w:type="pct"/>
            <w:tcBorders>
              <w:top w:val="nil"/>
              <w:left w:val="nil"/>
              <w:bottom w:val="single" w:sz="4" w:space="0" w:color="auto"/>
              <w:right w:val="single" w:sz="4" w:space="0" w:color="auto"/>
            </w:tcBorders>
            <w:shd w:val="clear" w:color="auto" w:fill="auto"/>
            <w:noWrap/>
            <w:vAlign w:val="center"/>
            <w:hideMark/>
          </w:tcPr>
          <w:p w14:paraId="2FFE3314"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2.0 [0.4, 11.0]</w:t>
            </w:r>
          </w:p>
        </w:tc>
        <w:tc>
          <w:tcPr>
            <w:tcW w:w="714" w:type="pct"/>
            <w:tcBorders>
              <w:top w:val="nil"/>
              <w:left w:val="nil"/>
              <w:bottom w:val="single" w:sz="4" w:space="0" w:color="auto"/>
              <w:right w:val="single" w:sz="4" w:space="0" w:color="auto"/>
            </w:tcBorders>
            <w:shd w:val="clear" w:color="auto" w:fill="auto"/>
            <w:noWrap/>
            <w:vAlign w:val="center"/>
            <w:hideMark/>
          </w:tcPr>
          <w:p w14:paraId="45FA5251"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0.9 [0.5, 1.7]</w:t>
            </w:r>
          </w:p>
        </w:tc>
        <w:tc>
          <w:tcPr>
            <w:tcW w:w="714" w:type="pct"/>
            <w:tcBorders>
              <w:top w:val="nil"/>
              <w:left w:val="nil"/>
              <w:bottom w:val="single" w:sz="4" w:space="0" w:color="auto"/>
              <w:right w:val="single" w:sz="4" w:space="0" w:color="auto"/>
            </w:tcBorders>
            <w:shd w:val="clear" w:color="auto" w:fill="auto"/>
            <w:noWrap/>
            <w:vAlign w:val="center"/>
            <w:hideMark/>
          </w:tcPr>
          <w:p w14:paraId="2F34D547" w14:textId="77777777" w:rsidR="0049441E" w:rsidRPr="0033087F" w:rsidRDefault="0049441E" w:rsidP="0049441E">
            <w:pPr>
              <w:rPr>
                <w:rFonts w:eastAsia="Times New Roman" w:cs="Arial"/>
                <w:color w:val="000000"/>
                <w:szCs w:val="22"/>
                <w:lang w:eastAsia="en-GB"/>
              </w:rPr>
            </w:pPr>
          </w:p>
        </w:tc>
        <w:tc>
          <w:tcPr>
            <w:tcW w:w="714" w:type="pct"/>
            <w:tcBorders>
              <w:top w:val="nil"/>
              <w:left w:val="nil"/>
              <w:bottom w:val="single" w:sz="4" w:space="0" w:color="auto"/>
              <w:right w:val="single" w:sz="4" w:space="0" w:color="auto"/>
            </w:tcBorders>
            <w:shd w:val="clear" w:color="auto" w:fill="auto"/>
            <w:noWrap/>
            <w:vAlign w:val="center"/>
            <w:hideMark/>
          </w:tcPr>
          <w:p w14:paraId="18E6D532"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3.1 [0.8, 16.2]</w:t>
            </w:r>
          </w:p>
        </w:tc>
        <w:tc>
          <w:tcPr>
            <w:tcW w:w="714" w:type="pct"/>
            <w:tcBorders>
              <w:top w:val="nil"/>
              <w:left w:val="nil"/>
              <w:bottom w:val="single" w:sz="4" w:space="0" w:color="auto"/>
              <w:right w:val="single" w:sz="4" w:space="0" w:color="auto"/>
            </w:tcBorders>
            <w:shd w:val="clear" w:color="auto" w:fill="auto"/>
            <w:noWrap/>
            <w:vAlign w:val="center"/>
            <w:hideMark/>
          </w:tcPr>
          <w:p w14:paraId="6A8D8ED1"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1.5 [0.9, 2.6]</w:t>
            </w:r>
          </w:p>
        </w:tc>
      </w:tr>
      <w:tr w:rsidR="0049441E" w:rsidRPr="0033087F" w14:paraId="6B957260"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894AB38"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Tigecycline</w:t>
            </w:r>
          </w:p>
        </w:tc>
        <w:tc>
          <w:tcPr>
            <w:tcW w:w="714" w:type="pct"/>
            <w:tcBorders>
              <w:top w:val="nil"/>
              <w:left w:val="nil"/>
              <w:bottom w:val="single" w:sz="4" w:space="0" w:color="auto"/>
              <w:right w:val="single" w:sz="4" w:space="0" w:color="auto"/>
            </w:tcBorders>
            <w:shd w:val="clear" w:color="auto" w:fill="auto"/>
            <w:noWrap/>
            <w:vAlign w:val="center"/>
            <w:hideMark/>
          </w:tcPr>
          <w:p w14:paraId="6A793E76"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0.3 [0.1, 1.5]</w:t>
            </w:r>
          </w:p>
        </w:tc>
        <w:tc>
          <w:tcPr>
            <w:tcW w:w="714" w:type="pct"/>
            <w:tcBorders>
              <w:top w:val="nil"/>
              <w:left w:val="nil"/>
              <w:bottom w:val="single" w:sz="4" w:space="0" w:color="auto"/>
              <w:right w:val="single" w:sz="4" w:space="0" w:color="auto"/>
            </w:tcBorders>
            <w:shd w:val="clear" w:color="auto" w:fill="auto"/>
            <w:noWrap/>
            <w:vAlign w:val="center"/>
            <w:hideMark/>
          </w:tcPr>
          <w:p w14:paraId="485E1AC5"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0.6 [0.1, 5.1]</w:t>
            </w:r>
          </w:p>
        </w:tc>
        <w:tc>
          <w:tcPr>
            <w:tcW w:w="714" w:type="pct"/>
            <w:tcBorders>
              <w:top w:val="nil"/>
              <w:left w:val="nil"/>
              <w:bottom w:val="single" w:sz="4" w:space="0" w:color="auto"/>
              <w:right w:val="single" w:sz="4" w:space="0" w:color="auto"/>
            </w:tcBorders>
            <w:shd w:val="clear" w:color="auto" w:fill="auto"/>
            <w:noWrap/>
            <w:vAlign w:val="center"/>
            <w:hideMark/>
          </w:tcPr>
          <w:p w14:paraId="5D35D29A"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0.3 [0.1, 1.1]</w:t>
            </w:r>
          </w:p>
        </w:tc>
        <w:tc>
          <w:tcPr>
            <w:tcW w:w="714" w:type="pct"/>
            <w:tcBorders>
              <w:top w:val="nil"/>
              <w:left w:val="nil"/>
              <w:bottom w:val="single" w:sz="4" w:space="0" w:color="auto"/>
              <w:right w:val="single" w:sz="4" w:space="0" w:color="auto"/>
            </w:tcBorders>
            <w:shd w:val="clear" w:color="auto" w:fill="auto"/>
            <w:noWrap/>
            <w:vAlign w:val="center"/>
            <w:hideMark/>
          </w:tcPr>
          <w:p w14:paraId="74DD5262"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0.3 [0.1, 1.3]</w:t>
            </w:r>
          </w:p>
        </w:tc>
        <w:tc>
          <w:tcPr>
            <w:tcW w:w="714" w:type="pct"/>
            <w:tcBorders>
              <w:top w:val="nil"/>
              <w:left w:val="nil"/>
              <w:bottom w:val="single" w:sz="4" w:space="0" w:color="auto"/>
              <w:right w:val="single" w:sz="4" w:space="0" w:color="auto"/>
            </w:tcBorders>
            <w:shd w:val="clear" w:color="auto" w:fill="auto"/>
            <w:noWrap/>
            <w:vAlign w:val="center"/>
            <w:hideMark/>
          </w:tcPr>
          <w:p w14:paraId="69AE5DC7" w14:textId="77777777" w:rsidR="0049441E" w:rsidRPr="0033087F" w:rsidRDefault="0049441E" w:rsidP="0049441E">
            <w:pPr>
              <w:rPr>
                <w:rFonts w:eastAsia="Times New Roman" w:cs="Arial"/>
                <w:color w:val="000000"/>
                <w:szCs w:val="22"/>
                <w:lang w:eastAsia="en-GB"/>
              </w:rPr>
            </w:pPr>
          </w:p>
        </w:tc>
        <w:tc>
          <w:tcPr>
            <w:tcW w:w="714" w:type="pct"/>
            <w:tcBorders>
              <w:top w:val="nil"/>
              <w:left w:val="nil"/>
              <w:bottom w:val="single" w:sz="4" w:space="0" w:color="auto"/>
              <w:right w:val="single" w:sz="4" w:space="0" w:color="auto"/>
            </w:tcBorders>
            <w:shd w:val="clear" w:color="auto" w:fill="auto"/>
            <w:noWrap/>
            <w:vAlign w:val="center"/>
            <w:hideMark/>
          </w:tcPr>
          <w:p w14:paraId="615095F3"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0.5 [0.1, 1.8]</w:t>
            </w:r>
          </w:p>
        </w:tc>
      </w:tr>
      <w:tr w:rsidR="0049441E" w:rsidRPr="0033087F" w14:paraId="410E4EA9" w14:textId="77777777" w:rsidTr="0049441E">
        <w:trPr>
          <w:trHeight w:val="17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5F51CAAE"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Vancomycin</w:t>
            </w:r>
          </w:p>
        </w:tc>
        <w:tc>
          <w:tcPr>
            <w:tcW w:w="714" w:type="pct"/>
            <w:tcBorders>
              <w:top w:val="nil"/>
              <w:left w:val="nil"/>
              <w:bottom w:val="single" w:sz="4" w:space="0" w:color="auto"/>
              <w:right w:val="single" w:sz="4" w:space="0" w:color="auto"/>
            </w:tcBorders>
            <w:shd w:val="clear" w:color="auto" w:fill="auto"/>
            <w:noWrap/>
            <w:vAlign w:val="center"/>
            <w:hideMark/>
          </w:tcPr>
          <w:p w14:paraId="5FD94E26"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0.6 [0.2, 1.5]</w:t>
            </w:r>
          </w:p>
        </w:tc>
        <w:tc>
          <w:tcPr>
            <w:tcW w:w="714" w:type="pct"/>
            <w:tcBorders>
              <w:top w:val="nil"/>
              <w:left w:val="nil"/>
              <w:bottom w:val="single" w:sz="4" w:space="0" w:color="auto"/>
              <w:right w:val="single" w:sz="4" w:space="0" w:color="auto"/>
            </w:tcBorders>
            <w:shd w:val="clear" w:color="auto" w:fill="auto"/>
            <w:noWrap/>
            <w:vAlign w:val="center"/>
            <w:hideMark/>
          </w:tcPr>
          <w:p w14:paraId="2E97F8F3"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1.3 [0.3, 6.6]</w:t>
            </w:r>
          </w:p>
        </w:tc>
        <w:tc>
          <w:tcPr>
            <w:tcW w:w="714" w:type="pct"/>
            <w:tcBorders>
              <w:top w:val="nil"/>
              <w:left w:val="nil"/>
              <w:bottom w:val="single" w:sz="4" w:space="0" w:color="auto"/>
              <w:right w:val="single" w:sz="4" w:space="0" w:color="auto"/>
            </w:tcBorders>
            <w:shd w:val="clear" w:color="000000" w:fill="C6EFCE"/>
            <w:noWrap/>
            <w:vAlign w:val="center"/>
            <w:hideMark/>
          </w:tcPr>
          <w:p w14:paraId="17364065" w14:textId="77777777" w:rsidR="0049441E" w:rsidRPr="0033087F" w:rsidRDefault="0049441E" w:rsidP="0049441E">
            <w:pPr>
              <w:rPr>
                <w:rFonts w:eastAsia="Times New Roman" w:cs="Arial"/>
                <w:color w:val="006100"/>
                <w:szCs w:val="22"/>
                <w:lang w:eastAsia="en-GB"/>
              </w:rPr>
            </w:pPr>
            <w:r w:rsidRPr="0033087F">
              <w:rPr>
                <w:rFonts w:eastAsia="Times New Roman" w:cs="Arial"/>
                <w:color w:val="006100"/>
                <w:sz w:val="22"/>
                <w:szCs w:val="22"/>
                <w:lang w:eastAsia="en-GB"/>
              </w:rPr>
              <w:t>0.6 [0.4, 0.8]</w:t>
            </w:r>
          </w:p>
        </w:tc>
        <w:tc>
          <w:tcPr>
            <w:tcW w:w="714" w:type="pct"/>
            <w:tcBorders>
              <w:top w:val="nil"/>
              <w:left w:val="nil"/>
              <w:bottom w:val="single" w:sz="4" w:space="0" w:color="auto"/>
              <w:right w:val="single" w:sz="4" w:space="0" w:color="auto"/>
            </w:tcBorders>
            <w:shd w:val="clear" w:color="auto" w:fill="auto"/>
            <w:noWrap/>
            <w:vAlign w:val="center"/>
            <w:hideMark/>
          </w:tcPr>
          <w:p w14:paraId="17512C6C"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0.7 [0.4, 1.1]</w:t>
            </w:r>
          </w:p>
        </w:tc>
        <w:tc>
          <w:tcPr>
            <w:tcW w:w="714" w:type="pct"/>
            <w:tcBorders>
              <w:top w:val="nil"/>
              <w:left w:val="nil"/>
              <w:bottom w:val="single" w:sz="4" w:space="0" w:color="auto"/>
              <w:right w:val="single" w:sz="4" w:space="0" w:color="auto"/>
            </w:tcBorders>
            <w:shd w:val="clear" w:color="auto" w:fill="auto"/>
            <w:noWrap/>
            <w:vAlign w:val="center"/>
            <w:hideMark/>
          </w:tcPr>
          <w:p w14:paraId="2021FAE3"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2.0 [0.6, 9.7]</w:t>
            </w:r>
          </w:p>
        </w:tc>
        <w:tc>
          <w:tcPr>
            <w:tcW w:w="714" w:type="pct"/>
            <w:tcBorders>
              <w:top w:val="nil"/>
              <w:left w:val="nil"/>
              <w:bottom w:val="single" w:sz="4" w:space="0" w:color="auto"/>
              <w:right w:val="single" w:sz="4" w:space="0" w:color="auto"/>
            </w:tcBorders>
            <w:shd w:val="clear" w:color="auto" w:fill="auto"/>
            <w:noWrap/>
            <w:vAlign w:val="center"/>
            <w:hideMark/>
          </w:tcPr>
          <w:p w14:paraId="52A28D29" w14:textId="77777777" w:rsidR="0049441E" w:rsidRPr="0033087F" w:rsidRDefault="0049441E" w:rsidP="0049441E">
            <w:pPr>
              <w:rPr>
                <w:rFonts w:eastAsia="Times New Roman" w:cs="Arial"/>
                <w:color w:val="000000"/>
                <w:szCs w:val="22"/>
                <w:lang w:eastAsia="en-GB"/>
              </w:rPr>
            </w:pPr>
          </w:p>
        </w:tc>
      </w:tr>
    </w:tbl>
    <w:p w14:paraId="5CEC9165" w14:textId="77777777" w:rsidR="0049441E" w:rsidRPr="0033087F" w:rsidRDefault="0049441E" w:rsidP="0049441E">
      <w:pPr>
        <w:pStyle w:val="ReportText"/>
        <w:spacing w:line="240" w:lineRule="auto"/>
        <w:jc w:val="left"/>
        <w:rPr>
          <w:rFonts w:cs="Arial"/>
          <w:szCs w:val="22"/>
        </w:rPr>
      </w:pPr>
      <w:r w:rsidRPr="0033087F">
        <w:rPr>
          <w:rFonts w:cs="Arial"/>
          <w:szCs w:val="22"/>
        </w:rPr>
        <w:t>Green cells indicate comparisons where the 95% CrI does not include one.</w:t>
      </w:r>
    </w:p>
    <w:p w14:paraId="7A92AE06" w14:textId="77777777" w:rsidR="0049441E" w:rsidRPr="0033087F" w:rsidRDefault="0049441E" w:rsidP="0049441E">
      <w:pPr>
        <w:pStyle w:val="ReportText"/>
        <w:spacing w:line="240" w:lineRule="auto"/>
        <w:jc w:val="left"/>
        <w:rPr>
          <w:rFonts w:cs="Arial"/>
          <w:szCs w:val="22"/>
        </w:rPr>
      </w:pPr>
    </w:p>
    <w:p w14:paraId="682B1051" w14:textId="77777777" w:rsidR="0049441E" w:rsidRPr="0033087F" w:rsidRDefault="0049441E" w:rsidP="0049441E">
      <w:pPr>
        <w:pStyle w:val="ReportText"/>
        <w:spacing w:line="240" w:lineRule="auto"/>
        <w:jc w:val="left"/>
        <w:rPr>
          <w:rFonts w:cs="Arial"/>
          <w:szCs w:val="22"/>
        </w:rPr>
      </w:pPr>
    </w:p>
    <w:p w14:paraId="571DE23E" w14:textId="77777777" w:rsidR="0049441E" w:rsidRPr="0033087F" w:rsidRDefault="0049441E" w:rsidP="0049441E">
      <w:pPr>
        <w:pStyle w:val="ReportText"/>
        <w:spacing w:line="240" w:lineRule="auto"/>
        <w:jc w:val="left"/>
        <w:rPr>
          <w:rFonts w:cs="Arial"/>
          <w:szCs w:val="22"/>
        </w:rPr>
        <w:sectPr w:rsidR="0049441E" w:rsidRPr="0033087F" w:rsidSect="00D557A9">
          <w:footerReference w:type="default" r:id="rId55"/>
          <w:pgSz w:w="16838" w:h="11906" w:orient="landscape" w:code="9"/>
          <w:pgMar w:top="1440" w:right="992" w:bottom="1440" w:left="1701" w:header="709" w:footer="533" w:gutter="0"/>
          <w:cols w:space="708"/>
          <w:docGrid w:linePitch="360"/>
        </w:sectPr>
      </w:pPr>
    </w:p>
    <w:p w14:paraId="307D572A" w14:textId="5658D5A7" w:rsidR="0049441E" w:rsidRPr="0033087F" w:rsidRDefault="0049441E" w:rsidP="0049441E">
      <w:pPr>
        <w:pStyle w:val="ReportText"/>
        <w:spacing w:line="240" w:lineRule="auto"/>
        <w:jc w:val="left"/>
        <w:rPr>
          <w:rFonts w:cs="Arial"/>
          <w:szCs w:val="22"/>
        </w:rPr>
      </w:pPr>
      <w:r w:rsidRPr="00713011">
        <w:rPr>
          <w:rFonts w:cs="Arial"/>
          <w:szCs w:val="22"/>
        </w:rPr>
        <w:lastRenderedPageBreak/>
        <w:t xml:space="preserve">The point estimates and 95% CrI for the absolute treatment effects are shown in </w:t>
      </w:r>
      <w:r w:rsidRPr="00713011">
        <w:rPr>
          <w:rFonts w:cs="Arial"/>
          <w:szCs w:val="22"/>
        </w:rPr>
        <w:fldChar w:fldCharType="begin"/>
      </w:r>
      <w:r w:rsidRPr="00713011">
        <w:rPr>
          <w:rFonts w:cs="Arial"/>
          <w:szCs w:val="22"/>
        </w:rPr>
        <w:instrText xml:space="preserve"> REF _Ref281665515 \h </w:instrText>
      </w:r>
      <w:r w:rsidRPr="00713011">
        <w:rPr>
          <w:rFonts w:cs="Arial"/>
          <w:szCs w:val="22"/>
        </w:rPr>
      </w:r>
      <w:r w:rsidRPr="00713011">
        <w:rPr>
          <w:rFonts w:cs="Arial"/>
          <w:szCs w:val="22"/>
        </w:rPr>
        <w:fldChar w:fldCharType="separate"/>
      </w:r>
      <w:r w:rsidR="00151A1C" w:rsidRPr="000D6EA8">
        <w:rPr>
          <w:szCs w:val="22"/>
        </w:rPr>
        <w:t xml:space="preserve">Table </w:t>
      </w:r>
      <w:r w:rsidR="00151A1C">
        <w:rPr>
          <w:noProof/>
          <w:szCs w:val="22"/>
        </w:rPr>
        <w:t>85</w:t>
      </w:r>
      <w:r w:rsidRPr="00713011">
        <w:rPr>
          <w:rFonts w:cs="Arial"/>
          <w:szCs w:val="22"/>
        </w:rPr>
        <w:fldChar w:fldCharType="end"/>
      </w:r>
      <w:r w:rsidRPr="00713011">
        <w:rPr>
          <w:rFonts w:cs="Arial"/>
          <w:szCs w:val="22"/>
        </w:rPr>
        <w:t xml:space="preserve">.  These are given in the natural (probability) scale.  </w:t>
      </w:r>
    </w:p>
    <w:p w14:paraId="5385BCA6" w14:textId="77777777" w:rsidR="0049441E" w:rsidRPr="0033087F" w:rsidRDefault="0049441E" w:rsidP="0049441E">
      <w:pPr>
        <w:pStyle w:val="Caption"/>
        <w:rPr>
          <w:rFonts w:ascii="Arial" w:hAnsi="Arial" w:cs="Arial"/>
          <w:sz w:val="22"/>
          <w:szCs w:val="22"/>
        </w:rPr>
      </w:pPr>
      <w:bookmarkStart w:id="404" w:name="_Ref281665515"/>
      <w:r w:rsidRPr="000D6EA8">
        <w:rPr>
          <w:sz w:val="22"/>
          <w:szCs w:val="22"/>
        </w:rPr>
        <w:t xml:space="preserve">Table </w:t>
      </w:r>
      <w:r w:rsidRPr="000D6EA8">
        <w:rPr>
          <w:sz w:val="22"/>
          <w:szCs w:val="22"/>
        </w:rPr>
        <w:fldChar w:fldCharType="begin"/>
      </w:r>
      <w:r w:rsidRPr="000D6EA8">
        <w:rPr>
          <w:sz w:val="22"/>
          <w:szCs w:val="22"/>
        </w:rPr>
        <w:instrText xml:space="preserve"> SEQ Table \* ARABIC </w:instrText>
      </w:r>
      <w:r w:rsidRPr="000D6EA8">
        <w:rPr>
          <w:sz w:val="22"/>
          <w:szCs w:val="22"/>
        </w:rPr>
        <w:fldChar w:fldCharType="separate"/>
      </w:r>
      <w:r w:rsidR="00151A1C">
        <w:rPr>
          <w:noProof/>
          <w:sz w:val="22"/>
          <w:szCs w:val="22"/>
        </w:rPr>
        <w:t>85</w:t>
      </w:r>
      <w:r w:rsidRPr="000D6EA8">
        <w:rPr>
          <w:sz w:val="22"/>
          <w:szCs w:val="22"/>
        </w:rPr>
        <w:fldChar w:fldCharType="end"/>
      </w:r>
      <w:bookmarkEnd w:id="404"/>
      <w:r w:rsidRPr="000D6EA8">
        <w:rPr>
          <w:rFonts w:ascii="Arial" w:hAnsi="Arial" w:cs="Arial"/>
          <w:sz w:val="22"/>
          <w:szCs w:val="22"/>
        </w:rPr>
        <w:t>: Clinical response at the post treatment evaluation or test of cure: MRSA only population.</w:t>
      </w:r>
      <w:r w:rsidRPr="0033087F">
        <w:rPr>
          <w:rFonts w:ascii="Arial" w:hAnsi="Arial" w:cs="Arial"/>
          <w:sz w:val="22"/>
          <w:szCs w:val="22"/>
        </w:rPr>
        <w:t xml:space="preserve">  Point estimates and 95% CrI (fixed effect model)</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6"/>
      </w:tblGrid>
      <w:tr w:rsidR="0049441E" w:rsidRPr="0033087F" w14:paraId="57897F22" w14:textId="77777777" w:rsidTr="0049441E">
        <w:trPr>
          <w:trHeight w:val="57"/>
        </w:trPr>
        <w:tc>
          <w:tcPr>
            <w:tcW w:w="4535" w:type="dxa"/>
            <w:noWrap/>
            <w:vAlign w:val="center"/>
            <w:hideMark/>
          </w:tcPr>
          <w:p w14:paraId="4CA316B4" w14:textId="77777777" w:rsidR="0049441E" w:rsidRPr="0033087F" w:rsidRDefault="0049441E" w:rsidP="0049441E">
            <w:pPr>
              <w:pStyle w:val="ReportText"/>
              <w:spacing w:line="240" w:lineRule="auto"/>
              <w:jc w:val="left"/>
              <w:rPr>
                <w:rFonts w:cs="Arial"/>
                <w:b/>
                <w:szCs w:val="22"/>
              </w:rPr>
            </w:pPr>
            <w:r w:rsidRPr="0033087F">
              <w:rPr>
                <w:rFonts w:cs="Arial"/>
                <w:b/>
                <w:szCs w:val="22"/>
              </w:rPr>
              <w:t>Treatment</w:t>
            </w:r>
          </w:p>
        </w:tc>
        <w:tc>
          <w:tcPr>
            <w:tcW w:w="4536" w:type="dxa"/>
            <w:noWrap/>
            <w:vAlign w:val="center"/>
            <w:hideMark/>
          </w:tcPr>
          <w:p w14:paraId="27AACE89"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Treatment effect</w:t>
            </w:r>
          </w:p>
          <w:p w14:paraId="5EC21AC2" w14:textId="77777777" w:rsidR="0049441E" w:rsidRPr="0033087F" w:rsidRDefault="0049441E" w:rsidP="0049441E">
            <w:pPr>
              <w:pStyle w:val="ReportText"/>
              <w:spacing w:line="240" w:lineRule="auto"/>
              <w:jc w:val="left"/>
              <w:rPr>
                <w:rFonts w:cs="Arial"/>
                <w:b/>
                <w:szCs w:val="22"/>
              </w:rPr>
            </w:pPr>
            <w:r w:rsidRPr="0033087F">
              <w:rPr>
                <w:rFonts w:cs="Arial"/>
                <w:b/>
                <w:color w:val="000000"/>
                <w:szCs w:val="22"/>
                <w:lang w:eastAsia="en-GB"/>
              </w:rPr>
              <w:t>(Point estimate and 95% CrI)</w:t>
            </w:r>
          </w:p>
        </w:tc>
      </w:tr>
      <w:tr w:rsidR="0049441E" w:rsidRPr="0033087F" w14:paraId="0ADF93FF" w14:textId="77777777" w:rsidTr="0049441E">
        <w:trPr>
          <w:trHeight w:val="57"/>
        </w:trPr>
        <w:tc>
          <w:tcPr>
            <w:tcW w:w="4535" w:type="dxa"/>
            <w:noWrap/>
            <w:vAlign w:val="center"/>
            <w:hideMark/>
          </w:tcPr>
          <w:p w14:paraId="50DF2274" w14:textId="77777777" w:rsidR="0049441E" w:rsidRPr="0033087F" w:rsidRDefault="0049441E" w:rsidP="0049441E">
            <w:pPr>
              <w:pStyle w:val="ReportText"/>
              <w:spacing w:line="240" w:lineRule="auto"/>
              <w:jc w:val="left"/>
              <w:rPr>
                <w:rFonts w:cs="Arial"/>
                <w:szCs w:val="22"/>
              </w:rPr>
            </w:pPr>
            <w:r w:rsidRPr="0033087F">
              <w:rPr>
                <w:rFonts w:cs="Arial"/>
                <w:szCs w:val="22"/>
              </w:rPr>
              <w:t>Tedizolid</w:t>
            </w:r>
          </w:p>
        </w:tc>
        <w:tc>
          <w:tcPr>
            <w:tcW w:w="4536" w:type="dxa"/>
            <w:noWrap/>
            <w:vAlign w:val="center"/>
            <w:hideMark/>
          </w:tcPr>
          <w:p w14:paraId="1B399396" w14:textId="77777777" w:rsidR="0049441E" w:rsidRPr="0033087F" w:rsidRDefault="0049441E" w:rsidP="0049441E">
            <w:pPr>
              <w:pStyle w:val="ReportText"/>
              <w:spacing w:line="240" w:lineRule="auto"/>
              <w:jc w:val="left"/>
              <w:rPr>
                <w:rFonts w:cs="Arial"/>
                <w:szCs w:val="22"/>
              </w:rPr>
            </w:pPr>
            <w:r w:rsidRPr="0033087F">
              <w:rPr>
                <w:rFonts w:cs="Arial"/>
                <w:szCs w:val="22"/>
              </w:rPr>
              <w:t>0.86 [0.00, 1.00]</w:t>
            </w:r>
          </w:p>
        </w:tc>
      </w:tr>
      <w:tr w:rsidR="0049441E" w:rsidRPr="0033087F" w14:paraId="7674D1CE" w14:textId="77777777" w:rsidTr="0049441E">
        <w:trPr>
          <w:trHeight w:val="57"/>
        </w:trPr>
        <w:tc>
          <w:tcPr>
            <w:tcW w:w="4535" w:type="dxa"/>
            <w:noWrap/>
            <w:vAlign w:val="center"/>
            <w:hideMark/>
          </w:tcPr>
          <w:p w14:paraId="3E3D6172" w14:textId="77777777" w:rsidR="0049441E" w:rsidRPr="0033087F" w:rsidRDefault="0049441E" w:rsidP="0049441E">
            <w:pPr>
              <w:pStyle w:val="ReportText"/>
              <w:spacing w:line="240" w:lineRule="auto"/>
              <w:jc w:val="left"/>
              <w:rPr>
                <w:rFonts w:cs="Arial"/>
                <w:szCs w:val="22"/>
              </w:rPr>
            </w:pPr>
            <w:r w:rsidRPr="0033087F">
              <w:rPr>
                <w:rFonts w:cs="Arial"/>
                <w:szCs w:val="22"/>
              </w:rPr>
              <w:t>Linezolid</w:t>
            </w:r>
          </w:p>
        </w:tc>
        <w:tc>
          <w:tcPr>
            <w:tcW w:w="4536" w:type="dxa"/>
            <w:noWrap/>
            <w:vAlign w:val="center"/>
            <w:hideMark/>
          </w:tcPr>
          <w:p w14:paraId="53D03B03" w14:textId="77777777" w:rsidR="0049441E" w:rsidRPr="0033087F" w:rsidRDefault="0049441E" w:rsidP="0049441E">
            <w:pPr>
              <w:pStyle w:val="ReportText"/>
              <w:spacing w:line="240" w:lineRule="auto"/>
              <w:jc w:val="left"/>
              <w:rPr>
                <w:rFonts w:cs="Arial"/>
                <w:szCs w:val="22"/>
              </w:rPr>
            </w:pPr>
            <w:r w:rsidRPr="0033087F">
              <w:rPr>
                <w:rFonts w:cs="Arial"/>
                <w:szCs w:val="22"/>
              </w:rPr>
              <w:t>0.86 [0.00, 1.00]</w:t>
            </w:r>
          </w:p>
        </w:tc>
      </w:tr>
      <w:tr w:rsidR="0049441E" w:rsidRPr="0033087F" w14:paraId="29821246" w14:textId="77777777" w:rsidTr="0049441E">
        <w:trPr>
          <w:trHeight w:val="57"/>
        </w:trPr>
        <w:tc>
          <w:tcPr>
            <w:tcW w:w="4535" w:type="dxa"/>
            <w:noWrap/>
            <w:vAlign w:val="center"/>
            <w:hideMark/>
          </w:tcPr>
          <w:p w14:paraId="7AA1C55E" w14:textId="77777777" w:rsidR="0049441E" w:rsidRPr="0033087F" w:rsidRDefault="0049441E" w:rsidP="0049441E">
            <w:pPr>
              <w:pStyle w:val="ReportText"/>
              <w:spacing w:line="240" w:lineRule="auto"/>
              <w:jc w:val="left"/>
              <w:rPr>
                <w:rFonts w:cs="Arial"/>
                <w:szCs w:val="22"/>
              </w:rPr>
            </w:pPr>
            <w:r w:rsidRPr="0033087F">
              <w:rPr>
                <w:rFonts w:cs="Arial"/>
                <w:szCs w:val="22"/>
              </w:rPr>
              <w:t>Telavancin</w:t>
            </w:r>
          </w:p>
        </w:tc>
        <w:tc>
          <w:tcPr>
            <w:tcW w:w="4536" w:type="dxa"/>
            <w:noWrap/>
            <w:vAlign w:val="center"/>
            <w:hideMark/>
          </w:tcPr>
          <w:p w14:paraId="2B1D98F7" w14:textId="77777777" w:rsidR="0049441E" w:rsidRPr="0033087F" w:rsidRDefault="0049441E" w:rsidP="0049441E">
            <w:pPr>
              <w:pStyle w:val="ReportText"/>
              <w:spacing w:line="240" w:lineRule="auto"/>
              <w:jc w:val="left"/>
              <w:rPr>
                <w:rFonts w:cs="Arial"/>
                <w:szCs w:val="22"/>
              </w:rPr>
            </w:pPr>
            <w:r w:rsidRPr="0033087F">
              <w:rPr>
                <w:rFonts w:cs="Arial"/>
                <w:szCs w:val="22"/>
              </w:rPr>
              <w:t>0.85 [0.00, 1.00]</w:t>
            </w:r>
          </w:p>
        </w:tc>
      </w:tr>
      <w:tr w:rsidR="0049441E" w:rsidRPr="0033087F" w14:paraId="54C9EE9B" w14:textId="77777777" w:rsidTr="0049441E">
        <w:trPr>
          <w:trHeight w:val="57"/>
        </w:trPr>
        <w:tc>
          <w:tcPr>
            <w:tcW w:w="4535" w:type="dxa"/>
            <w:noWrap/>
            <w:vAlign w:val="center"/>
            <w:hideMark/>
          </w:tcPr>
          <w:p w14:paraId="7E03D966" w14:textId="77777777" w:rsidR="0049441E" w:rsidRPr="0033087F" w:rsidRDefault="0049441E" w:rsidP="0049441E">
            <w:pPr>
              <w:pStyle w:val="ReportText"/>
              <w:spacing w:line="240" w:lineRule="auto"/>
              <w:jc w:val="left"/>
              <w:rPr>
                <w:rFonts w:cs="Arial"/>
                <w:szCs w:val="22"/>
              </w:rPr>
            </w:pPr>
            <w:r w:rsidRPr="0033087F">
              <w:rPr>
                <w:rFonts w:cs="Arial"/>
                <w:szCs w:val="22"/>
              </w:rPr>
              <w:t>Vancomycin</w:t>
            </w:r>
          </w:p>
        </w:tc>
        <w:tc>
          <w:tcPr>
            <w:tcW w:w="4536" w:type="dxa"/>
            <w:noWrap/>
            <w:vAlign w:val="center"/>
            <w:hideMark/>
          </w:tcPr>
          <w:p w14:paraId="74B81351" w14:textId="77777777" w:rsidR="0049441E" w:rsidRPr="0033087F" w:rsidRDefault="0049441E" w:rsidP="0049441E">
            <w:pPr>
              <w:pStyle w:val="ReportText"/>
              <w:spacing w:line="240" w:lineRule="auto"/>
              <w:jc w:val="left"/>
              <w:rPr>
                <w:rFonts w:cs="Arial"/>
                <w:szCs w:val="22"/>
              </w:rPr>
            </w:pPr>
            <w:r w:rsidRPr="0033087F">
              <w:rPr>
                <w:rFonts w:cs="Arial"/>
                <w:szCs w:val="22"/>
              </w:rPr>
              <w:t>0.79 [0.00, 1.00]</w:t>
            </w:r>
          </w:p>
        </w:tc>
      </w:tr>
      <w:tr w:rsidR="0049441E" w:rsidRPr="0033087F" w14:paraId="41E976CD" w14:textId="77777777" w:rsidTr="0049441E">
        <w:trPr>
          <w:trHeight w:val="57"/>
        </w:trPr>
        <w:tc>
          <w:tcPr>
            <w:tcW w:w="4535" w:type="dxa"/>
            <w:noWrap/>
            <w:vAlign w:val="center"/>
            <w:hideMark/>
          </w:tcPr>
          <w:p w14:paraId="61D3849A" w14:textId="77777777" w:rsidR="0049441E" w:rsidRPr="0033087F" w:rsidRDefault="0049441E" w:rsidP="0049441E">
            <w:pPr>
              <w:pStyle w:val="ReportText"/>
              <w:spacing w:line="240" w:lineRule="auto"/>
              <w:jc w:val="left"/>
              <w:rPr>
                <w:rFonts w:cs="Arial"/>
                <w:szCs w:val="22"/>
              </w:rPr>
            </w:pPr>
            <w:r w:rsidRPr="0033087F">
              <w:rPr>
                <w:rFonts w:cs="Arial"/>
                <w:szCs w:val="22"/>
              </w:rPr>
              <w:t>Daptomycin</w:t>
            </w:r>
          </w:p>
        </w:tc>
        <w:tc>
          <w:tcPr>
            <w:tcW w:w="4536" w:type="dxa"/>
            <w:noWrap/>
            <w:vAlign w:val="center"/>
            <w:hideMark/>
          </w:tcPr>
          <w:p w14:paraId="0A92EF0D" w14:textId="77777777" w:rsidR="0049441E" w:rsidRPr="0033087F" w:rsidRDefault="0049441E" w:rsidP="0049441E">
            <w:pPr>
              <w:pStyle w:val="ReportText"/>
              <w:spacing w:line="240" w:lineRule="auto"/>
              <w:jc w:val="left"/>
              <w:rPr>
                <w:rFonts w:cs="Arial"/>
                <w:szCs w:val="22"/>
              </w:rPr>
            </w:pPr>
            <w:r w:rsidRPr="0033087F">
              <w:rPr>
                <w:rFonts w:cs="Arial"/>
                <w:szCs w:val="22"/>
              </w:rPr>
              <w:t>0.74 [0.00, 1.00]</w:t>
            </w:r>
          </w:p>
        </w:tc>
      </w:tr>
      <w:tr w:rsidR="0049441E" w:rsidRPr="0033087F" w14:paraId="65EB6B1B" w14:textId="77777777" w:rsidTr="0049441E">
        <w:trPr>
          <w:trHeight w:val="57"/>
        </w:trPr>
        <w:tc>
          <w:tcPr>
            <w:tcW w:w="4535" w:type="dxa"/>
            <w:noWrap/>
            <w:vAlign w:val="center"/>
            <w:hideMark/>
          </w:tcPr>
          <w:p w14:paraId="347F6F57" w14:textId="77777777" w:rsidR="0049441E" w:rsidRPr="0033087F" w:rsidRDefault="0049441E" w:rsidP="0049441E">
            <w:pPr>
              <w:pStyle w:val="ReportText"/>
              <w:spacing w:line="240" w:lineRule="auto"/>
              <w:jc w:val="left"/>
              <w:rPr>
                <w:rFonts w:cs="Arial"/>
                <w:szCs w:val="22"/>
              </w:rPr>
            </w:pPr>
            <w:r w:rsidRPr="0033087F">
              <w:rPr>
                <w:rFonts w:cs="Arial"/>
                <w:szCs w:val="22"/>
              </w:rPr>
              <w:t>Tigecycline</w:t>
            </w:r>
          </w:p>
        </w:tc>
        <w:tc>
          <w:tcPr>
            <w:tcW w:w="4536" w:type="dxa"/>
            <w:noWrap/>
            <w:vAlign w:val="center"/>
            <w:hideMark/>
          </w:tcPr>
          <w:p w14:paraId="17DF206B" w14:textId="77777777" w:rsidR="0049441E" w:rsidRPr="0033087F" w:rsidRDefault="0049441E" w:rsidP="0049441E">
            <w:pPr>
              <w:pStyle w:val="ReportText"/>
              <w:spacing w:line="240" w:lineRule="auto"/>
              <w:jc w:val="left"/>
              <w:rPr>
                <w:rFonts w:cs="Arial"/>
                <w:szCs w:val="22"/>
              </w:rPr>
            </w:pPr>
            <w:r w:rsidRPr="0033087F">
              <w:rPr>
                <w:rFonts w:cs="Arial"/>
                <w:szCs w:val="22"/>
              </w:rPr>
              <w:t>0.65 [0.00, 1.00]</w:t>
            </w:r>
          </w:p>
        </w:tc>
      </w:tr>
    </w:tbl>
    <w:p w14:paraId="1378DA88" w14:textId="77777777" w:rsidR="0049441E" w:rsidRPr="0033087F" w:rsidRDefault="0049441E" w:rsidP="0049441E">
      <w:pPr>
        <w:pStyle w:val="ReportText"/>
        <w:spacing w:line="240" w:lineRule="auto"/>
        <w:jc w:val="left"/>
        <w:rPr>
          <w:rFonts w:cs="Arial"/>
          <w:szCs w:val="22"/>
          <w:lang w:val="en-US"/>
        </w:rPr>
      </w:pPr>
    </w:p>
    <w:p w14:paraId="1E644037" w14:textId="1DB57BBD" w:rsidR="0049441E" w:rsidRPr="002638AE" w:rsidRDefault="0049441E" w:rsidP="0049441E">
      <w:pPr>
        <w:pStyle w:val="ReportText"/>
        <w:spacing w:line="240" w:lineRule="auto"/>
        <w:jc w:val="left"/>
        <w:rPr>
          <w:rFonts w:cs="Arial"/>
          <w:szCs w:val="22"/>
          <w:lang w:val="en-US"/>
        </w:rPr>
      </w:pPr>
      <w:r w:rsidRPr="0033087F">
        <w:rPr>
          <w:rFonts w:cs="Arial"/>
          <w:szCs w:val="22"/>
        </w:rPr>
        <w:t xml:space="preserve">Tedizolid and linezolid have the highest estimated probability of clinical response at the end of post treatment evaluation or test of cure when the MRSA only population data are considered.  The very wide CrI are an indication of the uncertainty in the point estimates.  Similar results were found for the random </w:t>
      </w:r>
      <w:r w:rsidRPr="002638AE">
        <w:rPr>
          <w:rFonts w:cs="Arial"/>
          <w:szCs w:val="22"/>
        </w:rPr>
        <w:t>effects model although the point estimates for some of the treatments were slightl</w:t>
      </w:r>
      <w:r w:rsidR="004D6F82">
        <w:rPr>
          <w:rFonts w:cs="Arial"/>
          <w:szCs w:val="22"/>
        </w:rPr>
        <w:t>y lower</w:t>
      </w:r>
      <w:r w:rsidRPr="002638AE">
        <w:rPr>
          <w:rFonts w:cs="Arial"/>
          <w:szCs w:val="22"/>
        </w:rPr>
        <w:t>.</w:t>
      </w:r>
    </w:p>
    <w:p w14:paraId="0700494A" w14:textId="77777777" w:rsidR="0049441E" w:rsidRPr="002638AE" w:rsidRDefault="0049441E" w:rsidP="0049441E">
      <w:pPr>
        <w:pStyle w:val="ReportText"/>
        <w:spacing w:line="240" w:lineRule="auto"/>
        <w:jc w:val="left"/>
        <w:rPr>
          <w:rFonts w:cs="Arial"/>
          <w:szCs w:val="22"/>
        </w:rPr>
      </w:pPr>
    </w:p>
    <w:p w14:paraId="31083E0D" w14:textId="6E207BFC" w:rsidR="0049441E" w:rsidRPr="0033087F" w:rsidRDefault="0049441E" w:rsidP="0049441E">
      <w:pPr>
        <w:pStyle w:val="ReportText"/>
        <w:spacing w:line="240" w:lineRule="auto"/>
        <w:jc w:val="left"/>
        <w:rPr>
          <w:rFonts w:cs="Arial"/>
          <w:szCs w:val="22"/>
        </w:rPr>
      </w:pPr>
      <w:r>
        <w:rPr>
          <w:rFonts w:cs="Arial"/>
          <w:szCs w:val="22"/>
        </w:rPr>
        <w:fldChar w:fldCharType="begin"/>
      </w:r>
      <w:r>
        <w:rPr>
          <w:rFonts w:cs="Arial"/>
          <w:szCs w:val="22"/>
          <w:lang w:val="en-US"/>
        </w:rPr>
        <w:instrText xml:space="preserve"> REF _Ref281665664 \h </w:instrText>
      </w:r>
      <w:r>
        <w:rPr>
          <w:rFonts w:cs="Arial"/>
          <w:szCs w:val="22"/>
        </w:rPr>
      </w:r>
      <w:r>
        <w:rPr>
          <w:rFonts w:cs="Arial"/>
          <w:szCs w:val="22"/>
        </w:rPr>
        <w:fldChar w:fldCharType="separate"/>
      </w:r>
      <w:r w:rsidR="00151A1C" w:rsidRPr="000D6EA8">
        <w:rPr>
          <w:szCs w:val="22"/>
        </w:rPr>
        <w:t xml:space="preserve">Table </w:t>
      </w:r>
      <w:r w:rsidR="00151A1C">
        <w:rPr>
          <w:noProof/>
          <w:szCs w:val="22"/>
        </w:rPr>
        <w:t>86</w:t>
      </w:r>
      <w:r>
        <w:rPr>
          <w:rFonts w:cs="Arial"/>
          <w:szCs w:val="22"/>
        </w:rPr>
        <w:fldChar w:fldCharType="end"/>
      </w:r>
      <w:r w:rsidRPr="002638AE">
        <w:rPr>
          <w:rFonts w:cs="Arial"/>
          <w:szCs w:val="22"/>
          <w:lang w:val="en-US"/>
        </w:rPr>
        <w:t xml:space="preserve"> gives the probabilities that each treatment is best for the fixed effect model.  The treatment with the highest estimated probability has been highlighted.  </w:t>
      </w:r>
      <w:r w:rsidRPr="002638AE">
        <w:rPr>
          <w:rFonts w:cs="Arial"/>
          <w:szCs w:val="22"/>
        </w:rPr>
        <w:t>Tedizolid has the highest estimated probability of being the best treatment, followed by linezolid and telavancin.  Similar results were foun</w:t>
      </w:r>
      <w:r w:rsidR="004D6F82">
        <w:rPr>
          <w:rFonts w:cs="Arial"/>
          <w:szCs w:val="22"/>
        </w:rPr>
        <w:t>d for the random effects model</w:t>
      </w:r>
      <w:r w:rsidRPr="002638AE">
        <w:rPr>
          <w:rFonts w:cs="Arial"/>
          <w:szCs w:val="22"/>
        </w:rPr>
        <w:t>.</w:t>
      </w:r>
    </w:p>
    <w:p w14:paraId="24414BF8" w14:textId="77777777" w:rsidR="0049441E" w:rsidRPr="0033087F" w:rsidRDefault="0049441E" w:rsidP="0049441E">
      <w:pPr>
        <w:pStyle w:val="Caption"/>
        <w:rPr>
          <w:rFonts w:ascii="Arial" w:hAnsi="Arial" w:cs="Arial"/>
          <w:sz w:val="22"/>
          <w:szCs w:val="22"/>
        </w:rPr>
      </w:pPr>
      <w:bookmarkStart w:id="405" w:name="_Ref281665664"/>
      <w:r w:rsidRPr="000D6EA8">
        <w:rPr>
          <w:sz w:val="22"/>
          <w:szCs w:val="22"/>
        </w:rPr>
        <w:t xml:space="preserve">Table </w:t>
      </w:r>
      <w:r w:rsidRPr="000D6EA8">
        <w:rPr>
          <w:sz w:val="22"/>
          <w:szCs w:val="22"/>
        </w:rPr>
        <w:fldChar w:fldCharType="begin"/>
      </w:r>
      <w:r w:rsidRPr="000D6EA8">
        <w:rPr>
          <w:sz w:val="22"/>
          <w:szCs w:val="22"/>
        </w:rPr>
        <w:instrText xml:space="preserve"> SEQ Table \* ARABIC </w:instrText>
      </w:r>
      <w:r w:rsidRPr="000D6EA8">
        <w:rPr>
          <w:sz w:val="22"/>
          <w:szCs w:val="22"/>
        </w:rPr>
        <w:fldChar w:fldCharType="separate"/>
      </w:r>
      <w:r w:rsidR="00151A1C">
        <w:rPr>
          <w:noProof/>
          <w:sz w:val="22"/>
          <w:szCs w:val="22"/>
        </w:rPr>
        <w:t>86</w:t>
      </w:r>
      <w:r w:rsidRPr="000D6EA8">
        <w:rPr>
          <w:sz w:val="22"/>
          <w:szCs w:val="22"/>
        </w:rPr>
        <w:fldChar w:fldCharType="end"/>
      </w:r>
      <w:bookmarkEnd w:id="405"/>
      <w:r w:rsidRPr="000D6EA8">
        <w:rPr>
          <w:rFonts w:ascii="Arial" w:hAnsi="Arial" w:cs="Arial"/>
          <w:sz w:val="22"/>
          <w:szCs w:val="22"/>
        </w:rPr>
        <w:t>: Clinical response at the post treatment evaluation or test of cure: MRSA only population.  Best treatment</w:t>
      </w:r>
      <w:r w:rsidRPr="0033087F">
        <w:rPr>
          <w:rFonts w:ascii="Arial" w:hAnsi="Arial" w:cs="Arial"/>
          <w:sz w:val="22"/>
          <w:szCs w:val="22"/>
        </w:rPr>
        <w:t xml:space="preserve"> probabilities (fixed effect model)</w:t>
      </w:r>
    </w:p>
    <w:tbl>
      <w:tblPr>
        <w:tblW w:w="0" w:type="auto"/>
        <w:tblInd w:w="66" w:type="dxa"/>
        <w:tblLayout w:type="fixed"/>
        <w:tblLook w:val="04A0" w:firstRow="1" w:lastRow="0" w:firstColumn="1" w:lastColumn="0" w:noHBand="0" w:noVBand="1"/>
      </w:tblPr>
      <w:tblGrid>
        <w:gridCol w:w="4535"/>
        <w:gridCol w:w="4536"/>
      </w:tblGrid>
      <w:tr w:rsidR="0049441E" w:rsidRPr="0033087F" w14:paraId="3E68C6A5" w14:textId="77777777" w:rsidTr="0049441E">
        <w:trPr>
          <w:trHeight w:val="57"/>
        </w:trPr>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3B5D"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Treatment</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084E4990" w14:textId="77777777" w:rsidR="0049441E" w:rsidRPr="0033087F" w:rsidRDefault="0049441E" w:rsidP="0049441E">
            <w:pPr>
              <w:rPr>
                <w:rFonts w:eastAsia="Times New Roman" w:cs="Arial"/>
                <w:b/>
                <w:color w:val="000000"/>
                <w:szCs w:val="22"/>
                <w:lang w:eastAsia="en-GB"/>
              </w:rPr>
            </w:pPr>
            <w:r w:rsidRPr="0033087F">
              <w:rPr>
                <w:rFonts w:eastAsia="Times New Roman" w:cs="Arial"/>
                <w:b/>
                <w:color w:val="000000"/>
                <w:sz w:val="22"/>
                <w:szCs w:val="22"/>
                <w:lang w:eastAsia="en-GB"/>
              </w:rPr>
              <w:t>Probability of treatment being best</w:t>
            </w:r>
          </w:p>
        </w:tc>
      </w:tr>
      <w:tr w:rsidR="0049441E" w:rsidRPr="0033087F" w14:paraId="22435AEC" w14:textId="77777777" w:rsidTr="0049441E">
        <w:trPr>
          <w:trHeight w:val="57"/>
        </w:trPr>
        <w:tc>
          <w:tcPr>
            <w:tcW w:w="4535" w:type="dxa"/>
            <w:tcBorders>
              <w:top w:val="nil"/>
              <w:left w:val="single" w:sz="4" w:space="0" w:color="auto"/>
              <w:bottom w:val="single" w:sz="4" w:space="0" w:color="auto"/>
              <w:right w:val="single" w:sz="4" w:space="0" w:color="auto"/>
            </w:tcBorders>
            <w:shd w:val="clear" w:color="000000" w:fill="C6EFCE"/>
            <w:noWrap/>
            <w:vAlign w:val="center"/>
            <w:hideMark/>
          </w:tcPr>
          <w:p w14:paraId="54997DA9" w14:textId="77777777" w:rsidR="0049441E" w:rsidRPr="0033087F" w:rsidRDefault="0049441E" w:rsidP="0049441E">
            <w:pPr>
              <w:rPr>
                <w:rFonts w:eastAsia="Times New Roman" w:cs="Arial"/>
                <w:color w:val="006100"/>
                <w:szCs w:val="22"/>
                <w:lang w:eastAsia="en-GB"/>
              </w:rPr>
            </w:pPr>
            <w:r w:rsidRPr="0033087F">
              <w:rPr>
                <w:rFonts w:eastAsia="Times New Roman" w:cs="Arial"/>
                <w:color w:val="006100"/>
                <w:sz w:val="22"/>
                <w:szCs w:val="22"/>
                <w:lang w:eastAsia="en-GB"/>
              </w:rPr>
              <w:t>Tedizolid</w:t>
            </w:r>
          </w:p>
        </w:tc>
        <w:tc>
          <w:tcPr>
            <w:tcW w:w="4536" w:type="dxa"/>
            <w:tcBorders>
              <w:top w:val="nil"/>
              <w:left w:val="nil"/>
              <w:bottom w:val="single" w:sz="4" w:space="0" w:color="auto"/>
              <w:right w:val="single" w:sz="4" w:space="0" w:color="auto"/>
            </w:tcBorders>
            <w:shd w:val="clear" w:color="000000" w:fill="C6EFCE"/>
            <w:noWrap/>
            <w:vAlign w:val="center"/>
            <w:hideMark/>
          </w:tcPr>
          <w:p w14:paraId="1F768E71" w14:textId="77777777" w:rsidR="0049441E" w:rsidRPr="0033087F" w:rsidRDefault="0049441E" w:rsidP="0049441E">
            <w:pPr>
              <w:rPr>
                <w:rFonts w:eastAsia="Times New Roman" w:cs="Arial"/>
                <w:color w:val="006100"/>
                <w:szCs w:val="22"/>
                <w:lang w:eastAsia="en-GB"/>
              </w:rPr>
            </w:pPr>
            <w:r w:rsidRPr="0033087F">
              <w:rPr>
                <w:rFonts w:eastAsia="Times New Roman" w:cs="Arial"/>
                <w:color w:val="006100"/>
                <w:sz w:val="22"/>
                <w:szCs w:val="22"/>
                <w:lang w:eastAsia="en-GB"/>
              </w:rPr>
              <w:t>0.37</w:t>
            </w:r>
          </w:p>
        </w:tc>
      </w:tr>
      <w:tr w:rsidR="0049441E" w:rsidRPr="0033087F" w14:paraId="5ABF9B4E" w14:textId="77777777" w:rsidTr="0049441E">
        <w:trPr>
          <w:trHeight w:val="57"/>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D03C95C"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Linezolid</w:t>
            </w:r>
          </w:p>
        </w:tc>
        <w:tc>
          <w:tcPr>
            <w:tcW w:w="4536" w:type="dxa"/>
            <w:tcBorders>
              <w:top w:val="nil"/>
              <w:left w:val="nil"/>
              <w:bottom w:val="single" w:sz="4" w:space="0" w:color="auto"/>
              <w:right w:val="single" w:sz="4" w:space="0" w:color="auto"/>
            </w:tcBorders>
            <w:shd w:val="clear" w:color="auto" w:fill="auto"/>
            <w:noWrap/>
            <w:vAlign w:val="center"/>
            <w:hideMark/>
          </w:tcPr>
          <w:p w14:paraId="655075AF"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0.26</w:t>
            </w:r>
          </w:p>
        </w:tc>
      </w:tr>
      <w:tr w:rsidR="0049441E" w:rsidRPr="0033087F" w14:paraId="42A8C453" w14:textId="77777777" w:rsidTr="0049441E">
        <w:trPr>
          <w:trHeight w:val="57"/>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3B5EC49"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Telavancin</w:t>
            </w:r>
          </w:p>
        </w:tc>
        <w:tc>
          <w:tcPr>
            <w:tcW w:w="4536" w:type="dxa"/>
            <w:tcBorders>
              <w:top w:val="nil"/>
              <w:left w:val="nil"/>
              <w:bottom w:val="single" w:sz="4" w:space="0" w:color="auto"/>
              <w:right w:val="single" w:sz="4" w:space="0" w:color="auto"/>
            </w:tcBorders>
            <w:shd w:val="clear" w:color="auto" w:fill="auto"/>
            <w:noWrap/>
            <w:vAlign w:val="center"/>
            <w:hideMark/>
          </w:tcPr>
          <w:p w14:paraId="7536640A"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0.25</w:t>
            </w:r>
          </w:p>
        </w:tc>
      </w:tr>
      <w:tr w:rsidR="0049441E" w:rsidRPr="0033087F" w14:paraId="7FA5B4CE" w14:textId="77777777" w:rsidTr="0049441E">
        <w:trPr>
          <w:trHeight w:val="57"/>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F80852F"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Daptomycin</w:t>
            </w:r>
          </w:p>
        </w:tc>
        <w:tc>
          <w:tcPr>
            <w:tcW w:w="4536" w:type="dxa"/>
            <w:tcBorders>
              <w:top w:val="nil"/>
              <w:left w:val="nil"/>
              <w:bottom w:val="single" w:sz="4" w:space="0" w:color="auto"/>
              <w:right w:val="single" w:sz="4" w:space="0" w:color="auto"/>
            </w:tcBorders>
            <w:shd w:val="clear" w:color="auto" w:fill="auto"/>
            <w:noWrap/>
            <w:vAlign w:val="center"/>
            <w:hideMark/>
          </w:tcPr>
          <w:p w14:paraId="60823E87"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0.10</w:t>
            </w:r>
          </w:p>
        </w:tc>
      </w:tr>
      <w:tr w:rsidR="0049441E" w:rsidRPr="0033087F" w14:paraId="6AD4382B" w14:textId="77777777" w:rsidTr="0049441E">
        <w:trPr>
          <w:trHeight w:val="57"/>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3163508"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lastRenderedPageBreak/>
              <w:t>Tigecycline</w:t>
            </w:r>
          </w:p>
        </w:tc>
        <w:tc>
          <w:tcPr>
            <w:tcW w:w="4536" w:type="dxa"/>
            <w:tcBorders>
              <w:top w:val="nil"/>
              <w:left w:val="nil"/>
              <w:bottom w:val="single" w:sz="4" w:space="0" w:color="auto"/>
              <w:right w:val="single" w:sz="4" w:space="0" w:color="auto"/>
            </w:tcBorders>
            <w:shd w:val="clear" w:color="auto" w:fill="auto"/>
            <w:noWrap/>
            <w:vAlign w:val="center"/>
            <w:hideMark/>
          </w:tcPr>
          <w:p w14:paraId="55FD207D"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0.02</w:t>
            </w:r>
          </w:p>
        </w:tc>
      </w:tr>
      <w:tr w:rsidR="0049441E" w:rsidRPr="0033087F" w14:paraId="1A4F5DA2" w14:textId="77777777" w:rsidTr="0049441E">
        <w:trPr>
          <w:trHeight w:val="57"/>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6A7BC4E0"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Vancomycin</w:t>
            </w:r>
          </w:p>
        </w:tc>
        <w:tc>
          <w:tcPr>
            <w:tcW w:w="4536" w:type="dxa"/>
            <w:tcBorders>
              <w:top w:val="nil"/>
              <w:left w:val="nil"/>
              <w:bottom w:val="single" w:sz="4" w:space="0" w:color="auto"/>
              <w:right w:val="single" w:sz="4" w:space="0" w:color="auto"/>
            </w:tcBorders>
            <w:shd w:val="clear" w:color="auto" w:fill="auto"/>
            <w:noWrap/>
            <w:vAlign w:val="center"/>
            <w:hideMark/>
          </w:tcPr>
          <w:p w14:paraId="293CBDF0" w14:textId="77777777" w:rsidR="0049441E" w:rsidRPr="0033087F" w:rsidRDefault="0049441E" w:rsidP="0049441E">
            <w:pPr>
              <w:rPr>
                <w:rFonts w:eastAsia="Times New Roman" w:cs="Arial"/>
                <w:color w:val="000000"/>
                <w:szCs w:val="22"/>
                <w:lang w:eastAsia="en-GB"/>
              </w:rPr>
            </w:pPr>
            <w:r w:rsidRPr="0033087F">
              <w:rPr>
                <w:rFonts w:eastAsia="Times New Roman" w:cs="Arial"/>
                <w:color w:val="000000"/>
                <w:sz w:val="22"/>
                <w:szCs w:val="22"/>
                <w:lang w:eastAsia="en-GB"/>
              </w:rPr>
              <w:t>0.00</w:t>
            </w:r>
          </w:p>
        </w:tc>
      </w:tr>
    </w:tbl>
    <w:p w14:paraId="71C7C13A" w14:textId="77777777" w:rsidR="0049441E" w:rsidRDefault="0049441E" w:rsidP="0049441E">
      <w:pPr>
        <w:pStyle w:val="ReportText"/>
        <w:spacing w:line="240" w:lineRule="auto"/>
        <w:jc w:val="left"/>
        <w:rPr>
          <w:rFonts w:cs="Arial"/>
          <w:sz w:val="16"/>
          <w:szCs w:val="16"/>
        </w:rPr>
      </w:pPr>
      <w:r w:rsidRPr="00BC1EF1">
        <w:rPr>
          <w:rFonts w:cs="Arial"/>
          <w:sz w:val="16"/>
          <w:szCs w:val="16"/>
        </w:rPr>
        <w:t>Green cells indicate treatment with the highest estimated probability of being the best treatment.</w:t>
      </w:r>
    </w:p>
    <w:p w14:paraId="174CC2D0" w14:textId="77777777" w:rsidR="0049441E" w:rsidRDefault="0049441E" w:rsidP="0049441E">
      <w:pPr>
        <w:pStyle w:val="ReportText"/>
        <w:spacing w:line="240" w:lineRule="auto"/>
        <w:jc w:val="left"/>
        <w:rPr>
          <w:rFonts w:cs="Arial"/>
          <w:sz w:val="16"/>
          <w:szCs w:val="16"/>
        </w:rPr>
      </w:pPr>
    </w:p>
    <w:p w14:paraId="76DA5909" w14:textId="77777777" w:rsidR="0049441E" w:rsidRDefault="0049441E" w:rsidP="0049441E">
      <w:pPr>
        <w:pStyle w:val="ReportText"/>
        <w:spacing w:line="240" w:lineRule="auto"/>
        <w:jc w:val="left"/>
        <w:rPr>
          <w:rFonts w:cs="Arial"/>
          <w:sz w:val="16"/>
          <w:szCs w:val="16"/>
        </w:rPr>
      </w:pPr>
    </w:p>
    <w:p w14:paraId="0279F457" w14:textId="77777777" w:rsidR="009025E3" w:rsidRDefault="009025E3" w:rsidP="0049441E">
      <w:pPr>
        <w:pStyle w:val="ReportText"/>
        <w:spacing w:line="240" w:lineRule="auto"/>
        <w:jc w:val="left"/>
        <w:rPr>
          <w:rFonts w:cs="Arial"/>
          <w:b/>
          <w:szCs w:val="22"/>
        </w:rPr>
      </w:pPr>
      <w:r>
        <w:rPr>
          <w:rFonts w:cs="Arial"/>
          <w:b/>
          <w:szCs w:val="22"/>
        </w:rPr>
        <w:t xml:space="preserve">D.5.3 </w:t>
      </w:r>
      <w:r w:rsidR="0049441E" w:rsidRPr="000F3C1C">
        <w:rPr>
          <w:rFonts w:cs="Arial"/>
          <w:b/>
          <w:szCs w:val="22"/>
        </w:rPr>
        <w:t xml:space="preserve"> Post-hoc analysis: Clinical Response at the Post Treatment Evaluation or Test for</w:t>
      </w:r>
      <w:r>
        <w:rPr>
          <w:rFonts w:cs="Arial"/>
          <w:b/>
          <w:szCs w:val="22"/>
        </w:rPr>
        <w:t xml:space="preserve"> Cure – MRSA only</w:t>
      </w:r>
    </w:p>
    <w:p w14:paraId="4EA699EC" w14:textId="77777777" w:rsidR="009025E3" w:rsidRDefault="009025E3" w:rsidP="0049441E">
      <w:pPr>
        <w:pStyle w:val="ReportText"/>
        <w:spacing w:line="240" w:lineRule="auto"/>
        <w:jc w:val="left"/>
        <w:rPr>
          <w:rFonts w:cs="Arial"/>
          <w:b/>
          <w:szCs w:val="22"/>
        </w:rPr>
      </w:pPr>
    </w:p>
    <w:p w14:paraId="7B76D7DF" w14:textId="1B9F705E" w:rsidR="0049441E" w:rsidRPr="00AF3642" w:rsidRDefault="0049441E" w:rsidP="0049441E">
      <w:pPr>
        <w:pStyle w:val="ReportText"/>
        <w:spacing w:line="240" w:lineRule="auto"/>
        <w:jc w:val="left"/>
        <w:rPr>
          <w:rFonts w:cs="Arial"/>
          <w:b/>
          <w:color w:val="FF0000"/>
          <w:szCs w:val="22"/>
        </w:rPr>
      </w:pPr>
      <w:r w:rsidRPr="00AF3642">
        <w:rPr>
          <w:rFonts w:cs="Arial"/>
          <w:szCs w:val="22"/>
          <w:lang w:val="en-US"/>
        </w:rPr>
        <w:t xml:space="preserve">As noted above, a post-hoc analysis of the MRSA sub-group was subsequently conducted </w:t>
      </w:r>
      <w:r>
        <w:rPr>
          <w:rFonts w:cs="Arial"/>
          <w:szCs w:val="22"/>
          <w:lang w:val="en-US"/>
        </w:rPr>
        <w:t xml:space="preserve">for the outcome of clinical response at the PTE or Test of Cure visit only. This post-hoc analysis </w:t>
      </w:r>
      <w:r w:rsidRPr="00AF3642">
        <w:rPr>
          <w:rFonts w:cs="Arial"/>
          <w:szCs w:val="22"/>
          <w:lang w:val="en-US"/>
        </w:rPr>
        <w:t>included both the Corey 2010 study and the Talbot 2007 study. As a consequence it is now possible to estimate comparisons involving ceftaroline.</w:t>
      </w:r>
    </w:p>
    <w:p w14:paraId="1944888A" w14:textId="77777777" w:rsidR="0049441E" w:rsidRPr="00AF3642" w:rsidRDefault="0049441E" w:rsidP="0049441E">
      <w:pPr>
        <w:pStyle w:val="ReportText"/>
        <w:spacing w:line="240" w:lineRule="auto"/>
        <w:rPr>
          <w:rFonts w:cs="Arial"/>
          <w:b/>
          <w:color w:val="FF0000"/>
          <w:szCs w:val="22"/>
        </w:rPr>
      </w:pPr>
    </w:p>
    <w:p w14:paraId="7536D9CA" w14:textId="77777777" w:rsidR="0049441E" w:rsidRPr="0054384C" w:rsidRDefault="0049441E" w:rsidP="0049441E">
      <w:pPr>
        <w:pStyle w:val="Heading2"/>
        <w:rPr>
          <w:rFonts w:cs="Arial"/>
          <w:i/>
          <w:sz w:val="22"/>
          <w:szCs w:val="22"/>
        </w:rPr>
      </w:pPr>
      <w:bookmarkStart w:id="406" w:name="_Toc405365482"/>
      <w:r w:rsidRPr="0054384C">
        <w:rPr>
          <w:rFonts w:cs="Arial"/>
          <w:i/>
          <w:sz w:val="22"/>
          <w:szCs w:val="22"/>
        </w:rPr>
        <w:t>Heterogeneity and Inconsistency</w:t>
      </w:r>
      <w:bookmarkEnd w:id="406"/>
    </w:p>
    <w:p w14:paraId="544E1B69" w14:textId="77777777" w:rsidR="0049441E" w:rsidRPr="00AF3642" w:rsidRDefault="0049441E" w:rsidP="0049441E">
      <w:pPr>
        <w:pStyle w:val="ReportText"/>
        <w:spacing w:line="240" w:lineRule="auto"/>
        <w:jc w:val="left"/>
        <w:rPr>
          <w:rFonts w:cs="Arial"/>
          <w:szCs w:val="22"/>
        </w:rPr>
      </w:pPr>
    </w:p>
    <w:p w14:paraId="537E5CE4" w14:textId="77777777" w:rsidR="0049441E" w:rsidRPr="00AF3642" w:rsidRDefault="0049441E" w:rsidP="0049441E">
      <w:pPr>
        <w:pStyle w:val="ReportText"/>
        <w:spacing w:line="240" w:lineRule="auto"/>
        <w:jc w:val="left"/>
        <w:rPr>
          <w:rFonts w:cs="Arial"/>
          <w:szCs w:val="22"/>
        </w:rPr>
      </w:pPr>
      <w:r w:rsidRPr="00AF3642">
        <w:rPr>
          <w:rFonts w:cs="Arial"/>
          <w:szCs w:val="22"/>
        </w:rPr>
        <w:t>With the inclusion of the Corey 2010 and Talbot 2007 trials</w:t>
      </w:r>
      <w:r>
        <w:rPr>
          <w:rFonts w:cs="Arial"/>
          <w:szCs w:val="22"/>
        </w:rPr>
        <w:t>, the ceftaroline vs. v</w:t>
      </w:r>
      <w:r w:rsidRPr="00AF3642">
        <w:rPr>
          <w:rFonts w:cs="Arial"/>
          <w:szCs w:val="22"/>
        </w:rPr>
        <w:t xml:space="preserve">ancomycin comparison was now informed by more than one trial for this outcome.  </w:t>
      </w:r>
      <w:r w:rsidRPr="00AF3642">
        <w:rPr>
          <w:rFonts w:cs="Arial"/>
          <w:szCs w:val="22"/>
          <w:lang w:val="en-US"/>
        </w:rPr>
        <w:t>An ordinary meta-analysis was performed for this comparison.  A forest plot for this comparison is presented in</w:t>
      </w:r>
      <w:r>
        <w:rPr>
          <w:rFonts w:cs="Arial"/>
          <w:szCs w:val="22"/>
          <w:lang w:val="en-US"/>
        </w:rPr>
        <w:t xml:space="preserve"> </w:t>
      </w:r>
      <w:r>
        <w:rPr>
          <w:rFonts w:cs="Arial"/>
          <w:szCs w:val="22"/>
        </w:rPr>
        <w:fldChar w:fldCharType="begin"/>
      </w:r>
      <w:r>
        <w:rPr>
          <w:rFonts w:cs="Arial"/>
          <w:szCs w:val="22"/>
        </w:rPr>
        <w:instrText xml:space="preserve"> REF _Ref282267651 \h </w:instrText>
      </w:r>
      <w:r>
        <w:rPr>
          <w:rFonts w:cs="Arial"/>
          <w:szCs w:val="22"/>
        </w:rPr>
      </w:r>
      <w:r>
        <w:rPr>
          <w:rFonts w:cs="Arial"/>
          <w:szCs w:val="22"/>
        </w:rPr>
        <w:fldChar w:fldCharType="separate"/>
      </w:r>
      <w:r w:rsidR="00151A1C" w:rsidRPr="00490C1C">
        <w:rPr>
          <w:rFonts w:cs="Arial"/>
          <w:szCs w:val="22"/>
        </w:rPr>
        <w:t xml:space="preserve">Figure </w:t>
      </w:r>
      <w:r w:rsidR="00151A1C">
        <w:rPr>
          <w:rFonts w:cs="Arial"/>
          <w:noProof/>
          <w:szCs w:val="22"/>
        </w:rPr>
        <w:t>22</w:t>
      </w:r>
      <w:r>
        <w:rPr>
          <w:rFonts w:cs="Arial"/>
          <w:szCs w:val="22"/>
        </w:rPr>
        <w:fldChar w:fldCharType="end"/>
      </w:r>
      <w:r w:rsidRPr="00AF3642">
        <w:rPr>
          <w:rFonts w:cs="Arial"/>
          <w:szCs w:val="22"/>
        </w:rPr>
        <w:t>. In this case, the I-squared statistic is zero suggesting that heterogeneity between the studies is not important.  In addition, tau-squared is also zero and the Q statistic p-values does not suggest significance.</w:t>
      </w:r>
    </w:p>
    <w:p w14:paraId="31BE7730" w14:textId="77777777" w:rsidR="0049441E" w:rsidRPr="00490C1C" w:rsidRDefault="0049441E" w:rsidP="0049441E">
      <w:pPr>
        <w:pStyle w:val="Caption"/>
        <w:jc w:val="left"/>
        <w:rPr>
          <w:rFonts w:ascii="Arial" w:hAnsi="Arial" w:cs="Arial"/>
          <w:sz w:val="22"/>
          <w:szCs w:val="22"/>
        </w:rPr>
      </w:pPr>
      <w:bookmarkStart w:id="407" w:name="_Ref282267651"/>
      <w:r w:rsidRPr="00490C1C">
        <w:rPr>
          <w:rFonts w:ascii="Arial" w:hAnsi="Arial" w:cs="Arial"/>
          <w:sz w:val="22"/>
          <w:szCs w:val="22"/>
        </w:rPr>
        <w:lastRenderedPageBreak/>
        <w:t xml:space="preserve">Figure </w:t>
      </w:r>
      <w:r w:rsidRPr="00490C1C">
        <w:rPr>
          <w:rFonts w:ascii="Arial" w:hAnsi="Arial" w:cs="Arial"/>
          <w:sz w:val="22"/>
          <w:szCs w:val="22"/>
        </w:rPr>
        <w:fldChar w:fldCharType="begin"/>
      </w:r>
      <w:r w:rsidRPr="00490C1C">
        <w:rPr>
          <w:rFonts w:ascii="Arial" w:hAnsi="Arial" w:cs="Arial"/>
          <w:sz w:val="22"/>
          <w:szCs w:val="22"/>
        </w:rPr>
        <w:instrText xml:space="preserve"> SEQ Figure \* ARABIC </w:instrText>
      </w:r>
      <w:r w:rsidRPr="00490C1C">
        <w:rPr>
          <w:rFonts w:ascii="Arial" w:hAnsi="Arial" w:cs="Arial"/>
          <w:sz w:val="22"/>
          <w:szCs w:val="22"/>
        </w:rPr>
        <w:fldChar w:fldCharType="separate"/>
      </w:r>
      <w:r w:rsidR="00151A1C">
        <w:rPr>
          <w:rFonts w:ascii="Arial" w:hAnsi="Arial" w:cs="Arial"/>
          <w:noProof/>
          <w:sz w:val="22"/>
          <w:szCs w:val="22"/>
        </w:rPr>
        <w:t>22</w:t>
      </w:r>
      <w:r w:rsidRPr="00490C1C">
        <w:rPr>
          <w:rFonts w:ascii="Arial" w:hAnsi="Arial" w:cs="Arial"/>
          <w:sz w:val="22"/>
          <w:szCs w:val="22"/>
        </w:rPr>
        <w:fldChar w:fldCharType="end"/>
      </w:r>
      <w:bookmarkEnd w:id="407"/>
      <w:r w:rsidRPr="00490C1C">
        <w:rPr>
          <w:rFonts w:ascii="Arial" w:hAnsi="Arial" w:cs="Arial"/>
          <w:sz w:val="22"/>
          <w:szCs w:val="22"/>
        </w:rPr>
        <w:t xml:space="preserve">: </w:t>
      </w:r>
      <w:r w:rsidRPr="00490C1C">
        <w:rPr>
          <w:rStyle w:val="TableTitle"/>
          <w:rFonts w:ascii="Arial" w:hAnsi="Arial" w:cs="Arial"/>
          <w:b/>
          <w:szCs w:val="22"/>
        </w:rPr>
        <w:t xml:space="preserve">Clinical response at the post treatment evaluation or test of cure: MRSA only </w:t>
      </w:r>
      <w:r w:rsidRPr="00490C1C">
        <w:rPr>
          <w:rFonts w:ascii="Arial" w:hAnsi="Arial" w:cs="Arial"/>
          <w:sz w:val="22"/>
          <w:szCs w:val="22"/>
        </w:rPr>
        <w:t>population</w:t>
      </w:r>
      <w:r w:rsidRPr="00490C1C">
        <w:rPr>
          <w:rStyle w:val="TableTitle"/>
          <w:rFonts w:ascii="Arial" w:hAnsi="Arial" w:cs="Arial"/>
          <w:szCs w:val="22"/>
        </w:rPr>
        <w:t>.</w:t>
      </w:r>
      <w:r w:rsidRPr="00490C1C">
        <w:rPr>
          <w:rStyle w:val="TableTitle"/>
          <w:rFonts w:ascii="Arial" w:hAnsi="Arial" w:cs="Arial"/>
          <w:b/>
          <w:szCs w:val="22"/>
        </w:rPr>
        <w:t xml:space="preserve">  Pairwise meta-analysis of ceftaroline vs. vancomycin</w:t>
      </w:r>
    </w:p>
    <w:p w14:paraId="72EF368A" w14:textId="77777777" w:rsidR="0049441E" w:rsidRPr="00AF3642" w:rsidRDefault="0049441E" w:rsidP="0049441E">
      <w:pPr>
        <w:pStyle w:val="ReportText"/>
        <w:spacing w:line="240" w:lineRule="auto"/>
        <w:jc w:val="left"/>
        <w:rPr>
          <w:rFonts w:cs="Arial"/>
          <w:szCs w:val="22"/>
        </w:rPr>
      </w:pPr>
      <w:r w:rsidRPr="00AF3642">
        <w:rPr>
          <w:rFonts w:cs="Arial"/>
          <w:noProof/>
          <w:szCs w:val="22"/>
          <w:lang w:eastAsia="en-GB"/>
        </w:rPr>
        <w:drawing>
          <wp:inline distT="0" distB="0" distL="0" distR="0" wp14:anchorId="32635940" wp14:editId="2863AD97">
            <wp:extent cx="6165720" cy="200152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65720" cy="2001520"/>
                    </a:xfrm>
                    <a:prstGeom prst="rect">
                      <a:avLst/>
                    </a:prstGeom>
                  </pic:spPr>
                </pic:pic>
              </a:graphicData>
            </a:graphic>
          </wp:inline>
        </w:drawing>
      </w:r>
    </w:p>
    <w:p w14:paraId="5E0C3E9F" w14:textId="77777777" w:rsidR="0049441E" w:rsidRPr="00AF3642" w:rsidRDefault="0049441E" w:rsidP="0049441E">
      <w:pPr>
        <w:pStyle w:val="ReportText"/>
        <w:spacing w:line="240" w:lineRule="auto"/>
        <w:jc w:val="left"/>
        <w:rPr>
          <w:rFonts w:cs="Arial"/>
          <w:szCs w:val="22"/>
        </w:rPr>
      </w:pPr>
    </w:p>
    <w:p w14:paraId="16CB4895" w14:textId="77777777" w:rsidR="0049441E" w:rsidRPr="0054384C" w:rsidRDefault="0049441E" w:rsidP="0049441E">
      <w:pPr>
        <w:pStyle w:val="Heading2"/>
        <w:rPr>
          <w:rFonts w:cs="Arial"/>
          <w:i/>
          <w:sz w:val="22"/>
          <w:szCs w:val="22"/>
        </w:rPr>
      </w:pPr>
      <w:bookmarkStart w:id="408" w:name="_Toc405365483"/>
      <w:r w:rsidRPr="0054384C">
        <w:rPr>
          <w:rFonts w:cs="Arial"/>
          <w:i/>
          <w:sz w:val="22"/>
          <w:szCs w:val="22"/>
        </w:rPr>
        <w:t>Fixed effect model</w:t>
      </w:r>
      <w:bookmarkEnd w:id="408"/>
    </w:p>
    <w:p w14:paraId="0FAC4869" w14:textId="77777777" w:rsidR="0049441E" w:rsidRPr="00AF3642" w:rsidRDefault="0049441E" w:rsidP="0049441E">
      <w:pPr>
        <w:rPr>
          <w:rFonts w:cs="Arial"/>
          <w:sz w:val="22"/>
          <w:szCs w:val="22"/>
        </w:rPr>
      </w:pPr>
    </w:p>
    <w:p w14:paraId="5F62942C" w14:textId="197929BF" w:rsidR="0049441E" w:rsidRPr="00AF3642" w:rsidRDefault="0049441E" w:rsidP="0049441E">
      <w:pPr>
        <w:pStyle w:val="ReportText"/>
        <w:spacing w:line="240" w:lineRule="auto"/>
        <w:jc w:val="left"/>
        <w:rPr>
          <w:rFonts w:cs="Arial"/>
          <w:szCs w:val="22"/>
        </w:rPr>
      </w:pPr>
      <w:r w:rsidRPr="00AF3642">
        <w:rPr>
          <w:rFonts w:cs="Arial"/>
          <w:szCs w:val="22"/>
        </w:rPr>
        <w:t xml:space="preserve">The forest plots for the NMA results are presented as tedizolid versus all other treatments.  The results for the fixed effect model are shown in </w:t>
      </w:r>
      <w:r>
        <w:rPr>
          <w:rFonts w:cs="Arial"/>
          <w:szCs w:val="22"/>
        </w:rPr>
        <w:fldChar w:fldCharType="begin"/>
      </w:r>
      <w:r>
        <w:rPr>
          <w:rFonts w:cs="Arial"/>
          <w:szCs w:val="22"/>
        </w:rPr>
        <w:instrText xml:space="preserve"> REF _Ref282267700 \h </w:instrText>
      </w:r>
      <w:r>
        <w:rPr>
          <w:rFonts w:cs="Arial"/>
          <w:szCs w:val="22"/>
        </w:rPr>
      </w:r>
      <w:r>
        <w:rPr>
          <w:rFonts w:cs="Arial"/>
          <w:szCs w:val="22"/>
        </w:rPr>
        <w:fldChar w:fldCharType="separate"/>
      </w:r>
      <w:r w:rsidR="00151A1C" w:rsidRPr="00321F7B">
        <w:rPr>
          <w:rFonts w:cs="Arial"/>
          <w:szCs w:val="22"/>
        </w:rPr>
        <w:t xml:space="preserve">Figure </w:t>
      </w:r>
      <w:r w:rsidR="00151A1C">
        <w:rPr>
          <w:rFonts w:cs="Arial"/>
          <w:noProof/>
          <w:szCs w:val="22"/>
        </w:rPr>
        <w:t>23</w:t>
      </w:r>
      <w:r>
        <w:rPr>
          <w:rFonts w:cs="Arial"/>
          <w:szCs w:val="22"/>
        </w:rPr>
        <w:fldChar w:fldCharType="end"/>
      </w:r>
      <w:r w:rsidR="00E554F6">
        <w:rPr>
          <w:rFonts w:cs="Arial"/>
          <w:szCs w:val="22"/>
        </w:rPr>
        <w:t>.</w:t>
      </w:r>
    </w:p>
    <w:p w14:paraId="6A183C77" w14:textId="77777777" w:rsidR="0049441E" w:rsidRPr="00A143C3" w:rsidRDefault="0049441E" w:rsidP="0049441E">
      <w:pPr>
        <w:pStyle w:val="Caption"/>
        <w:rPr>
          <w:rFonts w:ascii="Arial" w:hAnsi="Arial" w:cs="Arial"/>
          <w:sz w:val="22"/>
          <w:szCs w:val="22"/>
        </w:rPr>
      </w:pPr>
      <w:bookmarkStart w:id="409" w:name="_Ref282267700"/>
      <w:r w:rsidRPr="00321F7B">
        <w:rPr>
          <w:rFonts w:ascii="Arial" w:hAnsi="Arial" w:cs="Arial"/>
          <w:sz w:val="22"/>
          <w:szCs w:val="22"/>
        </w:rPr>
        <w:lastRenderedPageBreak/>
        <w:t xml:space="preserve">Figure </w:t>
      </w:r>
      <w:r w:rsidRPr="00321F7B">
        <w:rPr>
          <w:rFonts w:ascii="Arial" w:hAnsi="Arial" w:cs="Arial"/>
          <w:sz w:val="22"/>
          <w:szCs w:val="22"/>
        </w:rPr>
        <w:fldChar w:fldCharType="begin"/>
      </w:r>
      <w:r w:rsidRPr="00321F7B">
        <w:rPr>
          <w:rFonts w:ascii="Arial" w:hAnsi="Arial" w:cs="Arial"/>
          <w:sz w:val="22"/>
          <w:szCs w:val="22"/>
        </w:rPr>
        <w:instrText xml:space="preserve"> SEQ Figure \* ARABIC </w:instrText>
      </w:r>
      <w:r w:rsidRPr="00321F7B">
        <w:rPr>
          <w:rFonts w:ascii="Arial" w:hAnsi="Arial" w:cs="Arial"/>
          <w:sz w:val="22"/>
          <w:szCs w:val="22"/>
        </w:rPr>
        <w:fldChar w:fldCharType="separate"/>
      </w:r>
      <w:r w:rsidR="00151A1C">
        <w:rPr>
          <w:rFonts w:ascii="Arial" w:hAnsi="Arial" w:cs="Arial"/>
          <w:noProof/>
          <w:sz w:val="22"/>
          <w:szCs w:val="22"/>
        </w:rPr>
        <w:t>23</w:t>
      </w:r>
      <w:r w:rsidRPr="00321F7B">
        <w:rPr>
          <w:rFonts w:ascii="Arial" w:hAnsi="Arial" w:cs="Arial"/>
          <w:sz w:val="22"/>
          <w:szCs w:val="22"/>
        </w:rPr>
        <w:fldChar w:fldCharType="end"/>
      </w:r>
      <w:bookmarkEnd w:id="409"/>
      <w:r w:rsidRPr="00321F7B">
        <w:rPr>
          <w:rFonts w:ascii="Arial" w:hAnsi="Arial" w:cs="Arial"/>
          <w:sz w:val="22"/>
          <w:szCs w:val="22"/>
        </w:rPr>
        <w:t>:</w:t>
      </w:r>
      <w:r>
        <w:t xml:space="preserve"> </w:t>
      </w:r>
      <w:r w:rsidRPr="00A143C3">
        <w:rPr>
          <w:rFonts w:ascii="Arial" w:hAnsi="Arial" w:cs="Arial"/>
          <w:sz w:val="22"/>
          <w:szCs w:val="22"/>
        </w:rPr>
        <w:t>Post-hoc analysis: Clinical response at the post treatment evaluation or test of cure: MRSA only population.  Odds ratios (fixed effect model)</w:t>
      </w:r>
    </w:p>
    <w:p w14:paraId="3ED48B54" w14:textId="77777777" w:rsidR="0049441E" w:rsidRPr="00A143C3" w:rsidRDefault="0049441E" w:rsidP="0049441E">
      <w:pPr>
        <w:rPr>
          <w:rFonts w:cs="Arial"/>
          <w:sz w:val="22"/>
          <w:szCs w:val="22"/>
        </w:rPr>
      </w:pPr>
      <w:r w:rsidRPr="00A143C3">
        <w:rPr>
          <w:rFonts w:cs="Arial"/>
          <w:noProof/>
          <w:sz w:val="22"/>
          <w:szCs w:val="22"/>
          <w:lang w:eastAsia="en-GB"/>
        </w:rPr>
        <w:drawing>
          <wp:inline distT="0" distB="0" distL="0" distR="0" wp14:anchorId="13073C52" wp14:editId="17A1CDB0">
            <wp:extent cx="5448300" cy="3571053"/>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8300" cy="3571053"/>
                    </a:xfrm>
                    <a:prstGeom prst="rect">
                      <a:avLst/>
                    </a:prstGeom>
                  </pic:spPr>
                </pic:pic>
              </a:graphicData>
            </a:graphic>
          </wp:inline>
        </w:drawing>
      </w:r>
    </w:p>
    <w:p w14:paraId="7AF1F725" w14:textId="77777777" w:rsidR="0049441E" w:rsidRPr="00A143C3" w:rsidRDefault="0049441E" w:rsidP="0049441E">
      <w:pPr>
        <w:pStyle w:val="ReportText"/>
        <w:spacing w:line="240" w:lineRule="auto"/>
        <w:jc w:val="left"/>
        <w:rPr>
          <w:rFonts w:cs="Arial"/>
          <w:szCs w:val="22"/>
        </w:rPr>
      </w:pPr>
      <w:r w:rsidRPr="00A143C3">
        <w:rPr>
          <w:rFonts w:cs="Arial"/>
          <w:szCs w:val="22"/>
        </w:rPr>
        <w:t xml:space="preserve">All CrI in </w:t>
      </w:r>
      <w:r>
        <w:rPr>
          <w:rFonts w:cs="Arial"/>
          <w:szCs w:val="22"/>
        </w:rPr>
        <w:fldChar w:fldCharType="begin"/>
      </w:r>
      <w:r>
        <w:rPr>
          <w:rFonts w:cs="Arial"/>
          <w:szCs w:val="22"/>
        </w:rPr>
        <w:instrText xml:space="preserve"> REF _Ref282267700 \h </w:instrText>
      </w:r>
      <w:r>
        <w:rPr>
          <w:rFonts w:cs="Arial"/>
          <w:szCs w:val="22"/>
        </w:rPr>
      </w:r>
      <w:r>
        <w:rPr>
          <w:rFonts w:cs="Arial"/>
          <w:szCs w:val="22"/>
        </w:rPr>
        <w:fldChar w:fldCharType="separate"/>
      </w:r>
      <w:r w:rsidR="00151A1C" w:rsidRPr="00321F7B">
        <w:rPr>
          <w:rFonts w:cs="Arial"/>
          <w:szCs w:val="22"/>
        </w:rPr>
        <w:t xml:space="preserve">Figure </w:t>
      </w:r>
      <w:r w:rsidR="00151A1C">
        <w:rPr>
          <w:rFonts w:cs="Arial"/>
          <w:noProof/>
          <w:szCs w:val="22"/>
        </w:rPr>
        <w:t>23</w:t>
      </w:r>
      <w:r>
        <w:rPr>
          <w:rFonts w:cs="Arial"/>
          <w:szCs w:val="22"/>
        </w:rPr>
        <w:fldChar w:fldCharType="end"/>
      </w:r>
      <w:r>
        <w:rPr>
          <w:rFonts w:cs="Arial"/>
          <w:szCs w:val="22"/>
        </w:rPr>
        <w:t xml:space="preserve"> </w:t>
      </w:r>
      <w:r w:rsidRPr="00A143C3">
        <w:rPr>
          <w:rFonts w:cs="Arial"/>
          <w:szCs w:val="22"/>
        </w:rPr>
        <w:t>include 1</w:t>
      </w:r>
      <w:r>
        <w:rPr>
          <w:rFonts w:cs="Arial"/>
          <w:szCs w:val="22"/>
        </w:rPr>
        <w:t>,</w:t>
      </w:r>
      <w:r w:rsidRPr="00A143C3">
        <w:rPr>
          <w:rFonts w:cs="Arial"/>
          <w:szCs w:val="22"/>
        </w:rPr>
        <w:t xml:space="preserve"> which suggests that tedizolid is no different from the other treatments for post clinical evaluation or test of cure when looking at the MRSA only population. The same conclusions were arrived at when using the random effects model (see </w:t>
      </w:r>
      <w:r>
        <w:rPr>
          <w:rFonts w:cs="Arial"/>
          <w:szCs w:val="22"/>
        </w:rPr>
        <w:t>below</w:t>
      </w:r>
      <w:r w:rsidRPr="00A143C3">
        <w:rPr>
          <w:rFonts w:cs="Arial"/>
          <w:szCs w:val="22"/>
        </w:rPr>
        <w:t xml:space="preserve">).  </w:t>
      </w:r>
    </w:p>
    <w:p w14:paraId="2FA33A48" w14:textId="77777777" w:rsidR="0049441E" w:rsidRPr="00A143C3" w:rsidRDefault="0049441E" w:rsidP="0049441E">
      <w:pPr>
        <w:pStyle w:val="ReportText"/>
        <w:spacing w:line="240" w:lineRule="auto"/>
        <w:jc w:val="left"/>
        <w:rPr>
          <w:rFonts w:cs="Arial"/>
          <w:szCs w:val="22"/>
        </w:rPr>
      </w:pPr>
    </w:p>
    <w:p w14:paraId="23FFAF1B" w14:textId="77777777" w:rsidR="0049441E" w:rsidRPr="00A143C3" w:rsidRDefault="0049441E" w:rsidP="0049441E">
      <w:pPr>
        <w:pStyle w:val="ReportText"/>
        <w:spacing w:line="240" w:lineRule="auto"/>
        <w:jc w:val="left"/>
        <w:rPr>
          <w:rFonts w:cs="Arial"/>
          <w:szCs w:val="22"/>
        </w:rPr>
      </w:pPr>
      <w:r w:rsidRPr="00A143C3">
        <w:rPr>
          <w:rFonts w:cs="Arial"/>
          <w:szCs w:val="22"/>
        </w:rPr>
        <w:t xml:space="preserve">A matrix table including point estimates of the odds ratios accompanied by 95% CrI for all available treatment comparisons is shown in </w:t>
      </w:r>
      <w:r>
        <w:rPr>
          <w:rFonts w:cs="Arial"/>
          <w:szCs w:val="22"/>
        </w:rPr>
        <w:fldChar w:fldCharType="begin"/>
      </w:r>
      <w:r>
        <w:rPr>
          <w:rFonts w:cs="Arial"/>
          <w:szCs w:val="22"/>
        </w:rPr>
        <w:instrText xml:space="preserve"> REF _Ref282267876 \h </w:instrText>
      </w:r>
      <w:r>
        <w:rPr>
          <w:rFonts w:cs="Arial"/>
          <w:szCs w:val="22"/>
        </w:rPr>
      </w:r>
      <w:r>
        <w:rPr>
          <w:rFonts w:cs="Arial"/>
          <w:szCs w:val="22"/>
        </w:rPr>
        <w:fldChar w:fldCharType="separate"/>
      </w:r>
      <w:r w:rsidR="00151A1C" w:rsidRPr="00321F7B">
        <w:rPr>
          <w:rFonts w:cs="Arial"/>
          <w:szCs w:val="22"/>
        </w:rPr>
        <w:t xml:space="preserve">Table </w:t>
      </w:r>
      <w:r w:rsidR="00151A1C">
        <w:rPr>
          <w:rFonts w:cs="Arial"/>
          <w:noProof/>
          <w:szCs w:val="22"/>
        </w:rPr>
        <w:t>87</w:t>
      </w:r>
      <w:r>
        <w:rPr>
          <w:rFonts w:cs="Arial"/>
          <w:szCs w:val="22"/>
        </w:rPr>
        <w:fldChar w:fldCharType="end"/>
      </w:r>
      <w:r>
        <w:rPr>
          <w:rFonts w:cs="Arial"/>
          <w:szCs w:val="22"/>
        </w:rPr>
        <w:t xml:space="preserve"> f</w:t>
      </w:r>
      <w:r w:rsidRPr="00A143C3">
        <w:rPr>
          <w:rFonts w:cs="Arial"/>
          <w:szCs w:val="22"/>
        </w:rPr>
        <w:t>or the fixed effect model.</w:t>
      </w:r>
    </w:p>
    <w:p w14:paraId="22ED5535" w14:textId="77777777" w:rsidR="0049441E" w:rsidRPr="00A143C3" w:rsidRDefault="0049441E" w:rsidP="0049441E">
      <w:pPr>
        <w:pStyle w:val="ReportText"/>
        <w:spacing w:line="240" w:lineRule="auto"/>
        <w:jc w:val="left"/>
        <w:rPr>
          <w:rFonts w:cs="Arial"/>
          <w:szCs w:val="22"/>
        </w:rPr>
      </w:pPr>
    </w:p>
    <w:p w14:paraId="05EAA727" w14:textId="77777777" w:rsidR="0049441E" w:rsidRPr="00A143C3" w:rsidRDefault="0049441E" w:rsidP="0049441E">
      <w:pPr>
        <w:pStyle w:val="ReportText"/>
        <w:spacing w:line="240" w:lineRule="auto"/>
        <w:jc w:val="left"/>
        <w:rPr>
          <w:rFonts w:cs="Arial"/>
          <w:szCs w:val="22"/>
        </w:rPr>
      </w:pPr>
      <w:r w:rsidRPr="00A143C3">
        <w:rPr>
          <w:rFonts w:cs="Arial"/>
          <w:szCs w:val="22"/>
        </w:rPr>
        <w:t xml:space="preserve">The linezolid versus vancomycin comparison had a CrI that did not include one.  In this case the odds of a clinical response at the end of treatment were higher for linezolid than </w:t>
      </w:r>
      <w:r w:rsidRPr="00A143C3">
        <w:rPr>
          <w:rFonts w:cs="Arial"/>
          <w:szCs w:val="22"/>
        </w:rPr>
        <w:lastRenderedPageBreak/>
        <w:t>vancomycin, suggesting the superiority of the first treatment.  This was not the case when random effects were used.</w:t>
      </w:r>
    </w:p>
    <w:p w14:paraId="161B2EEE" w14:textId="77777777" w:rsidR="0049441E" w:rsidRPr="00A143C3" w:rsidRDefault="0049441E" w:rsidP="0049441E">
      <w:pPr>
        <w:pStyle w:val="ReportText"/>
        <w:spacing w:line="240" w:lineRule="auto"/>
        <w:jc w:val="left"/>
        <w:rPr>
          <w:rFonts w:cs="Arial"/>
          <w:szCs w:val="22"/>
        </w:rPr>
      </w:pPr>
    </w:p>
    <w:p w14:paraId="2BE416EF" w14:textId="77777777" w:rsidR="0049441E" w:rsidRPr="00A143C3" w:rsidRDefault="0049441E" w:rsidP="0049441E">
      <w:pPr>
        <w:pStyle w:val="ReportText"/>
        <w:spacing w:line="240" w:lineRule="auto"/>
        <w:jc w:val="left"/>
        <w:rPr>
          <w:rFonts w:cs="Arial"/>
          <w:szCs w:val="22"/>
        </w:rPr>
        <w:sectPr w:rsidR="0049441E" w:rsidRPr="00A143C3" w:rsidSect="00917DF6">
          <w:footerReference w:type="default" r:id="rId58"/>
          <w:footerReference w:type="first" r:id="rId59"/>
          <w:pgSz w:w="11909" w:h="16834" w:code="9"/>
          <w:pgMar w:top="1440" w:right="1440" w:bottom="1440" w:left="1440" w:header="720" w:footer="221" w:gutter="0"/>
          <w:cols w:space="720"/>
          <w:titlePg/>
          <w:docGrid w:linePitch="326"/>
        </w:sectPr>
      </w:pPr>
    </w:p>
    <w:p w14:paraId="6850AAAF" w14:textId="77777777" w:rsidR="0049441E" w:rsidRPr="00321F7B" w:rsidRDefault="0049441E" w:rsidP="0049441E">
      <w:pPr>
        <w:pStyle w:val="Caption"/>
        <w:rPr>
          <w:rFonts w:ascii="Arial" w:hAnsi="Arial" w:cs="Arial"/>
          <w:sz w:val="22"/>
          <w:szCs w:val="22"/>
        </w:rPr>
      </w:pPr>
      <w:bookmarkStart w:id="410" w:name="_Ref282267876"/>
      <w:r w:rsidRPr="00321F7B">
        <w:rPr>
          <w:rFonts w:ascii="Arial" w:hAnsi="Arial" w:cs="Arial"/>
          <w:sz w:val="22"/>
          <w:szCs w:val="22"/>
        </w:rPr>
        <w:lastRenderedPageBreak/>
        <w:t xml:space="preserve">Table </w:t>
      </w:r>
      <w:r w:rsidRPr="00321F7B">
        <w:rPr>
          <w:rFonts w:ascii="Arial" w:hAnsi="Arial" w:cs="Arial"/>
          <w:sz w:val="22"/>
          <w:szCs w:val="22"/>
        </w:rPr>
        <w:fldChar w:fldCharType="begin"/>
      </w:r>
      <w:r w:rsidRPr="00321F7B">
        <w:rPr>
          <w:rFonts w:ascii="Arial" w:hAnsi="Arial" w:cs="Arial"/>
          <w:sz w:val="22"/>
          <w:szCs w:val="22"/>
        </w:rPr>
        <w:instrText xml:space="preserve"> SEQ Table \* ARABIC </w:instrText>
      </w:r>
      <w:r w:rsidRPr="00321F7B">
        <w:rPr>
          <w:rFonts w:ascii="Arial" w:hAnsi="Arial" w:cs="Arial"/>
          <w:sz w:val="22"/>
          <w:szCs w:val="22"/>
        </w:rPr>
        <w:fldChar w:fldCharType="separate"/>
      </w:r>
      <w:r w:rsidR="00151A1C">
        <w:rPr>
          <w:rFonts w:ascii="Arial" w:hAnsi="Arial" w:cs="Arial"/>
          <w:noProof/>
          <w:sz w:val="22"/>
          <w:szCs w:val="22"/>
        </w:rPr>
        <w:t>87</w:t>
      </w:r>
      <w:r w:rsidRPr="00321F7B">
        <w:rPr>
          <w:rFonts w:ascii="Arial" w:hAnsi="Arial" w:cs="Arial"/>
          <w:sz w:val="22"/>
          <w:szCs w:val="22"/>
        </w:rPr>
        <w:fldChar w:fldCharType="end"/>
      </w:r>
      <w:bookmarkEnd w:id="410"/>
      <w:r w:rsidRPr="00321F7B">
        <w:rPr>
          <w:rFonts w:ascii="Arial" w:hAnsi="Arial" w:cs="Arial"/>
          <w:sz w:val="22"/>
          <w:szCs w:val="22"/>
        </w:rPr>
        <w:t>: Post-hoc analysis: Clinical response at the post treatment evaluation or test of cure: MRSA only population.  Odds ratios and 95% CrI (fixed effect model)</w:t>
      </w:r>
    </w:p>
    <w:tbl>
      <w:tblPr>
        <w:tblW w:w="5000" w:type="pct"/>
        <w:tblLook w:val="04A0" w:firstRow="1" w:lastRow="0" w:firstColumn="1" w:lastColumn="0" w:noHBand="0" w:noVBand="1"/>
      </w:tblPr>
      <w:tblGrid>
        <w:gridCol w:w="1671"/>
        <w:gridCol w:w="1702"/>
        <w:gridCol w:w="1701"/>
        <w:gridCol w:w="1843"/>
        <w:gridCol w:w="1701"/>
        <w:gridCol w:w="1701"/>
        <w:gridCol w:w="1843"/>
        <w:gridCol w:w="1782"/>
      </w:tblGrid>
      <w:tr w:rsidR="0049441E" w:rsidRPr="00A143C3" w14:paraId="62A51063" w14:textId="77777777" w:rsidTr="0049441E">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0EFEF"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Treatments</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13F1A767"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Tedizolid</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38AFCC65"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Ceftaroline</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4B411E73"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Daptomycin</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1C3A00DD"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Linezolid</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783FE504"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Telavancin</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4641B646"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Tigecycline</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1FA83F4"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Vancomycin</w:t>
            </w:r>
          </w:p>
        </w:tc>
      </w:tr>
      <w:tr w:rsidR="0049441E" w:rsidRPr="00A143C3" w14:paraId="40F60857"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7172A39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Tedizolid</w:t>
            </w:r>
          </w:p>
        </w:tc>
        <w:tc>
          <w:tcPr>
            <w:tcW w:w="610" w:type="pct"/>
            <w:tcBorders>
              <w:top w:val="nil"/>
              <w:left w:val="nil"/>
              <w:bottom w:val="single" w:sz="4" w:space="0" w:color="auto"/>
              <w:right w:val="single" w:sz="4" w:space="0" w:color="auto"/>
            </w:tcBorders>
            <w:shd w:val="clear" w:color="auto" w:fill="auto"/>
            <w:noWrap/>
            <w:vAlign w:val="center"/>
            <w:hideMark/>
          </w:tcPr>
          <w:p w14:paraId="55FBD5B0"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10" w:type="pct"/>
            <w:tcBorders>
              <w:top w:val="nil"/>
              <w:left w:val="nil"/>
              <w:bottom w:val="single" w:sz="4" w:space="0" w:color="auto"/>
              <w:right w:val="single" w:sz="4" w:space="0" w:color="auto"/>
            </w:tcBorders>
            <w:shd w:val="clear" w:color="auto" w:fill="auto"/>
            <w:noWrap/>
            <w:vAlign w:val="center"/>
            <w:hideMark/>
          </w:tcPr>
          <w:p w14:paraId="3941B35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1.2 [0.4, 3.6]</w:t>
            </w:r>
          </w:p>
        </w:tc>
        <w:tc>
          <w:tcPr>
            <w:tcW w:w="661" w:type="pct"/>
            <w:tcBorders>
              <w:top w:val="nil"/>
              <w:left w:val="nil"/>
              <w:bottom w:val="single" w:sz="4" w:space="0" w:color="auto"/>
              <w:right w:val="single" w:sz="4" w:space="0" w:color="auto"/>
            </w:tcBorders>
            <w:shd w:val="clear" w:color="auto" w:fill="auto"/>
            <w:noWrap/>
            <w:vAlign w:val="center"/>
            <w:hideMark/>
          </w:tcPr>
          <w:p w14:paraId="288A6B8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2.1 [0.4, 13.5]</w:t>
            </w:r>
          </w:p>
        </w:tc>
        <w:tc>
          <w:tcPr>
            <w:tcW w:w="610" w:type="pct"/>
            <w:tcBorders>
              <w:top w:val="nil"/>
              <w:left w:val="nil"/>
              <w:bottom w:val="single" w:sz="4" w:space="0" w:color="auto"/>
              <w:right w:val="single" w:sz="4" w:space="0" w:color="auto"/>
            </w:tcBorders>
            <w:shd w:val="clear" w:color="auto" w:fill="auto"/>
            <w:noWrap/>
            <w:vAlign w:val="center"/>
            <w:hideMark/>
          </w:tcPr>
          <w:p w14:paraId="614CAA4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1.0 [0.4, 2.3]</w:t>
            </w:r>
          </w:p>
        </w:tc>
        <w:tc>
          <w:tcPr>
            <w:tcW w:w="610" w:type="pct"/>
            <w:tcBorders>
              <w:top w:val="nil"/>
              <w:left w:val="nil"/>
              <w:bottom w:val="single" w:sz="4" w:space="0" w:color="auto"/>
              <w:right w:val="single" w:sz="4" w:space="0" w:color="auto"/>
            </w:tcBorders>
            <w:shd w:val="clear" w:color="auto" w:fill="auto"/>
            <w:noWrap/>
            <w:vAlign w:val="center"/>
            <w:hideMark/>
          </w:tcPr>
          <w:p w14:paraId="552C7BF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1.1 [0.4, 3.0]</w:t>
            </w:r>
          </w:p>
        </w:tc>
        <w:tc>
          <w:tcPr>
            <w:tcW w:w="661" w:type="pct"/>
            <w:tcBorders>
              <w:top w:val="nil"/>
              <w:left w:val="nil"/>
              <w:bottom w:val="single" w:sz="4" w:space="0" w:color="auto"/>
              <w:right w:val="single" w:sz="4" w:space="0" w:color="auto"/>
            </w:tcBorders>
            <w:shd w:val="clear" w:color="auto" w:fill="auto"/>
            <w:noWrap/>
            <w:vAlign w:val="center"/>
            <w:hideMark/>
          </w:tcPr>
          <w:p w14:paraId="269DAD3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3.2 [0.7, 20.0]</w:t>
            </w:r>
          </w:p>
        </w:tc>
        <w:tc>
          <w:tcPr>
            <w:tcW w:w="639" w:type="pct"/>
            <w:tcBorders>
              <w:top w:val="nil"/>
              <w:left w:val="nil"/>
              <w:bottom w:val="single" w:sz="4" w:space="0" w:color="auto"/>
              <w:right w:val="single" w:sz="4" w:space="0" w:color="auto"/>
            </w:tcBorders>
            <w:shd w:val="clear" w:color="auto" w:fill="auto"/>
            <w:noWrap/>
            <w:vAlign w:val="center"/>
            <w:hideMark/>
          </w:tcPr>
          <w:p w14:paraId="0A0A1C8D"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1.6 [0.7, 4.0]</w:t>
            </w:r>
          </w:p>
        </w:tc>
      </w:tr>
      <w:tr w:rsidR="0049441E" w:rsidRPr="00A143C3" w14:paraId="1774B656"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39AAD78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Ceftaroline</w:t>
            </w:r>
          </w:p>
        </w:tc>
        <w:tc>
          <w:tcPr>
            <w:tcW w:w="610" w:type="pct"/>
            <w:tcBorders>
              <w:top w:val="nil"/>
              <w:left w:val="nil"/>
              <w:bottom w:val="single" w:sz="4" w:space="0" w:color="auto"/>
              <w:right w:val="single" w:sz="4" w:space="0" w:color="auto"/>
            </w:tcBorders>
            <w:shd w:val="clear" w:color="auto" w:fill="auto"/>
            <w:noWrap/>
            <w:vAlign w:val="center"/>
            <w:hideMark/>
          </w:tcPr>
          <w:p w14:paraId="6A1A7143"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0.8 [0.3, 2.5]</w:t>
            </w:r>
          </w:p>
        </w:tc>
        <w:tc>
          <w:tcPr>
            <w:tcW w:w="610" w:type="pct"/>
            <w:tcBorders>
              <w:top w:val="nil"/>
              <w:left w:val="nil"/>
              <w:bottom w:val="single" w:sz="4" w:space="0" w:color="auto"/>
              <w:right w:val="single" w:sz="4" w:space="0" w:color="auto"/>
            </w:tcBorders>
            <w:shd w:val="clear" w:color="auto" w:fill="auto"/>
            <w:noWrap/>
            <w:vAlign w:val="center"/>
            <w:hideMark/>
          </w:tcPr>
          <w:p w14:paraId="13780BC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61" w:type="pct"/>
            <w:tcBorders>
              <w:top w:val="nil"/>
              <w:left w:val="nil"/>
              <w:bottom w:val="single" w:sz="4" w:space="0" w:color="auto"/>
              <w:right w:val="single" w:sz="4" w:space="0" w:color="auto"/>
            </w:tcBorders>
            <w:shd w:val="clear" w:color="auto" w:fill="auto"/>
            <w:noWrap/>
            <w:vAlign w:val="center"/>
            <w:hideMark/>
          </w:tcPr>
          <w:p w14:paraId="7F68B57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1.7 [0.4, 9.8]</w:t>
            </w:r>
          </w:p>
        </w:tc>
        <w:tc>
          <w:tcPr>
            <w:tcW w:w="610" w:type="pct"/>
            <w:tcBorders>
              <w:top w:val="nil"/>
              <w:left w:val="nil"/>
              <w:bottom w:val="single" w:sz="4" w:space="0" w:color="auto"/>
              <w:right w:val="single" w:sz="4" w:space="0" w:color="auto"/>
            </w:tcBorders>
            <w:shd w:val="clear" w:color="auto" w:fill="auto"/>
            <w:noWrap/>
            <w:vAlign w:val="center"/>
            <w:hideMark/>
          </w:tcPr>
          <w:p w14:paraId="6F06B72D"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0.8 [0.4, 1.6]</w:t>
            </w:r>
          </w:p>
        </w:tc>
        <w:tc>
          <w:tcPr>
            <w:tcW w:w="610" w:type="pct"/>
            <w:tcBorders>
              <w:top w:val="nil"/>
              <w:left w:val="nil"/>
              <w:bottom w:val="single" w:sz="4" w:space="0" w:color="auto"/>
              <w:right w:val="single" w:sz="4" w:space="0" w:color="auto"/>
            </w:tcBorders>
            <w:shd w:val="clear" w:color="auto" w:fill="auto"/>
            <w:noWrap/>
            <w:vAlign w:val="center"/>
            <w:hideMark/>
          </w:tcPr>
          <w:p w14:paraId="6FAE197A"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0.9 [0.4, 1.9]</w:t>
            </w:r>
          </w:p>
        </w:tc>
        <w:tc>
          <w:tcPr>
            <w:tcW w:w="661" w:type="pct"/>
            <w:tcBorders>
              <w:top w:val="nil"/>
              <w:left w:val="nil"/>
              <w:bottom w:val="single" w:sz="4" w:space="0" w:color="auto"/>
              <w:right w:val="single" w:sz="4" w:space="0" w:color="auto"/>
            </w:tcBorders>
            <w:shd w:val="clear" w:color="auto" w:fill="auto"/>
            <w:noWrap/>
            <w:vAlign w:val="center"/>
            <w:hideMark/>
          </w:tcPr>
          <w:p w14:paraId="05145F53"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2.7 [0.6, 14.5]</w:t>
            </w:r>
          </w:p>
        </w:tc>
        <w:tc>
          <w:tcPr>
            <w:tcW w:w="639" w:type="pct"/>
            <w:tcBorders>
              <w:top w:val="nil"/>
              <w:left w:val="nil"/>
              <w:bottom w:val="single" w:sz="4" w:space="0" w:color="auto"/>
              <w:right w:val="single" w:sz="4" w:space="0" w:color="auto"/>
            </w:tcBorders>
            <w:shd w:val="clear" w:color="auto" w:fill="auto"/>
            <w:noWrap/>
            <w:vAlign w:val="center"/>
            <w:hideMark/>
          </w:tcPr>
          <w:p w14:paraId="7999AC5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1.3 [0.7, 2.4]</w:t>
            </w:r>
          </w:p>
        </w:tc>
      </w:tr>
      <w:tr w:rsidR="0049441E" w:rsidRPr="00A143C3" w14:paraId="69D97E72"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7383AE1F"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Daptomycin</w:t>
            </w:r>
          </w:p>
        </w:tc>
        <w:tc>
          <w:tcPr>
            <w:tcW w:w="610" w:type="pct"/>
            <w:tcBorders>
              <w:top w:val="nil"/>
              <w:left w:val="nil"/>
              <w:bottom w:val="single" w:sz="4" w:space="0" w:color="auto"/>
              <w:right w:val="single" w:sz="4" w:space="0" w:color="auto"/>
            </w:tcBorders>
            <w:shd w:val="clear" w:color="auto" w:fill="auto"/>
            <w:noWrap/>
            <w:vAlign w:val="center"/>
            <w:hideMark/>
          </w:tcPr>
          <w:p w14:paraId="1DBBD3E6"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0.5 [0.1, 2.5]</w:t>
            </w:r>
          </w:p>
        </w:tc>
        <w:tc>
          <w:tcPr>
            <w:tcW w:w="610" w:type="pct"/>
            <w:tcBorders>
              <w:top w:val="nil"/>
              <w:left w:val="nil"/>
              <w:bottom w:val="single" w:sz="4" w:space="0" w:color="auto"/>
              <w:right w:val="single" w:sz="4" w:space="0" w:color="auto"/>
            </w:tcBorders>
            <w:shd w:val="clear" w:color="auto" w:fill="auto"/>
            <w:noWrap/>
            <w:vAlign w:val="center"/>
            <w:hideMark/>
          </w:tcPr>
          <w:p w14:paraId="49BCE31D"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0.6 [0.1, 2.6]</w:t>
            </w:r>
          </w:p>
        </w:tc>
        <w:tc>
          <w:tcPr>
            <w:tcW w:w="661" w:type="pct"/>
            <w:tcBorders>
              <w:top w:val="nil"/>
              <w:left w:val="nil"/>
              <w:bottom w:val="single" w:sz="4" w:space="0" w:color="auto"/>
              <w:right w:val="single" w:sz="4" w:space="0" w:color="auto"/>
            </w:tcBorders>
            <w:shd w:val="clear" w:color="auto" w:fill="auto"/>
            <w:noWrap/>
            <w:vAlign w:val="center"/>
            <w:hideMark/>
          </w:tcPr>
          <w:p w14:paraId="6E61B11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10" w:type="pct"/>
            <w:tcBorders>
              <w:top w:val="nil"/>
              <w:left w:val="nil"/>
              <w:bottom w:val="single" w:sz="4" w:space="0" w:color="auto"/>
              <w:right w:val="single" w:sz="4" w:space="0" w:color="auto"/>
            </w:tcBorders>
            <w:shd w:val="clear" w:color="auto" w:fill="auto"/>
            <w:noWrap/>
            <w:vAlign w:val="center"/>
            <w:hideMark/>
          </w:tcPr>
          <w:p w14:paraId="34D3AC3A"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0.5 [0.1, 1.9]</w:t>
            </w:r>
          </w:p>
        </w:tc>
        <w:tc>
          <w:tcPr>
            <w:tcW w:w="610" w:type="pct"/>
            <w:tcBorders>
              <w:top w:val="nil"/>
              <w:left w:val="nil"/>
              <w:bottom w:val="single" w:sz="4" w:space="0" w:color="auto"/>
              <w:right w:val="single" w:sz="4" w:space="0" w:color="auto"/>
            </w:tcBorders>
            <w:shd w:val="clear" w:color="auto" w:fill="auto"/>
            <w:noWrap/>
            <w:vAlign w:val="center"/>
            <w:hideMark/>
          </w:tcPr>
          <w:p w14:paraId="37830410"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0.5 [0.1, 2.2]</w:t>
            </w:r>
          </w:p>
        </w:tc>
        <w:tc>
          <w:tcPr>
            <w:tcW w:w="661" w:type="pct"/>
            <w:tcBorders>
              <w:top w:val="nil"/>
              <w:left w:val="nil"/>
              <w:bottom w:val="single" w:sz="4" w:space="0" w:color="auto"/>
              <w:right w:val="single" w:sz="4" w:space="0" w:color="auto"/>
            </w:tcBorders>
            <w:shd w:val="clear" w:color="auto" w:fill="auto"/>
            <w:noWrap/>
            <w:vAlign w:val="center"/>
            <w:hideMark/>
          </w:tcPr>
          <w:p w14:paraId="383FAF3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1.6 [0.2, 12.7]</w:t>
            </w:r>
          </w:p>
        </w:tc>
        <w:tc>
          <w:tcPr>
            <w:tcW w:w="639" w:type="pct"/>
            <w:tcBorders>
              <w:top w:val="nil"/>
              <w:left w:val="nil"/>
              <w:bottom w:val="single" w:sz="4" w:space="0" w:color="auto"/>
              <w:right w:val="single" w:sz="4" w:space="0" w:color="auto"/>
            </w:tcBorders>
            <w:shd w:val="clear" w:color="auto" w:fill="auto"/>
            <w:noWrap/>
            <w:vAlign w:val="center"/>
            <w:hideMark/>
          </w:tcPr>
          <w:p w14:paraId="7E3246F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0.8 [0.2, 3.1]</w:t>
            </w:r>
          </w:p>
        </w:tc>
      </w:tr>
      <w:tr w:rsidR="0049441E" w:rsidRPr="00A143C3" w14:paraId="0F24C776"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57D4BA0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Linezolid</w:t>
            </w:r>
          </w:p>
        </w:tc>
        <w:tc>
          <w:tcPr>
            <w:tcW w:w="610" w:type="pct"/>
            <w:tcBorders>
              <w:top w:val="nil"/>
              <w:left w:val="nil"/>
              <w:bottom w:val="single" w:sz="4" w:space="0" w:color="auto"/>
              <w:right w:val="single" w:sz="4" w:space="0" w:color="auto"/>
            </w:tcBorders>
            <w:shd w:val="clear" w:color="auto" w:fill="auto"/>
            <w:noWrap/>
            <w:vAlign w:val="center"/>
            <w:hideMark/>
          </w:tcPr>
          <w:p w14:paraId="16F24803"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1.0 [0.4, 2.4]</w:t>
            </w:r>
          </w:p>
        </w:tc>
        <w:tc>
          <w:tcPr>
            <w:tcW w:w="610" w:type="pct"/>
            <w:tcBorders>
              <w:top w:val="nil"/>
              <w:left w:val="nil"/>
              <w:bottom w:val="single" w:sz="4" w:space="0" w:color="auto"/>
              <w:right w:val="single" w:sz="4" w:space="0" w:color="auto"/>
            </w:tcBorders>
            <w:shd w:val="clear" w:color="auto" w:fill="auto"/>
            <w:noWrap/>
            <w:vAlign w:val="center"/>
            <w:hideMark/>
          </w:tcPr>
          <w:p w14:paraId="67C152E9"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1.2 [0.6, 2.5]</w:t>
            </w:r>
          </w:p>
        </w:tc>
        <w:tc>
          <w:tcPr>
            <w:tcW w:w="661" w:type="pct"/>
            <w:tcBorders>
              <w:top w:val="nil"/>
              <w:left w:val="nil"/>
              <w:bottom w:val="single" w:sz="4" w:space="0" w:color="auto"/>
              <w:right w:val="single" w:sz="4" w:space="0" w:color="auto"/>
            </w:tcBorders>
            <w:shd w:val="clear" w:color="auto" w:fill="auto"/>
            <w:noWrap/>
            <w:vAlign w:val="center"/>
            <w:hideMark/>
          </w:tcPr>
          <w:p w14:paraId="7E969AD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2.1 [0.5, 11.3]</w:t>
            </w:r>
          </w:p>
        </w:tc>
        <w:tc>
          <w:tcPr>
            <w:tcW w:w="610" w:type="pct"/>
            <w:tcBorders>
              <w:top w:val="nil"/>
              <w:left w:val="nil"/>
              <w:bottom w:val="single" w:sz="4" w:space="0" w:color="auto"/>
              <w:right w:val="single" w:sz="4" w:space="0" w:color="auto"/>
            </w:tcBorders>
            <w:shd w:val="clear" w:color="auto" w:fill="auto"/>
            <w:noWrap/>
            <w:vAlign w:val="center"/>
            <w:hideMark/>
          </w:tcPr>
          <w:p w14:paraId="72BF476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10" w:type="pct"/>
            <w:tcBorders>
              <w:top w:val="nil"/>
              <w:left w:val="nil"/>
              <w:bottom w:val="single" w:sz="4" w:space="0" w:color="auto"/>
              <w:right w:val="single" w:sz="4" w:space="0" w:color="auto"/>
            </w:tcBorders>
            <w:shd w:val="clear" w:color="auto" w:fill="auto"/>
            <w:noWrap/>
            <w:vAlign w:val="center"/>
            <w:hideMark/>
          </w:tcPr>
          <w:p w14:paraId="2F223845"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1.1 [0.6, 2.0]</w:t>
            </w:r>
          </w:p>
        </w:tc>
        <w:tc>
          <w:tcPr>
            <w:tcW w:w="661" w:type="pct"/>
            <w:tcBorders>
              <w:top w:val="nil"/>
              <w:left w:val="nil"/>
              <w:bottom w:val="single" w:sz="4" w:space="0" w:color="auto"/>
              <w:right w:val="single" w:sz="4" w:space="0" w:color="auto"/>
            </w:tcBorders>
            <w:shd w:val="clear" w:color="auto" w:fill="auto"/>
            <w:noWrap/>
            <w:vAlign w:val="center"/>
            <w:hideMark/>
          </w:tcPr>
          <w:p w14:paraId="4ED5756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3.3 [0.9, 16.9]</w:t>
            </w:r>
          </w:p>
        </w:tc>
        <w:tc>
          <w:tcPr>
            <w:tcW w:w="639" w:type="pct"/>
            <w:tcBorders>
              <w:top w:val="nil"/>
              <w:left w:val="nil"/>
              <w:bottom w:val="single" w:sz="4" w:space="0" w:color="auto"/>
              <w:right w:val="single" w:sz="4" w:space="0" w:color="auto"/>
            </w:tcBorders>
            <w:shd w:val="clear" w:color="000000" w:fill="C6EFCE"/>
            <w:noWrap/>
            <w:vAlign w:val="center"/>
            <w:hideMark/>
          </w:tcPr>
          <w:p w14:paraId="6E069F93"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1.7 [1.2, 2.3]</w:t>
            </w:r>
          </w:p>
        </w:tc>
      </w:tr>
      <w:tr w:rsidR="0049441E" w:rsidRPr="00A143C3" w14:paraId="15FDE719"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1104B37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Telavancin</w:t>
            </w:r>
          </w:p>
        </w:tc>
        <w:tc>
          <w:tcPr>
            <w:tcW w:w="610" w:type="pct"/>
            <w:tcBorders>
              <w:top w:val="nil"/>
              <w:left w:val="nil"/>
              <w:bottom w:val="single" w:sz="4" w:space="0" w:color="auto"/>
              <w:right w:val="single" w:sz="4" w:space="0" w:color="auto"/>
            </w:tcBorders>
            <w:shd w:val="clear" w:color="auto" w:fill="auto"/>
            <w:noWrap/>
            <w:vAlign w:val="center"/>
            <w:hideMark/>
          </w:tcPr>
          <w:p w14:paraId="7C66900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0.9 [0.3, 2.7]</w:t>
            </w:r>
          </w:p>
        </w:tc>
        <w:tc>
          <w:tcPr>
            <w:tcW w:w="610" w:type="pct"/>
            <w:tcBorders>
              <w:top w:val="nil"/>
              <w:left w:val="nil"/>
              <w:bottom w:val="single" w:sz="4" w:space="0" w:color="auto"/>
              <w:right w:val="single" w:sz="4" w:space="0" w:color="auto"/>
            </w:tcBorders>
            <w:shd w:val="clear" w:color="auto" w:fill="auto"/>
            <w:noWrap/>
            <w:vAlign w:val="center"/>
            <w:hideMark/>
          </w:tcPr>
          <w:p w14:paraId="05B08A0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1.1 [0.5, 2.6]</w:t>
            </w:r>
          </w:p>
        </w:tc>
        <w:tc>
          <w:tcPr>
            <w:tcW w:w="661" w:type="pct"/>
            <w:tcBorders>
              <w:top w:val="nil"/>
              <w:left w:val="nil"/>
              <w:bottom w:val="single" w:sz="4" w:space="0" w:color="auto"/>
              <w:right w:val="single" w:sz="4" w:space="0" w:color="auto"/>
            </w:tcBorders>
            <w:shd w:val="clear" w:color="auto" w:fill="auto"/>
            <w:noWrap/>
            <w:vAlign w:val="center"/>
            <w:hideMark/>
          </w:tcPr>
          <w:p w14:paraId="60AB0F05"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2.0 [0.5, 11.0]</w:t>
            </w:r>
          </w:p>
        </w:tc>
        <w:tc>
          <w:tcPr>
            <w:tcW w:w="610" w:type="pct"/>
            <w:tcBorders>
              <w:top w:val="nil"/>
              <w:left w:val="nil"/>
              <w:bottom w:val="single" w:sz="4" w:space="0" w:color="auto"/>
              <w:right w:val="single" w:sz="4" w:space="0" w:color="auto"/>
            </w:tcBorders>
            <w:shd w:val="clear" w:color="auto" w:fill="auto"/>
            <w:noWrap/>
            <w:vAlign w:val="center"/>
            <w:hideMark/>
          </w:tcPr>
          <w:p w14:paraId="1D6C17A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0.9 [0.5, 1.7]</w:t>
            </w:r>
          </w:p>
        </w:tc>
        <w:tc>
          <w:tcPr>
            <w:tcW w:w="610" w:type="pct"/>
            <w:tcBorders>
              <w:top w:val="nil"/>
              <w:left w:val="nil"/>
              <w:bottom w:val="single" w:sz="4" w:space="0" w:color="auto"/>
              <w:right w:val="single" w:sz="4" w:space="0" w:color="auto"/>
            </w:tcBorders>
            <w:shd w:val="clear" w:color="auto" w:fill="auto"/>
            <w:noWrap/>
            <w:vAlign w:val="center"/>
            <w:hideMark/>
          </w:tcPr>
          <w:p w14:paraId="56D4E7B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61" w:type="pct"/>
            <w:tcBorders>
              <w:top w:val="nil"/>
              <w:left w:val="nil"/>
              <w:bottom w:val="single" w:sz="4" w:space="0" w:color="auto"/>
              <w:right w:val="single" w:sz="4" w:space="0" w:color="auto"/>
            </w:tcBorders>
            <w:shd w:val="clear" w:color="auto" w:fill="auto"/>
            <w:noWrap/>
            <w:vAlign w:val="center"/>
            <w:hideMark/>
          </w:tcPr>
          <w:p w14:paraId="40C952B5"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3.0 [0.8, 16.4]</w:t>
            </w:r>
          </w:p>
        </w:tc>
        <w:tc>
          <w:tcPr>
            <w:tcW w:w="639" w:type="pct"/>
            <w:tcBorders>
              <w:top w:val="nil"/>
              <w:left w:val="nil"/>
              <w:bottom w:val="single" w:sz="4" w:space="0" w:color="auto"/>
              <w:right w:val="single" w:sz="4" w:space="0" w:color="auto"/>
            </w:tcBorders>
            <w:shd w:val="clear" w:color="auto" w:fill="auto"/>
            <w:noWrap/>
            <w:vAlign w:val="center"/>
            <w:hideMark/>
          </w:tcPr>
          <w:p w14:paraId="0676C8B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1.5 [0.9, 2.6]</w:t>
            </w:r>
          </w:p>
        </w:tc>
      </w:tr>
      <w:tr w:rsidR="0049441E" w:rsidRPr="00A143C3" w14:paraId="41ED8AE0"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489777C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Tigecycline</w:t>
            </w:r>
          </w:p>
        </w:tc>
        <w:tc>
          <w:tcPr>
            <w:tcW w:w="610" w:type="pct"/>
            <w:tcBorders>
              <w:top w:val="nil"/>
              <w:left w:val="nil"/>
              <w:bottom w:val="single" w:sz="4" w:space="0" w:color="auto"/>
              <w:right w:val="single" w:sz="4" w:space="0" w:color="auto"/>
            </w:tcBorders>
            <w:shd w:val="clear" w:color="auto" w:fill="auto"/>
            <w:noWrap/>
            <w:vAlign w:val="center"/>
            <w:hideMark/>
          </w:tcPr>
          <w:p w14:paraId="75DB1B5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0.3 [0.0, 1.5]</w:t>
            </w:r>
          </w:p>
        </w:tc>
        <w:tc>
          <w:tcPr>
            <w:tcW w:w="610" w:type="pct"/>
            <w:tcBorders>
              <w:top w:val="nil"/>
              <w:left w:val="nil"/>
              <w:bottom w:val="single" w:sz="4" w:space="0" w:color="auto"/>
              <w:right w:val="single" w:sz="4" w:space="0" w:color="auto"/>
            </w:tcBorders>
            <w:shd w:val="clear" w:color="auto" w:fill="auto"/>
            <w:noWrap/>
            <w:vAlign w:val="center"/>
            <w:hideMark/>
          </w:tcPr>
          <w:p w14:paraId="71B55AE1"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0.4 [0.1, 1.6]</w:t>
            </w:r>
          </w:p>
        </w:tc>
        <w:tc>
          <w:tcPr>
            <w:tcW w:w="661" w:type="pct"/>
            <w:tcBorders>
              <w:top w:val="nil"/>
              <w:left w:val="nil"/>
              <w:bottom w:val="single" w:sz="4" w:space="0" w:color="auto"/>
              <w:right w:val="single" w:sz="4" w:space="0" w:color="auto"/>
            </w:tcBorders>
            <w:shd w:val="clear" w:color="auto" w:fill="auto"/>
            <w:noWrap/>
            <w:vAlign w:val="center"/>
            <w:hideMark/>
          </w:tcPr>
          <w:p w14:paraId="556C6E6F"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0.6 [0.1, 5.1]</w:t>
            </w:r>
          </w:p>
        </w:tc>
        <w:tc>
          <w:tcPr>
            <w:tcW w:w="610" w:type="pct"/>
            <w:tcBorders>
              <w:top w:val="nil"/>
              <w:left w:val="nil"/>
              <w:bottom w:val="single" w:sz="4" w:space="0" w:color="auto"/>
              <w:right w:val="single" w:sz="4" w:space="0" w:color="auto"/>
            </w:tcBorders>
            <w:shd w:val="clear" w:color="auto" w:fill="auto"/>
            <w:noWrap/>
            <w:vAlign w:val="center"/>
            <w:hideMark/>
          </w:tcPr>
          <w:p w14:paraId="3BD58C8A"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0.3 [0.1, 1.1]</w:t>
            </w:r>
          </w:p>
        </w:tc>
        <w:tc>
          <w:tcPr>
            <w:tcW w:w="610" w:type="pct"/>
            <w:tcBorders>
              <w:top w:val="nil"/>
              <w:left w:val="nil"/>
              <w:bottom w:val="single" w:sz="4" w:space="0" w:color="auto"/>
              <w:right w:val="single" w:sz="4" w:space="0" w:color="auto"/>
            </w:tcBorders>
            <w:shd w:val="clear" w:color="auto" w:fill="auto"/>
            <w:noWrap/>
            <w:vAlign w:val="center"/>
            <w:hideMark/>
          </w:tcPr>
          <w:p w14:paraId="0A7D5969"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0.3 [0.1, 1.3]</w:t>
            </w:r>
          </w:p>
        </w:tc>
        <w:tc>
          <w:tcPr>
            <w:tcW w:w="661" w:type="pct"/>
            <w:tcBorders>
              <w:top w:val="nil"/>
              <w:left w:val="nil"/>
              <w:bottom w:val="single" w:sz="4" w:space="0" w:color="auto"/>
              <w:right w:val="single" w:sz="4" w:space="0" w:color="auto"/>
            </w:tcBorders>
            <w:shd w:val="clear" w:color="auto" w:fill="auto"/>
            <w:noWrap/>
            <w:vAlign w:val="center"/>
            <w:hideMark/>
          </w:tcPr>
          <w:p w14:paraId="05DBCB5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c>
          <w:tcPr>
            <w:tcW w:w="639" w:type="pct"/>
            <w:tcBorders>
              <w:top w:val="nil"/>
              <w:left w:val="nil"/>
              <w:bottom w:val="single" w:sz="4" w:space="0" w:color="auto"/>
              <w:right w:val="single" w:sz="4" w:space="0" w:color="auto"/>
            </w:tcBorders>
            <w:shd w:val="clear" w:color="auto" w:fill="auto"/>
            <w:noWrap/>
            <w:vAlign w:val="center"/>
            <w:hideMark/>
          </w:tcPr>
          <w:p w14:paraId="5C158DC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0.5 [0.1, 1.8]</w:t>
            </w:r>
          </w:p>
        </w:tc>
      </w:tr>
      <w:tr w:rsidR="0049441E" w:rsidRPr="00A143C3" w14:paraId="2897D25E" w14:textId="77777777" w:rsidTr="0049441E">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14:paraId="50F57CF4"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Vancomycin</w:t>
            </w:r>
          </w:p>
        </w:tc>
        <w:tc>
          <w:tcPr>
            <w:tcW w:w="610" w:type="pct"/>
            <w:tcBorders>
              <w:top w:val="nil"/>
              <w:left w:val="nil"/>
              <w:bottom w:val="single" w:sz="4" w:space="0" w:color="auto"/>
              <w:right w:val="single" w:sz="4" w:space="0" w:color="auto"/>
            </w:tcBorders>
            <w:shd w:val="clear" w:color="auto" w:fill="auto"/>
            <w:noWrap/>
            <w:vAlign w:val="center"/>
            <w:hideMark/>
          </w:tcPr>
          <w:p w14:paraId="74C784B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0.6 [0.2, 1.5]</w:t>
            </w:r>
          </w:p>
        </w:tc>
        <w:tc>
          <w:tcPr>
            <w:tcW w:w="610" w:type="pct"/>
            <w:tcBorders>
              <w:top w:val="nil"/>
              <w:left w:val="nil"/>
              <w:bottom w:val="single" w:sz="4" w:space="0" w:color="auto"/>
              <w:right w:val="single" w:sz="4" w:space="0" w:color="auto"/>
            </w:tcBorders>
            <w:shd w:val="clear" w:color="auto" w:fill="auto"/>
            <w:noWrap/>
            <w:vAlign w:val="center"/>
            <w:hideMark/>
          </w:tcPr>
          <w:p w14:paraId="253B45C9"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0.7 [0.4, 1.4]</w:t>
            </w:r>
          </w:p>
        </w:tc>
        <w:tc>
          <w:tcPr>
            <w:tcW w:w="661" w:type="pct"/>
            <w:tcBorders>
              <w:top w:val="nil"/>
              <w:left w:val="nil"/>
              <w:bottom w:val="single" w:sz="4" w:space="0" w:color="auto"/>
              <w:right w:val="single" w:sz="4" w:space="0" w:color="auto"/>
            </w:tcBorders>
            <w:shd w:val="clear" w:color="auto" w:fill="auto"/>
            <w:noWrap/>
            <w:vAlign w:val="center"/>
            <w:hideMark/>
          </w:tcPr>
          <w:p w14:paraId="6DF0F9A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1.3 [0.3, 6.6]</w:t>
            </w:r>
          </w:p>
        </w:tc>
        <w:tc>
          <w:tcPr>
            <w:tcW w:w="610" w:type="pct"/>
            <w:tcBorders>
              <w:top w:val="nil"/>
              <w:left w:val="nil"/>
              <w:bottom w:val="single" w:sz="4" w:space="0" w:color="auto"/>
              <w:right w:val="single" w:sz="4" w:space="0" w:color="auto"/>
            </w:tcBorders>
            <w:shd w:val="clear" w:color="000000" w:fill="C6EFCE"/>
            <w:noWrap/>
            <w:vAlign w:val="center"/>
            <w:hideMark/>
          </w:tcPr>
          <w:p w14:paraId="50A72A8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0.6 [0.4, 0.8]</w:t>
            </w:r>
          </w:p>
        </w:tc>
        <w:tc>
          <w:tcPr>
            <w:tcW w:w="610" w:type="pct"/>
            <w:tcBorders>
              <w:top w:val="nil"/>
              <w:left w:val="nil"/>
              <w:bottom w:val="single" w:sz="4" w:space="0" w:color="auto"/>
              <w:right w:val="single" w:sz="4" w:space="0" w:color="auto"/>
            </w:tcBorders>
            <w:shd w:val="clear" w:color="auto" w:fill="auto"/>
            <w:noWrap/>
            <w:vAlign w:val="center"/>
            <w:hideMark/>
          </w:tcPr>
          <w:p w14:paraId="38175E60"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0.7 [0.4, 1.1]</w:t>
            </w:r>
          </w:p>
        </w:tc>
        <w:tc>
          <w:tcPr>
            <w:tcW w:w="661" w:type="pct"/>
            <w:tcBorders>
              <w:top w:val="nil"/>
              <w:left w:val="nil"/>
              <w:bottom w:val="single" w:sz="4" w:space="0" w:color="auto"/>
              <w:right w:val="single" w:sz="4" w:space="0" w:color="auto"/>
            </w:tcBorders>
            <w:shd w:val="clear" w:color="auto" w:fill="auto"/>
            <w:noWrap/>
            <w:vAlign w:val="center"/>
            <w:hideMark/>
          </w:tcPr>
          <w:p w14:paraId="738C60D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2.0 [0.6, 9.8]</w:t>
            </w:r>
          </w:p>
        </w:tc>
        <w:tc>
          <w:tcPr>
            <w:tcW w:w="639" w:type="pct"/>
            <w:tcBorders>
              <w:top w:val="nil"/>
              <w:left w:val="nil"/>
              <w:bottom w:val="single" w:sz="4" w:space="0" w:color="auto"/>
              <w:right w:val="single" w:sz="4" w:space="0" w:color="auto"/>
            </w:tcBorders>
            <w:shd w:val="clear" w:color="auto" w:fill="auto"/>
            <w:noWrap/>
            <w:vAlign w:val="center"/>
            <w:hideMark/>
          </w:tcPr>
          <w:p w14:paraId="6B6BFB6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 </w:t>
            </w:r>
          </w:p>
        </w:tc>
      </w:tr>
    </w:tbl>
    <w:p w14:paraId="636E2C0D" w14:textId="77777777" w:rsidR="0049441E" w:rsidRPr="009809B9" w:rsidRDefault="0049441E" w:rsidP="0049441E">
      <w:pPr>
        <w:pStyle w:val="ReportText"/>
        <w:spacing w:line="240" w:lineRule="auto"/>
        <w:jc w:val="left"/>
        <w:rPr>
          <w:rFonts w:cs="Arial"/>
          <w:sz w:val="16"/>
          <w:szCs w:val="16"/>
        </w:rPr>
      </w:pPr>
      <w:r w:rsidRPr="009809B9">
        <w:rPr>
          <w:rFonts w:cs="Arial"/>
          <w:sz w:val="16"/>
          <w:szCs w:val="16"/>
        </w:rPr>
        <w:t>Green cells indicate comparisons where the 95% CrI does not include one.</w:t>
      </w:r>
    </w:p>
    <w:p w14:paraId="149CC8A4" w14:textId="77777777" w:rsidR="0049441E" w:rsidRPr="00A143C3" w:rsidRDefault="0049441E" w:rsidP="0049441E">
      <w:pPr>
        <w:pStyle w:val="ReportText"/>
        <w:spacing w:line="240" w:lineRule="auto"/>
        <w:jc w:val="left"/>
        <w:rPr>
          <w:rFonts w:cs="Arial"/>
          <w:szCs w:val="22"/>
        </w:rPr>
      </w:pPr>
    </w:p>
    <w:p w14:paraId="5DC9EDDB" w14:textId="77777777" w:rsidR="0049441E" w:rsidRPr="00A143C3" w:rsidRDefault="0049441E" w:rsidP="0049441E">
      <w:pPr>
        <w:pStyle w:val="ReportText"/>
        <w:spacing w:line="240" w:lineRule="auto"/>
        <w:jc w:val="left"/>
        <w:rPr>
          <w:rFonts w:cs="Arial"/>
          <w:szCs w:val="22"/>
        </w:rPr>
      </w:pPr>
    </w:p>
    <w:p w14:paraId="26B6BFD4" w14:textId="77777777" w:rsidR="0049441E" w:rsidRPr="00A143C3" w:rsidRDefault="0049441E" w:rsidP="0049441E">
      <w:pPr>
        <w:pStyle w:val="ReportText"/>
        <w:spacing w:line="240" w:lineRule="auto"/>
        <w:rPr>
          <w:rFonts w:cs="Arial"/>
          <w:szCs w:val="22"/>
        </w:rPr>
        <w:sectPr w:rsidR="0049441E" w:rsidRPr="00A143C3" w:rsidSect="00917DF6">
          <w:pgSz w:w="16834" w:h="11909" w:orient="landscape" w:code="9"/>
          <w:pgMar w:top="1440" w:right="1440" w:bottom="1440" w:left="1440" w:header="720" w:footer="221" w:gutter="0"/>
          <w:cols w:space="720"/>
          <w:titlePg/>
          <w:docGrid w:linePitch="326"/>
        </w:sectPr>
      </w:pPr>
    </w:p>
    <w:p w14:paraId="4BE9F69D" w14:textId="77777777" w:rsidR="0049441E" w:rsidRPr="00A143C3" w:rsidRDefault="0049441E" w:rsidP="0049441E">
      <w:pPr>
        <w:pStyle w:val="ReportText"/>
        <w:spacing w:line="240" w:lineRule="auto"/>
        <w:rPr>
          <w:rFonts w:cs="Arial"/>
          <w:szCs w:val="22"/>
        </w:rPr>
      </w:pPr>
      <w:r w:rsidRPr="00A143C3">
        <w:rPr>
          <w:rFonts w:cs="Arial"/>
          <w:szCs w:val="22"/>
        </w:rPr>
        <w:lastRenderedPageBreak/>
        <w:t xml:space="preserve">The point estimates and 95% CrI for the absolute treatment effects are shown in </w:t>
      </w:r>
      <w:r>
        <w:rPr>
          <w:rFonts w:cs="Arial"/>
          <w:szCs w:val="22"/>
        </w:rPr>
        <w:fldChar w:fldCharType="begin"/>
      </w:r>
      <w:r>
        <w:rPr>
          <w:rFonts w:cs="Arial"/>
          <w:szCs w:val="22"/>
        </w:rPr>
        <w:instrText xml:space="preserve"> REF _Ref282267936 \h </w:instrText>
      </w:r>
      <w:r>
        <w:rPr>
          <w:rFonts w:cs="Arial"/>
          <w:szCs w:val="22"/>
        </w:rPr>
      </w:r>
      <w:r>
        <w:rPr>
          <w:rFonts w:cs="Arial"/>
          <w:szCs w:val="22"/>
        </w:rPr>
        <w:fldChar w:fldCharType="separate"/>
      </w:r>
      <w:r w:rsidR="00151A1C" w:rsidRPr="00321F7B">
        <w:rPr>
          <w:rFonts w:cs="Arial"/>
          <w:szCs w:val="22"/>
        </w:rPr>
        <w:t xml:space="preserve">Table </w:t>
      </w:r>
      <w:r w:rsidR="00151A1C">
        <w:rPr>
          <w:rFonts w:cs="Arial"/>
          <w:noProof/>
          <w:szCs w:val="22"/>
        </w:rPr>
        <w:t>88</w:t>
      </w:r>
      <w:r>
        <w:rPr>
          <w:rFonts w:cs="Arial"/>
          <w:szCs w:val="22"/>
        </w:rPr>
        <w:fldChar w:fldCharType="end"/>
      </w:r>
      <w:r>
        <w:rPr>
          <w:rFonts w:cs="Arial"/>
          <w:szCs w:val="22"/>
        </w:rPr>
        <w:t xml:space="preserve">. </w:t>
      </w:r>
      <w:r w:rsidRPr="00A143C3">
        <w:rPr>
          <w:rFonts w:cs="Arial"/>
          <w:szCs w:val="22"/>
        </w:rPr>
        <w:t>These are given in the natural (probability) scale.</w:t>
      </w:r>
    </w:p>
    <w:p w14:paraId="69A6D3A1" w14:textId="77777777" w:rsidR="0049441E" w:rsidRPr="00321F7B" w:rsidRDefault="0049441E" w:rsidP="0049441E">
      <w:pPr>
        <w:pStyle w:val="Caption"/>
      </w:pPr>
      <w:bookmarkStart w:id="411" w:name="_Ref282267936"/>
      <w:r w:rsidRPr="00321F7B">
        <w:rPr>
          <w:rFonts w:ascii="Arial" w:hAnsi="Arial" w:cs="Arial"/>
          <w:sz w:val="22"/>
          <w:szCs w:val="22"/>
        </w:rPr>
        <w:t xml:space="preserve">Table </w:t>
      </w:r>
      <w:r w:rsidRPr="00321F7B">
        <w:rPr>
          <w:rFonts w:ascii="Arial" w:hAnsi="Arial" w:cs="Arial"/>
          <w:sz w:val="22"/>
          <w:szCs w:val="22"/>
        </w:rPr>
        <w:fldChar w:fldCharType="begin"/>
      </w:r>
      <w:r w:rsidRPr="00321F7B">
        <w:rPr>
          <w:rFonts w:ascii="Arial" w:hAnsi="Arial" w:cs="Arial"/>
          <w:sz w:val="22"/>
          <w:szCs w:val="22"/>
        </w:rPr>
        <w:instrText xml:space="preserve"> SEQ Table \* ARABIC </w:instrText>
      </w:r>
      <w:r w:rsidRPr="00321F7B">
        <w:rPr>
          <w:rFonts w:ascii="Arial" w:hAnsi="Arial" w:cs="Arial"/>
          <w:sz w:val="22"/>
          <w:szCs w:val="22"/>
        </w:rPr>
        <w:fldChar w:fldCharType="separate"/>
      </w:r>
      <w:r w:rsidR="00151A1C">
        <w:rPr>
          <w:rFonts w:ascii="Arial" w:hAnsi="Arial" w:cs="Arial"/>
          <w:noProof/>
          <w:sz w:val="22"/>
          <w:szCs w:val="22"/>
        </w:rPr>
        <w:t>88</w:t>
      </w:r>
      <w:r w:rsidRPr="00321F7B">
        <w:rPr>
          <w:rFonts w:ascii="Arial" w:hAnsi="Arial" w:cs="Arial"/>
          <w:sz w:val="22"/>
          <w:szCs w:val="22"/>
        </w:rPr>
        <w:fldChar w:fldCharType="end"/>
      </w:r>
      <w:bookmarkEnd w:id="411"/>
      <w:r w:rsidRPr="00321F7B">
        <w:rPr>
          <w:rFonts w:ascii="Arial" w:hAnsi="Arial" w:cs="Arial"/>
          <w:sz w:val="22"/>
          <w:szCs w:val="22"/>
        </w:rPr>
        <w:t>:</w:t>
      </w:r>
      <w:r>
        <w:t xml:space="preserve"> </w:t>
      </w:r>
      <w:r w:rsidRPr="00A143C3">
        <w:rPr>
          <w:rFonts w:ascii="Arial" w:hAnsi="Arial" w:cs="Arial"/>
          <w:sz w:val="22"/>
          <w:szCs w:val="22"/>
        </w:rPr>
        <w:t>Post-hoc analysis: Clinical response at the post treatment evaluation or test of cure: MRSA only population.  Point estimates and 95% CrI (fixed effect model)</w:t>
      </w:r>
    </w:p>
    <w:tbl>
      <w:tblPr>
        <w:tblW w:w="5000" w:type="pct"/>
        <w:tblLook w:val="04A0" w:firstRow="1" w:lastRow="0" w:firstColumn="1" w:lastColumn="0" w:noHBand="0" w:noVBand="1"/>
      </w:tblPr>
      <w:tblGrid>
        <w:gridCol w:w="4167"/>
        <w:gridCol w:w="4852"/>
      </w:tblGrid>
      <w:tr w:rsidR="0049441E" w:rsidRPr="00A143C3" w14:paraId="704B4CDB" w14:textId="77777777" w:rsidTr="0049441E">
        <w:trPr>
          <w:trHeight w:val="300"/>
        </w:trPr>
        <w:tc>
          <w:tcPr>
            <w:tcW w:w="2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1A539"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Treatment</w:t>
            </w:r>
          </w:p>
        </w:tc>
        <w:tc>
          <w:tcPr>
            <w:tcW w:w="2690" w:type="pct"/>
            <w:tcBorders>
              <w:top w:val="single" w:sz="4" w:space="0" w:color="auto"/>
              <w:left w:val="nil"/>
              <w:bottom w:val="single" w:sz="4" w:space="0" w:color="auto"/>
              <w:right w:val="single" w:sz="4" w:space="0" w:color="auto"/>
            </w:tcBorders>
            <w:shd w:val="clear" w:color="auto" w:fill="auto"/>
            <w:noWrap/>
            <w:vAlign w:val="bottom"/>
            <w:hideMark/>
          </w:tcPr>
          <w:p w14:paraId="7FFC5E75"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Treatment effect</w:t>
            </w:r>
          </w:p>
          <w:p w14:paraId="0FC0BE25"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(Point estimate and 95% CrI)</w:t>
            </w:r>
          </w:p>
        </w:tc>
      </w:tr>
      <w:tr w:rsidR="0049441E" w:rsidRPr="00A143C3" w14:paraId="04C761B0"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13D06F56"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Tedizolid</w:t>
            </w:r>
          </w:p>
        </w:tc>
        <w:tc>
          <w:tcPr>
            <w:tcW w:w="2690" w:type="pct"/>
            <w:tcBorders>
              <w:top w:val="nil"/>
              <w:left w:val="nil"/>
              <w:bottom w:val="single" w:sz="4" w:space="0" w:color="auto"/>
              <w:right w:val="single" w:sz="4" w:space="0" w:color="auto"/>
            </w:tcBorders>
            <w:shd w:val="clear" w:color="auto" w:fill="auto"/>
            <w:noWrap/>
            <w:vAlign w:val="bottom"/>
            <w:hideMark/>
          </w:tcPr>
          <w:p w14:paraId="3E4C00C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0.86 [0.00, 1.00]</w:t>
            </w:r>
          </w:p>
        </w:tc>
      </w:tr>
      <w:tr w:rsidR="0049441E" w:rsidRPr="00A143C3" w14:paraId="53DA4391"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6FFB4CAA"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Linezolid</w:t>
            </w:r>
          </w:p>
        </w:tc>
        <w:tc>
          <w:tcPr>
            <w:tcW w:w="2690" w:type="pct"/>
            <w:tcBorders>
              <w:top w:val="nil"/>
              <w:left w:val="nil"/>
              <w:bottom w:val="single" w:sz="4" w:space="0" w:color="auto"/>
              <w:right w:val="single" w:sz="4" w:space="0" w:color="auto"/>
            </w:tcBorders>
            <w:shd w:val="clear" w:color="auto" w:fill="auto"/>
            <w:noWrap/>
            <w:vAlign w:val="bottom"/>
            <w:hideMark/>
          </w:tcPr>
          <w:p w14:paraId="16B90AA6"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0.86 [0.00, 1.00]</w:t>
            </w:r>
          </w:p>
        </w:tc>
      </w:tr>
      <w:tr w:rsidR="0049441E" w:rsidRPr="00A143C3" w14:paraId="06262DE5"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775EF38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Telavancin</w:t>
            </w:r>
          </w:p>
        </w:tc>
        <w:tc>
          <w:tcPr>
            <w:tcW w:w="2690" w:type="pct"/>
            <w:tcBorders>
              <w:top w:val="nil"/>
              <w:left w:val="nil"/>
              <w:bottom w:val="single" w:sz="4" w:space="0" w:color="auto"/>
              <w:right w:val="single" w:sz="4" w:space="0" w:color="auto"/>
            </w:tcBorders>
            <w:shd w:val="clear" w:color="auto" w:fill="auto"/>
            <w:noWrap/>
            <w:vAlign w:val="bottom"/>
            <w:hideMark/>
          </w:tcPr>
          <w:p w14:paraId="10B18AC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0.85 [0.00, 1.00]</w:t>
            </w:r>
          </w:p>
        </w:tc>
      </w:tr>
      <w:tr w:rsidR="0049441E" w:rsidRPr="00A143C3" w14:paraId="72F33566"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01BB5AC0"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Ceftaroline</w:t>
            </w:r>
          </w:p>
        </w:tc>
        <w:tc>
          <w:tcPr>
            <w:tcW w:w="2690" w:type="pct"/>
            <w:tcBorders>
              <w:top w:val="nil"/>
              <w:left w:val="nil"/>
              <w:bottom w:val="single" w:sz="4" w:space="0" w:color="auto"/>
              <w:right w:val="single" w:sz="4" w:space="0" w:color="auto"/>
            </w:tcBorders>
            <w:shd w:val="clear" w:color="auto" w:fill="auto"/>
            <w:noWrap/>
            <w:vAlign w:val="bottom"/>
            <w:hideMark/>
          </w:tcPr>
          <w:p w14:paraId="0B951FD7"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0.83 [0.00, 1.00]</w:t>
            </w:r>
          </w:p>
        </w:tc>
      </w:tr>
      <w:tr w:rsidR="0049441E" w:rsidRPr="00A143C3" w14:paraId="4EEDEA06"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77548706"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Vancomycin</w:t>
            </w:r>
          </w:p>
        </w:tc>
        <w:tc>
          <w:tcPr>
            <w:tcW w:w="2690" w:type="pct"/>
            <w:tcBorders>
              <w:top w:val="nil"/>
              <w:left w:val="nil"/>
              <w:bottom w:val="single" w:sz="4" w:space="0" w:color="auto"/>
              <w:right w:val="single" w:sz="4" w:space="0" w:color="auto"/>
            </w:tcBorders>
            <w:shd w:val="clear" w:color="auto" w:fill="auto"/>
            <w:noWrap/>
            <w:vAlign w:val="bottom"/>
            <w:hideMark/>
          </w:tcPr>
          <w:p w14:paraId="00CCE15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0.79 [0.00, 1.00]</w:t>
            </w:r>
          </w:p>
        </w:tc>
      </w:tr>
      <w:tr w:rsidR="0049441E" w:rsidRPr="00A143C3" w14:paraId="4493E128"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1837C818"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Daptomycin</w:t>
            </w:r>
          </w:p>
        </w:tc>
        <w:tc>
          <w:tcPr>
            <w:tcW w:w="2690" w:type="pct"/>
            <w:tcBorders>
              <w:top w:val="nil"/>
              <w:left w:val="nil"/>
              <w:bottom w:val="single" w:sz="4" w:space="0" w:color="auto"/>
              <w:right w:val="single" w:sz="4" w:space="0" w:color="auto"/>
            </w:tcBorders>
            <w:shd w:val="clear" w:color="auto" w:fill="auto"/>
            <w:noWrap/>
            <w:vAlign w:val="bottom"/>
            <w:hideMark/>
          </w:tcPr>
          <w:p w14:paraId="2F03EC7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0.74 [0.00, 1.00]</w:t>
            </w:r>
          </w:p>
        </w:tc>
      </w:tr>
      <w:tr w:rsidR="0049441E" w:rsidRPr="00A143C3" w14:paraId="3E582296" w14:textId="77777777" w:rsidTr="0049441E">
        <w:trPr>
          <w:trHeight w:val="300"/>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14:paraId="78319764"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Tigecycline</w:t>
            </w:r>
          </w:p>
        </w:tc>
        <w:tc>
          <w:tcPr>
            <w:tcW w:w="2690" w:type="pct"/>
            <w:tcBorders>
              <w:top w:val="nil"/>
              <w:left w:val="nil"/>
              <w:bottom w:val="single" w:sz="4" w:space="0" w:color="auto"/>
              <w:right w:val="single" w:sz="4" w:space="0" w:color="auto"/>
            </w:tcBorders>
            <w:shd w:val="clear" w:color="auto" w:fill="auto"/>
            <w:noWrap/>
            <w:vAlign w:val="bottom"/>
            <w:hideMark/>
          </w:tcPr>
          <w:p w14:paraId="2189CBB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0.64 [0.00, 1.00]</w:t>
            </w:r>
          </w:p>
        </w:tc>
      </w:tr>
    </w:tbl>
    <w:p w14:paraId="5633B3CD" w14:textId="77777777" w:rsidR="0049441E" w:rsidRPr="00A143C3" w:rsidRDefault="0049441E" w:rsidP="0049441E">
      <w:pPr>
        <w:rPr>
          <w:rFonts w:cs="Arial"/>
          <w:sz w:val="22"/>
          <w:szCs w:val="22"/>
        </w:rPr>
      </w:pPr>
    </w:p>
    <w:p w14:paraId="18859B1D" w14:textId="77777777" w:rsidR="0049441E" w:rsidRPr="00A143C3" w:rsidRDefault="0049441E" w:rsidP="0049441E">
      <w:pPr>
        <w:pStyle w:val="ReportText"/>
        <w:spacing w:line="240" w:lineRule="auto"/>
        <w:jc w:val="left"/>
        <w:rPr>
          <w:rFonts w:cs="Arial"/>
          <w:szCs w:val="22"/>
        </w:rPr>
      </w:pPr>
      <w:r w:rsidRPr="00A143C3">
        <w:rPr>
          <w:rFonts w:cs="Arial"/>
          <w:szCs w:val="22"/>
        </w:rPr>
        <w:t xml:space="preserve">Tedizolid and linezolid have the highest estimated probability of clinical response at the end of post treatment evaluation or test of cure when the MRSA only population data are considered.  The very wide CrI are an indication of the uncertainty in the point estimates.  Similar results were found for the random effects model although the point estimates for some of the </w:t>
      </w:r>
      <w:r>
        <w:rPr>
          <w:rFonts w:cs="Arial"/>
          <w:szCs w:val="22"/>
        </w:rPr>
        <w:t>treatments were slightly lower.</w:t>
      </w:r>
    </w:p>
    <w:p w14:paraId="589C60A1" w14:textId="77777777" w:rsidR="0049441E" w:rsidRPr="00A143C3" w:rsidRDefault="0049441E" w:rsidP="0049441E">
      <w:pPr>
        <w:pStyle w:val="ReportText"/>
        <w:spacing w:line="240" w:lineRule="auto"/>
        <w:jc w:val="left"/>
        <w:rPr>
          <w:rFonts w:cs="Arial"/>
          <w:szCs w:val="22"/>
        </w:rPr>
      </w:pPr>
    </w:p>
    <w:p w14:paraId="0233EA11" w14:textId="77777777" w:rsidR="0049441E" w:rsidRPr="00A143C3" w:rsidRDefault="0049441E" w:rsidP="0049441E">
      <w:pPr>
        <w:pStyle w:val="ReportText"/>
        <w:spacing w:line="240" w:lineRule="auto"/>
        <w:jc w:val="left"/>
        <w:rPr>
          <w:rFonts w:cs="Arial"/>
          <w:szCs w:val="22"/>
        </w:rPr>
      </w:pPr>
      <w:r>
        <w:rPr>
          <w:rFonts w:cs="Arial"/>
          <w:szCs w:val="22"/>
        </w:rPr>
        <w:fldChar w:fldCharType="begin"/>
      </w:r>
      <w:r>
        <w:rPr>
          <w:rFonts w:cs="Arial"/>
          <w:szCs w:val="22"/>
        </w:rPr>
        <w:instrText xml:space="preserve"> REF _Ref282268167 \h </w:instrText>
      </w:r>
      <w:r>
        <w:rPr>
          <w:rFonts w:cs="Arial"/>
          <w:szCs w:val="22"/>
        </w:rPr>
      </w:r>
      <w:r>
        <w:rPr>
          <w:rFonts w:cs="Arial"/>
          <w:szCs w:val="22"/>
        </w:rPr>
        <w:fldChar w:fldCharType="separate"/>
      </w:r>
      <w:r w:rsidR="00151A1C" w:rsidRPr="00321F7B">
        <w:rPr>
          <w:rFonts w:cs="Arial"/>
          <w:szCs w:val="22"/>
        </w:rPr>
        <w:t xml:space="preserve">Table </w:t>
      </w:r>
      <w:r w:rsidR="00151A1C">
        <w:rPr>
          <w:rFonts w:cs="Arial"/>
          <w:noProof/>
          <w:szCs w:val="22"/>
        </w:rPr>
        <w:t>89</w:t>
      </w:r>
      <w:r>
        <w:rPr>
          <w:rFonts w:cs="Arial"/>
          <w:szCs w:val="22"/>
        </w:rPr>
        <w:fldChar w:fldCharType="end"/>
      </w:r>
      <w:r>
        <w:rPr>
          <w:rFonts w:cs="Arial"/>
          <w:szCs w:val="22"/>
        </w:rPr>
        <w:t xml:space="preserve"> </w:t>
      </w:r>
      <w:r w:rsidRPr="00A143C3">
        <w:rPr>
          <w:rFonts w:cs="Arial"/>
          <w:szCs w:val="22"/>
        </w:rPr>
        <w:t>gives the probabilities that each treatment is best for the fixed effect model.  The treatment with the highest estimated probability has been highlighted.  Tedizolid has the highest estimated probability of being the best treatment, followed by linezolid and telavancin.  Similar results were foun</w:t>
      </w:r>
      <w:r>
        <w:rPr>
          <w:rFonts w:cs="Arial"/>
          <w:szCs w:val="22"/>
        </w:rPr>
        <w:t>d for the random effects model</w:t>
      </w:r>
      <w:r w:rsidRPr="00A143C3">
        <w:rPr>
          <w:rFonts w:cs="Arial"/>
          <w:szCs w:val="22"/>
        </w:rPr>
        <w:t>.</w:t>
      </w:r>
    </w:p>
    <w:p w14:paraId="1CA73F08" w14:textId="77777777" w:rsidR="0049441E" w:rsidRPr="00A143C3" w:rsidRDefault="0049441E" w:rsidP="0049441E">
      <w:pPr>
        <w:pStyle w:val="Caption"/>
        <w:rPr>
          <w:rFonts w:ascii="Arial" w:hAnsi="Arial" w:cs="Arial"/>
          <w:sz w:val="22"/>
          <w:szCs w:val="22"/>
        </w:rPr>
      </w:pPr>
      <w:bookmarkStart w:id="412" w:name="_Ref282268167"/>
      <w:r w:rsidRPr="00321F7B">
        <w:rPr>
          <w:rFonts w:ascii="Arial" w:hAnsi="Arial" w:cs="Arial"/>
          <w:sz w:val="22"/>
          <w:szCs w:val="22"/>
        </w:rPr>
        <w:t xml:space="preserve">Table </w:t>
      </w:r>
      <w:r w:rsidRPr="00321F7B">
        <w:rPr>
          <w:rFonts w:ascii="Arial" w:hAnsi="Arial" w:cs="Arial"/>
          <w:sz w:val="22"/>
          <w:szCs w:val="22"/>
        </w:rPr>
        <w:fldChar w:fldCharType="begin"/>
      </w:r>
      <w:r w:rsidRPr="00321F7B">
        <w:rPr>
          <w:rFonts w:ascii="Arial" w:hAnsi="Arial" w:cs="Arial"/>
          <w:sz w:val="22"/>
          <w:szCs w:val="22"/>
        </w:rPr>
        <w:instrText xml:space="preserve"> SEQ Table \* ARABIC </w:instrText>
      </w:r>
      <w:r w:rsidRPr="00321F7B">
        <w:rPr>
          <w:rFonts w:ascii="Arial" w:hAnsi="Arial" w:cs="Arial"/>
          <w:sz w:val="22"/>
          <w:szCs w:val="22"/>
        </w:rPr>
        <w:fldChar w:fldCharType="separate"/>
      </w:r>
      <w:r w:rsidR="00151A1C">
        <w:rPr>
          <w:rFonts w:ascii="Arial" w:hAnsi="Arial" w:cs="Arial"/>
          <w:noProof/>
          <w:sz w:val="22"/>
          <w:szCs w:val="22"/>
        </w:rPr>
        <w:t>89</w:t>
      </w:r>
      <w:r w:rsidRPr="00321F7B">
        <w:rPr>
          <w:rFonts w:ascii="Arial" w:hAnsi="Arial" w:cs="Arial"/>
          <w:sz w:val="22"/>
          <w:szCs w:val="22"/>
        </w:rPr>
        <w:fldChar w:fldCharType="end"/>
      </w:r>
      <w:bookmarkEnd w:id="412"/>
      <w:r w:rsidRPr="00321F7B">
        <w:rPr>
          <w:rFonts w:ascii="Arial" w:hAnsi="Arial" w:cs="Arial"/>
          <w:sz w:val="22"/>
          <w:szCs w:val="22"/>
        </w:rPr>
        <w:t>: Post</w:t>
      </w:r>
      <w:r w:rsidRPr="00A143C3">
        <w:rPr>
          <w:rFonts w:ascii="Arial" w:hAnsi="Arial" w:cs="Arial"/>
          <w:sz w:val="22"/>
          <w:szCs w:val="22"/>
        </w:rPr>
        <w:t>-hoc analysis: Clinical response at the post treatment evaluation or test of cure: MRSA only population.  Best treatment probabilities (fixed effect model)</w:t>
      </w:r>
    </w:p>
    <w:tbl>
      <w:tblPr>
        <w:tblW w:w="5000" w:type="pct"/>
        <w:tblLook w:val="04A0" w:firstRow="1" w:lastRow="0" w:firstColumn="1" w:lastColumn="0" w:noHBand="0" w:noVBand="1"/>
      </w:tblPr>
      <w:tblGrid>
        <w:gridCol w:w="4531"/>
        <w:gridCol w:w="4488"/>
      </w:tblGrid>
      <w:tr w:rsidR="0049441E" w:rsidRPr="00A143C3" w14:paraId="11647D11" w14:textId="77777777" w:rsidTr="0049441E">
        <w:trPr>
          <w:trHeight w:val="300"/>
        </w:trPr>
        <w:tc>
          <w:tcPr>
            <w:tcW w:w="2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D9DE"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Treatment</w:t>
            </w:r>
          </w:p>
        </w:tc>
        <w:tc>
          <w:tcPr>
            <w:tcW w:w="2488" w:type="pct"/>
            <w:tcBorders>
              <w:top w:val="single" w:sz="4" w:space="0" w:color="auto"/>
              <w:left w:val="nil"/>
              <w:bottom w:val="single" w:sz="4" w:space="0" w:color="auto"/>
              <w:right w:val="single" w:sz="4" w:space="0" w:color="auto"/>
            </w:tcBorders>
            <w:shd w:val="clear" w:color="auto" w:fill="auto"/>
            <w:noWrap/>
            <w:vAlign w:val="center"/>
            <w:hideMark/>
          </w:tcPr>
          <w:p w14:paraId="7B9800D2"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Probability of treatment being best</w:t>
            </w:r>
          </w:p>
        </w:tc>
      </w:tr>
      <w:tr w:rsidR="0049441E" w:rsidRPr="00A143C3" w14:paraId="2C4F226E" w14:textId="77777777" w:rsidTr="0049441E">
        <w:trPr>
          <w:trHeight w:val="300"/>
        </w:trPr>
        <w:tc>
          <w:tcPr>
            <w:tcW w:w="2512" w:type="pct"/>
            <w:tcBorders>
              <w:top w:val="nil"/>
              <w:left w:val="single" w:sz="4" w:space="0" w:color="auto"/>
              <w:bottom w:val="single" w:sz="4" w:space="0" w:color="auto"/>
              <w:right w:val="single" w:sz="4" w:space="0" w:color="auto"/>
            </w:tcBorders>
            <w:shd w:val="clear" w:color="000000" w:fill="C6EFCE"/>
            <w:noWrap/>
            <w:vAlign w:val="center"/>
            <w:hideMark/>
          </w:tcPr>
          <w:p w14:paraId="571EA38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lastRenderedPageBreak/>
              <w:t>Tedizolid</w:t>
            </w:r>
          </w:p>
        </w:tc>
        <w:tc>
          <w:tcPr>
            <w:tcW w:w="2488" w:type="pct"/>
            <w:tcBorders>
              <w:top w:val="nil"/>
              <w:left w:val="nil"/>
              <w:bottom w:val="single" w:sz="4" w:space="0" w:color="auto"/>
              <w:right w:val="single" w:sz="4" w:space="0" w:color="auto"/>
            </w:tcBorders>
            <w:shd w:val="clear" w:color="000000" w:fill="C6EFCE"/>
            <w:noWrap/>
            <w:vAlign w:val="center"/>
            <w:hideMark/>
          </w:tcPr>
          <w:p w14:paraId="4D75692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0.35</w:t>
            </w:r>
          </w:p>
        </w:tc>
      </w:tr>
      <w:tr w:rsidR="0049441E" w:rsidRPr="00A143C3" w14:paraId="55F0F60C"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72E8B11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Telavancin</w:t>
            </w:r>
          </w:p>
        </w:tc>
        <w:tc>
          <w:tcPr>
            <w:tcW w:w="2488" w:type="pct"/>
            <w:tcBorders>
              <w:top w:val="nil"/>
              <w:left w:val="nil"/>
              <w:bottom w:val="single" w:sz="4" w:space="0" w:color="auto"/>
              <w:right w:val="single" w:sz="4" w:space="0" w:color="auto"/>
            </w:tcBorders>
            <w:shd w:val="clear" w:color="auto" w:fill="auto"/>
            <w:noWrap/>
            <w:vAlign w:val="center"/>
            <w:hideMark/>
          </w:tcPr>
          <w:p w14:paraId="63DDFAF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0.21</w:t>
            </w:r>
          </w:p>
        </w:tc>
      </w:tr>
      <w:tr w:rsidR="0049441E" w:rsidRPr="00A143C3" w14:paraId="7C4E0366"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181C05ED"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Linezolid</w:t>
            </w:r>
          </w:p>
        </w:tc>
        <w:tc>
          <w:tcPr>
            <w:tcW w:w="2488" w:type="pct"/>
            <w:tcBorders>
              <w:top w:val="nil"/>
              <w:left w:val="nil"/>
              <w:bottom w:val="single" w:sz="4" w:space="0" w:color="auto"/>
              <w:right w:val="single" w:sz="4" w:space="0" w:color="auto"/>
            </w:tcBorders>
            <w:shd w:val="clear" w:color="auto" w:fill="auto"/>
            <w:noWrap/>
            <w:vAlign w:val="center"/>
            <w:hideMark/>
          </w:tcPr>
          <w:p w14:paraId="061C073B"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0.21</w:t>
            </w:r>
          </w:p>
        </w:tc>
      </w:tr>
      <w:tr w:rsidR="0049441E" w:rsidRPr="00A143C3" w14:paraId="113E2EF1"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57E55D42"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Ceftaroline</w:t>
            </w:r>
          </w:p>
        </w:tc>
        <w:tc>
          <w:tcPr>
            <w:tcW w:w="2488" w:type="pct"/>
            <w:tcBorders>
              <w:top w:val="nil"/>
              <w:left w:val="nil"/>
              <w:bottom w:val="single" w:sz="4" w:space="0" w:color="auto"/>
              <w:right w:val="single" w:sz="4" w:space="0" w:color="auto"/>
            </w:tcBorders>
            <w:shd w:val="clear" w:color="auto" w:fill="auto"/>
            <w:noWrap/>
            <w:vAlign w:val="center"/>
            <w:hideMark/>
          </w:tcPr>
          <w:p w14:paraId="15379AE6"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0.12</w:t>
            </w:r>
          </w:p>
        </w:tc>
      </w:tr>
      <w:tr w:rsidR="0049441E" w:rsidRPr="00A143C3" w14:paraId="14E8ED38"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199B8EA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Daptomycin</w:t>
            </w:r>
          </w:p>
        </w:tc>
        <w:tc>
          <w:tcPr>
            <w:tcW w:w="2488" w:type="pct"/>
            <w:tcBorders>
              <w:top w:val="nil"/>
              <w:left w:val="nil"/>
              <w:bottom w:val="single" w:sz="4" w:space="0" w:color="auto"/>
              <w:right w:val="single" w:sz="4" w:space="0" w:color="auto"/>
            </w:tcBorders>
            <w:shd w:val="clear" w:color="auto" w:fill="auto"/>
            <w:noWrap/>
            <w:vAlign w:val="center"/>
            <w:hideMark/>
          </w:tcPr>
          <w:p w14:paraId="7FBD1C05"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0.09</w:t>
            </w:r>
          </w:p>
        </w:tc>
      </w:tr>
      <w:tr w:rsidR="0049441E" w:rsidRPr="00A143C3" w14:paraId="1E482CD6"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46E14B7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Tigecycline</w:t>
            </w:r>
          </w:p>
        </w:tc>
        <w:tc>
          <w:tcPr>
            <w:tcW w:w="2488" w:type="pct"/>
            <w:tcBorders>
              <w:top w:val="nil"/>
              <w:left w:val="nil"/>
              <w:bottom w:val="single" w:sz="4" w:space="0" w:color="auto"/>
              <w:right w:val="single" w:sz="4" w:space="0" w:color="auto"/>
            </w:tcBorders>
            <w:shd w:val="clear" w:color="auto" w:fill="auto"/>
            <w:noWrap/>
            <w:vAlign w:val="center"/>
            <w:hideMark/>
          </w:tcPr>
          <w:p w14:paraId="4C1A0BE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0.02</w:t>
            </w:r>
          </w:p>
        </w:tc>
      </w:tr>
      <w:tr w:rsidR="0049441E" w:rsidRPr="00A143C3" w14:paraId="0AA16A1D" w14:textId="77777777" w:rsidTr="0049441E">
        <w:trPr>
          <w:trHeight w:val="300"/>
        </w:trPr>
        <w:tc>
          <w:tcPr>
            <w:tcW w:w="2512" w:type="pct"/>
            <w:tcBorders>
              <w:top w:val="nil"/>
              <w:left w:val="single" w:sz="4" w:space="0" w:color="auto"/>
              <w:bottom w:val="single" w:sz="4" w:space="0" w:color="auto"/>
              <w:right w:val="single" w:sz="4" w:space="0" w:color="auto"/>
            </w:tcBorders>
            <w:shd w:val="clear" w:color="auto" w:fill="auto"/>
            <w:noWrap/>
            <w:vAlign w:val="center"/>
            <w:hideMark/>
          </w:tcPr>
          <w:p w14:paraId="51ECC7E3"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Vancomycin</w:t>
            </w:r>
          </w:p>
        </w:tc>
        <w:tc>
          <w:tcPr>
            <w:tcW w:w="2488" w:type="pct"/>
            <w:tcBorders>
              <w:top w:val="nil"/>
              <w:left w:val="nil"/>
              <w:bottom w:val="single" w:sz="4" w:space="0" w:color="auto"/>
              <w:right w:val="single" w:sz="4" w:space="0" w:color="auto"/>
            </w:tcBorders>
            <w:shd w:val="clear" w:color="auto" w:fill="auto"/>
            <w:noWrap/>
            <w:vAlign w:val="center"/>
            <w:hideMark/>
          </w:tcPr>
          <w:p w14:paraId="03BD278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0.00</w:t>
            </w:r>
          </w:p>
        </w:tc>
      </w:tr>
    </w:tbl>
    <w:p w14:paraId="6D70A3BD" w14:textId="77777777" w:rsidR="0049441E" w:rsidRPr="009809B9" w:rsidRDefault="0049441E" w:rsidP="0049441E">
      <w:pPr>
        <w:pStyle w:val="ReportText"/>
        <w:spacing w:line="240" w:lineRule="auto"/>
        <w:rPr>
          <w:rFonts w:cs="Arial"/>
          <w:sz w:val="16"/>
          <w:szCs w:val="16"/>
        </w:rPr>
      </w:pPr>
      <w:r w:rsidRPr="009809B9">
        <w:rPr>
          <w:rFonts w:cs="Arial"/>
          <w:sz w:val="16"/>
          <w:szCs w:val="16"/>
        </w:rPr>
        <w:t>Green cells indicate treatment with the highest estimated probability of being the best treatment.</w:t>
      </w:r>
    </w:p>
    <w:p w14:paraId="15467543" w14:textId="77777777" w:rsidR="0049441E" w:rsidRPr="00A143C3" w:rsidRDefault="0049441E" w:rsidP="0049441E">
      <w:pPr>
        <w:rPr>
          <w:rFonts w:cs="Arial"/>
          <w:sz w:val="22"/>
          <w:szCs w:val="22"/>
        </w:rPr>
      </w:pPr>
    </w:p>
    <w:p w14:paraId="4B0D3885" w14:textId="77777777" w:rsidR="0049441E" w:rsidRPr="0054384C" w:rsidRDefault="0049441E" w:rsidP="0049441E">
      <w:pPr>
        <w:rPr>
          <w:rFonts w:eastAsia="Times New Roman" w:cs="Arial"/>
          <w:b/>
          <w:bCs/>
          <w:i/>
          <w:iCs/>
          <w:caps/>
          <w:sz w:val="22"/>
          <w:szCs w:val="22"/>
        </w:rPr>
      </w:pPr>
      <w:bookmarkStart w:id="413" w:name="_Toc405365484"/>
      <w:r w:rsidRPr="0054384C">
        <w:rPr>
          <w:rFonts w:cs="Arial"/>
          <w:b/>
          <w:i/>
          <w:sz w:val="22"/>
          <w:szCs w:val="22"/>
        </w:rPr>
        <w:t>Random Effects Model</w:t>
      </w:r>
      <w:bookmarkEnd w:id="413"/>
    </w:p>
    <w:p w14:paraId="553E3476" w14:textId="77777777" w:rsidR="0049441E" w:rsidRPr="00A143C3" w:rsidRDefault="0049441E" w:rsidP="0049441E">
      <w:pPr>
        <w:rPr>
          <w:rFonts w:cs="Arial"/>
          <w:sz w:val="22"/>
          <w:szCs w:val="22"/>
        </w:rPr>
      </w:pPr>
    </w:p>
    <w:p w14:paraId="3325E354" w14:textId="77777777" w:rsidR="00151A1C" w:rsidRDefault="0049441E" w:rsidP="0049441E">
      <w:pPr>
        <w:pStyle w:val="Caption"/>
        <w:jc w:val="left"/>
      </w:pPr>
      <w:r w:rsidRPr="00A143C3">
        <w:rPr>
          <w:rFonts w:cs="Arial"/>
          <w:szCs w:val="22"/>
        </w:rPr>
        <w:t>The forest plots for the random effects model of the NMA are presented as tedizolid versus all other treatments (</w:t>
      </w:r>
      <w:r>
        <w:rPr>
          <w:rFonts w:cs="Arial"/>
          <w:szCs w:val="22"/>
        </w:rPr>
        <w:fldChar w:fldCharType="begin"/>
      </w:r>
      <w:r>
        <w:rPr>
          <w:rFonts w:cs="Arial"/>
          <w:szCs w:val="22"/>
        </w:rPr>
        <w:instrText xml:space="preserve"> REF _Ref282268268 \h </w:instrText>
      </w:r>
      <w:r>
        <w:rPr>
          <w:rFonts w:cs="Arial"/>
          <w:szCs w:val="22"/>
        </w:rPr>
      </w:r>
      <w:r>
        <w:rPr>
          <w:rFonts w:cs="Arial"/>
          <w:szCs w:val="22"/>
        </w:rPr>
        <w:fldChar w:fldCharType="separate"/>
      </w:r>
    </w:p>
    <w:p w14:paraId="4E6F6D28" w14:textId="77777777" w:rsidR="0049441E" w:rsidRPr="00A143C3" w:rsidRDefault="00151A1C" w:rsidP="0049441E">
      <w:pPr>
        <w:pStyle w:val="ReportText"/>
        <w:spacing w:line="240" w:lineRule="auto"/>
        <w:rPr>
          <w:rFonts w:cs="Arial"/>
          <w:szCs w:val="22"/>
        </w:rPr>
      </w:pPr>
      <w:r w:rsidRPr="00EA66DB">
        <w:rPr>
          <w:rFonts w:cs="Arial"/>
          <w:szCs w:val="22"/>
        </w:rPr>
        <w:t xml:space="preserve">Figure </w:t>
      </w:r>
      <w:r>
        <w:rPr>
          <w:rFonts w:cs="Arial"/>
          <w:noProof/>
          <w:szCs w:val="22"/>
        </w:rPr>
        <w:t>24</w:t>
      </w:r>
      <w:r w:rsidR="0049441E">
        <w:rPr>
          <w:rFonts w:cs="Arial"/>
          <w:szCs w:val="22"/>
        </w:rPr>
        <w:fldChar w:fldCharType="end"/>
      </w:r>
      <w:r w:rsidR="0049441E" w:rsidRPr="00A143C3">
        <w:rPr>
          <w:rFonts w:cs="Arial"/>
          <w:szCs w:val="22"/>
        </w:rPr>
        <w:t>).</w:t>
      </w:r>
    </w:p>
    <w:p w14:paraId="23BB6CA7" w14:textId="77777777" w:rsidR="0049441E" w:rsidRPr="00A143C3" w:rsidRDefault="0049441E" w:rsidP="0049441E">
      <w:pPr>
        <w:pStyle w:val="ProposalText"/>
        <w:spacing w:line="240" w:lineRule="auto"/>
        <w:rPr>
          <w:rFonts w:cs="Arial"/>
          <w:szCs w:val="22"/>
          <w:lang w:val="en-US"/>
        </w:rPr>
      </w:pPr>
    </w:p>
    <w:p w14:paraId="28E1D8D1" w14:textId="77777777" w:rsidR="00F257FE" w:rsidRDefault="00F257FE" w:rsidP="0049441E">
      <w:pPr>
        <w:pStyle w:val="Caption"/>
        <w:jc w:val="left"/>
      </w:pPr>
      <w:bookmarkStart w:id="414" w:name="_Ref282268268"/>
      <w:bookmarkStart w:id="415" w:name="_Ref282268251"/>
    </w:p>
    <w:p w14:paraId="1440A45B" w14:textId="77777777" w:rsidR="0049441E" w:rsidRPr="00EA66DB" w:rsidRDefault="0049441E" w:rsidP="0049441E">
      <w:pPr>
        <w:pStyle w:val="Caption"/>
        <w:jc w:val="left"/>
        <w:rPr>
          <w:rStyle w:val="Authors"/>
          <w:rFonts w:cs="Arial"/>
          <w:sz w:val="22"/>
          <w:szCs w:val="22"/>
        </w:rPr>
      </w:pPr>
      <w:r w:rsidRPr="00EA66DB">
        <w:rPr>
          <w:rFonts w:ascii="Arial" w:hAnsi="Arial" w:cs="Arial"/>
          <w:sz w:val="22"/>
          <w:szCs w:val="22"/>
        </w:rPr>
        <w:t xml:space="preserve">Figure </w:t>
      </w:r>
      <w:r w:rsidRPr="00EA66DB">
        <w:rPr>
          <w:rFonts w:ascii="Arial" w:hAnsi="Arial" w:cs="Arial"/>
          <w:sz w:val="22"/>
          <w:szCs w:val="22"/>
        </w:rPr>
        <w:fldChar w:fldCharType="begin"/>
      </w:r>
      <w:r w:rsidRPr="00EA66DB">
        <w:rPr>
          <w:rFonts w:ascii="Arial" w:hAnsi="Arial" w:cs="Arial"/>
          <w:sz w:val="22"/>
          <w:szCs w:val="22"/>
        </w:rPr>
        <w:instrText xml:space="preserve"> SEQ Figure \* ARABIC </w:instrText>
      </w:r>
      <w:r w:rsidRPr="00EA66DB">
        <w:rPr>
          <w:rFonts w:ascii="Arial" w:hAnsi="Arial" w:cs="Arial"/>
          <w:sz w:val="22"/>
          <w:szCs w:val="22"/>
        </w:rPr>
        <w:fldChar w:fldCharType="separate"/>
      </w:r>
      <w:r w:rsidR="00151A1C">
        <w:rPr>
          <w:rFonts w:ascii="Arial" w:hAnsi="Arial" w:cs="Arial"/>
          <w:noProof/>
          <w:sz w:val="22"/>
          <w:szCs w:val="22"/>
        </w:rPr>
        <w:t>24</w:t>
      </w:r>
      <w:r w:rsidRPr="00EA66DB">
        <w:rPr>
          <w:rFonts w:ascii="Arial" w:hAnsi="Arial" w:cs="Arial"/>
          <w:sz w:val="22"/>
          <w:szCs w:val="22"/>
        </w:rPr>
        <w:fldChar w:fldCharType="end"/>
      </w:r>
      <w:bookmarkEnd w:id="414"/>
      <w:r w:rsidRPr="00EA66DB">
        <w:rPr>
          <w:rFonts w:ascii="Arial" w:hAnsi="Arial" w:cs="Arial"/>
          <w:sz w:val="22"/>
          <w:szCs w:val="22"/>
        </w:rPr>
        <w:t>: Post-hoc analysis: Clinical response at the post treatment evaluation or test of cure: MRSA only population. Odds ratios (random effects model)</w:t>
      </w:r>
      <w:bookmarkEnd w:id="415"/>
    </w:p>
    <w:p w14:paraId="0EEDEDAF" w14:textId="77777777" w:rsidR="0049441E" w:rsidRPr="00A143C3" w:rsidRDefault="0049441E" w:rsidP="0049441E">
      <w:pPr>
        <w:pStyle w:val="ProposalText"/>
        <w:spacing w:line="240" w:lineRule="auto"/>
        <w:rPr>
          <w:rStyle w:val="Authors"/>
          <w:rFonts w:cs="Arial"/>
          <w:szCs w:val="22"/>
        </w:rPr>
      </w:pPr>
    </w:p>
    <w:p w14:paraId="58C41602" w14:textId="77777777" w:rsidR="0049441E" w:rsidRPr="00A143C3" w:rsidRDefault="0049441E" w:rsidP="0049441E">
      <w:pPr>
        <w:pStyle w:val="ProposalText"/>
        <w:spacing w:line="240" w:lineRule="auto"/>
        <w:rPr>
          <w:rStyle w:val="Authors"/>
          <w:rFonts w:cs="Arial"/>
          <w:szCs w:val="22"/>
        </w:rPr>
      </w:pPr>
      <w:r w:rsidRPr="00A143C3">
        <w:rPr>
          <w:rFonts w:cs="Arial"/>
          <w:noProof/>
          <w:szCs w:val="22"/>
          <w:lang w:eastAsia="en-GB"/>
        </w:rPr>
        <w:lastRenderedPageBreak/>
        <w:drawing>
          <wp:inline distT="0" distB="0" distL="0" distR="0" wp14:anchorId="355C9FBF" wp14:editId="3D692ED0">
            <wp:extent cx="5797550" cy="3687445"/>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98232" cy="3687879"/>
                    </a:xfrm>
                    <a:prstGeom prst="rect">
                      <a:avLst/>
                    </a:prstGeom>
                  </pic:spPr>
                </pic:pic>
              </a:graphicData>
            </a:graphic>
          </wp:inline>
        </w:drawing>
      </w:r>
    </w:p>
    <w:p w14:paraId="758D36D8" w14:textId="77777777" w:rsidR="0049441E" w:rsidRPr="00A143C3" w:rsidRDefault="0049441E" w:rsidP="0049441E">
      <w:pPr>
        <w:pStyle w:val="ReportText"/>
        <w:spacing w:line="240" w:lineRule="auto"/>
        <w:rPr>
          <w:rFonts w:cs="Arial"/>
          <w:szCs w:val="22"/>
        </w:rPr>
      </w:pPr>
    </w:p>
    <w:p w14:paraId="457E00CB" w14:textId="77777777" w:rsidR="0049441E" w:rsidRPr="00A143C3" w:rsidRDefault="0049441E" w:rsidP="0049441E">
      <w:pPr>
        <w:pStyle w:val="ReportText"/>
        <w:spacing w:line="240" w:lineRule="auto"/>
        <w:rPr>
          <w:rFonts w:cs="Arial"/>
          <w:szCs w:val="22"/>
        </w:rPr>
      </w:pPr>
      <w:r w:rsidRPr="00A143C3">
        <w:rPr>
          <w:rFonts w:cs="Arial"/>
          <w:szCs w:val="22"/>
        </w:rPr>
        <w:t>Similarly to the results obtained for the fixed effect model, all CrI include 1.</w:t>
      </w:r>
    </w:p>
    <w:p w14:paraId="0DF13D32" w14:textId="77777777" w:rsidR="0049441E" w:rsidRPr="00A143C3" w:rsidRDefault="0049441E" w:rsidP="0049441E">
      <w:pPr>
        <w:pStyle w:val="ReportText"/>
        <w:spacing w:line="240" w:lineRule="auto"/>
        <w:rPr>
          <w:rFonts w:cs="Arial"/>
          <w:szCs w:val="22"/>
        </w:rPr>
      </w:pPr>
    </w:p>
    <w:p w14:paraId="7AC56BA5" w14:textId="77777777" w:rsidR="0049441E" w:rsidRPr="00F52684" w:rsidRDefault="0049441E" w:rsidP="0049441E">
      <w:pPr>
        <w:pStyle w:val="ReportText"/>
        <w:spacing w:line="240" w:lineRule="auto"/>
        <w:jc w:val="left"/>
      </w:pPr>
      <w:r w:rsidRPr="00A143C3">
        <w:rPr>
          <w:rFonts w:cs="Arial"/>
          <w:szCs w:val="22"/>
        </w:rPr>
        <w:t xml:space="preserve">A matrix table including point estimates of the odds ratios accompanied by 95% CrI for all available treatment comparisons is shown in </w:t>
      </w:r>
      <w:r>
        <w:rPr>
          <w:rFonts w:cs="Arial"/>
          <w:szCs w:val="22"/>
        </w:rPr>
        <w:fldChar w:fldCharType="begin"/>
      </w:r>
      <w:r>
        <w:rPr>
          <w:rFonts w:cs="Arial"/>
          <w:szCs w:val="22"/>
        </w:rPr>
        <w:instrText xml:space="preserve"> REF _Ref282268359 \h </w:instrText>
      </w:r>
      <w:r>
        <w:rPr>
          <w:rFonts w:cs="Arial"/>
          <w:szCs w:val="22"/>
        </w:rPr>
      </w:r>
      <w:r>
        <w:rPr>
          <w:rFonts w:cs="Arial"/>
          <w:szCs w:val="22"/>
        </w:rPr>
        <w:fldChar w:fldCharType="separate"/>
      </w:r>
      <w:r w:rsidR="00151A1C" w:rsidRPr="00F12212">
        <w:rPr>
          <w:rFonts w:cs="Arial"/>
          <w:szCs w:val="22"/>
        </w:rPr>
        <w:t xml:space="preserve">Table </w:t>
      </w:r>
      <w:r w:rsidR="00151A1C">
        <w:rPr>
          <w:rFonts w:cs="Arial"/>
          <w:noProof/>
          <w:szCs w:val="22"/>
        </w:rPr>
        <w:t>90</w:t>
      </w:r>
      <w:r>
        <w:rPr>
          <w:rFonts w:cs="Arial"/>
          <w:szCs w:val="22"/>
        </w:rPr>
        <w:fldChar w:fldCharType="end"/>
      </w:r>
      <w:r>
        <w:rPr>
          <w:rFonts w:cs="Arial"/>
          <w:szCs w:val="22"/>
        </w:rPr>
        <w:t xml:space="preserve"> </w:t>
      </w:r>
      <w:r w:rsidRPr="00A143C3">
        <w:rPr>
          <w:rFonts w:cs="Arial"/>
          <w:szCs w:val="22"/>
        </w:rPr>
        <w:t xml:space="preserve">for the random effects model.  </w:t>
      </w:r>
      <w:r>
        <w:t>The only difference in conclusions from the fixed effect model is that the CrI for the linezolid versus vancomycin comparison did not include 1 for the fixed effect model.</w:t>
      </w:r>
    </w:p>
    <w:p w14:paraId="02BF99E6" w14:textId="77777777" w:rsidR="0049441E" w:rsidRPr="00A143C3" w:rsidRDefault="0049441E" w:rsidP="0049441E">
      <w:pPr>
        <w:pStyle w:val="ReportText"/>
        <w:spacing w:line="240" w:lineRule="auto"/>
        <w:rPr>
          <w:rFonts w:cs="Arial"/>
          <w:szCs w:val="22"/>
        </w:rPr>
      </w:pPr>
    </w:p>
    <w:p w14:paraId="0B7FB0E6" w14:textId="77777777" w:rsidR="0049441E" w:rsidRPr="00A143C3" w:rsidRDefault="0049441E" w:rsidP="0049441E">
      <w:pPr>
        <w:pStyle w:val="ReportText"/>
        <w:spacing w:line="240" w:lineRule="auto"/>
        <w:rPr>
          <w:rFonts w:cs="Arial"/>
          <w:szCs w:val="22"/>
          <w:lang w:val="en-US"/>
        </w:rPr>
      </w:pPr>
    </w:p>
    <w:p w14:paraId="3CB21EB4" w14:textId="77777777" w:rsidR="0049441E" w:rsidRPr="00A143C3" w:rsidRDefault="0049441E" w:rsidP="0049441E">
      <w:pPr>
        <w:pStyle w:val="ProposalText"/>
        <w:spacing w:line="240" w:lineRule="auto"/>
        <w:rPr>
          <w:rStyle w:val="Authors"/>
          <w:rFonts w:cs="Arial"/>
          <w:szCs w:val="22"/>
        </w:rPr>
        <w:sectPr w:rsidR="0049441E" w:rsidRPr="00A143C3" w:rsidSect="00917DF6">
          <w:pgSz w:w="11909" w:h="16834" w:code="9"/>
          <w:pgMar w:top="1440" w:right="1440" w:bottom="1440" w:left="1440" w:header="720" w:footer="221" w:gutter="0"/>
          <w:cols w:space="720"/>
          <w:titlePg/>
          <w:docGrid w:linePitch="326"/>
        </w:sectPr>
      </w:pPr>
    </w:p>
    <w:p w14:paraId="1850C43D" w14:textId="77777777" w:rsidR="0049441E" w:rsidRPr="00F12212" w:rsidRDefault="0049441E" w:rsidP="0049441E">
      <w:pPr>
        <w:pStyle w:val="Caption"/>
        <w:rPr>
          <w:rFonts w:ascii="Arial" w:hAnsi="Arial" w:cs="Arial"/>
          <w:sz w:val="22"/>
          <w:szCs w:val="22"/>
        </w:rPr>
      </w:pPr>
      <w:bookmarkStart w:id="416" w:name="_Ref282268359"/>
      <w:r w:rsidRPr="00F12212">
        <w:rPr>
          <w:rFonts w:ascii="Arial" w:hAnsi="Arial" w:cs="Arial"/>
          <w:sz w:val="22"/>
          <w:szCs w:val="22"/>
        </w:rPr>
        <w:lastRenderedPageBreak/>
        <w:t xml:space="preserve">Table </w:t>
      </w:r>
      <w:r w:rsidRPr="00F12212">
        <w:rPr>
          <w:rFonts w:ascii="Arial" w:hAnsi="Arial" w:cs="Arial"/>
          <w:sz w:val="22"/>
          <w:szCs w:val="22"/>
        </w:rPr>
        <w:fldChar w:fldCharType="begin"/>
      </w:r>
      <w:r w:rsidRPr="00F12212">
        <w:rPr>
          <w:rFonts w:ascii="Arial" w:hAnsi="Arial" w:cs="Arial"/>
          <w:sz w:val="22"/>
          <w:szCs w:val="22"/>
        </w:rPr>
        <w:instrText xml:space="preserve"> SEQ Table \* ARABIC </w:instrText>
      </w:r>
      <w:r w:rsidRPr="00F12212">
        <w:rPr>
          <w:rFonts w:ascii="Arial" w:hAnsi="Arial" w:cs="Arial"/>
          <w:sz w:val="22"/>
          <w:szCs w:val="22"/>
        </w:rPr>
        <w:fldChar w:fldCharType="separate"/>
      </w:r>
      <w:r w:rsidR="00151A1C">
        <w:rPr>
          <w:rFonts w:ascii="Arial" w:hAnsi="Arial" w:cs="Arial"/>
          <w:noProof/>
          <w:sz w:val="22"/>
          <w:szCs w:val="22"/>
        </w:rPr>
        <w:t>90</w:t>
      </w:r>
      <w:r w:rsidRPr="00F12212">
        <w:rPr>
          <w:rFonts w:ascii="Arial" w:hAnsi="Arial" w:cs="Arial"/>
          <w:sz w:val="22"/>
          <w:szCs w:val="22"/>
        </w:rPr>
        <w:fldChar w:fldCharType="end"/>
      </w:r>
      <w:bookmarkEnd w:id="416"/>
      <w:r w:rsidRPr="00F12212">
        <w:rPr>
          <w:rFonts w:ascii="Arial" w:hAnsi="Arial" w:cs="Arial"/>
          <w:sz w:val="22"/>
          <w:szCs w:val="22"/>
        </w:rPr>
        <w:t>: Post-hoc analysis: Clinical response at the post treatment evaluation or test of cure: MRSA only population. Odds ratios and 95% CrI (random effects model)</w:t>
      </w:r>
    </w:p>
    <w:p w14:paraId="6D850F15" w14:textId="77777777" w:rsidR="0049441E" w:rsidRPr="00A143C3" w:rsidRDefault="0049441E" w:rsidP="0049441E">
      <w:pPr>
        <w:pStyle w:val="ProposalText"/>
        <w:spacing w:line="240" w:lineRule="auto"/>
        <w:rPr>
          <w:rStyle w:val="Authors"/>
          <w:rFonts w:cs="Arial"/>
          <w:szCs w:val="22"/>
        </w:rPr>
      </w:pPr>
    </w:p>
    <w:tbl>
      <w:tblPr>
        <w:tblW w:w="5000" w:type="pct"/>
        <w:tblLook w:val="04A0" w:firstRow="1" w:lastRow="0" w:firstColumn="1" w:lastColumn="0" w:noHBand="0" w:noVBand="1"/>
      </w:tblPr>
      <w:tblGrid>
        <w:gridCol w:w="2163"/>
        <w:gridCol w:w="1832"/>
        <w:gridCol w:w="1689"/>
        <w:gridCol w:w="1689"/>
        <w:gridCol w:w="1562"/>
        <w:gridCol w:w="1684"/>
        <w:gridCol w:w="1689"/>
        <w:gridCol w:w="1636"/>
      </w:tblGrid>
      <w:tr w:rsidR="0049441E" w:rsidRPr="00A143C3" w14:paraId="1DBD8923" w14:textId="77777777" w:rsidTr="0049441E">
        <w:trPr>
          <w:trHeight w:val="300"/>
        </w:trPr>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77F1" w14:textId="77777777" w:rsidR="0049441E" w:rsidRPr="00A143C3" w:rsidRDefault="0049441E" w:rsidP="0049441E">
            <w:pPr>
              <w:rPr>
                <w:rFonts w:eastAsia="Times New Roman" w:cs="Arial"/>
                <w:b/>
                <w:szCs w:val="22"/>
                <w:lang w:eastAsia="en-GB"/>
              </w:rPr>
            </w:pPr>
            <w:r w:rsidRPr="00A143C3">
              <w:rPr>
                <w:rFonts w:eastAsia="Times New Roman" w:cs="Arial"/>
                <w:b/>
                <w:sz w:val="22"/>
                <w:szCs w:val="22"/>
                <w:lang w:eastAsia="en-GB"/>
              </w:rPr>
              <w:t>Treatments</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3B260DD3"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Tedizolid</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3DED371D"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Ceftaroline</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506816BF"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Daptomycin</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43D749A"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Linezolid</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4AF2246"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Telavancin</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4DC2813D"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Tigecycline</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39E4E8A3" w14:textId="77777777" w:rsidR="0049441E" w:rsidRPr="00A143C3" w:rsidRDefault="0049441E" w:rsidP="0049441E">
            <w:pPr>
              <w:jc w:val="center"/>
              <w:rPr>
                <w:rFonts w:eastAsia="Times New Roman" w:cs="Arial"/>
                <w:b/>
                <w:szCs w:val="22"/>
                <w:lang w:eastAsia="en-GB"/>
              </w:rPr>
            </w:pPr>
            <w:r w:rsidRPr="00A143C3">
              <w:rPr>
                <w:rFonts w:eastAsia="Times New Roman" w:cs="Arial"/>
                <w:b/>
                <w:sz w:val="22"/>
                <w:szCs w:val="22"/>
                <w:lang w:eastAsia="en-GB"/>
              </w:rPr>
              <w:t>Vancomycin</w:t>
            </w:r>
          </w:p>
        </w:tc>
      </w:tr>
      <w:tr w:rsidR="0049441E" w:rsidRPr="00A143C3" w14:paraId="3DE364F4"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0B42C7FA"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Tedizolid</w:t>
            </w:r>
          </w:p>
        </w:tc>
        <w:tc>
          <w:tcPr>
            <w:tcW w:w="660" w:type="pct"/>
            <w:tcBorders>
              <w:top w:val="nil"/>
              <w:left w:val="nil"/>
              <w:bottom w:val="single" w:sz="4" w:space="0" w:color="auto"/>
              <w:right w:val="single" w:sz="4" w:space="0" w:color="auto"/>
            </w:tcBorders>
            <w:shd w:val="clear" w:color="auto" w:fill="auto"/>
            <w:noWrap/>
            <w:vAlign w:val="center"/>
            <w:hideMark/>
          </w:tcPr>
          <w:p w14:paraId="1BFE878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609" w:type="pct"/>
            <w:tcBorders>
              <w:top w:val="nil"/>
              <w:left w:val="nil"/>
              <w:bottom w:val="single" w:sz="4" w:space="0" w:color="auto"/>
              <w:right w:val="single" w:sz="4" w:space="0" w:color="auto"/>
            </w:tcBorders>
            <w:shd w:val="clear" w:color="auto" w:fill="auto"/>
            <w:noWrap/>
            <w:vAlign w:val="center"/>
            <w:hideMark/>
          </w:tcPr>
          <w:p w14:paraId="0EA136D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2.4 [0.1, 257.9]</w:t>
            </w:r>
          </w:p>
        </w:tc>
        <w:tc>
          <w:tcPr>
            <w:tcW w:w="609" w:type="pct"/>
            <w:tcBorders>
              <w:top w:val="nil"/>
              <w:left w:val="nil"/>
              <w:bottom w:val="single" w:sz="4" w:space="0" w:color="auto"/>
              <w:right w:val="single" w:sz="4" w:space="0" w:color="auto"/>
            </w:tcBorders>
            <w:shd w:val="clear" w:color="auto" w:fill="auto"/>
            <w:noWrap/>
            <w:vAlign w:val="center"/>
            <w:hideMark/>
          </w:tcPr>
          <w:p w14:paraId="59C244F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2.9 [0.0, 265.5]</w:t>
            </w:r>
          </w:p>
        </w:tc>
        <w:tc>
          <w:tcPr>
            <w:tcW w:w="559" w:type="pct"/>
            <w:tcBorders>
              <w:top w:val="nil"/>
              <w:left w:val="nil"/>
              <w:bottom w:val="single" w:sz="4" w:space="0" w:color="auto"/>
              <w:right w:val="single" w:sz="4" w:space="0" w:color="auto"/>
            </w:tcBorders>
            <w:shd w:val="clear" w:color="auto" w:fill="auto"/>
            <w:noWrap/>
            <w:vAlign w:val="center"/>
            <w:hideMark/>
          </w:tcPr>
          <w:p w14:paraId="0CDD075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1.0 [0.1, 16.1]</w:t>
            </w:r>
          </w:p>
        </w:tc>
        <w:tc>
          <w:tcPr>
            <w:tcW w:w="583" w:type="pct"/>
            <w:tcBorders>
              <w:top w:val="nil"/>
              <w:left w:val="nil"/>
              <w:bottom w:val="single" w:sz="4" w:space="0" w:color="auto"/>
              <w:right w:val="single" w:sz="4" w:space="0" w:color="auto"/>
            </w:tcBorders>
            <w:shd w:val="clear" w:color="auto" w:fill="auto"/>
            <w:noWrap/>
            <w:vAlign w:val="center"/>
            <w:hideMark/>
          </w:tcPr>
          <w:p w14:paraId="1670146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1.4 [0.0, 114.5]</w:t>
            </w:r>
          </w:p>
        </w:tc>
        <w:tc>
          <w:tcPr>
            <w:tcW w:w="609" w:type="pct"/>
            <w:tcBorders>
              <w:top w:val="nil"/>
              <w:left w:val="nil"/>
              <w:bottom w:val="single" w:sz="4" w:space="0" w:color="auto"/>
              <w:right w:val="single" w:sz="4" w:space="0" w:color="auto"/>
            </w:tcBorders>
            <w:shd w:val="clear" w:color="auto" w:fill="auto"/>
            <w:noWrap/>
            <w:vAlign w:val="center"/>
            <w:hideMark/>
          </w:tcPr>
          <w:p w14:paraId="64CBDEA1"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4.5 [0.1, 409.1]</w:t>
            </w:r>
          </w:p>
        </w:tc>
        <w:tc>
          <w:tcPr>
            <w:tcW w:w="590" w:type="pct"/>
            <w:tcBorders>
              <w:top w:val="nil"/>
              <w:left w:val="nil"/>
              <w:bottom w:val="single" w:sz="4" w:space="0" w:color="auto"/>
              <w:right w:val="single" w:sz="4" w:space="0" w:color="auto"/>
            </w:tcBorders>
            <w:shd w:val="clear" w:color="auto" w:fill="auto"/>
            <w:noWrap/>
            <w:vAlign w:val="center"/>
            <w:hideMark/>
          </w:tcPr>
          <w:p w14:paraId="7C28A23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2.2 [0.1, 60.0]</w:t>
            </w:r>
          </w:p>
        </w:tc>
      </w:tr>
      <w:tr w:rsidR="0049441E" w:rsidRPr="00A143C3" w14:paraId="03BD603F"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57A4CA2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Ceftaroline</w:t>
            </w:r>
          </w:p>
        </w:tc>
        <w:tc>
          <w:tcPr>
            <w:tcW w:w="660" w:type="pct"/>
            <w:tcBorders>
              <w:top w:val="nil"/>
              <w:left w:val="nil"/>
              <w:bottom w:val="single" w:sz="4" w:space="0" w:color="auto"/>
              <w:right w:val="single" w:sz="4" w:space="0" w:color="auto"/>
            </w:tcBorders>
            <w:shd w:val="clear" w:color="auto" w:fill="auto"/>
            <w:noWrap/>
            <w:vAlign w:val="center"/>
            <w:hideMark/>
          </w:tcPr>
          <w:p w14:paraId="67ECB22E"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0.4 [0.0, 12.6]</w:t>
            </w:r>
          </w:p>
        </w:tc>
        <w:tc>
          <w:tcPr>
            <w:tcW w:w="609" w:type="pct"/>
            <w:tcBorders>
              <w:top w:val="nil"/>
              <w:left w:val="nil"/>
              <w:bottom w:val="single" w:sz="4" w:space="0" w:color="auto"/>
              <w:right w:val="single" w:sz="4" w:space="0" w:color="auto"/>
            </w:tcBorders>
            <w:shd w:val="clear" w:color="auto" w:fill="auto"/>
            <w:noWrap/>
            <w:vAlign w:val="center"/>
            <w:hideMark/>
          </w:tcPr>
          <w:p w14:paraId="7E7C7163"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609" w:type="pct"/>
            <w:tcBorders>
              <w:top w:val="nil"/>
              <w:left w:val="nil"/>
              <w:bottom w:val="single" w:sz="4" w:space="0" w:color="auto"/>
              <w:right w:val="single" w:sz="4" w:space="0" w:color="auto"/>
            </w:tcBorders>
            <w:shd w:val="clear" w:color="auto" w:fill="auto"/>
            <w:noWrap/>
            <w:vAlign w:val="center"/>
            <w:hideMark/>
          </w:tcPr>
          <w:p w14:paraId="0716EBA3"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1.2 [0.0, 39.7]</w:t>
            </w:r>
          </w:p>
        </w:tc>
        <w:tc>
          <w:tcPr>
            <w:tcW w:w="559" w:type="pct"/>
            <w:tcBorders>
              <w:top w:val="nil"/>
              <w:left w:val="nil"/>
              <w:bottom w:val="single" w:sz="4" w:space="0" w:color="auto"/>
              <w:right w:val="single" w:sz="4" w:space="0" w:color="auto"/>
            </w:tcBorders>
            <w:shd w:val="clear" w:color="auto" w:fill="auto"/>
            <w:noWrap/>
            <w:vAlign w:val="center"/>
            <w:hideMark/>
          </w:tcPr>
          <w:p w14:paraId="155A8BAF"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0.4 [0.0, 4.2]</w:t>
            </w:r>
          </w:p>
        </w:tc>
        <w:tc>
          <w:tcPr>
            <w:tcW w:w="583" w:type="pct"/>
            <w:tcBorders>
              <w:top w:val="nil"/>
              <w:left w:val="nil"/>
              <w:bottom w:val="single" w:sz="4" w:space="0" w:color="auto"/>
              <w:right w:val="single" w:sz="4" w:space="0" w:color="auto"/>
            </w:tcBorders>
            <w:shd w:val="clear" w:color="auto" w:fill="auto"/>
            <w:noWrap/>
            <w:vAlign w:val="center"/>
            <w:hideMark/>
          </w:tcPr>
          <w:p w14:paraId="4DAD6648"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0.6 [0.0, 15.7]</w:t>
            </w:r>
          </w:p>
        </w:tc>
        <w:tc>
          <w:tcPr>
            <w:tcW w:w="609" w:type="pct"/>
            <w:tcBorders>
              <w:top w:val="nil"/>
              <w:left w:val="nil"/>
              <w:bottom w:val="single" w:sz="4" w:space="0" w:color="auto"/>
              <w:right w:val="single" w:sz="4" w:space="0" w:color="auto"/>
            </w:tcBorders>
            <w:shd w:val="clear" w:color="auto" w:fill="auto"/>
            <w:noWrap/>
            <w:vAlign w:val="center"/>
            <w:hideMark/>
          </w:tcPr>
          <w:p w14:paraId="1039AA5B"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1.8 [0.0, 60.0]</w:t>
            </w:r>
          </w:p>
        </w:tc>
        <w:tc>
          <w:tcPr>
            <w:tcW w:w="590" w:type="pct"/>
            <w:tcBorders>
              <w:top w:val="nil"/>
              <w:left w:val="nil"/>
              <w:bottom w:val="single" w:sz="4" w:space="0" w:color="auto"/>
              <w:right w:val="single" w:sz="4" w:space="0" w:color="auto"/>
            </w:tcBorders>
            <w:shd w:val="clear" w:color="auto" w:fill="auto"/>
            <w:noWrap/>
            <w:vAlign w:val="center"/>
            <w:hideMark/>
          </w:tcPr>
          <w:p w14:paraId="0F492281"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0.9 [0.0, 7.1]</w:t>
            </w:r>
          </w:p>
        </w:tc>
      </w:tr>
      <w:tr w:rsidR="0049441E" w:rsidRPr="00A143C3" w14:paraId="50340DBC"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1321F8E7"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Daptomycin</w:t>
            </w:r>
          </w:p>
        </w:tc>
        <w:tc>
          <w:tcPr>
            <w:tcW w:w="660" w:type="pct"/>
            <w:tcBorders>
              <w:top w:val="nil"/>
              <w:left w:val="nil"/>
              <w:bottom w:val="single" w:sz="4" w:space="0" w:color="auto"/>
              <w:right w:val="single" w:sz="4" w:space="0" w:color="auto"/>
            </w:tcBorders>
            <w:shd w:val="clear" w:color="auto" w:fill="auto"/>
            <w:noWrap/>
            <w:vAlign w:val="center"/>
            <w:hideMark/>
          </w:tcPr>
          <w:p w14:paraId="1956693F"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0.3 [0.0, 22.7]</w:t>
            </w:r>
          </w:p>
        </w:tc>
        <w:tc>
          <w:tcPr>
            <w:tcW w:w="609" w:type="pct"/>
            <w:tcBorders>
              <w:top w:val="nil"/>
              <w:left w:val="nil"/>
              <w:bottom w:val="single" w:sz="4" w:space="0" w:color="auto"/>
              <w:right w:val="single" w:sz="4" w:space="0" w:color="auto"/>
            </w:tcBorders>
            <w:shd w:val="clear" w:color="auto" w:fill="auto"/>
            <w:noWrap/>
            <w:vAlign w:val="center"/>
            <w:hideMark/>
          </w:tcPr>
          <w:p w14:paraId="231059A0"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0.9 [0.0, 63.5]</w:t>
            </w:r>
          </w:p>
        </w:tc>
        <w:tc>
          <w:tcPr>
            <w:tcW w:w="609" w:type="pct"/>
            <w:tcBorders>
              <w:top w:val="nil"/>
              <w:left w:val="nil"/>
              <w:bottom w:val="single" w:sz="4" w:space="0" w:color="auto"/>
              <w:right w:val="single" w:sz="4" w:space="0" w:color="auto"/>
            </w:tcBorders>
            <w:shd w:val="clear" w:color="auto" w:fill="auto"/>
            <w:noWrap/>
            <w:vAlign w:val="center"/>
            <w:hideMark/>
          </w:tcPr>
          <w:p w14:paraId="454B0A65"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559" w:type="pct"/>
            <w:tcBorders>
              <w:top w:val="nil"/>
              <w:left w:val="nil"/>
              <w:bottom w:val="single" w:sz="4" w:space="0" w:color="auto"/>
              <w:right w:val="single" w:sz="4" w:space="0" w:color="auto"/>
            </w:tcBorders>
            <w:shd w:val="clear" w:color="auto" w:fill="auto"/>
            <w:noWrap/>
            <w:vAlign w:val="center"/>
            <w:hideMark/>
          </w:tcPr>
          <w:p w14:paraId="6ADA922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0.3 [0.0, 8.0]</w:t>
            </w:r>
          </w:p>
        </w:tc>
        <w:tc>
          <w:tcPr>
            <w:tcW w:w="583" w:type="pct"/>
            <w:tcBorders>
              <w:top w:val="nil"/>
              <w:left w:val="nil"/>
              <w:bottom w:val="single" w:sz="4" w:space="0" w:color="auto"/>
              <w:right w:val="single" w:sz="4" w:space="0" w:color="auto"/>
            </w:tcBorders>
            <w:shd w:val="clear" w:color="auto" w:fill="auto"/>
            <w:noWrap/>
            <w:vAlign w:val="center"/>
            <w:hideMark/>
          </w:tcPr>
          <w:p w14:paraId="5E264E6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0.5 [0.0, 28.6]</w:t>
            </w:r>
          </w:p>
        </w:tc>
        <w:tc>
          <w:tcPr>
            <w:tcW w:w="609" w:type="pct"/>
            <w:tcBorders>
              <w:top w:val="nil"/>
              <w:left w:val="nil"/>
              <w:bottom w:val="single" w:sz="4" w:space="0" w:color="auto"/>
              <w:right w:val="single" w:sz="4" w:space="0" w:color="auto"/>
            </w:tcBorders>
            <w:shd w:val="clear" w:color="auto" w:fill="auto"/>
            <w:noWrap/>
            <w:vAlign w:val="center"/>
            <w:hideMark/>
          </w:tcPr>
          <w:p w14:paraId="7E9B2DC4"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1.6 [0.0, 107.1]</w:t>
            </w:r>
          </w:p>
        </w:tc>
        <w:tc>
          <w:tcPr>
            <w:tcW w:w="590" w:type="pct"/>
            <w:tcBorders>
              <w:top w:val="nil"/>
              <w:left w:val="nil"/>
              <w:bottom w:val="single" w:sz="4" w:space="0" w:color="auto"/>
              <w:right w:val="single" w:sz="4" w:space="0" w:color="auto"/>
            </w:tcBorders>
            <w:shd w:val="clear" w:color="auto" w:fill="auto"/>
            <w:noWrap/>
            <w:vAlign w:val="center"/>
            <w:hideMark/>
          </w:tcPr>
          <w:p w14:paraId="2237C2A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0.8 [0.0, 14.9]</w:t>
            </w:r>
          </w:p>
        </w:tc>
      </w:tr>
      <w:tr w:rsidR="0049441E" w:rsidRPr="00A143C3" w14:paraId="182457B2"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77FFC98C"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Linezolid</w:t>
            </w:r>
          </w:p>
        </w:tc>
        <w:tc>
          <w:tcPr>
            <w:tcW w:w="660" w:type="pct"/>
            <w:tcBorders>
              <w:top w:val="nil"/>
              <w:left w:val="nil"/>
              <w:bottom w:val="single" w:sz="4" w:space="0" w:color="auto"/>
              <w:right w:val="single" w:sz="4" w:space="0" w:color="auto"/>
            </w:tcBorders>
            <w:shd w:val="clear" w:color="auto" w:fill="auto"/>
            <w:noWrap/>
            <w:vAlign w:val="center"/>
            <w:hideMark/>
          </w:tcPr>
          <w:p w14:paraId="2AE40169"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1.0 [0.1, 16.6]</w:t>
            </w:r>
          </w:p>
        </w:tc>
        <w:tc>
          <w:tcPr>
            <w:tcW w:w="609" w:type="pct"/>
            <w:tcBorders>
              <w:top w:val="nil"/>
              <w:left w:val="nil"/>
              <w:bottom w:val="single" w:sz="4" w:space="0" w:color="auto"/>
              <w:right w:val="single" w:sz="4" w:space="0" w:color="auto"/>
            </w:tcBorders>
            <w:shd w:val="clear" w:color="auto" w:fill="auto"/>
            <w:noWrap/>
            <w:vAlign w:val="center"/>
            <w:hideMark/>
          </w:tcPr>
          <w:p w14:paraId="0816F53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2.5 [0.2, 85.4]</w:t>
            </w:r>
          </w:p>
        </w:tc>
        <w:tc>
          <w:tcPr>
            <w:tcW w:w="609" w:type="pct"/>
            <w:tcBorders>
              <w:top w:val="nil"/>
              <w:left w:val="nil"/>
              <w:bottom w:val="single" w:sz="4" w:space="0" w:color="auto"/>
              <w:right w:val="single" w:sz="4" w:space="0" w:color="auto"/>
            </w:tcBorders>
            <w:shd w:val="clear" w:color="auto" w:fill="auto"/>
            <w:noWrap/>
            <w:vAlign w:val="center"/>
            <w:hideMark/>
          </w:tcPr>
          <w:p w14:paraId="73CABB56"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3.0 [0.1, 98.0]</w:t>
            </w:r>
          </w:p>
        </w:tc>
        <w:tc>
          <w:tcPr>
            <w:tcW w:w="559" w:type="pct"/>
            <w:tcBorders>
              <w:top w:val="nil"/>
              <w:left w:val="nil"/>
              <w:bottom w:val="single" w:sz="4" w:space="0" w:color="auto"/>
              <w:right w:val="single" w:sz="4" w:space="0" w:color="auto"/>
            </w:tcBorders>
            <w:shd w:val="clear" w:color="auto" w:fill="auto"/>
            <w:noWrap/>
            <w:vAlign w:val="center"/>
            <w:hideMark/>
          </w:tcPr>
          <w:p w14:paraId="4381C974"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583" w:type="pct"/>
            <w:tcBorders>
              <w:top w:val="nil"/>
              <w:left w:val="nil"/>
              <w:bottom w:val="single" w:sz="4" w:space="0" w:color="auto"/>
              <w:right w:val="single" w:sz="4" w:space="0" w:color="auto"/>
            </w:tcBorders>
            <w:shd w:val="clear" w:color="auto" w:fill="auto"/>
            <w:noWrap/>
            <w:vAlign w:val="center"/>
            <w:hideMark/>
          </w:tcPr>
          <w:p w14:paraId="651A40AE"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1.5 [0.1, 38.9]</w:t>
            </w:r>
          </w:p>
        </w:tc>
        <w:tc>
          <w:tcPr>
            <w:tcW w:w="609" w:type="pct"/>
            <w:tcBorders>
              <w:top w:val="nil"/>
              <w:left w:val="nil"/>
              <w:bottom w:val="single" w:sz="4" w:space="0" w:color="auto"/>
              <w:right w:val="single" w:sz="4" w:space="0" w:color="auto"/>
            </w:tcBorders>
            <w:shd w:val="clear" w:color="auto" w:fill="auto"/>
            <w:noWrap/>
            <w:vAlign w:val="center"/>
            <w:hideMark/>
          </w:tcPr>
          <w:p w14:paraId="3B302F60"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4.6 [0.2, 150.4]</w:t>
            </w:r>
          </w:p>
        </w:tc>
        <w:tc>
          <w:tcPr>
            <w:tcW w:w="590" w:type="pct"/>
            <w:tcBorders>
              <w:top w:val="nil"/>
              <w:left w:val="nil"/>
              <w:bottom w:val="single" w:sz="4" w:space="0" w:color="auto"/>
              <w:right w:val="single" w:sz="4" w:space="0" w:color="auto"/>
            </w:tcBorders>
            <w:shd w:val="clear" w:color="auto" w:fill="auto"/>
            <w:noWrap/>
            <w:vAlign w:val="center"/>
            <w:hideMark/>
          </w:tcPr>
          <w:p w14:paraId="42963963"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2.3 [0.6, 11.2]</w:t>
            </w:r>
          </w:p>
        </w:tc>
      </w:tr>
      <w:tr w:rsidR="0049441E" w:rsidRPr="00A143C3" w14:paraId="50B967CF"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4544FB24"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Telavancin</w:t>
            </w:r>
          </w:p>
        </w:tc>
        <w:tc>
          <w:tcPr>
            <w:tcW w:w="660" w:type="pct"/>
            <w:tcBorders>
              <w:top w:val="nil"/>
              <w:left w:val="nil"/>
              <w:bottom w:val="single" w:sz="4" w:space="0" w:color="auto"/>
              <w:right w:val="single" w:sz="4" w:space="0" w:color="auto"/>
            </w:tcBorders>
            <w:shd w:val="clear" w:color="auto" w:fill="auto"/>
            <w:noWrap/>
            <w:vAlign w:val="center"/>
            <w:hideMark/>
          </w:tcPr>
          <w:p w14:paraId="026365C1"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0.7 [0.0, 35.9]</w:t>
            </w:r>
          </w:p>
        </w:tc>
        <w:tc>
          <w:tcPr>
            <w:tcW w:w="609" w:type="pct"/>
            <w:tcBorders>
              <w:top w:val="nil"/>
              <w:left w:val="nil"/>
              <w:bottom w:val="single" w:sz="4" w:space="0" w:color="auto"/>
              <w:right w:val="single" w:sz="4" w:space="0" w:color="auto"/>
            </w:tcBorders>
            <w:shd w:val="clear" w:color="auto" w:fill="auto"/>
            <w:noWrap/>
            <w:vAlign w:val="center"/>
            <w:hideMark/>
          </w:tcPr>
          <w:p w14:paraId="3A435024"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1.6 [0.1, 108.3]</w:t>
            </w:r>
          </w:p>
        </w:tc>
        <w:tc>
          <w:tcPr>
            <w:tcW w:w="609" w:type="pct"/>
            <w:tcBorders>
              <w:top w:val="nil"/>
              <w:left w:val="nil"/>
              <w:bottom w:val="single" w:sz="4" w:space="0" w:color="auto"/>
              <w:right w:val="single" w:sz="4" w:space="0" w:color="auto"/>
            </w:tcBorders>
            <w:shd w:val="clear" w:color="auto" w:fill="auto"/>
            <w:noWrap/>
            <w:vAlign w:val="center"/>
            <w:hideMark/>
          </w:tcPr>
          <w:p w14:paraId="4366434E"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2.0 [0.0, 112.9]</w:t>
            </w:r>
          </w:p>
        </w:tc>
        <w:tc>
          <w:tcPr>
            <w:tcW w:w="559" w:type="pct"/>
            <w:tcBorders>
              <w:top w:val="nil"/>
              <w:left w:val="nil"/>
              <w:bottom w:val="single" w:sz="4" w:space="0" w:color="auto"/>
              <w:right w:val="single" w:sz="4" w:space="0" w:color="auto"/>
            </w:tcBorders>
            <w:shd w:val="clear" w:color="auto" w:fill="auto"/>
            <w:noWrap/>
            <w:vAlign w:val="center"/>
            <w:hideMark/>
          </w:tcPr>
          <w:p w14:paraId="4530EA17"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0.7 [0.0, 12.2]</w:t>
            </w:r>
          </w:p>
        </w:tc>
        <w:tc>
          <w:tcPr>
            <w:tcW w:w="583" w:type="pct"/>
            <w:tcBorders>
              <w:top w:val="nil"/>
              <w:left w:val="nil"/>
              <w:bottom w:val="single" w:sz="4" w:space="0" w:color="auto"/>
              <w:right w:val="single" w:sz="4" w:space="0" w:color="auto"/>
            </w:tcBorders>
            <w:shd w:val="clear" w:color="auto" w:fill="auto"/>
            <w:noWrap/>
            <w:vAlign w:val="center"/>
            <w:hideMark/>
          </w:tcPr>
          <w:p w14:paraId="00915DA2"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609" w:type="pct"/>
            <w:tcBorders>
              <w:top w:val="nil"/>
              <w:left w:val="nil"/>
              <w:bottom w:val="single" w:sz="4" w:space="0" w:color="auto"/>
              <w:right w:val="single" w:sz="4" w:space="0" w:color="auto"/>
            </w:tcBorders>
            <w:shd w:val="clear" w:color="auto" w:fill="auto"/>
            <w:noWrap/>
            <w:vAlign w:val="center"/>
            <w:hideMark/>
          </w:tcPr>
          <w:p w14:paraId="63C1CB31"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3.1 [0.1, 175.8]</w:t>
            </w:r>
          </w:p>
        </w:tc>
        <w:tc>
          <w:tcPr>
            <w:tcW w:w="590" w:type="pct"/>
            <w:tcBorders>
              <w:top w:val="nil"/>
              <w:left w:val="nil"/>
              <w:bottom w:val="single" w:sz="4" w:space="0" w:color="auto"/>
              <w:right w:val="single" w:sz="4" w:space="0" w:color="auto"/>
            </w:tcBorders>
            <w:shd w:val="clear" w:color="auto" w:fill="auto"/>
            <w:noWrap/>
            <w:vAlign w:val="center"/>
            <w:hideMark/>
          </w:tcPr>
          <w:p w14:paraId="1C9D119D"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1.5 [0.1, 22.8]</w:t>
            </w:r>
          </w:p>
        </w:tc>
      </w:tr>
      <w:tr w:rsidR="0049441E" w:rsidRPr="00A143C3" w14:paraId="550D6D7A"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73D05DBE"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Tigecycline</w:t>
            </w:r>
          </w:p>
        </w:tc>
        <w:tc>
          <w:tcPr>
            <w:tcW w:w="660" w:type="pct"/>
            <w:tcBorders>
              <w:top w:val="nil"/>
              <w:left w:val="nil"/>
              <w:bottom w:val="single" w:sz="4" w:space="0" w:color="auto"/>
              <w:right w:val="single" w:sz="4" w:space="0" w:color="auto"/>
            </w:tcBorders>
            <w:shd w:val="clear" w:color="auto" w:fill="auto"/>
            <w:noWrap/>
            <w:vAlign w:val="center"/>
            <w:hideMark/>
          </w:tcPr>
          <w:p w14:paraId="1BA9314B"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0.2 [0.0, 14.1]</w:t>
            </w:r>
          </w:p>
        </w:tc>
        <w:tc>
          <w:tcPr>
            <w:tcW w:w="609" w:type="pct"/>
            <w:tcBorders>
              <w:top w:val="nil"/>
              <w:left w:val="nil"/>
              <w:bottom w:val="single" w:sz="4" w:space="0" w:color="auto"/>
              <w:right w:val="single" w:sz="4" w:space="0" w:color="auto"/>
            </w:tcBorders>
            <w:shd w:val="clear" w:color="auto" w:fill="auto"/>
            <w:noWrap/>
            <w:vAlign w:val="center"/>
            <w:hideMark/>
          </w:tcPr>
          <w:p w14:paraId="44D4DA0B"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0.5 [0.0, 40.2]</w:t>
            </w:r>
          </w:p>
        </w:tc>
        <w:tc>
          <w:tcPr>
            <w:tcW w:w="609" w:type="pct"/>
            <w:tcBorders>
              <w:top w:val="nil"/>
              <w:left w:val="nil"/>
              <w:bottom w:val="single" w:sz="4" w:space="0" w:color="auto"/>
              <w:right w:val="single" w:sz="4" w:space="0" w:color="auto"/>
            </w:tcBorders>
            <w:shd w:val="clear" w:color="auto" w:fill="auto"/>
            <w:noWrap/>
            <w:vAlign w:val="center"/>
            <w:hideMark/>
          </w:tcPr>
          <w:p w14:paraId="34BDC2FF"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0.6 [0.0, 44.2]</w:t>
            </w:r>
          </w:p>
        </w:tc>
        <w:tc>
          <w:tcPr>
            <w:tcW w:w="559" w:type="pct"/>
            <w:tcBorders>
              <w:top w:val="nil"/>
              <w:left w:val="nil"/>
              <w:bottom w:val="single" w:sz="4" w:space="0" w:color="auto"/>
              <w:right w:val="single" w:sz="4" w:space="0" w:color="auto"/>
            </w:tcBorders>
            <w:shd w:val="clear" w:color="auto" w:fill="auto"/>
            <w:noWrap/>
            <w:vAlign w:val="center"/>
            <w:hideMark/>
          </w:tcPr>
          <w:p w14:paraId="6EEE72C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0.2 [0.0, 5.1]</w:t>
            </w:r>
          </w:p>
        </w:tc>
        <w:tc>
          <w:tcPr>
            <w:tcW w:w="583" w:type="pct"/>
            <w:tcBorders>
              <w:top w:val="nil"/>
              <w:left w:val="nil"/>
              <w:bottom w:val="single" w:sz="4" w:space="0" w:color="auto"/>
              <w:right w:val="single" w:sz="4" w:space="0" w:color="auto"/>
            </w:tcBorders>
            <w:shd w:val="clear" w:color="auto" w:fill="auto"/>
            <w:noWrap/>
            <w:vAlign w:val="center"/>
            <w:hideMark/>
          </w:tcPr>
          <w:p w14:paraId="4CB6E4DC"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0.3 [0.0, 18.0]</w:t>
            </w:r>
          </w:p>
        </w:tc>
        <w:tc>
          <w:tcPr>
            <w:tcW w:w="609" w:type="pct"/>
            <w:tcBorders>
              <w:top w:val="nil"/>
              <w:left w:val="nil"/>
              <w:bottom w:val="single" w:sz="4" w:space="0" w:color="auto"/>
              <w:right w:val="single" w:sz="4" w:space="0" w:color="auto"/>
            </w:tcBorders>
            <w:shd w:val="clear" w:color="auto" w:fill="auto"/>
            <w:noWrap/>
            <w:vAlign w:val="center"/>
            <w:hideMark/>
          </w:tcPr>
          <w:p w14:paraId="1F76A35E"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c>
          <w:tcPr>
            <w:tcW w:w="590" w:type="pct"/>
            <w:tcBorders>
              <w:top w:val="nil"/>
              <w:left w:val="nil"/>
              <w:bottom w:val="single" w:sz="4" w:space="0" w:color="auto"/>
              <w:right w:val="single" w:sz="4" w:space="0" w:color="auto"/>
            </w:tcBorders>
            <w:shd w:val="clear" w:color="auto" w:fill="auto"/>
            <w:noWrap/>
            <w:vAlign w:val="center"/>
            <w:hideMark/>
          </w:tcPr>
          <w:p w14:paraId="2565FFA7"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0.5 [0.0, 9.4]</w:t>
            </w:r>
          </w:p>
        </w:tc>
      </w:tr>
      <w:tr w:rsidR="0049441E" w:rsidRPr="00A143C3" w14:paraId="428AA789" w14:textId="77777777" w:rsidTr="0049441E">
        <w:trPr>
          <w:trHeight w:val="300"/>
        </w:trPr>
        <w:tc>
          <w:tcPr>
            <w:tcW w:w="779" w:type="pct"/>
            <w:tcBorders>
              <w:top w:val="nil"/>
              <w:left w:val="single" w:sz="4" w:space="0" w:color="auto"/>
              <w:bottom w:val="single" w:sz="4" w:space="0" w:color="auto"/>
              <w:right w:val="single" w:sz="4" w:space="0" w:color="auto"/>
            </w:tcBorders>
            <w:shd w:val="clear" w:color="auto" w:fill="auto"/>
            <w:noWrap/>
            <w:vAlign w:val="center"/>
            <w:hideMark/>
          </w:tcPr>
          <w:p w14:paraId="7F2DC9EB" w14:textId="77777777" w:rsidR="0049441E" w:rsidRPr="00A143C3" w:rsidRDefault="0049441E" w:rsidP="0049441E">
            <w:pPr>
              <w:rPr>
                <w:rFonts w:eastAsia="Times New Roman" w:cs="Arial"/>
                <w:szCs w:val="22"/>
                <w:lang w:eastAsia="en-GB"/>
              </w:rPr>
            </w:pPr>
            <w:r w:rsidRPr="00A143C3">
              <w:rPr>
                <w:rFonts w:eastAsia="Times New Roman" w:cs="Arial"/>
                <w:sz w:val="22"/>
                <w:szCs w:val="22"/>
                <w:lang w:eastAsia="en-GB"/>
              </w:rPr>
              <w:t>Vancomycin</w:t>
            </w:r>
          </w:p>
        </w:tc>
        <w:tc>
          <w:tcPr>
            <w:tcW w:w="660" w:type="pct"/>
            <w:tcBorders>
              <w:top w:val="nil"/>
              <w:left w:val="nil"/>
              <w:bottom w:val="single" w:sz="4" w:space="0" w:color="auto"/>
              <w:right w:val="single" w:sz="4" w:space="0" w:color="auto"/>
            </w:tcBorders>
            <w:shd w:val="clear" w:color="auto" w:fill="auto"/>
            <w:noWrap/>
            <w:vAlign w:val="center"/>
            <w:hideMark/>
          </w:tcPr>
          <w:p w14:paraId="1AA82C17"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0.5 [0.0, 8.8]</w:t>
            </w:r>
          </w:p>
        </w:tc>
        <w:tc>
          <w:tcPr>
            <w:tcW w:w="609" w:type="pct"/>
            <w:tcBorders>
              <w:top w:val="nil"/>
              <w:left w:val="nil"/>
              <w:bottom w:val="single" w:sz="4" w:space="0" w:color="auto"/>
              <w:right w:val="single" w:sz="4" w:space="0" w:color="auto"/>
            </w:tcBorders>
            <w:shd w:val="clear" w:color="auto" w:fill="auto"/>
            <w:noWrap/>
            <w:vAlign w:val="center"/>
            <w:hideMark/>
          </w:tcPr>
          <w:p w14:paraId="40B0419A"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1.1 [0.1, 21.1]</w:t>
            </w:r>
          </w:p>
        </w:tc>
        <w:tc>
          <w:tcPr>
            <w:tcW w:w="609" w:type="pct"/>
            <w:tcBorders>
              <w:top w:val="nil"/>
              <w:left w:val="nil"/>
              <w:bottom w:val="single" w:sz="4" w:space="0" w:color="auto"/>
              <w:right w:val="single" w:sz="4" w:space="0" w:color="auto"/>
            </w:tcBorders>
            <w:shd w:val="clear" w:color="auto" w:fill="auto"/>
            <w:noWrap/>
            <w:vAlign w:val="center"/>
            <w:hideMark/>
          </w:tcPr>
          <w:p w14:paraId="44D18337"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1.3 [0.1, 27.4]</w:t>
            </w:r>
          </w:p>
        </w:tc>
        <w:tc>
          <w:tcPr>
            <w:tcW w:w="559" w:type="pct"/>
            <w:tcBorders>
              <w:top w:val="nil"/>
              <w:left w:val="nil"/>
              <w:bottom w:val="single" w:sz="4" w:space="0" w:color="auto"/>
              <w:right w:val="single" w:sz="4" w:space="0" w:color="auto"/>
            </w:tcBorders>
            <w:shd w:val="clear" w:color="auto" w:fill="auto"/>
            <w:noWrap/>
            <w:vAlign w:val="center"/>
            <w:hideMark/>
          </w:tcPr>
          <w:p w14:paraId="34A3BFC1"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0.4 [0.1, 1.6]</w:t>
            </w:r>
          </w:p>
        </w:tc>
        <w:tc>
          <w:tcPr>
            <w:tcW w:w="583" w:type="pct"/>
            <w:tcBorders>
              <w:top w:val="nil"/>
              <w:left w:val="nil"/>
              <w:bottom w:val="single" w:sz="4" w:space="0" w:color="auto"/>
              <w:right w:val="single" w:sz="4" w:space="0" w:color="auto"/>
            </w:tcBorders>
            <w:shd w:val="clear" w:color="auto" w:fill="auto"/>
            <w:noWrap/>
            <w:vAlign w:val="center"/>
            <w:hideMark/>
          </w:tcPr>
          <w:p w14:paraId="090022BD"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0.7 [0.0, 10.3]</w:t>
            </w:r>
          </w:p>
        </w:tc>
        <w:tc>
          <w:tcPr>
            <w:tcW w:w="609" w:type="pct"/>
            <w:tcBorders>
              <w:top w:val="nil"/>
              <w:left w:val="nil"/>
              <w:bottom w:val="single" w:sz="4" w:space="0" w:color="auto"/>
              <w:right w:val="single" w:sz="4" w:space="0" w:color="auto"/>
            </w:tcBorders>
            <w:shd w:val="clear" w:color="auto" w:fill="auto"/>
            <w:noWrap/>
            <w:vAlign w:val="center"/>
            <w:hideMark/>
          </w:tcPr>
          <w:p w14:paraId="6541550B"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2.0 [0.1, 41.5]</w:t>
            </w:r>
          </w:p>
        </w:tc>
        <w:tc>
          <w:tcPr>
            <w:tcW w:w="590" w:type="pct"/>
            <w:tcBorders>
              <w:top w:val="nil"/>
              <w:left w:val="nil"/>
              <w:bottom w:val="single" w:sz="4" w:space="0" w:color="auto"/>
              <w:right w:val="single" w:sz="4" w:space="0" w:color="auto"/>
            </w:tcBorders>
            <w:shd w:val="clear" w:color="auto" w:fill="auto"/>
            <w:noWrap/>
            <w:vAlign w:val="center"/>
            <w:hideMark/>
          </w:tcPr>
          <w:p w14:paraId="16688388" w14:textId="77777777" w:rsidR="0049441E" w:rsidRPr="00A143C3" w:rsidRDefault="0049441E" w:rsidP="0049441E">
            <w:pPr>
              <w:jc w:val="center"/>
              <w:rPr>
                <w:rFonts w:eastAsia="Times New Roman" w:cs="Arial"/>
                <w:szCs w:val="22"/>
                <w:lang w:eastAsia="en-GB"/>
              </w:rPr>
            </w:pPr>
            <w:r w:rsidRPr="00A143C3">
              <w:rPr>
                <w:rFonts w:eastAsia="Times New Roman" w:cs="Arial"/>
                <w:sz w:val="22"/>
                <w:szCs w:val="22"/>
                <w:lang w:eastAsia="en-GB"/>
              </w:rPr>
              <w:t> </w:t>
            </w:r>
          </w:p>
        </w:tc>
      </w:tr>
    </w:tbl>
    <w:p w14:paraId="5C4A1646" w14:textId="77777777" w:rsidR="0049441E" w:rsidRPr="00A143C3" w:rsidRDefault="0049441E" w:rsidP="0049441E">
      <w:pPr>
        <w:pStyle w:val="ProposalText"/>
        <w:spacing w:line="240" w:lineRule="auto"/>
        <w:rPr>
          <w:rStyle w:val="Authors"/>
          <w:rFonts w:cs="Arial"/>
          <w:szCs w:val="22"/>
        </w:rPr>
      </w:pPr>
    </w:p>
    <w:p w14:paraId="21455DAA" w14:textId="77777777" w:rsidR="0049441E" w:rsidRDefault="0049441E" w:rsidP="0049441E">
      <w:pPr>
        <w:pStyle w:val="ProposalText"/>
        <w:spacing w:line="240" w:lineRule="auto"/>
        <w:rPr>
          <w:rStyle w:val="Authors"/>
          <w:rFonts w:cs="Arial"/>
          <w:szCs w:val="22"/>
        </w:rPr>
        <w:sectPr w:rsidR="0049441E" w:rsidSect="00917DF6">
          <w:pgSz w:w="16834" w:h="11909" w:orient="landscape" w:code="9"/>
          <w:pgMar w:top="1440" w:right="1440" w:bottom="1440" w:left="1440" w:header="720" w:footer="221" w:gutter="0"/>
          <w:cols w:space="720"/>
          <w:titlePg/>
          <w:docGrid w:linePitch="326"/>
        </w:sectPr>
      </w:pPr>
    </w:p>
    <w:p w14:paraId="7D26FB40" w14:textId="77777777" w:rsidR="0049441E" w:rsidRDefault="0049441E" w:rsidP="0049441E">
      <w:pPr>
        <w:pStyle w:val="ReportText"/>
        <w:spacing w:line="240" w:lineRule="auto"/>
        <w:jc w:val="left"/>
        <w:rPr>
          <w:rFonts w:cs="Arial"/>
          <w:szCs w:val="22"/>
        </w:rPr>
      </w:pPr>
    </w:p>
    <w:p w14:paraId="5B81C4CD" w14:textId="77777777" w:rsidR="0049441E" w:rsidRDefault="0049441E" w:rsidP="0049441E">
      <w:pPr>
        <w:pStyle w:val="ReportText"/>
        <w:spacing w:line="240" w:lineRule="auto"/>
        <w:jc w:val="left"/>
        <w:rPr>
          <w:rStyle w:val="Authors"/>
          <w:rFonts w:cs="Arial"/>
          <w:szCs w:val="22"/>
        </w:rPr>
      </w:pPr>
      <w:r>
        <w:t xml:space="preserve">The point estimates and 95% CrI for the absolute treatment effects are shown in </w:t>
      </w:r>
      <w:r>
        <w:fldChar w:fldCharType="begin"/>
      </w:r>
      <w:r>
        <w:instrText xml:space="preserve"> REF _Ref282268541 \h </w:instrText>
      </w:r>
      <w:r>
        <w:fldChar w:fldCharType="separate"/>
      </w:r>
      <w:r w:rsidR="00151A1C" w:rsidRPr="00F12212">
        <w:rPr>
          <w:rFonts w:cs="Arial"/>
          <w:szCs w:val="22"/>
        </w:rPr>
        <w:t xml:space="preserve">Table </w:t>
      </w:r>
      <w:r w:rsidR="00151A1C">
        <w:rPr>
          <w:rFonts w:cs="Arial"/>
          <w:noProof/>
          <w:szCs w:val="22"/>
        </w:rPr>
        <w:t>91</w:t>
      </w:r>
      <w:r>
        <w:fldChar w:fldCharType="end"/>
      </w:r>
      <w:r>
        <w:t>. These are given in the natural (probability) scale.</w:t>
      </w:r>
    </w:p>
    <w:p w14:paraId="1C67E4BC" w14:textId="77777777" w:rsidR="0049441E" w:rsidRPr="00907823" w:rsidRDefault="0049441E" w:rsidP="0049441E">
      <w:pPr>
        <w:pStyle w:val="Caption"/>
        <w:jc w:val="left"/>
        <w:rPr>
          <w:rFonts w:ascii="Arial" w:hAnsi="Arial" w:cs="Arial"/>
          <w:sz w:val="22"/>
          <w:szCs w:val="22"/>
        </w:rPr>
      </w:pPr>
      <w:bookmarkStart w:id="417" w:name="_Ref282268541"/>
      <w:r w:rsidRPr="00F12212">
        <w:rPr>
          <w:rFonts w:ascii="Arial" w:hAnsi="Arial" w:cs="Arial"/>
          <w:sz w:val="22"/>
          <w:szCs w:val="22"/>
        </w:rPr>
        <w:t xml:space="preserve">Table </w:t>
      </w:r>
      <w:r w:rsidRPr="00F12212">
        <w:rPr>
          <w:rFonts w:ascii="Arial" w:hAnsi="Arial" w:cs="Arial"/>
          <w:sz w:val="22"/>
          <w:szCs w:val="22"/>
        </w:rPr>
        <w:fldChar w:fldCharType="begin"/>
      </w:r>
      <w:r w:rsidRPr="00F12212">
        <w:rPr>
          <w:rFonts w:ascii="Arial" w:hAnsi="Arial" w:cs="Arial"/>
          <w:sz w:val="22"/>
          <w:szCs w:val="22"/>
        </w:rPr>
        <w:instrText xml:space="preserve"> SEQ Table \* ARABIC </w:instrText>
      </w:r>
      <w:r w:rsidRPr="00F12212">
        <w:rPr>
          <w:rFonts w:ascii="Arial" w:hAnsi="Arial" w:cs="Arial"/>
          <w:sz w:val="22"/>
          <w:szCs w:val="22"/>
        </w:rPr>
        <w:fldChar w:fldCharType="separate"/>
      </w:r>
      <w:r w:rsidR="00151A1C">
        <w:rPr>
          <w:rFonts w:ascii="Arial" w:hAnsi="Arial" w:cs="Arial"/>
          <w:noProof/>
          <w:sz w:val="22"/>
          <w:szCs w:val="22"/>
        </w:rPr>
        <w:t>91</w:t>
      </w:r>
      <w:r w:rsidRPr="00F12212">
        <w:rPr>
          <w:rFonts w:ascii="Arial" w:hAnsi="Arial" w:cs="Arial"/>
          <w:sz w:val="22"/>
          <w:szCs w:val="22"/>
        </w:rPr>
        <w:fldChar w:fldCharType="end"/>
      </w:r>
      <w:bookmarkEnd w:id="417"/>
      <w:r w:rsidRPr="00F12212">
        <w:rPr>
          <w:rFonts w:ascii="Arial" w:hAnsi="Arial" w:cs="Arial"/>
          <w:sz w:val="22"/>
          <w:szCs w:val="22"/>
        </w:rPr>
        <w:t>: Post-hoc analysis: Clinical response at the post treatment evaluation or test of cure: MRSA only population</w:t>
      </w:r>
      <w:r>
        <w:rPr>
          <w:rFonts w:ascii="Arial" w:hAnsi="Arial" w:cs="Arial"/>
          <w:sz w:val="22"/>
          <w:szCs w:val="22"/>
        </w:rPr>
        <w:t>. Point estimates and 95% CrI (random</w:t>
      </w:r>
      <w:r w:rsidRPr="004B69CE">
        <w:rPr>
          <w:rFonts w:ascii="Arial" w:hAnsi="Arial" w:cs="Arial"/>
          <w:sz w:val="22"/>
          <w:szCs w:val="22"/>
        </w:rPr>
        <w:t xml:space="preserve"> effect</w:t>
      </w:r>
      <w:r>
        <w:rPr>
          <w:rFonts w:ascii="Arial" w:hAnsi="Arial" w:cs="Arial"/>
          <w:sz w:val="22"/>
          <w:szCs w:val="22"/>
        </w:rPr>
        <w:t>s</w:t>
      </w:r>
      <w:r w:rsidRPr="004B69CE">
        <w:rPr>
          <w:rFonts w:ascii="Arial" w:hAnsi="Arial" w:cs="Arial"/>
          <w:sz w:val="22"/>
          <w:szCs w:val="22"/>
        </w:rPr>
        <w:t xml:space="preserve"> model</w:t>
      </w:r>
      <w:r>
        <w:rPr>
          <w:rFonts w:ascii="Arial" w:hAnsi="Arial" w:cs="Arial"/>
          <w:sz w:val="22"/>
          <w:szCs w:val="22"/>
        </w:rPr>
        <w:t>)</w:t>
      </w:r>
    </w:p>
    <w:tbl>
      <w:tblPr>
        <w:tblW w:w="5000" w:type="pct"/>
        <w:tblLook w:val="04A0" w:firstRow="1" w:lastRow="0" w:firstColumn="1" w:lastColumn="0" w:noHBand="0" w:noVBand="1"/>
      </w:tblPr>
      <w:tblGrid>
        <w:gridCol w:w="4879"/>
        <w:gridCol w:w="4137"/>
      </w:tblGrid>
      <w:tr w:rsidR="0049441E" w:rsidRPr="00DD24FB" w14:paraId="06ECF5D4" w14:textId="77777777" w:rsidTr="0049441E">
        <w:trPr>
          <w:trHeight w:val="300"/>
        </w:trPr>
        <w:tc>
          <w:tcPr>
            <w:tcW w:w="27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EC83A" w14:textId="77777777" w:rsidR="0049441E" w:rsidRPr="002869C9" w:rsidRDefault="0049441E" w:rsidP="0049441E">
            <w:pPr>
              <w:rPr>
                <w:rFonts w:eastAsia="Times New Roman" w:cs="Arial"/>
                <w:b/>
                <w:color w:val="000000"/>
                <w:sz w:val="20"/>
                <w:lang w:eastAsia="en-GB"/>
              </w:rPr>
            </w:pPr>
            <w:r w:rsidRPr="002869C9">
              <w:rPr>
                <w:rFonts w:eastAsia="Times New Roman" w:cs="Arial"/>
                <w:b/>
                <w:color w:val="000000"/>
                <w:sz w:val="20"/>
                <w:lang w:eastAsia="en-GB"/>
              </w:rPr>
              <w:t>Treatment</w:t>
            </w:r>
          </w:p>
        </w:tc>
        <w:tc>
          <w:tcPr>
            <w:tcW w:w="2294" w:type="pct"/>
            <w:tcBorders>
              <w:top w:val="single" w:sz="4" w:space="0" w:color="auto"/>
              <w:left w:val="nil"/>
              <w:bottom w:val="single" w:sz="4" w:space="0" w:color="auto"/>
              <w:right w:val="single" w:sz="4" w:space="0" w:color="auto"/>
            </w:tcBorders>
            <w:shd w:val="clear" w:color="auto" w:fill="auto"/>
            <w:noWrap/>
            <w:vAlign w:val="bottom"/>
            <w:hideMark/>
          </w:tcPr>
          <w:p w14:paraId="2A14414C" w14:textId="77777777" w:rsidR="0049441E" w:rsidRPr="00454A8B" w:rsidRDefault="0049441E" w:rsidP="0049441E">
            <w:pPr>
              <w:jc w:val="center"/>
              <w:rPr>
                <w:rFonts w:eastAsia="Times New Roman" w:cs="Arial"/>
                <w:b/>
                <w:color w:val="000000"/>
                <w:sz w:val="20"/>
                <w:lang w:eastAsia="en-GB"/>
              </w:rPr>
            </w:pPr>
            <w:r w:rsidRPr="00454A8B">
              <w:rPr>
                <w:rFonts w:eastAsia="Times New Roman" w:cs="Arial"/>
                <w:b/>
                <w:color w:val="000000"/>
                <w:sz w:val="20"/>
                <w:lang w:eastAsia="en-GB"/>
              </w:rPr>
              <w:t>Absolute effect</w:t>
            </w:r>
          </w:p>
          <w:p w14:paraId="6619CD7C" w14:textId="77777777" w:rsidR="0049441E" w:rsidRPr="002869C9" w:rsidRDefault="0049441E" w:rsidP="0049441E">
            <w:pPr>
              <w:jc w:val="center"/>
              <w:rPr>
                <w:rFonts w:eastAsia="Times New Roman" w:cs="Arial"/>
                <w:b/>
                <w:color w:val="000000"/>
                <w:sz w:val="20"/>
                <w:lang w:eastAsia="en-GB"/>
              </w:rPr>
            </w:pPr>
            <w:r w:rsidRPr="00454A8B">
              <w:rPr>
                <w:rFonts w:eastAsia="Times New Roman" w:cs="Arial"/>
                <w:b/>
                <w:color w:val="000000"/>
                <w:sz w:val="20"/>
                <w:lang w:eastAsia="en-GB"/>
              </w:rPr>
              <w:t xml:space="preserve">(point estimates and 95% </w:t>
            </w:r>
            <w:r>
              <w:rPr>
                <w:rFonts w:eastAsia="Times New Roman" w:cs="Arial"/>
                <w:b/>
                <w:color w:val="000000"/>
                <w:sz w:val="20"/>
                <w:lang w:eastAsia="en-GB"/>
              </w:rPr>
              <w:t>CrI</w:t>
            </w:r>
            <w:r w:rsidRPr="00454A8B">
              <w:rPr>
                <w:rFonts w:eastAsia="Times New Roman" w:cs="Arial"/>
                <w:b/>
                <w:color w:val="000000"/>
                <w:sz w:val="20"/>
                <w:lang w:eastAsia="en-GB"/>
              </w:rPr>
              <w:t>)</w:t>
            </w:r>
          </w:p>
        </w:tc>
      </w:tr>
      <w:tr w:rsidR="0049441E" w:rsidRPr="00DD24FB" w14:paraId="378260C0"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4B9F6915"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Tedizolid</w:t>
            </w:r>
          </w:p>
        </w:tc>
        <w:tc>
          <w:tcPr>
            <w:tcW w:w="2294" w:type="pct"/>
            <w:tcBorders>
              <w:top w:val="nil"/>
              <w:left w:val="nil"/>
              <w:bottom w:val="single" w:sz="4" w:space="0" w:color="auto"/>
              <w:right w:val="single" w:sz="4" w:space="0" w:color="auto"/>
            </w:tcBorders>
            <w:shd w:val="clear" w:color="auto" w:fill="auto"/>
            <w:noWrap/>
            <w:vAlign w:val="bottom"/>
            <w:hideMark/>
          </w:tcPr>
          <w:p w14:paraId="3D8F24C5"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0.86 [0.00, 1.00]</w:t>
            </w:r>
          </w:p>
        </w:tc>
      </w:tr>
      <w:tr w:rsidR="0049441E" w:rsidRPr="00DD24FB" w14:paraId="1F60BA25"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1FC66EA8"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Linezolid</w:t>
            </w:r>
          </w:p>
        </w:tc>
        <w:tc>
          <w:tcPr>
            <w:tcW w:w="2294" w:type="pct"/>
            <w:tcBorders>
              <w:top w:val="nil"/>
              <w:left w:val="nil"/>
              <w:bottom w:val="single" w:sz="4" w:space="0" w:color="auto"/>
              <w:right w:val="single" w:sz="4" w:space="0" w:color="auto"/>
            </w:tcBorders>
            <w:shd w:val="clear" w:color="auto" w:fill="auto"/>
            <w:noWrap/>
            <w:vAlign w:val="bottom"/>
            <w:hideMark/>
          </w:tcPr>
          <w:p w14:paraId="1A8FF2C2"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0.86 [0.00, 1.00]</w:t>
            </w:r>
          </w:p>
        </w:tc>
      </w:tr>
      <w:tr w:rsidR="0049441E" w:rsidRPr="00DD24FB" w14:paraId="332DE6F1"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5CD1E3B9"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Telavancin</w:t>
            </w:r>
          </w:p>
        </w:tc>
        <w:tc>
          <w:tcPr>
            <w:tcW w:w="2294" w:type="pct"/>
            <w:tcBorders>
              <w:top w:val="nil"/>
              <w:left w:val="nil"/>
              <w:bottom w:val="single" w:sz="4" w:space="0" w:color="auto"/>
              <w:right w:val="single" w:sz="4" w:space="0" w:color="auto"/>
            </w:tcBorders>
            <w:shd w:val="clear" w:color="auto" w:fill="auto"/>
            <w:noWrap/>
            <w:vAlign w:val="bottom"/>
            <w:hideMark/>
          </w:tcPr>
          <w:p w14:paraId="7B1A1894"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0.80 [0.00, 1.00]</w:t>
            </w:r>
          </w:p>
        </w:tc>
      </w:tr>
      <w:tr w:rsidR="0049441E" w:rsidRPr="00DD24FB" w14:paraId="08048C16"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03018B17"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Vancomycin</w:t>
            </w:r>
          </w:p>
        </w:tc>
        <w:tc>
          <w:tcPr>
            <w:tcW w:w="2294" w:type="pct"/>
            <w:tcBorders>
              <w:top w:val="nil"/>
              <w:left w:val="nil"/>
              <w:bottom w:val="single" w:sz="4" w:space="0" w:color="auto"/>
              <w:right w:val="single" w:sz="4" w:space="0" w:color="auto"/>
            </w:tcBorders>
            <w:shd w:val="clear" w:color="auto" w:fill="auto"/>
            <w:noWrap/>
            <w:vAlign w:val="bottom"/>
            <w:hideMark/>
          </w:tcPr>
          <w:p w14:paraId="6D41952B"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0.72 [0.00, 1.00]</w:t>
            </w:r>
          </w:p>
        </w:tc>
      </w:tr>
      <w:tr w:rsidR="0049441E" w:rsidRPr="00DD24FB" w14:paraId="0E7EBBE9"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317EDCF8"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Ceftaroline</w:t>
            </w:r>
          </w:p>
        </w:tc>
        <w:tc>
          <w:tcPr>
            <w:tcW w:w="2294" w:type="pct"/>
            <w:tcBorders>
              <w:top w:val="nil"/>
              <w:left w:val="nil"/>
              <w:bottom w:val="single" w:sz="4" w:space="0" w:color="auto"/>
              <w:right w:val="single" w:sz="4" w:space="0" w:color="auto"/>
            </w:tcBorders>
            <w:shd w:val="clear" w:color="auto" w:fill="auto"/>
            <w:noWrap/>
            <w:vAlign w:val="bottom"/>
            <w:hideMark/>
          </w:tcPr>
          <w:p w14:paraId="6AEFD9AD"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0.69 [0.00, 1.00]</w:t>
            </w:r>
          </w:p>
        </w:tc>
      </w:tr>
      <w:tr w:rsidR="0049441E" w:rsidRPr="00DD24FB" w14:paraId="12CCE71F"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2EFB8913"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Daptomycin</w:t>
            </w:r>
          </w:p>
        </w:tc>
        <w:tc>
          <w:tcPr>
            <w:tcW w:w="2294" w:type="pct"/>
            <w:tcBorders>
              <w:top w:val="nil"/>
              <w:left w:val="nil"/>
              <w:bottom w:val="single" w:sz="4" w:space="0" w:color="auto"/>
              <w:right w:val="single" w:sz="4" w:space="0" w:color="auto"/>
            </w:tcBorders>
            <w:shd w:val="clear" w:color="auto" w:fill="auto"/>
            <w:noWrap/>
            <w:vAlign w:val="bottom"/>
            <w:hideMark/>
          </w:tcPr>
          <w:p w14:paraId="02C676EC"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0.67 [0.00, 1.00]</w:t>
            </w:r>
          </w:p>
        </w:tc>
      </w:tr>
      <w:tr w:rsidR="0049441E" w:rsidRPr="00DD24FB" w14:paraId="1FD2BA0E"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bottom"/>
            <w:hideMark/>
          </w:tcPr>
          <w:p w14:paraId="59CB4A42" w14:textId="77777777" w:rsidR="0049441E" w:rsidRPr="002869C9" w:rsidRDefault="0049441E" w:rsidP="0049441E">
            <w:pPr>
              <w:rPr>
                <w:rFonts w:eastAsia="Times New Roman" w:cs="Arial"/>
                <w:color w:val="000000"/>
                <w:sz w:val="20"/>
                <w:lang w:eastAsia="en-GB"/>
              </w:rPr>
            </w:pPr>
            <w:r w:rsidRPr="002869C9">
              <w:rPr>
                <w:rFonts w:eastAsia="Times New Roman" w:cs="Arial"/>
                <w:color w:val="000000"/>
                <w:sz w:val="20"/>
                <w:lang w:eastAsia="en-GB"/>
              </w:rPr>
              <w:t>Tigecycline</w:t>
            </w:r>
          </w:p>
        </w:tc>
        <w:tc>
          <w:tcPr>
            <w:tcW w:w="2294" w:type="pct"/>
            <w:tcBorders>
              <w:top w:val="nil"/>
              <w:left w:val="nil"/>
              <w:bottom w:val="single" w:sz="4" w:space="0" w:color="auto"/>
              <w:right w:val="single" w:sz="4" w:space="0" w:color="auto"/>
            </w:tcBorders>
            <w:shd w:val="clear" w:color="auto" w:fill="auto"/>
            <w:noWrap/>
            <w:vAlign w:val="bottom"/>
            <w:hideMark/>
          </w:tcPr>
          <w:p w14:paraId="66ECA715"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0.56 [0.00, 1.00]</w:t>
            </w:r>
          </w:p>
        </w:tc>
      </w:tr>
    </w:tbl>
    <w:p w14:paraId="7238745D" w14:textId="77777777" w:rsidR="0049441E" w:rsidRDefault="0049441E" w:rsidP="0049441E">
      <w:pPr>
        <w:pStyle w:val="ReportText"/>
      </w:pPr>
    </w:p>
    <w:p w14:paraId="7AD50659" w14:textId="77777777" w:rsidR="0049441E" w:rsidRDefault="0049441E" w:rsidP="0049441E">
      <w:pPr>
        <w:pStyle w:val="ReportText"/>
        <w:spacing w:line="240" w:lineRule="auto"/>
        <w:jc w:val="left"/>
        <w:rPr>
          <w:lang w:val="en-US"/>
        </w:rPr>
      </w:pPr>
      <w:r>
        <w:t>Results are similar to those for the fixed effect model.  However</w:t>
      </w:r>
      <w:r w:rsidRPr="008C25AF">
        <w:t xml:space="preserve"> </w:t>
      </w:r>
      <w:r>
        <w:t>the point estimates for some of the treatments were slightly higher for the fixed effect model.</w:t>
      </w:r>
    </w:p>
    <w:p w14:paraId="59617A31" w14:textId="77777777" w:rsidR="0049441E" w:rsidRDefault="0049441E" w:rsidP="0049441E">
      <w:pPr>
        <w:pStyle w:val="ReportText"/>
        <w:spacing w:line="240" w:lineRule="auto"/>
        <w:jc w:val="left"/>
        <w:rPr>
          <w:lang w:val="en-US"/>
        </w:rPr>
      </w:pPr>
    </w:p>
    <w:p w14:paraId="0B999F5E" w14:textId="77777777" w:rsidR="0049441E" w:rsidRDefault="0049441E" w:rsidP="0049441E">
      <w:pPr>
        <w:pStyle w:val="ReportText"/>
        <w:spacing w:line="240" w:lineRule="auto"/>
        <w:jc w:val="left"/>
        <w:rPr>
          <w:lang w:val="en-US"/>
        </w:rPr>
      </w:pPr>
      <w:r>
        <w:rPr>
          <w:lang w:val="en-US"/>
        </w:rPr>
        <w:t xml:space="preserve">Finally, </w:t>
      </w:r>
      <w:r>
        <w:rPr>
          <w:lang w:val="en-US"/>
        </w:rPr>
        <w:fldChar w:fldCharType="begin"/>
      </w:r>
      <w:r>
        <w:rPr>
          <w:lang w:val="en-US"/>
        </w:rPr>
        <w:instrText xml:space="preserve"> REF _Ref282268609 \h </w:instrText>
      </w:r>
      <w:r>
        <w:rPr>
          <w:lang w:val="en-US"/>
        </w:rPr>
      </w:r>
      <w:r>
        <w:rPr>
          <w:lang w:val="en-US"/>
        </w:rPr>
        <w:fldChar w:fldCharType="separate"/>
      </w:r>
      <w:r w:rsidR="00151A1C" w:rsidRPr="00781FED">
        <w:rPr>
          <w:rFonts w:cs="Arial"/>
          <w:szCs w:val="22"/>
        </w:rPr>
        <w:t xml:space="preserve">Table </w:t>
      </w:r>
      <w:r w:rsidR="00151A1C">
        <w:rPr>
          <w:rFonts w:cs="Arial"/>
          <w:noProof/>
          <w:szCs w:val="22"/>
        </w:rPr>
        <w:t>92</w:t>
      </w:r>
      <w:r>
        <w:rPr>
          <w:lang w:val="en-US"/>
        </w:rPr>
        <w:fldChar w:fldCharType="end"/>
      </w:r>
      <w:r>
        <w:rPr>
          <w:lang w:val="en-US"/>
        </w:rPr>
        <w:t xml:space="preserve"> </w:t>
      </w:r>
      <w:r w:rsidRPr="00B34989">
        <w:rPr>
          <w:lang w:val="en-US"/>
        </w:rPr>
        <w:t>gives the probabili</w:t>
      </w:r>
      <w:r>
        <w:rPr>
          <w:lang w:val="en-US"/>
        </w:rPr>
        <w:t>ties that each treatment is best for the random</w:t>
      </w:r>
      <w:r w:rsidRPr="00B34989">
        <w:rPr>
          <w:lang w:val="en-US"/>
        </w:rPr>
        <w:t xml:space="preserve"> </w:t>
      </w:r>
      <w:r>
        <w:rPr>
          <w:lang w:val="en-US"/>
        </w:rPr>
        <w:t>effects model.  The treatment with the highest estimated probability has been highlighted.</w:t>
      </w:r>
    </w:p>
    <w:p w14:paraId="14AE0830" w14:textId="323F5A39" w:rsidR="0049441E" w:rsidRPr="009025E3" w:rsidRDefault="0049441E" w:rsidP="009025E3">
      <w:pPr>
        <w:pStyle w:val="Caption"/>
        <w:rPr>
          <w:rFonts w:ascii="Arial" w:hAnsi="Arial" w:cs="Arial"/>
          <w:sz w:val="22"/>
          <w:szCs w:val="22"/>
        </w:rPr>
      </w:pPr>
      <w:bookmarkStart w:id="418" w:name="_Ref282268609"/>
      <w:r w:rsidRPr="00781FED">
        <w:rPr>
          <w:rFonts w:ascii="Arial" w:hAnsi="Arial" w:cs="Arial"/>
          <w:sz w:val="22"/>
          <w:szCs w:val="22"/>
        </w:rPr>
        <w:t xml:space="preserve">Table </w:t>
      </w:r>
      <w:r w:rsidRPr="00781FED">
        <w:rPr>
          <w:rFonts w:ascii="Arial" w:hAnsi="Arial" w:cs="Arial"/>
          <w:sz w:val="22"/>
          <w:szCs w:val="22"/>
        </w:rPr>
        <w:fldChar w:fldCharType="begin"/>
      </w:r>
      <w:r w:rsidRPr="00781FED">
        <w:rPr>
          <w:rFonts w:ascii="Arial" w:hAnsi="Arial" w:cs="Arial"/>
          <w:sz w:val="22"/>
          <w:szCs w:val="22"/>
        </w:rPr>
        <w:instrText xml:space="preserve"> SEQ Table \* ARABIC </w:instrText>
      </w:r>
      <w:r w:rsidRPr="00781FED">
        <w:rPr>
          <w:rFonts w:ascii="Arial" w:hAnsi="Arial" w:cs="Arial"/>
          <w:sz w:val="22"/>
          <w:szCs w:val="22"/>
        </w:rPr>
        <w:fldChar w:fldCharType="separate"/>
      </w:r>
      <w:r w:rsidR="00151A1C">
        <w:rPr>
          <w:rFonts w:ascii="Arial" w:hAnsi="Arial" w:cs="Arial"/>
          <w:noProof/>
          <w:sz w:val="22"/>
          <w:szCs w:val="22"/>
        </w:rPr>
        <w:t>92</w:t>
      </w:r>
      <w:r w:rsidRPr="00781FED">
        <w:rPr>
          <w:rFonts w:ascii="Arial" w:hAnsi="Arial" w:cs="Arial"/>
          <w:sz w:val="22"/>
          <w:szCs w:val="22"/>
        </w:rPr>
        <w:fldChar w:fldCharType="end"/>
      </w:r>
      <w:bookmarkEnd w:id="418"/>
      <w:r w:rsidRPr="00781FED">
        <w:rPr>
          <w:rFonts w:ascii="Arial" w:hAnsi="Arial" w:cs="Arial"/>
          <w:sz w:val="22"/>
          <w:szCs w:val="22"/>
        </w:rPr>
        <w:t>: Post-hoc analysis: Clinical response at the post treatment evaluation or test of cure: MRSA only population. Best treatment probabilities (random effect model)</w:t>
      </w:r>
    </w:p>
    <w:tbl>
      <w:tblPr>
        <w:tblW w:w="5000" w:type="pct"/>
        <w:tblLook w:val="04A0" w:firstRow="1" w:lastRow="0" w:firstColumn="1" w:lastColumn="0" w:noHBand="0" w:noVBand="1"/>
      </w:tblPr>
      <w:tblGrid>
        <w:gridCol w:w="4879"/>
        <w:gridCol w:w="4137"/>
      </w:tblGrid>
      <w:tr w:rsidR="0049441E" w:rsidRPr="00E25F0C" w14:paraId="186BF74B" w14:textId="77777777" w:rsidTr="0049441E">
        <w:trPr>
          <w:trHeight w:val="300"/>
        </w:trPr>
        <w:tc>
          <w:tcPr>
            <w:tcW w:w="2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CD8D3"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b/>
                <w:color w:val="000000"/>
                <w:sz w:val="20"/>
                <w:lang w:eastAsia="en-GB"/>
              </w:rPr>
              <w:t>Treatment</w:t>
            </w:r>
          </w:p>
        </w:tc>
        <w:tc>
          <w:tcPr>
            <w:tcW w:w="2294" w:type="pct"/>
            <w:tcBorders>
              <w:top w:val="single" w:sz="4" w:space="0" w:color="auto"/>
              <w:left w:val="nil"/>
              <w:bottom w:val="single" w:sz="4" w:space="0" w:color="auto"/>
              <w:right w:val="single" w:sz="4" w:space="0" w:color="auto"/>
            </w:tcBorders>
            <w:shd w:val="clear" w:color="auto" w:fill="auto"/>
            <w:noWrap/>
            <w:vAlign w:val="center"/>
            <w:hideMark/>
          </w:tcPr>
          <w:p w14:paraId="17970A1F" w14:textId="77777777" w:rsidR="0049441E" w:rsidRPr="002869C9" w:rsidRDefault="0049441E" w:rsidP="0049441E">
            <w:pPr>
              <w:jc w:val="center"/>
              <w:rPr>
                <w:rFonts w:eastAsia="Times New Roman" w:cs="Arial"/>
                <w:color w:val="000000"/>
                <w:sz w:val="20"/>
                <w:lang w:eastAsia="en-GB"/>
              </w:rPr>
            </w:pPr>
            <w:r w:rsidRPr="0047198E">
              <w:rPr>
                <w:rFonts w:eastAsia="Times New Roman" w:cs="Arial"/>
                <w:b/>
                <w:color w:val="000000"/>
                <w:sz w:val="20"/>
                <w:lang w:eastAsia="en-GB"/>
              </w:rPr>
              <w:t>Probability</w:t>
            </w:r>
            <w:r>
              <w:rPr>
                <w:rFonts w:eastAsia="Times New Roman" w:cs="Arial"/>
                <w:b/>
                <w:color w:val="000000"/>
                <w:sz w:val="20"/>
                <w:lang w:eastAsia="en-GB"/>
              </w:rPr>
              <w:t xml:space="preserve"> of treatment being best</w:t>
            </w:r>
          </w:p>
        </w:tc>
      </w:tr>
      <w:tr w:rsidR="0049441E" w:rsidRPr="00E25F0C" w14:paraId="1A3D5FF8" w14:textId="77777777" w:rsidTr="0049441E">
        <w:trPr>
          <w:trHeight w:val="300"/>
        </w:trPr>
        <w:tc>
          <w:tcPr>
            <w:tcW w:w="2706" w:type="pct"/>
            <w:tcBorders>
              <w:top w:val="nil"/>
              <w:left w:val="single" w:sz="4" w:space="0" w:color="auto"/>
              <w:bottom w:val="single" w:sz="4" w:space="0" w:color="auto"/>
              <w:right w:val="single" w:sz="4" w:space="0" w:color="auto"/>
            </w:tcBorders>
            <w:shd w:val="clear" w:color="000000" w:fill="C6EFCE"/>
            <w:noWrap/>
            <w:vAlign w:val="center"/>
            <w:hideMark/>
          </w:tcPr>
          <w:p w14:paraId="00FABC49" w14:textId="77777777" w:rsidR="0049441E" w:rsidRPr="002869C9" w:rsidRDefault="0049441E" w:rsidP="0049441E">
            <w:pPr>
              <w:jc w:val="center"/>
              <w:rPr>
                <w:rFonts w:eastAsia="Times New Roman" w:cs="Arial"/>
                <w:color w:val="006100"/>
                <w:sz w:val="20"/>
                <w:lang w:eastAsia="en-GB"/>
              </w:rPr>
            </w:pPr>
            <w:r w:rsidRPr="002869C9">
              <w:rPr>
                <w:rFonts w:eastAsia="Times New Roman" w:cs="Arial"/>
                <w:color w:val="006100"/>
                <w:sz w:val="20"/>
                <w:lang w:eastAsia="en-GB"/>
              </w:rPr>
              <w:t>Tedizolid</w:t>
            </w:r>
          </w:p>
        </w:tc>
        <w:tc>
          <w:tcPr>
            <w:tcW w:w="2294" w:type="pct"/>
            <w:tcBorders>
              <w:top w:val="nil"/>
              <w:left w:val="nil"/>
              <w:bottom w:val="single" w:sz="4" w:space="0" w:color="auto"/>
              <w:right w:val="single" w:sz="4" w:space="0" w:color="auto"/>
            </w:tcBorders>
            <w:shd w:val="clear" w:color="000000" w:fill="C6EFCE"/>
            <w:noWrap/>
            <w:vAlign w:val="center"/>
            <w:hideMark/>
          </w:tcPr>
          <w:p w14:paraId="2E15ED4D" w14:textId="77777777" w:rsidR="0049441E" w:rsidRPr="002869C9" w:rsidRDefault="0049441E" w:rsidP="0049441E">
            <w:pPr>
              <w:jc w:val="center"/>
              <w:rPr>
                <w:rFonts w:eastAsia="Times New Roman" w:cs="Arial"/>
                <w:color w:val="006100"/>
                <w:sz w:val="20"/>
                <w:lang w:eastAsia="en-GB"/>
              </w:rPr>
            </w:pPr>
            <w:r w:rsidRPr="002869C9">
              <w:rPr>
                <w:rFonts w:eastAsia="Times New Roman" w:cs="Arial"/>
                <w:color w:val="006100"/>
                <w:sz w:val="20"/>
                <w:lang w:eastAsia="en-GB"/>
              </w:rPr>
              <w:t>0.34</w:t>
            </w:r>
          </w:p>
        </w:tc>
      </w:tr>
      <w:tr w:rsidR="0049441E" w:rsidRPr="00E25F0C" w14:paraId="2BC70BC7"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3F976687"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Linezolid</w:t>
            </w:r>
          </w:p>
        </w:tc>
        <w:tc>
          <w:tcPr>
            <w:tcW w:w="2294" w:type="pct"/>
            <w:tcBorders>
              <w:top w:val="nil"/>
              <w:left w:val="nil"/>
              <w:bottom w:val="single" w:sz="4" w:space="0" w:color="auto"/>
              <w:right w:val="single" w:sz="4" w:space="0" w:color="auto"/>
            </w:tcBorders>
            <w:shd w:val="clear" w:color="auto" w:fill="auto"/>
            <w:noWrap/>
            <w:vAlign w:val="center"/>
            <w:hideMark/>
          </w:tcPr>
          <w:p w14:paraId="2E45186E"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0.21</w:t>
            </w:r>
          </w:p>
        </w:tc>
      </w:tr>
      <w:tr w:rsidR="0049441E" w:rsidRPr="00E25F0C" w14:paraId="56C33321"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0E1BA6A4"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Telavancin</w:t>
            </w:r>
          </w:p>
        </w:tc>
        <w:tc>
          <w:tcPr>
            <w:tcW w:w="2294" w:type="pct"/>
            <w:tcBorders>
              <w:top w:val="nil"/>
              <w:left w:val="nil"/>
              <w:bottom w:val="single" w:sz="4" w:space="0" w:color="auto"/>
              <w:right w:val="single" w:sz="4" w:space="0" w:color="auto"/>
            </w:tcBorders>
            <w:shd w:val="clear" w:color="auto" w:fill="auto"/>
            <w:noWrap/>
            <w:vAlign w:val="center"/>
            <w:hideMark/>
          </w:tcPr>
          <w:p w14:paraId="55D490C8"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0.20</w:t>
            </w:r>
          </w:p>
        </w:tc>
      </w:tr>
      <w:tr w:rsidR="0049441E" w:rsidRPr="00E25F0C" w14:paraId="39CAAD18"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198D571A"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lastRenderedPageBreak/>
              <w:t>Daptomycin</w:t>
            </w:r>
          </w:p>
        </w:tc>
        <w:tc>
          <w:tcPr>
            <w:tcW w:w="2294" w:type="pct"/>
            <w:tcBorders>
              <w:top w:val="nil"/>
              <w:left w:val="nil"/>
              <w:bottom w:val="single" w:sz="4" w:space="0" w:color="auto"/>
              <w:right w:val="single" w:sz="4" w:space="0" w:color="auto"/>
            </w:tcBorders>
            <w:shd w:val="clear" w:color="auto" w:fill="auto"/>
            <w:noWrap/>
            <w:vAlign w:val="center"/>
            <w:hideMark/>
          </w:tcPr>
          <w:p w14:paraId="5E533950"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0.11</w:t>
            </w:r>
          </w:p>
        </w:tc>
      </w:tr>
      <w:tr w:rsidR="0049441E" w:rsidRPr="00E25F0C" w14:paraId="0CE238F1"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2F5F554D"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Ceftaroline</w:t>
            </w:r>
          </w:p>
        </w:tc>
        <w:tc>
          <w:tcPr>
            <w:tcW w:w="2294" w:type="pct"/>
            <w:tcBorders>
              <w:top w:val="nil"/>
              <w:left w:val="nil"/>
              <w:bottom w:val="single" w:sz="4" w:space="0" w:color="auto"/>
              <w:right w:val="single" w:sz="4" w:space="0" w:color="auto"/>
            </w:tcBorders>
            <w:shd w:val="clear" w:color="auto" w:fill="auto"/>
            <w:noWrap/>
            <w:vAlign w:val="center"/>
            <w:hideMark/>
          </w:tcPr>
          <w:p w14:paraId="77582DCE"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0.08</w:t>
            </w:r>
          </w:p>
        </w:tc>
      </w:tr>
      <w:tr w:rsidR="0049441E" w:rsidRPr="00E25F0C" w14:paraId="1078501F"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5DAF27D4"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Tigecycline</w:t>
            </w:r>
          </w:p>
        </w:tc>
        <w:tc>
          <w:tcPr>
            <w:tcW w:w="2294" w:type="pct"/>
            <w:tcBorders>
              <w:top w:val="nil"/>
              <w:left w:val="nil"/>
              <w:bottom w:val="single" w:sz="4" w:space="0" w:color="auto"/>
              <w:right w:val="single" w:sz="4" w:space="0" w:color="auto"/>
            </w:tcBorders>
            <w:shd w:val="clear" w:color="auto" w:fill="auto"/>
            <w:noWrap/>
            <w:vAlign w:val="center"/>
            <w:hideMark/>
          </w:tcPr>
          <w:p w14:paraId="2397C549"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0.06</w:t>
            </w:r>
          </w:p>
        </w:tc>
      </w:tr>
      <w:tr w:rsidR="0049441E" w:rsidRPr="00E25F0C" w14:paraId="5E03E60E" w14:textId="77777777" w:rsidTr="0049441E">
        <w:trPr>
          <w:trHeight w:val="300"/>
        </w:trPr>
        <w:tc>
          <w:tcPr>
            <w:tcW w:w="2706" w:type="pct"/>
            <w:tcBorders>
              <w:top w:val="nil"/>
              <w:left w:val="single" w:sz="4" w:space="0" w:color="auto"/>
              <w:bottom w:val="single" w:sz="4" w:space="0" w:color="auto"/>
              <w:right w:val="single" w:sz="4" w:space="0" w:color="auto"/>
            </w:tcBorders>
            <w:shd w:val="clear" w:color="auto" w:fill="auto"/>
            <w:noWrap/>
            <w:vAlign w:val="center"/>
            <w:hideMark/>
          </w:tcPr>
          <w:p w14:paraId="72A67D7D"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Vancomycin</w:t>
            </w:r>
          </w:p>
        </w:tc>
        <w:tc>
          <w:tcPr>
            <w:tcW w:w="2294" w:type="pct"/>
            <w:tcBorders>
              <w:top w:val="nil"/>
              <w:left w:val="nil"/>
              <w:bottom w:val="single" w:sz="4" w:space="0" w:color="auto"/>
              <w:right w:val="single" w:sz="4" w:space="0" w:color="auto"/>
            </w:tcBorders>
            <w:shd w:val="clear" w:color="auto" w:fill="auto"/>
            <w:noWrap/>
            <w:vAlign w:val="center"/>
            <w:hideMark/>
          </w:tcPr>
          <w:p w14:paraId="78292881" w14:textId="77777777" w:rsidR="0049441E" w:rsidRPr="002869C9" w:rsidRDefault="0049441E" w:rsidP="0049441E">
            <w:pPr>
              <w:jc w:val="center"/>
              <w:rPr>
                <w:rFonts w:eastAsia="Times New Roman" w:cs="Arial"/>
                <w:color w:val="000000"/>
                <w:sz w:val="20"/>
                <w:lang w:eastAsia="en-GB"/>
              </w:rPr>
            </w:pPr>
            <w:r w:rsidRPr="002869C9">
              <w:rPr>
                <w:rFonts w:eastAsia="Times New Roman" w:cs="Arial"/>
                <w:color w:val="000000"/>
                <w:sz w:val="20"/>
                <w:lang w:eastAsia="en-GB"/>
              </w:rPr>
              <w:t>0.00</w:t>
            </w:r>
          </w:p>
        </w:tc>
      </w:tr>
    </w:tbl>
    <w:p w14:paraId="569D9767" w14:textId="77777777" w:rsidR="0049441E" w:rsidRDefault="0049441E" w:rsidP="0049441E">
      <w:pPr>
        <w:pStyle w:val="ProposalText"/>
        <w:spacing w:line="240" w:lineRule="auto"/>
        <w:rPr>
          <w:rStyle w:val="Authors"/>
          <w:rFonts w:cs="Arial"/>
          <w:szCs w:val="22"/>
        </w:rPr>
      </w:pPr>
    </w:p>
    <w:p w14:paraId="76C62EF8" w14:textId="77777777" w:rsidR="0049441E" w:rsidRPr="004C2122" w:rsidRDefault="0049441E" w:rsidP="0049441E">
      <w:pPr>
        <w:pStyle w:val="ProposalText"/>
        <w:spacing w:line="240" w:lineRule="auto"/>
        <w:jc w:val="left"/>
        <w:rPr>
          <w:rFonts w:cs="Arial"/>
          <w:b/>
          <w:sz w:val="28"/>
          <w:szCs w:val="22"/>
        </w:rPr>
      </w:pPr>
      <w:r>
        <w:t>In both models, tedizolid has the highest estimated probability of being the best treatment, followed by linezolid and telavancin.</w:t>
      </w:r>
    </w:p>
    <w:p w14:paraId="2C04D728" w14:textId="77777777" w:rsidR="0049441E" w:rsidRPr="00BC1EF1" w:rsidRDefault="0049441E" w:rsidP="0049441E">
      <w:pPr>
        <w:pStyle w:val="ReportText"/>
        <w:spacing w:line="240" w:lineRule="auto"/>
        <w:jc w:val="left"/>
        <w:rPr>
          <w:rFonts w:cs="Arial"/>
          <w:b/>
          <w:bCs/>
          <w:iCs/>
          <w:caps/>
          <w:szCs w:val="22"/>
        </w:rPr>
      </w:pPr>
    </w:p>
    <w:p w14:paraId="46692DC1" w14:textId="77777777" w:rsidR="0049441E" w:rsidRDefault="0049441E" w:rsidP="0049441E">
      <w:pPr>
        <w:rPr>
          <w:rFonts w:cs="Arial"/>
          <w:b/>
          <w:sz w:val="22"/>
          <w:szCs w:val="22"/>
        </w:rPr>
      </w:pPr>
      <w:r w:rsidRPr="008E4E92">
        <w:rPr>
          <w:rFonts w:cs="Arial"/>
          <w:b/>
          <w:sz w:val="22"/>
          <w:szCs w:val="22"/>
        </w:rPr>
        <w:tab/>
      </w:r>
    </w:p>
    <w:p w14:paraId="0A9325B2" w14:textId="77777777" w:rsidR="00370284" w:rsidRPr="006F4C8B" w:rsidRDefault="00370284" w:rsidP="00370284">
      <w:pPr>
        <w:rPr>
          <w:rFonts w:cs="Arial"/>
          <w:b/>
          <w:sz w:val="22"/>
          <w:szCs w:val="22"/>
        </w:rPr>
      </w:pPr>
    </w:p>
    <w:p w14:paraId="62609F10" w14:textId="77777777" w:rsidR="0048265F" w:rsidRPr="006F4C8B" w:rsidRDefault="0048265F" w:rsidP="0048265F">
      <w:pPr>
        <w:ind w:left="1440" w:hanging="1440"/>
        <w:rPr>
          <w:rFonts w:cs="Arial"/>
          <w:color w:val="FF0000"/>
          <w:sz w:val="22"/>
          <w:szCs w:val="22"/>
          <w:lang w:eastAsia="ja-JP"/>
        </w:rPr>
      </w:pPr>
    </w:p>
    <w:sectPr w:rsidR="0048265F" w:rsidRPr="006F4C8B" w:rsidSect="001E0E91">
      <w:footerReference w:type="default" r:id="rId6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22AC3" w14:textId="77777777" w:rsidR="00D8648C" w:rsidRDefault="00D8648C">
      <w:r>
        <w:separator/>
      </w:r>
    </w:p>
  </w:endnote>
  <w:endnote w:type="continuationSeparator" w:id="0">
    <w:p w14:paraId="20E1D9C6" w14:textId="77777777" w:rsidR="00D8648C" w:rsidRDefault="00D8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auto"/>
    <w:pitch w:val="default"/>
  </w:font>
  <w:font w:name="Arial Bold">
    <w:panose1 w:val="020B0704020202020204"/>
    <w:charset w:val="00"/>
    <w:family w:val="auto"/>
    <w:pitch w:val="variable"/>
    <w:sig w:usb0="E0002AFF" w:usb1="C0007843" w:usb2="00000009" w:usb3="00000000" w:csb0="000001FF" w:csb1="00000000"/>
  </w:font>
  <w:font w:name="LeituraSans-Grot 2">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Shaker2Lancet-Bold">
    <w:altName w:val="ＭＳ 明朝"/>
    <w:panose1 w:val="00000000000000000000"/>
    <w:charset w:val="80"/>
    <w:family w:val="auto"/>
    <w:notTrueType/>
    <w:pitch w:val="default"/>
    <w:sig w:usb0="00000001" w:usb1="08070000" w:usb2="00000010" w:usb3="00000000" w:csb0="00020000" w:csb1="00000000"/>
  </w:font>
  <w:font w:name="ScalaLancetPro-Bold">
    <w:altName w:val="ＭＳ 明朝"/>
    <w:panose1 w:val="00000000000000000000"/>
    <w:charset w:val="80"/>
    <w:family w:val="auto"/>
    <w:notTrueType/>
    <w:pitch w:val="default"/>
    <w:sig w:usb0="00000001"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0ß˝øÔj‘">
    <w:altName w:val="Cambria"/>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TimesNewRoman,Bold">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D6D9" w14:textId="77777777" w:rsidR="00151A1C" w:rsidRDefault="00151A1C">
    <w:pPr>
      <w:pStyle w:val="Footer"/>
      <w:jc w:val="center"/>
    </w:pPr>
    <w:r>
      <w:fldChar w:fldCharType="begin"/>
    </w:r>
    <w:r>
      <w:instrText xml:space="preserve"> PAGE   \* MERGEFORMAT </w:instrText>
    </w:r>
    <w:r>
      <w:fldChar w:fldCharType="separate"/>
    </w:r>
    <w:r>
      <w:rPr>
        <w:noProof/>
      </w:rPr>
      <w:t>2</w:t>
    </w:r>
    <w:r>
      <w:fldChar w:fldCharType="end"/>
    </w:r>
  </w:p>
  <w:p w14:paraId="405C3553" w14:textId="77777777" w:rsidR="00151A1C" w:rsidRDefault="00151A1C">
    <w:pPr>
      <w:pStyle w:val="Footer"/>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4"/>
      <w:gridCol w:w="1418"/>
      <w:gridCol w:w="2410"/>
    </w:tblGrid>
    <w:tr w:rsidR="00151A1C" w:rsidRPr="00FD75D3" w14:paraId="677CD737" w14:textId="77777777" w:rsidTr="00E05A75">
      <w:trPr>
        <w:trHeight w:val="717"/>
      </w:trPr>
      <w:tc>
        <w:tcPr>
          <w:tcW w:w="5884" w:type="dxa"/>
        </w:tcPr>
        <w:p w14:paraId="4B45B385" w14:textId="1C7CD5FF" w:rsidR="00151A1C" w:rsidRPr="00817A41" w:rsidRDefault="00151A1C" w:rsidP="000C4ABB">
          <w:pPr>
            <w:pStyle w:val="Footer"/>
            <w:widowControl w:val="0"/>
            <w:spacing w:before="60" w:after="60"/>
            <w:rPr>
              <w:rFonts w:cs="Arial"/>
              <w:sz w:val="20"/>
            </w:rPr>
          </w:pPr>
          <w:r w:rsidRPr="0012149B">
            <w:rPr>
              <w:rFonts w:cs="Arial"/>
              <w:sz w:val="20"/>
            </w:rPr>
            <w:t>File name:</w:t>
          </w:r>
          <w:r>
            <w:rPr>
              <w:rFonts w:cs="Arial"/>
              <w:sz w:val="20"/>
            </w:rPr>
            <w:t xml:space="preserve"> </w:t>
          </w:r>
          <w:r w:rsidRPr="00A80B2E">
            <w:rPr>
              <w:rFonts w:cs="Arial"/>
              <w:sz w:val="20"/>
            </w:rPr>
            <w:t>S:\Scottish Medicines Consortium\SMC Process Documents\Current\New Product Assessment Form\NPAF Template</w:t>
          </w:r>
          <w:r>
            <w:rPr>
              <w:rFonts w:cs="Arial"/>
              <w:sz w:val="20"/>
            </w:rPr>
            <w:t xml:space="preserve">\NPAF Template October 2014 </w:t>
          </w:r>
        </w:p>
      </w:tc>
      <w:tc>
        <w:tcPr>
          <w:tcW w:w="1418" w:type="dxa"/>
          <w:vAlign w:val="center"/>
        </w:tcPr>
        <w:p w14:paraId="4C04CC75" w14:textId="77777777" w:rsidR="00151A1C" w:rsidRPr="0012149B" w:rsidRDefault="00151A1C" w:rsidP="00E05A75">
          <w:pPr>
            <w:pStyle w:val="Footer"/>
            <w:widowControl w:val="0"/>
            <w:rPr>
              <w:rFonts w:cs="Arial"/>
              <w:sz w:val="20"/>
            </w:rPr>
          </w:pPr>
          <w:r>
            <w:rPr>
              <w:rFonts w:cs="Arial"/>
              <w:sz w:val="20"/>
            </w:rPr>
            <w:t>V7.0</w:t>
          </w:r>
        </w:p>
      </w:tc>
      <w:tc>
        <w:tcPr>
          <w:tcW w:w="2410" w:type="dxa"/>
          <w:vAlign w:val="center"/>
        </w:tcPr>
        <w:p w14:paraId="6F2487DB" w14:textId="77777777" w:rsidR="00151A1C" w:rsidRPr="0012149B" w:rsidRDefault="00151A1C" w:rsidP="00E05A75">
          <w:pPr>
            <w:pStyle w:val="Footer"/>
            <w:widowControl w:val="0"/>
            <w:jc w:val="right"/>
            <w:rPr>
              <w:rFonts w:cs="Arial"/>
              <w:sz w:val="20"/>
            </w:rPr>
          </w:pPr>
          <w:r>
            <w:rPr>
              <w:rFonts w:cs="Arial"/>
              <w:sz w:val="20"/>
            </w:rPr>
            <w:t>31/10/14</w:t>
          </w:r>
        </w:p>
      </w:tc>
    </w:tr>
    <w:tr w:rsidR="00151A1C" w14:paraId="34C50DCC" w14:textId="77777777" w:rsidTr="00E05A75">
      <w:tc>
        <w:tcPr>
          <w:tcW w:w="5884" w:type="dxa"/>
          <w:vAlign w:val="center"/>
        </w:tcPr>
        <w:p w14:paraId="3B594028" w14:textId="77777777" w:rsidR="00151A1C" w:rsidRDefault="00151A1C" w:rsidP="00E05A75">
          <w:pPr>
            <w:pStyle w:val="Footer"/>
            <w:widowControl w:val="0"/>
            <w:spacing w:before="60" w:after="60"/>
            <w:rPr>
              <w:rFonts w:cs="Arial"/>
              <w:sz w:val="20"/>
            </w:rPr>
          </w:pPr>
          <w:r>
            <w:rPr>
              <w:rFonts w:cs="Arial"/>
              <w:sz w:val="20"/>
            </w:rPr>
            <w:t>Produced by: SMC Secretariat</w:t>
          </w:r>
        </w:p>
      </w:tc>
      <w:tc>
        <w:tcPr>
          <w:tcW w:w="1418" w:type="dxa"/>
          <w:vAlign w:val="center"/>
        </w:tcPr>
        <w:p w14:paraId="69FF1CF0" w14:textId="77777777" w:rsidR="00151A1C" w:rsidRDefault="00151A1C">
          <w:pPr>
            <w:pStyle w:val="Footer"/>
            <w:widowControl w:val="0"/>
            <w:tabs>
              <w:tab w:val="center" w:pos="4572"/>
            </w:tabs>
            <w:rPr>
              <w:rFonts w:cs="Arial"/>
              <w:sz w:val="20"/>
            </w:rPr>
          </w:pPr>
          <w:r>
            <w:rPr>
              <w:rFonts w:cs="Arial"/>
              <w:sz w:val="20"/>
            </w:rPr>
            <w:t xml:space="preserve">Page </w:t>
          </w:r>
          <w:r>
            <w:rPr>
              <w:rFonts w:cs="Arial"/>
              <w:sz w:val="20"/>
            </w:rPr>
            <w:fldChar w:fldCharType="begin"/>
          </w:r>
          <w:r>
            <w:rPr>
              <w:rFonts w:cs="Arial"/>
              <w:sz w:val="20"/>
            </w:rPr>
            <w:instrText xml:space="preserve"> PAGE </w:instrText>
          </w:r>
          <w:r>
            <w:rPr>
              <w:rFonts w:cs="Arial"/>
              <w:sz w:val="20"/>
            </w:rPr>
            <w:fldChar w:fldCharType="separate"/>
          </w:r>
          <w:r w:rsidR="00BE036A">
            <w:rPr>
              <w:rFonts w:cs="Arial"/>
              <w:noProof/>
              <w:sz w:val="20"/>
            </w:rPr>
            <w:t>1</w:t>
          </w:r>
          <w:r>
            <w:rPr>
              <w:rFonts w:cs="Arial"/>
              <w:sz w:val="20"/>
            </w:rPr>
            <w:fldChar w:fldCharType="end"/>
          </w:r>
          <w:r>
            <w:rPr>
              <w:rFonts w:cs="Arial"/>
              <w:sz w:val="20"/>
            </w:rPr>
            <w:t xml:space="preserve"> of </w:t>
          </w:r>
          <w:r>
            <w:rPr>
              <w:rFonts w:cs="Arial"/>
              <w:sz w:val="20"/>
            </w:rPr>
            <w:fldChar w:fldCharType="begin"/>
          </w:r>
          <w:r>
            <w:rPr>
              <w:rFonts w:cs="Arial"/>
              <w:sz w:val="20"/>
            </w:rPr>
            <w:instrText xml:space="preserve"> NUMPAGES </w:instrText>
          </w:r>
          <w:r>
            <w:rPr>
              <w:rFonts w:cs="Arial"/>
              <w:sz w:val="20"/>
            </w:rPr>
            <w:fldChar w:fldCharType="separate"/>
          </w:r>
          <w:r w:rsidR="00BE036A">
            <w:rPr>
              <w:rFonts w:cs="Arial"/>
              <w:noProof/>
              <w:sz w:val="20"/>
            </w:rPr>
            <w:t>1</w:t>
          </w:r>
          <w:r>
            <w:rPr>
              <w:rFonts w:cs="Arial"/>
              <w:sz w:val="20"/>
            </w:rPr>
            <w:fldChar w:fldCharType="end"/>
          </w:r>
        </w:p>
      </w:tc>
      <w:tc>
        <w:tcPr>
          <w:tcW w:w="2410" w:type="dxa"/>
          <w:vAlign w:val="center"/>
        </w:tcPr>
        <w:p w14:paraId="7B061E4B" w14:textId="77777777" w:rsidR="00151A1C" w:rsidRDefault="00151A1C" w:rsidP="00E05A75">
          <w:pPr>
            <w:pStyle w:val="Footer"/>
            <w:widowControl w:val="0"/>
            <w:tabs>
              <w:tab w:val="center" w:pos="4572"/>
            </w:tabs>
            <w:jc w:val="right"/>
            <w:rPr>
              <w:rFonts w:cs="Arial"/>
              <w:sz w:val="20"/>
            </w:rPr>
          </w:pPr>
          <w:r>
            <w:rPr>
              <w:rFonts w:cs="Arial"/>
              <w:sz w:val="20"/>
            </w:rPr>
            <w:t>Review date: June 2015</w:t>
          </w:r>
        </w:p>
      </w:tc>
    </w:tr>
  </w:tbl>
  <w:p w14:paraId="06AF09FA" w14:textId="77777777" w:rsidR="00151A1C" w:rsidRDefault="00151A1C" w:rsidP="00E05A75">
    <w:pPr>
      <w:pStyle w:val="Footer"/>
    </w:pPr>
  </w:p>
  <w:p w14:paraId="041E7E83" w14:textId="77777777" w:rsidR="00151A1C" w:rsidRDefault="00151A1C">
    <w:pPr>
      <w:pStyle w:val="Footer"/>
      <w:jc w:val="center"/>
    </w:pPr>
  </w:p>
  <w:p w14:paraId="20E80E08" w14:textId="77777777" w:rsidR="00151A1C" w:rsidRDefault="00151A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CC583" w14:textId="77777777" w:rsidR="00151A1C" w:rsidRDefault="00151A1C" w:rsidP="001E0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7F5B" w14:textId="77777777" w:rsidR="00151A1C" w:rsidRDefault="00151A1C" w:rsidP="001E0E9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88954" w14:textId="77777777" w:rsidR="00151A1C" w:rsidRPr="00566611" w:rsidRDefault="00151A1C" w:rsidP="00566611">
    <w:pPr>
      <w:pStyle w:val="Footer"/>
      <w:framePr w:wrap="around" w:vAnchor="text" w:hAnchor="page" w:x="5951" w:y="-6"/>
      <w:jc w:val="right"/>
      <w:rPr>
        <w:rStyle w:val="PageNumber"/>
        <w:rFonts w:ascii="Arial" w:hAnsi="Arial"/>
        <w:color w:val="auto"/>
        <w:sz w:val="24"/>
      </w:rPr>
    </w:pPr>
    <w:r w:rsidRPr="00566611">
      <w:rPr>
        <w:rStyle w:val="PageNumber"/>
        <w:rFonts w:ascii="Arial" w:hAnsi="Arial"/>
        <w:color w:val="auto"/>
        <w:sz w:val="24"/>
      </w:rPr>
      <w:fldChar w:fldCharType="begin"/>
    </w:r>
    <w:r w:rsidRPr="00566611">
      <w:rPr>
        <w:rStyle w:val="PageNumber"/>
        <w:rFonts w:ascii="Arial" w:hAnsi="Arial"/>
        <w:color w:val="auto"/>
        <w:sz w:val="24"/>
      </w:rPr>
      <w:instrText xml:space="preserve">PAGE  </w:instrText>
    </w:r>
    <w:r w:rsidRPr="00566611">
      <w:rPr>
        <w:rStyle w:val="PageNumber"/>
        <w:rFonts w:ascii="Arial" w:hAnsi="Arial"/>
        <w:color w:val="auto"/>
        <w:sz w:val="24"/>
      </w:rPr>
      <w:fldChar w:fldCharType="separate"/>
    </w:r>
    <w:r w:rsidR="00BE036A">
      <w:rPr>
        <w:rStyle w:val="PageNumber"/>
        <w:rFonts w:ascii="Arial" w:hAnsi="Arial"/>
        <w:noProof/>
        <w:color w:val="auto"/>
        <w:sz w:val="24"/>
      </w:rPr>
      <w:t>3</w:t>
    </w:r>
    <w:r w:rsidRPr="00566611">
      <w:rPr>
        <w:rStyle w:val="PageNumber"/>
        <w:rFonts w:ascii="Arial" w:hAnsi="Arial"/>
        <w:color w:val="auto"/>
        <w:sz w:val="24"/>
      </w:rPr>
      <w:fldChar w:fldCharType="end"/>
    </w:r>
  </w:p>
  <w:p w14:paraId="386C4F1B" w14:textId="77777777" w:rsidR="00151A1C" w:rsidRDefault="00151A1C">
    <w:pPr>
      <w:pStyle w:val="Footer"/>
      <w:jc w:val="center"/>
      <w:rPr>
        <w:sz w:val="20"/>
      </w:rPr>
    </w:pPr>
  </w:p>
  <w:p w14:paraId="55C78F3D" w14:textId="77777777" w:rsidR="00151A1C" w:rsidRDefault="00151A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5C5E5" w14:textId="77777777" w:rsidR="00151A1C" w:rsidRPr="00612C69" w:rsidRDefault="00151A1C">
    <w:pPr>
      <w:tabs>
        <w:tab w:val="right" w:pos="9000"/>
      </w:tabs>
      <w:ind w:right="26"/>
      <w:rPr>
        <w:rFonts w:cs="Arial"/>
        <w:sz w:val="22"/>
      </w:rPr>
    </w:pPr>
    <w:r w:rsidRPr="00612C69">
      <w:rPr>
        <w:rFonts w:cs="Arial"/>
        <w:sz w:val="22"/>
      </w:rPr>
      <w:tab/>
    </w:r>
    <w:r w:rsidRPr="00612C69">
      <w:rPr>
        <w:rFonts w:cs="Arial"/>
        <w:sz w:val="22"/>
      </w:rPr>
      <w:fldChar w:fldCharType="begin"/>
    </w:r>
    <w:r w:rsidRPr="00612C69">
      <w:rPr>
        <w:rFonts w:cs="Arial"/>
        <w:sz w:val="22"/>
      </w:rPr>
      <w:instrText xml:space="preserve"> PAGE </w:instrText>
    </w:r>
    <w:r w:rsidRPr="00612C69">
      <w:rPr>
        <w:rFonts w:cs="Arial"/>
        <w:sz w:val="22"/>
      </w:rPr>
      <w:fldChar w:fldCharType="separate"/>
    </w:r>
    <w:r w:rsidR="002A6B82">
      <w:rPr>
        <w:rFonts w:cs="Arial"/>
        <w:noProof/>
        <w:sz w:val="22"/>
      </w:rPr>
      <w:t>22</w:t>
    </w:r>
    <w:r w:rsidRPr="00612C69">
      <w:rPr>
        <w:rFonts w:cs="Arial"/>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AA470" w14:textId="77777777" w:rsidR="00151A1C" w:rsidRPr="00612C69" w:rsidRDefault="00151A1C" w:rsidP="00D557A9">
    <w:pPr>
      <w:tabs>
        <w:tab w:val="right" w:pos="14175"/>
      </w:tabs>
      <w:ind w:right="26"/>
      <w:rPr>
        <w:rFonts w:cs="Arial"/>
        <w:sz w:val="22"/>
      </w:rPr>
    </w:pPr>
    <w:r w:rsidRPr="00612C69">
      <w:rPr>
        <w:rFonts w:cs="Arial"/>
        <w:sz w:val="22"/>
      </w:rPr>
      <w:tab/>
    </w:r>
    <w:r w:rsidRPr="00612C69">
      <w:rPr>
        <w:rFonts w:cs="Arial"/>
        <w:sz w:val="22"/>
      </w:rPr>
      <w:fldChar w:fldCharType="begin"/>
    </w:r>
    <w:r w:rsidRPr="00612C69">
      <w:rPr>
        <w:rFonts w:cs="Arial"/>
        <w:sz w:val="22"/>
      </w:rPr>
      <w:instrText xml:space="preserve"> PAGE </w:instrText>
    </w:r>
    <w:r w:rsidRPr="00612C69">
      <w:rPr>
        <w:rFonts w:cs="Arial"/>
        <w:sz w:val="22"/>
      </w:rPr>
      <w:fldChar w:fldCharType="separate"/>
    </w:r>
    <w:r w:rsidR="002A6B82">
      <w:rPr>
        <w:rFonts w:cs="Arial"/>
        <w:noProof/>
        <w:sz w:val="22"/>
      </w:rPr>
      <w:t>140</w:t>
    </w:r>
    <w:r w:rsidRPr="00612C69">
      <w:rPr>
        <w:rFonts w:cs="Arial"/>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21AEE" w14:textId="77777777" w:rsidR="00151A1C" w:rsidRDefault="00151A1C" w:rsidP="00917DF6">
    <w:pPr>
      <w:tabs>
        <w:tab w:val="right" w:pos="9000"/>
      </w:tabs>
      <w:ind w:right="29"/>
      <w:rPr>
        <w:rFonts w:cs="Arial"/>
        <w:sz w:val="22"/>
      </w:rPr>
    </w:pPr>
    <w:r w:rsidRPr="00612C69">
      <w:rPr>
        <w:rFonts w:cs="Arial"/>
        <w:sz w:val="22"/>
      </w:rPr>
      <w:tab/>
    </w:r>
    <w:r w:rsidRPr="00612C69">
      <w:rPr>
        <w:rFonts w:cs="Arial"/>
        <w:sz w:val="22"/>
      </w:rPr>
      <w:fldChar w:fldCharType="begin"/>
    </w:r>
    <w:r w:rsidRPr="00612C69">
      <w:rPr>
        <w:rFonts w:cs="Arial"/>
        <w:sz w:val="22"/>
      </w:rPr>
      <w:instrText xml:space="preserve"> PAGE </w:instrText>
    </w:r>
    <w:r w:rsidRPr="00612C69">
      <w:rPr>
        <w:rFonts w:cs="Arial"/>
        <w:sz w:val="22"/>
      </w:rPr>
      <w:fldChar w:fldCharType="separate"/>
    </w:r>
    <w:r w:rsidR="002A6B82">
      <w:rPr>
        <w:rFonts w:cs="Arial"/>
        <w:noProof/>
        <w:sz w:val="22"/>
      </w:rPr>
      <w:t>146</w:t>
    </w:r>
    <w:r w:rsidRPr="00612C69">
      <w:rPr>
        <w:rFonts w:cs="Arial"/>
        <w:sz w:val="22"/>
      </w:rPr>
      <w:fldChar w:fldCharType="end"/>
    </w:r>
  </w:p>
  <w:p w14:paraId="453FE717" w14:textId="77777777" w:rsidR="00151A1C" w:rsidRPr="00612C69" w:rsidRDefault="00151A1C" w:rsidP="00917DF6">
    <w:pPr>
      <w:tabs>
        <w:tab w:val="right" w:pos="9000"/>
      </w:tabs>
      <w:ind w:right="29"/>
      <w:rPr>
        <w:rFonts w:cs="Arial"/>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0D087" w14:textId="77777777" w:rsidR="00151A1C" w:rsidRDefault="00151A1C" w:rsidP="00917DF6">
    <w:pPr>
      <w:tabs>
        <w:tab w:val="right" w:pos="9000"/>
      </w:tabs>
      <w:ind w:right="29"/>
      <w:rPr>
        <w:rFonts w:cs="Arial"/>
        <w:sz w:val="22"/>
      </w:rPr>
    </w:pPr>
    <w:r w:rsidRPr="00612C69">
      <w:rPr>
        <w:rFonts w:cs="Arial"/>
        <w:sz w:val="22"/>
      </w:rPr>
      <w:tab/>
    </w:r>
    <w:r w:rsidRPr="00612C69">
      <w:rPr>
        <w:rFonts w:cs="Arial"/>
        <w:sz w:val="22"/>
      </w:rPr>
      <w:fldChar w:fldCharType="begin"/>
    </w:r>
    <w:r w:rsidRPr="00612C69">
      <w:rPr>
        <w:rFonts w:cs="Arial"/>
        <w:sz w:val="22"/>
      </w:rPr>
      <w:instrText xml:space="preserve"> PAGE </w:instrText>
    </w:r>
    <w:r w:rsidRPr="00612C69">
      <w:rPr>
        <w:rFonts w:cs="Arial"/>
        <w:sz w:val="22"/>
      </w:rPr>
      <w:fldChar w:fldCharType="separate"/>
    </w:r>
    <w:r w:rsidR="002A6B82">
      <w:rPr>
        <w:rFonts w:cs="Arial"/>
        <w:noProof/>
        <w:sz w:val="22"/>
      </w:rPr>
      <w:t>141</w:t>
    </w:r>
    <w:r w:rsidRPr="00612C69">
      <w:rPr>
        <w:rFonts w:cs="Arial"/>
        <w:sz w:val="22"/>
      </w:rPr>
      <w:fldChar w:fldCharType="end"/>
    </w:r>
  </w:p>
  <w:p w14:paraId="28CC99F2" w14:textId="77777777" w:rsidR="00151A1C" w:rsidRPr="00D24395" w:rsidRDefault="00151A1C" w:rsidP="00917DF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1C249" w14:textId="77777777" w:rsidR="00151A1C" w:rsidRDefault="00151A1C" w:rsidP="001E0E91">
    <w:pPr>
      <w:pStyle w:val="Footer"/>
      <w:framePr w:h="181" w:hRule="exact" w:wrap="around" w:vAnchor="text" w:hAnchor="page" w:x="10241" w:y="-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148</w:t>
    </w:r>
    <w:r>
      <w:rPr>
        <w:rStyle w:val="PageNumber"/>
      </w:rPr>
      <w:fldChar w:fldCharType="end"/>
    </w:r>
  </w:p>
  <w:p w14:paraId="0EE4BA80" w14:textId="77777777" w:rsidR="00151A1C" w:rsidRDefault="00151A1C">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F5409" w14:textId="77777777" w:rsidR="00D8648C" w:rsidRDefault="00D8648C">
      <w:r>
        <w:separator/>
      </w:r>
    </w:p>
  </w:footnote>
  <w:footnote w:type="continuationSeparator" w:id="0">
    <w:p w14:paraId="57C2AA4C" w14:textId="77777777" w:rsidR="00D8648C" w:rsidRDefault="00D86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421F3" w14:textId="087202F9" w:rsidR="00151A1C" w:rsidRDefault="00151A1C" w:rsidP="00937165">
    <w:pPr>
      <w:pStyle w:val="Header"/>
      <w:pBdr>
        <w:bottom w:val="none" w:sz="0" w:space="0" w:color="auto"/>
      </w:pBdr>
      <w:jc w:val="center"/>
    </w:pPr>
    <w:r>
      <w:rPr>
        <w:rStyle w:val="PageNumber"/>
      </w:rPr>
      <w:fldChar w:fldCharType="begin"/>
    </w:r>
    <w:r>
      <w:rPr>
        <w:rStyle w:val="PageNumber"/>
      </w:rPr>
      <w:instrText xml:space="preserve"> PAGE </w:instrText>
    </w:r>
    <w:r>
      <w:rPr>
        <w:rStyle w:val="PageNumber"/>
      </w:rPr>
      <w:fldChar w:fldCharType="separate"/>
    </w:r>
    <w:r w:rsidR="00BE036A">
      <w:rPr>
        <w:rStyle w:val="PageNumber"/>
        <w:noProof/>
      </w:rPr>
      <w:t>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B9EB2FE"/>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91ACF4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90275"/>
    <w:multiLevelType w:val="hybridMultilevel"/>
    <w:tmpl w:val="2E864F78"/>
    <w:lvl w:ilvl="0" w:tplc="06E4C7FC">
      <w:start w:val="1"/>
      <w:numFmt w:val="decimal"/>
      <w:pStyle w:val="Summary-numberedbullet-H49"/>
      <w:lvlText w:val="%1."/>
      <w:lvlJc w:val="left"/>
      <w:pPr>
        <w:ind w:left="3011" w:hanging="360"/>
      </w:pPr>
    </w:lvl>
    <w:lvl w:ilvl="1" w:tplc="08090019" w:tentative="1">
      <w:start w:val="1"/>
      <w:numFmt w:val="lowerLetter"/>
      <w:lvlText w:val="%2."/>
      <w:lvlJc w:val="left"/>
      <w:pPr>
        <w:ind w:left="3731" w:hanging="360"/>
      </w:pPr>
    </w:lvl>
    <w:lvl w:ilvl="2" w:tplc="0809001B" w:tentative="1">
      <w:start w:val="1"/>
      <w:numFmt w:val="lowerRoman"/>
      <w:lvlText w:val="%3."/>
      <w:lvlJc w:val="right"/>
      <w:pPr>
        <w:ind w:left="4451" w:hanging="180"/>
      </w:pPr>
    </w:lvl>
    <w:lvl w:ilvl="3" w:tplc="0809000F" w:tentative="1">
      <w:start w:val="1"/>
      <w:numFmt w:val="decimal"/>
      <w:lvlText w:val="%4."/>
      <w:lvlJc w:val="left"/>
      <w:pPr>
        <w:ind w:left="5171" w:hanging="360"/>
      </w:pPr>
    </w:lvl>
    <w:lvl w:ilvl="4" w:tplc="08090019" w:tentative="1">
      <w:start w:val="1"/>
      <w:numFmt w:val="lowerLetter"/>
      <w:lvlText w:val="%5."/>
      <w:lvlJc w:val="left"/>
      <w:pPr>
        <w:ind w:left="5891" w:hanging="360"/>
      </w:pPr>
    </w:lvl>
    <w:lvl w:ilvl="5" w:tplc="0809001B" w:tentative="1">
      <w:start w:val="1"/>
      <w:numFmt w:val="lowerRoman"/>
      <w:lvlText w:val="%6."/>
      <w:lvlJc w:val="right"/>
      <w:pPr>
        <w:ind w:left="6611" w:hanging="180"/>
      </w:pPr>
    </w:lvl>
    <w:lvl w:ilvl="6" w:tplc="0809000F" w:tentative="1">
      <w:start w:val="1"/>
      <w:numFmt w:val="decimal"/>
      <w:lvlText w:val="%7."/>
      <w:lvlJc w:val="left"/>
      <w:pPr>
        <w:ind w:left="7331" w:hanging="360"/>
      </w:pPr>
    </w:lvl>
    <w:lvl w:ilvl="7" w:tplc="08090019" w:tentative="1">
      <w:start w:val="1"/>
      <w:numFmt w:val="lowerLetter"/>
      <w:lvlText w:val="%8."/>
      <w:lvlJc w:val="left"/>
      <w:pPr>
        <w:ind w:left="8051" w:hanging="360"/>
      </w:pPr>
    </w:lvl>
    <w:lvl w:ilvl="8" w:tplc="0809001B" w:tentative="1">
      <w:start w:val="1"/>
      <w:numFmt w:val="lowerRoman"/>
      <w:lvlText w:val="%9."/>
      <w:lvlJc w:val="right"/>
      <w:pPr>
        <w:ind w:left="8771" w:hanging="180"/>
      </w:pPr>
    </w:lvl>
  </w:abstractNum>
  <w:abstractNum w:abstractNumId="3">
    <w:nsid w:val="01B36299"/>
    <w:multiLevelType w:val="hybridMultilevel"/>
    <w:tmpl w:val="D9DC665C"/>
    <w:lvl w:ilvl="0" w:tplc="394A358E">
      <w:start w:val="1"/>
      <w:numFmt w:val="bullet"/>
      <w:lvlText w:val=""/>
      <w:lvlJc w:val="left"/>
      <w:pPr>
        <w:ind w:left="851" w:hanging="851"/>
      </w:pPr>
      <w:rPr>
        <w:rFonts w:ascii="Symbol" w:hAnsi="Symbol" w:hint="default"/>
      </w:rPr>
    </w:lvl>
    <w:lvl w:ilvl="1" w:tplc="BD9A4628">
      <w:start w:val="1"/>
      <w:numFmt w:val="bullet"/>
      <w:lvlText w:val="o"/>
      <w:lvlJc w:val="left"/>
      <w:pPr>
        <w:ind w:left="1418" w:hanging="567"/>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CB6759"/>
    <w:multiLevelType w:val="hybridMultilevel"/>
    <w:tmpl w:val="25D23B8E"/>
    <w:lvl w:ilvl="0" w:tplc="DCD687A0">
      <w:start w:val="1"/>
      <w:numFmt w:val="lowerRoman"/>
      <w:lvlText w:val="%1)"/>
      <w:lvlJc w:val="left"/>
      <w:pPr>
        <w:tabs>
          <w:tab w:val="num" w:pos="1080"/>
        </w:tabs>
        <w:ind w:left="1080" w:hanging="720"/>
      </w:pPr>
      <w:rPr>
        <w:rFonts w:cs="Times New Roman" w:hint="default"/>
      </w:rPr>
    </w:lvl>
    <w:lvl w:ilvl="1" w:tplc="195C3C6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2F10959"/>
    <w:multiLevelType w:val="hybridMultilevel"/>
    <w:tmpl w:val="598825F8"/>
    <w:lvl w:ilvl="0" w:tplc="DCCC2018">
      <w:start w:val="1"/>
      <w:numFmt w:val="bullet"/>
      <w:pStyle w:val="ListNumber3"/>
      <w:lvlText w:val=""/>
      <w:lvlJc w:val="left"/>
      <w:pPr>
        <w:ind w:left="2608" w:hanging="360"/>
      </w:pPr>
      <w:rPr>
        <w:rFonts w:ascii="Symbol" w:hAnsi="Symbol" w:hint="default"/>
        <w:color w:val="00529B"/>
      </w:rPr>
    </w:lvl>
    <w:lvl w:ilvl="1" w:tplc="08090003" w:tentative="1">
      <w:start w:val="1"/>
      <w:numFmt w:val="bullet"/>
      <w:lvlText w:val="o"/>
      <w:lvlJc w:val="left"/>
      <w:pPr>
        <w:ind w:left="3328" w:hanging="360"/>
      </w:pPr>
      <w:rPr>
        <w:rFonts w:ascii="Courier New" w:hAnsi="Courier New" w:cs="Courier New" w:hint="default"/>
      </w:rPr>
    </w:lvl>
    <w:lvl w:ilvl="2" w:tplc="08090005" w:tentative="1">
      <w:start w:val="1"/>
      <w:numFmt w:val="bullet"/>
      <w:lvlText w:val=""/>
      <w:lvlJc w:val="left"/>
      <w:pPr>
        <w:ind w:left="4048" w:hanging="360"/>
      </w:pPr>
      <w:rPr>
        <w:rFonts w:ascii="Wingdings" w:hAnsi="Wingdings" w:hint="default"/>
      </w:rPr>
    </w:lvl>
    <w:lvl w:ilvl="3" w:tplc="08090001" w:tentative="1">
      <w:start w:val="1"/>
      <w:numFmt w:val="bullet"/>
      <w:lvlText w:val=""/>
      <w:lvlJc w:val="left"/>
      <w:pPr>
        <w:ind w:left="4768" w:hanging="360"/>
      </w:pPr>
      <w:rPr>
        <w:rFonts w:ascii="Symbol" w:hAnsi="Symbol" w:hint="default"/>
      </w:rPr>
    </w:lvl>
    <w:lvl w:ilvl="4" w:tplc="08090003" w:tentative="1">
      <w:start w:val="1"/>
      <w:numFmt w:val="bullet"/>
      <w:lvlText w:val="o"/>
      <w:lvlJc w:val="left"/>
      <w:pPr>
        <w:ind w:left="5488" w:hanging="360"/>
      </w:pPr>
      <w:rPr>
        <w:rFonts w:ascii="Courier New" w:hAnsi="Courier New" w:cs="Courier New" w:hint="default"/>
      </w:rPr>
    </w:lvl>
    <w:lvl w:ilvl="5" w:tplc="08090005" w:tentative="1">
      <w:start w:val="1"/>
      <w:numFmt w:val="bullet"/>
      <w:lvlText w:val=""/>
      <w:lvlJc w:val="left"/>
      <w:pPr>
        <w:ind w:left="6208" w:hanging="360"/>
      </w:pPr>
      <w:rPr>
        <w:rFonts w:ascii="Wingdings" w:hAnsi="Wingdings" w:hint="default"/>
      </w:rPr>
    </w:lvl>
    <w:lvl w:ilvl="6" w:tplc="08090001" w:tentative="1">
      <w:start w:val="1"/>
      <w:numFmt w:val="bullet"/>
      <w:lvlText w:val=""/>
      <w:lvlJc w:val="left"/>
      <w:pPr>
        <w:ind w:left="6928" w:hanging="360"/>
      </w:pPr>
      <w:rPr>
        <w:rFonts w:ascii="Symbol" w:hAnsi="Symbol" w:hint="default"/>
      </w:rPr>
    </w:lvl>
    <w:lvl w:ilvl="7" w:tplc="08090003" w:tentative="1">
      <w:start w:val="1"/>
      <w:numFmt w:val="bullet"/>
      <w:lvlText w:val="o"/>
      <w:lvlJc w:val="left"/>
      <w:pPr>
        <w:ind w:left="7648" w:hanging="360"/>
      </w:pPr>
      <w:rPr>
        <w:rFonts w:ascii="Courier New" w:hAnsi="Courier New" w:cs="Courier New" w:hint="default"/>
      </w:rPr>
    </w:lvl>
    <w:lvl w:ilvl="8" w:tplc="08090005" w:tentative="1">
      <w:start w:val="1"/>
      <w:numFmt w:val="bullet"/>
      <w:lvlText w:val=""/>
      <w:lvlJc w:val="left"/>
      <w:pPr>
        <w:ind w:left="8368" w:hanging="360"/>
      </w:pPr>
      <w:rPr>
        <w:rFonts w:ascii="Wingdings" w:hAnsi="Wingdings" w:hint="default"/>
      </w:rPr>
    </w:lvl>
  </w:abstractNum>
  <w:abstractNum w:abstractNumId="6">
    <w:nsid w:val="041F41A0"/>
    <w:multiLevelType w:val="hybridMultilevel"/>
    <w:tmpl w:val="A0E2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D32B2"/>
    <w:multiLevelType w:val="hybridMultilevel"/>
    <w:tmpl w:val="286E6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3D7085"/>
    <w:multiLevelType w:val="hybridMultilevel"/>
    <w:tmpl w:val="1B389B22"/>
    <w:lvl w:ilvl="0" w:tplc="DA104460">
      <w:start w:val="1"/>
      <w:numFmt w:val="decimal"/>
      <w:pStyle w:val="TableNumberList-H59"/>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084F7FFC"/>
    <w:multiLevelType w:val="multilevel"/>
    <w:tmpl w:val="96C81FE0"/>
    <w:lvl w:ilvl="0">
      <w:start w:val="3"/>
      <w:numFmt w:val="decimal"/>
      <w:lvlText w:val="%1"/>
      <w:lvlJc w:val="left"/>
      <w:pPr>
        <w:ind w:left="660" w:hanging="660"/>
      </w:pPr>
      <w:rPr>
        <w:rFonts w:hint="default"/>
        <w:sz w:val="24"/>
      </w:rPr>
    </w:lvl>
    <w:lvl w:ilvl="1">
      <w:start w:val="4"/>
      <w:numFmt w:val="decimal"/>
      <w:lvlText w:val="%1.%2"/>
      <w:lvlJc w:val="left"/>
      <w:pPr>
        <w:ind w:left="660" w:hanging="660"/>
      </w:pPr>
      <w:rPr>
        <w:rFonts w:hint="default"/>
        <w:sz w:val="24"/>
      </w:rPr>
    </w:lvl>
    <w:lvl w:ilvl="2">
      <w:start w:val="18"/>
      <w:numFmt w:val="decimal"/>
      <w:lvlText w:val="%1.%2.%3"/>
      <w:lvlJc w:val="left"/>
      <w:pPr>
        <w:ind w:left="660" w:hanging="66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720" w:hanging="72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1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90411"/>
    <w:multiLevelType w:val="multilevel"/>
    <w:tmpl w:val="697C4C7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3196246"/>
    <w:multiLevelType w:val="hybridMultilevel"/>
    <w:tmpl w:val="36C0D8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983B12"/>
    <w:multiLevelType w:val="hybridMultilevel"/>
    <w:tmpl w:val="BF686CC0"/>
    <w:lvl w:ilvl="0" w:tplc="816CA622">
      <w:start w:val="1"/>
      <w:numFmt w:val="lowerLetter"/>
      <w:pStyle w:val="ListAlphabet-H40"/>
      <w:lvlText w:val="%1)"/>
      <w:lvlJc w:val="left"/>
      <w:pPr>
        <w:ind w:left="2781" w:hanging="360"/>
      </w:pPr>
    </w:lvl>
    <w:lvl w:ilvl="1" w:tplc="08090019" w:tentative="1">
      <w:start w:val="1"/>
      <w:numFmt w:val="lowerLetter"/>
      <w:lvlText w:val="%2."/>
      <w:lvlJc w:val="left"/>
      <w:pPr>
        <w:ind w:left="3501" w:hanging="360"/>
      </w:pPr>
    </w:lvl>
    <w:lvl w:ilvl="2" w:tplc="0809001B" w:tentative="1">
      <w:start w:val="1"/>
      <w:numFmt w:val="lowerRoman"/>
      <w:lvlText w:val="%3."/>
      <w:lvlJc w:val="right"/>
      <w:pPr>
        <w:ind w:left="4221" w:hanging="180"/>
      </w:pPr>
    </w:lvl>
    <w:lvl w:ilvl="3" w:tplc="0809000F" w:tentative="1">
      <w:start w:val="1"/>
      <w:numFmt w:val="decimal"/>
      <w:lvlText w:val="%4."/>
      <w:lvlJc w:val="left"/>
      <w:pPr>
        <w:ind w:left="4941" w:hanging="360"/>
      </w:pPr>
    </w:lvl>
    <w:lvl w:ilvl="4" w:tplc="08090019" w:tentative="1">
      <w:start w:val="1"/>
      <w:numFmt w:val="lowerLetter"/>
      <w:lvlText w:val="%5."/>
      <w:lvlJc w:val="left"/>
      <w:pPr>
        <w:ind w:left="5661" w:hanging="360"/>
      </w:pPr>
    </w:lvl>
    <w:lvl w:ilvl="5" w:tplc="0809001B" w:tentative="1">
      <w:start w:val="1"/>
      <w:numFmt w:val="lowerRoman"/>
      <w:lvlText w:val="%6."/>
      <w:lvlJc w:val="right"/>
      <w:pPr>
        <w:ind w:left="6381" w:hanging="180"/>
      </w:pPr>
    </w:lvl>
    <w:lvl w:ilvl="6" w:tplc="0809000F" w:tentative="1">
      <w:start w:val="1"/>
      <w:numFmt w:val="decimal"/>
      <w:lvlText w:val="%7."/>
      <w:lvlJc w:val="left"/>
      <w:pPr>
        <w:ind w:left="7101" w:hanging="360"/>
      </w:pPr>
    </w:lvl>
    <w:lvl w:ilvl="7" w:tplc="08090019" w:tentative="1">
      <w:start w:val="1"/>
      <w:numFmt w:val="lowerLetter"/>
      <w:lvlText w:val="%8."/>
      <w:lvlJc w:val="left"/>
      <w:pPr>
        <w:ind w:left="7821" w:hanging="360"/>
      </w:pPr>
    </w:lvl>
    <w:lvl w:ilvl="8" w:tplc="0809001B" w:tentative="1">
      <w:start w:val="1"/>
      <w:numFmt w:val="lowerRoman"/>
      <w:lvlText w:val="%9."/>
      <w:lvlJc w:val="right"/>
      <w:pPr>
        <w:ind w:left="8541" w:hanging="180"/>
      </w:pPr>
    </w:lvl>
  </w:abstractNum>
  <w:abstractNum w:abstractNumId="14">
    <w:nsid w:val="15E2276D"/>
    <w:multiLevelType w:val="hybridMultilevel"/>
    <w:tmpl w:val="65B4115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165502A1"/>
    <w:multiLevelType w:val="multilevel"/>
    <w:tmpl w:val="2C262D8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6DF1D97"/>
    <w:multiLevelType w:val="hybridMultilevel"/>
    <w:tmpl w:val="DE62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205016"/>
    <w:multiLevelType w:val="multilevel"/>
    <w:tmpl w:val="CECAD1BA"/>
    <w:styleLink w:val="NumberSage"/>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080"/>
        </w:tabs>
        <w:ind w:left="1080" w:hanging="360"/>
      </w:pPr>
      <w:rPr>
        <w:rFonts w:ascii="Times New Roman" w:hAnsi="Times New Roman" w:hint="default"/>
        <w:b w:val="0"/>
        <w:i w:val="0"/>
        <w:sz w:val="24"/>
      </w:rPr>
    </w:lvl>
    <w:lvl w:ilvl="3">
      <w:start w:val="1"/>
      <w:numFmt w:val="decimal"/>
      <w:lvlText w:val="(%4)"/>
      <w:lvlJc w:val="left"/>
      <w:pPr>
        <w:tabs>
          <w:tab w:val="num" w:pos="1440"/>
        </w:tabs>
        <w:ind w:left="1440" w:hanging="360"/>
      </w:pPr>
      <w:rPr>
        <w:rFonts w:ascii="Times New Roman" w:hAnsi="Times New Roman" w:hint="default"/>
        <w:b w:val="0"/>
        <w:i w:val="0"/>
        <w:sz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B7459D1"/>
    <w:multiLevelType w:val="hybridMultilevel"/>
    <w:tmpl w:val="D170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8A6FC0"/>
    <w:multiLevelType w:val="hybridMultilevel"/>
    <w:tmpl w:val="EEE21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EBA0F19"/>
    <w:multiLevelType w:val="hybridMultilevel"/>
    <w:tmpl w:val="3DCC228A"/>
    <w:lvl w:ilvl="0" w:tplc="71589BA0">
      <w:start w:val="1"/>
      <w:numFmt w:val="bullet"/>
      <w:pStyle w:val="TableBullet-H55"/>
      <w:lvlText w:val=""/>
      <w:lvlJc w:val="left"/>
      <w:pPr>
        <w:ind w:left="720" w:hanging="360"/>
      </w:pPr>
      <w:rPr>
        <w:rFonts w:ascii="Symbol" w:hAnsi="Symbol"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AA71F7"/>
    <w:multiLevelType w:val="hybridMultilevel"/>
    <w:tmpl w:val="0E981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FAF30AF"/>
    <w:multiLevelType w:val="hybridMultilevel"/>
    <w:tmpl w:val="C96273A6"/>
    <w:lvl w:ilvl="0" w:tplc="924E4922">
      <w:start w:val="1"/>
      <w:numFmt w:val="lowerLetter"/>
      <w:lvlText w:val="%1)"/>
      <w:lvlJc w:val="left"/>
      <w:pPr>
        <w:tabs>
          <w:tab w:val="num" w:pos="720"/>
        </w:tabs>
        <w:ind w:left="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23BD3BB3"/>
    <w:multiLevelType w:val="hybridMultilevel"/>
    <w:tmpl w:val="F66E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C207B4"/>
    <w:multiLevelType w:val="hybridMultilevel"/>
    <w:tmpl w:val="6D0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15008F"/>
    <w:multiLevelType w:val="hybridMultilevel"/>
    <w:tmpl w:val="11289860"/>
    <w:lvl w:ilvl="0" w:tplc="04090017">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497758C"/>
    <w:multiLevelType w:val="hybridMultilevel"/>
    <w:tmpl w:val="016AAAE6"/>
    <w:lvl w:ilvl="0" w:tplc="D93EBD12">
      <w:start w:val="1"/>
      <w:numFmt w:val="decimal"/>
      <w:pStyle w:val="C-AppendixNumbered"/>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736DC8"/>
    <w:multiLevelType w:val="multilevel"/>
    <w:tmpl w:val="5880B23E"/>
    <w:lvl w:ilvl="0">
      <w:start w:val="2"/>
      <w:numFmt w:val="decimal"/>
      <w:pStyle w:val="Numberedheading1"/>
      <w:lvlText w:val="%1."/>
      <w:lvlJc w:val="left"/>
      <w:pPr>
        <w:ind w:left="360" w:hanging="360"/>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heading4"/>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6AA0E8F"/>
    <w:multiLevelType w:val="hybridMultilevel"/>
    <w:tmpl w:val="92BEED96"/>
    <w:lvl w:ilvl="0" w:tplc="08090003">
      <w:start w:val="1"/>
      <w:numFmt w:val="bullet"/>
      <w:lvlText w:val="o"/>
      <w:lvlJc w:val="left"/>
      <w:pPr>
        <w:ind w:left="720" w:hanging="360"/>
      </w:pPr>
      <w:rPr>
        <w:rFonts w:ascii="Courier New" w:hAnsi="Courier New" w:cs="Courier New"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0331DA"/>
    <w:multiLevelType w:val="hybridMultilevel"/>
    <w:tmpl w:val="E8CED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FD23612"/>
    <w:multiLevelType w:val="hybridMultilevel"/>
    <w:tmpl w:val="3210D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2313835"/>
    <w:multiLevelType w:val="hybridMultilevel"/>
    <w:tmpl w:val="23DE44AC"/>
    <w:lvl w:ilvl="0" w:tplc="0D087028">
      <w:start w:val="2"/>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3B4315B"/>
    <w:multiLevelType w:val="hybridMultilevel"/>
    <w:tmpl w:val="08BEC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4171874"/>
    <w:multiLevelType w:val="hybridMultilevel"/>
    <w:tmpl w:val="57C0F32A"/>
    <w:lvl w:ilvl="0" w:tplc="59F6BCFC">
      <w:start w:val="1"/>
      <w:numFmt w:val="decimal"/>
      <w:pStyle w:val="ListNumber"/>
      <w:lvlText w:val="%1."/>
      <w:lvlJc w:val="left"/>
      <w:pPr>
        <w:ind w:left="-261" w:hanging="360"/>
      </w:pPr>
    </w:lvl>
    <w:lvl w:ilvl="1" w:tplc="04090003" w:tentative="1">
      <w:start w:val="1"/>
      <w:numFmt w:val="lowerLetter"/>
      <w:lvlText w:val="%2."/>
      <w:lvlJc w:val="left"/>
      <w:pPr>
        <w:ind w:left="459" w:hanging="360"/>
      </w:pPr>
    </w:lvl>
    <w:lvl w:ilvl="2" w:tplc="04090005" w:tentative="1">
      <w:start w:val="1"/>
      <w:numFmt w:val="lowerRoman"/>
      <w:lvlText w:val="%3."/>
      <w:lvlJc w:val="right"/>
      <w:pPr>
        <w:ind w:left="1179" w:hanging="180"/>
      </w:pPr>
    </w:lvl>
    <w:lvl w:ilvl="3" w:tplc="04090001" w:tentative="1">
      <w:start w:val="1"/>
      <w:numFmt w:val="decimal"/>
      <w:lvlText w:val="%4."/>
      <w:lvlJc w:val="left"/>
      <w:pPr>
        <w:ind w:left="1899" w:hanging="360"/>
      </w:pPr>
    </w:lvl>
    <w:lvl w:ilvl="4" w:tplc="04090003" w:tentative="1">
      <w:start w:val="1"/>
      <w:numFmt w:val="lowerLetter"/>
      <w:lvlText w:val="%5."/>
      <w:lvlJc w:val="left"/>
      <w:pPr>
        <w:ind w:left="2619" w:hanging="360"/>
      </w:pPr>
    </w:lvl>
    <w:lvl w:ilvl="5" w:tplc="04090005" w:tentative="1">
      <w:start w:val="1"/>
      <w:numFmt w:val="lowerRoman"/>
      <w:lvlText w:val="%6."/>
      <w:lvlJc w:val="right"/>
      <w:pPr>
        <w:ind w:left="3339" w:hanging="180"/>
      </w:pPr>
    </w:lvl>
    <w:lvl w:ilvl="6" w:tplc="04090001" w:tentative="1">
      <w:start w:val="1"/>
      <w:numFmt w:val="decimal"/>
      <w:lvlText w:val="%7."/>
      <w:lvlJc w:val="left"/>
      <w:pPr>
        <w:ind w:left="4059" w:hanging="360"/>
      </w:pPr>
    </w:lvl>
    <w:lvl w:ilvl="7" w:tplc="04090003" w:tentative="1">
      <w:start w:val="1"/>
      <w:numFmt w:val="lowerLetter"/>
      <w:lvlText w:val="%8."/>
      <w:lvlJc w:val="left"/>
      <w:pPr>
        <w:ind w:left="4779" w:hanging="360"/>
      </w:pPr>
    </w:lvl>
    <w:lvl w:ilvl="8" w:tplc="04090005" w:tentative="1">
      <w:start w:val="1"/>
      <w:numFmt w:val="lowerRoman"/>
      <w:lvlText w:val="%9."/>
      <w:lvlJc w:val="right"/>
      <w:pPr>
        <w:ind w:left="5499" w:hanging="180"/>
      </w:pPr>
    </w:lvl>
  </w:abstractNum>
  <w:abstractNum w:abstractNumId="34">
    <w:nsid w:val="34962B3F"/>
    <w:multiLevelType w:val="hybridMultilevel"/>
    <w:tmpl w:val="B3B0EB08"/>
    <w:lvl w:ilvl="0" w:tplc="04349ADE">
      <w:start w:val="1"/>
      <w:numFmt w:val="lowerRoman"/>
      <w:lvlText w:val="%1)"/>
      <w:lvlJc w:val="left"/>
      <w:pPr>
        <w:ind w:left="1899" w:hanging="720"/>
      </w:pPr>
      <w:rPr>
        <w:rFonts w:hint="default"/>
      </w:rPr>
    </w:lvl>
    <w:lvl w:ilvl="1" w:tplc="08090019" w:tentative="1">
      <w:start w:val="1"/>
      <w:numFmt w:val="lowerLetter"/>
      <w:lvlText w:val="%2."/>
      <w:lvlJc w:val="left"/>
      <w:pPr>
        <w:ind w:left="2259" w:hanging="360"/>
      </w:pPr>
    </w:lvl>
    <w:lvl w:ilvl="2" w:tplc="0809001B" w:tentative="1">
      <w:start w:val="1"/>
      <w:numFmt w:val="lowerRoman"/>
      <w:lvlText w:val="%3."/>
      <w:lvlJc w:val="right"/>
      <w:pPr>
        <w:ind w:left="2979" w:hanging="180"/>
      </w:pPr>
    </w:lvl>
    <w:lvl w:ilvl="3" w:tplc="0809000F" w:tentative="1">
      <w:start w:val="1"/>
      <w:numFmt w:val="decimal"/>
      <w:lvlText w:val="%4."/>
      <w:lvlJc w:val="left"/>
      <w:pPr>
        <w:ind w:left="3699" w:hanging="360"/>
      </w:pPr>
    </w:lvl>
    <w:lvl w:ilvl="4" w:tplc="08090019" w:tentative="1">
      <w:start w:val="1"/>
      <w:numFmt w:val="lowerLetter"/>
      <w:lvlText w:val="%5."/>
      <w:lvlJc w:val="left"/>
      <w:pPr>
        <w:ind w:left="4419" w:hanging="360"/>
      </w:pPr>
    </w:lvl>
    <w:lvl w:ilvl="5" w:tplc="0809001B" w:tentative="1">
      <w:start w:val="1"/>
      <w:numFmt w:val="lowerRoman"/>
      <w:lvlText w:val="%6."/>
      <w:lvlJc w:val="right"/>
      <w:pPr>
        <w:ind w:left="5139" w:hanging="180"/>
      </w:pPr>
    </w:lvl>
    <w:lvl w:ilvl="6" w:tplc="0809000F" w:tentative="1">
      <w:start w:val="1"/>
      <w:numFmt w:val="decimal"/>
      <w:lvlText w:val="%7."/>
      <w:lvlJc w:val="left"/>
      <w:pPr>
        <w:ind w:left="5859" w:hanging="360"/>
      </w:pPr>
    </w:lvl>
    <w:lvl w:ilvl="7" w:tplc="08090019" w:tentative="1">
      <w:start w:val="1"/>
      <w:numFmt w:val="lowerLetter"/>
      <w:lvlText w:val="%8."/>
      <w:lvlJc w:val="left"/>
      <w:pPr>
        <w:ind w:left="6579" w:hanging="360"/>
      </w:pPr>
    </w:lvl>
    <w:lvl w:ilvl="8" w:tplc="0809001B" w:tentative="1">
      <w:start w:val="1"/>
      <w:numFmt w:val="lowerRoman"/>
      <w:lvlText w:val="%9."/>
      <w:lvlJc w:val="right"/>
      <w:pPr>
        <w:ind w:left="7299" w:hanging="180"/>
      </w:pPr>
    </w:lvl>
  </w:abstractNum>
  <w:abstractNum w:abstractNumId="35">
    <w:nsid w:val="352C0989"/>
    <w:multiLevelType w:val="hybridMultilevel"/>
    <w:tmpl w:val="783AB2E2"/>
    <w:lvl w:ilvl="0" w:tplc="BF0A987E">
      <w:start w:val="1"/>
      <w:numFmt w:val="bullet"/>
      <w:pStyle w:val="Summary-Bullet-H47"/>
      <w:lvlText w:val=""/>
      <w:lvlJc w:val="left"/>
      <w:pPr>
        <w:ind w:left="1070" w:hanging="360"/>
      </w:pPr>
      <w:rPr>
        <w:rFonts w:ascii="Symbol" w:hAnsi="Symbol" w:hint="default"/>
        <w:color w:val="00529B"/>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nsid w:val="357624D6"/>
    <w:multiLevelType w:val="multilevel"/>
    <w:tmpl w:val="B8D4344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D0F2B5C"/>
    <w:multiLevelType w:val="hybridMultilevel"/>
    <w:tmpl w:val="30D60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E0E542F"/>
    <w:multiLevelType w:val="hybridMultilevel"/>
    <w:tmpl w:val="9970E17A"/>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39">
    <w:nsid w:val="3E352A0D"/>
    <w:multiLevelType w:val="hybridMultilevel"/>
    <w:tmpl w:val="3E7EEF1A"/>
    <w:lvl w:ilvl="0" w:tplc="959C0128">
      <w:start w:val="1"/>
      <w:numFmt w:val="bullet"/>
      <w:pStyle w:val="Bullet4"/>
      <w:lvlText w:val=""/>
      <w:lvlJc w:val="left"/>
      <w:pPr>
        <w:ind w:left="720" w:hanging="360"/>
      </w:pPr>
      <w:rPr>
        <w:rFonts w:ascii="Symbol" w:hAnsi="Symbol" w:hint="default"/>
      </w:rPr>
    </w:lvl>
    <w:lvl w:ilvl="1" w:tplc="9DE611C8" w:tentative="1">
      <w:start w:val="1"/>
      <w:numFmt w:val="bullet"/>
      <w:lvlText w:val="o"/>
      <w:lvlJc w:val="left"/>
      <w:pPr>
        <w:ind w:left="1440" w:hanging="360"/>
      </w:pPr>
      <w:rPr>
        <w:rFonts w:ascii="Courier New" w:hAnsi="Courier New" w:hint="default"/>
      </w:rPr>
    </w:lvl>
    <w:lvl w:ilvl="2" w:tplc="A87E5D06" w:tentative="1">
      <w:start w:val="1"/>
      <w:numFmt w:val="bullet"/>
      <w:lvlText w:val=""/>
      <w:lvlJc w:val="left"/>
      <w:pPr>
        <w:ind w:left="2160" w:hanging="360"/>
      </w:pPr>
      <w:rPr>
        <w:rFonts w:ascii="Wingdings" w:hAnsi="Wingdings" w:hint="default"/>
      </w:rPr>
    </w:lvl>
    <w:lvl w:ilvl="3" w:tplc="02EA2DAC" w:tentative="1">
      <w:start w:val="1"/>
      <w:numFmt w:val="bullet"/>
      <w:lvlText w:val=""/>
      <w:lvlJc w:val="left"/>
      <w:pPr>
        <w:ind w:left="2880" w:hanging="360"/>
      </w:pPr>
      <w:rPr>
        <w:rFonts w:ascii="Symbol" w:hAnsi="Symbol" w:hint="default"/>
      </w:rPr>
    </w:lvl>
    <w:lvl w:ilvl="4" w:tplc="7EA2AB72" w:tentative="1">
      <w:start w:val="1"/>
      <w:numFmt w:val="bullet"/>
      <w:lvlText w:val="o"/>
      <w:lvlJc w:val="left"/>
      <w:pPr>
        <w:ind w:left="3600" w:hanging="360"/>
      </w:pPr>
      <w:rPr>
        <w:rFonts w:ascii="Courier New" w:hAnsi="Courier New" w:hint="default"/>
      </w:rPr>
    </w:lvl>
    <w:lvl w:ilvl="5" w:tplc="CE74BA2E" w:tentative="1">
      <w:start w:val="1"/>
      <w:numFmt w:val="bullet"/>
      <w:lvlText w:val=""/>
      <w:lvlJc w:val="left"/>
      <w:pPr>
        <w:ind w:left="4320" w:hanging="360"/>
      </w:pPr>
      <w:rPr>
        <w:rFonts w:ascii="Wingdings" w:hAnsi="Wingdings" w:hint="default"/>
      </w:rPr>
    </w:lvl>
    <w:lvl w:ilvl="6" w:tplc="275C71FC" w:tentative="1">
      <w:start w:val="1"/>
      <w:numFmt w:val="bullet"/>
      <w:lvlText w:val=""/>
      <w:lvlJc w:val="left"/>
      <w:pPr>
        <w:ind w:left="5040" w:hanging="360"/>
      </w:pPr>
      <w:rPr>
        <w:rFonts w:ascii="Symbol" w:hAnsi="Symbol" w:hint="default"/>
      </w:rPr>
    </w:lvl>
    <w:lvl w:ilvl="7" w:tplc="7368DE9A" w:tentative="1">
      <w:start w:val="1"/>
      <w:numFmt w:val="bullet"/>
      <w:lvlText w:val="o"/>
      <w:lvlJc w:val="left"/>
      <w:pPr>
        <w:ind w:left="5760" w:hanging="360"/>
      </w:pPr>
      <w:rPr>
        <w:rFonts w:ascii="Courier New" w:hAnsi="Courier New" w:hint="default"/>
      </w:rPr>
    </w:lvl>
    <w:lvl w:ilvl="8" w:tplc="5F909AB6" w:tentative="1">
      <w:start w:val="1"/>
      <w:numFmt w:val="bullet"/>
      <w:lvlText w:val=""/>
      <w:lvlJc w:val="left"/>
      <w:pPr>
        <w:ind w:left="6480" w:hanging="360"/>
      </w:pPr>
      <w:rPr>
        <w:rFonts w:ascii="Wingdings" w:hAnsi="Wingdings" w:hint="default"/>
      </w:rPr>
    </w:lvl>
  </w:abstractNum>
  <w:abstractNum w:abstractNumId="4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41">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442629A"/>
    <w:multiLevelType w:val="hybridMultilevel"/>
    <w:tmpl w:val="DEB42C26"/>
    <w:lvl w:ilvl="0" w:tplc="04090017">
      <w:start w:val="1"/>
      <w:numFmt w:val="lowerLetter"/>
      <w:lvlText w:val="%1)"/>
      <w:lvlJc w:val="left"/>
      <w:pPr>
        <w:tabs>
          <w:tab w:val="num" w:pos="720"/>
        </w:tabs>
        <w:ind w:left="720" w:hanging="360"/>
      </w:pPr>
      <w:rPr>
        <w:rFonts w:cs="Times New Roman" w:hint="default"/>
      </w:rPr>
    </w:lvl>
    <w:lvl w:ilvl="1" w:tplc="0880639A">
      <w:start w:val="1"/>
      <w:numFmt w:val="lowerLetter"/>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52435C9"/>
    <w:multiLevelType w:val="hybridMultilevel"/>
    <w:tmpl w:val="3014B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52F6418"/>
    <w:multiLevelType w:val="hybridMultilevel"/>
    <w:tmpl w:val="77268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58A733E"/>
    <w:multiLevelType w:val="hybridMultilevel"/>
    <w:tmpl w:val="A96A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BE1AAF"/>
    <w:multiLevelType w:val="hybridMultilevel"/>
    <w:tmpl w:val="D5268F30"/>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48">
    <w:nsid w:val="4B0849B3"/>
    <w:multiLevelType w:val="hybridMultilevel"/>
    <w:tmpl w:val="CD12A738"/>
    <w:lvl w:ilvl="0" w:tplc="F89AF7FE">
      <w:start w:val="1"/>
      <w:numFmt w:val="bullet"/>
      <w:pStyle w:val="ListBullet-H41"/>
      <w:lvlText w:val=""/>
      <w:lvlJc w:val="left"/>
      <w:pPr>
        <w:ind w:left="720" w:hanging="360"/>
      </w:pPr>
      <w:rPr>
        <w:rFonts w:ascii="Symbol" w:hAnsi="Symbol" w:hint="default"/>
        <w:color w:val="00529B"/>
      </w:rPr>
    </w:lvl>
    <w:lvl w:ilvl="1" w:tplc="BB1CB03A">
      <w:start w:val="1"/>
      <w:numFmt w:val="bullet"/>
      <w:pStyle w:val="ListLevel2-H41a"/>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E2A687D"/>
    <w:multiLevelType w:val="hybridMultilevel"/>
    <w:tmpl w:val="959050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EBD5FC7"/>
    <w:multiLevelType w:val="hybridMultilevel"/>
    <w:tmpl w:val="2DC8B5F4"/>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459" w:hanging="360"/>
      </w:pPr>
    </w:lvl>
    <w:lvl w:ilvl="2" w:tplc="04090005" w:tentative="1">
      <w:start w:val="1"/>
      <w:numFmt w:val="lowerRoman"/>
      <w:lvlText w:val="%3."/>
      <w:lvlJc w:val="right"/>
      <w:pPr>
        <w:ind w:left="1179" w:hanging="180"/>
      </w:pPr>
    </w:lvl>
    <w:lvl w:ilvl="3" w:tplc="04090001" w:tentative="1">
      <w:start w:val="1"/>
      <w:numFmt w:val="decimal"/>
      <w:lvlText w:val="%4."/>
      <w:lvlJc w:val="left"/>
      <w:pPr>
        <w:ind w:left="1899" w:hanging="360"/>
      </w:pPr>
    </w:lvl>
    <w:lvl w:ilvl="4" w:tplc="04090003" w:tentative="1">
      <w:start w:val="1"/>
      <w:numFmt w:val="lowerLetter"/>
      <w:lvlText w:val="%5."/>
      <w:lvlJc w:val="left"/>
      <w:pPr>
        <w:ind w:left="2619" w:hanging="360"/>
      </w:pPr>
    </w:lvl>
    <w:lvl w:ilvl="5" w:tplc="04090005" w:tentative="1">
      <w:start w:val="1"/>
      <w:numFmt w:val="lowerRoman"/>
      <w:lvlText w:val="%6."/>
      <w:lvlJc w:val="right"/>
      <w:pPr>
        <w:ind w:left="3339" w:hanging="180"/>
      </w:pPr>
    </w:lvl>
    <w:lvl w:ilvl="6" w:tplc="04090001" w:tentative="1">
      <w:start w:val="1"/>
      <w:numFmt w:val="decimal"/>
      <w:lvlText w:val="%7."/>
      <w:lvlJc w:val="left"/>
      <w:pPr>
        <w:ind w:left="4059" w:hanging="360"/>
      </w:pPr>
    </w:lvl>
    <w:lvl w:ilvl="7" w:tplc="04090003" w:tentative="1">
      <w:start w:val="1"/>
      <w:numFmt w:val="lowerLetter"/>
      <w:lvlText w:val="%8."/>
      <w:lvlJc w:val="left"/>
      <w:pPr>
        <w:ind w:left="4779" w:hanging="360"/>
      </w:pPr>
    </w:lvl>
    <w:lvl w:ilvl="8" w:tplc="04090005" w:tentative="1">
      <w:start w:val="1"/>
      <w:numFmt w:val="lowerRoman"/>
      <w:lvlText w:val="%9."/>
      <w:lvlJc w:val="right"/>
      <w:pPr>
        <w:ind w:left="5499" w:hanging="180"/>
      </w:pPr>
    </w:lvl>
  </w:abstractNum>
  <w:abstractNum w:abstractNumId="51">
    <w:nsid w:val="501D37A7"/>
    <w:multiLevelType w:val="hybridMultilevel"/>
    <w:tmpl w:val="9B22E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0603815"/>
    <w:multiLevelType w:val="multilevel"/>
    <w:tmpl w:val="0413001F"/>
    <w:styleLink w:val="111111"/>
    <w:lvl w:ilvl="0">
      <w:start w:val="1"/>
      <w:numFmt w:val="decimal"/>
      <w:pStyle w:val="norma"/>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54">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55">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56">
    <w:nsid w:val="53E0738E"/>
    <w:multiLevelType w:val="hybridMultilevel"/>
    <w:tmpl w:val="84A89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7B222A5"/>
    <w:multiLevelType w:val="hybridMultilevel"/>
    <w:tmpl w:val="78385970"/>
    <w:lvl w:ilvl="0" w:tplc="DF5C6A0C">
      <w:start w:val="1"/>
      <w:numFmt w:val="bullet"/>
      <w:lvlText w:val=""/>
      <w:lvlJc w:val="left"/>
      <w:pPr>
        <w:ind w:left="720" w:hanging="360"/>
      </w:pPr>
      <w:rPr>
        <w:rFonts w:ascii="Symbol" w:hAnsi="Symbol" w:hint="default"/>
      </w:rPr>
    </w:lvl>
    <w:lvl w:ilvl="1" w:tplc="B1EAF7F0" w:tentative="1">
      <w:start w:val="1"/>
      <w:numFmt w:val="bullet"/>
      <w:lvlText w:val="o"/>
      <w:lvlJc w:val="left"/>
      <w:pPr>
        <w:ind w:left="1440" w:hanging="360"/>
      </w:pPr>
      <w:rPr>
        <w:rFonts w:ascii="Courier New" w:hAnsi="Courier New" w:hint="default"/>
      </w:rPr>
    </w:lvl>
    <w:lvl w:ilvl="2" w:tplc="5D62EECC" w:tentative="1">
      <w:start w:val="1"/>
      <w:numFmt w:val="bullet"/>
      <w:lvlText w:val=""/>
      <w:lvlJc w:val="left"/>
      <w:pPr>
        <w:ind w:left="2160" w:hanging="360"/>
      </w:pPr>
      <w:rPr>
        <w:rFonts w:ascii="Wingdings" w:hAnsi="Wingdings" w:hint="default"/>
      </w:rPr>
    </w:lvl>
    <w:lvl w:ilvl="3" w:tplc="C0E462B6" w:tentative="1">
      <w:start w:val="1"/>
      <w:numFmt w:val="bullet"/>
      <w:lvlText w:val=""/>
      <w:lvlJc w:val="left"/>
      <w:pPr>
        <w:ind w:left="2880" w:hanging="360"/>
      </w:pPr>
      <w:rPr>
        <w:rFonts w:ascii="Symbol" w:hAnsi="Symbol" w:hint="default"/>
      </w:rPr>
    </w:lvl>
    <w:lvl w:ilvl="4" w:tplc="78C0BB6A" w:tentative="1">
      <w:start w:val="1"/>
      <w:numFmt w:val="bullet"/>
      <w:lvlText w:val="o"/>
      <w:lvlJc w:val="left"/>
      <w:pPr>
        <w:ind w:left="3600" w:hanging="360"/>
      </w:pPr>
      <w:rPr>
        <w:rFonts w:ascii="Courier New" w:hAnsi="Courier New" w:hint="default"/>
      </w:rPr>
    </w:lvl>
    <w:lvl w:ilvl="5" w:tplc="5B9AA84C" w:tentative="1">
      <w:start w:val="1"/>
      <w:numFmt w:val="bullet"/>
      <w:lvlText w:val=""/>
      <w:lvlJc w:val="left"/>
      <w:pPr>
        <w:ind w:left="4320" w:hanging="360"/>
      </w:pPr>
      <w:rPr>
        <w:rFonts w:ascii="Wingdings" w:hAnsi="Wingdings" w:hint="default"/>
      </w:rPr>
    </w:lvl>
    <w:lvl w:ilvl="6" w:tplc="F0ACB9BE" w:tentative="1">
      <w:start w:val="1"/>
      <w:numFmt w:val="bullet"/>
      <w:lvlText w:val=""/>
      <w:lvlJc w:val="left"/>
      <w:pPr>
        <w:ind w:left="5040" w:hanging="360"/>
      </w:pPr>
      <w:rPr>
        <w:rFonts w:ascii="Symbol" w:hAnsi="Symbol" w:hint="default"/>
      </w:rPr>
    </w:lvl>
    <w:lvl w:ilvl="7" w:tplc="2B4C83CA" w:tentative="1">
      <w:start w:val="1"/>
      <w:numFmt w:val="bullet"/>
      <w:lvlText w:val="o"/>
      <w:lvlJc w:val="left"/>
      <w:pPr>
        <w:ind w:left="5760" w:hanging="360"/>
      </w:pPr>
      <w:rPr>
        <w:rFonts w:ascii="Courier New" w:hAnsi="Courier New" w:hint="default"/>
      </w:rPr>
    </w:lvl>
    <w:lvl w:ilvl="8" w:tplc="54326D8E" w:tentative="1">
      <w:start w:val="1"/>
      <w:numFmt w:val="bullet"/>
      <w:lvlText w:val=""/>
      <w:lvlJc w:val="left"/>
      <w:pPr>
        <w:ind w:left="6480" w:hanging="360"/>
      </w:pPr>
      <w:rPr>
        <w:rFonts w:ascii="Wingdings" w:hAnsi="Wingdings" w:hint="default"/>
      </w:rPr>
    </w:lvl>
  </w:abstractNum>
  <w:abstractNum w:abstractNumId="58">
    <w:nsid w:val="5AD56D55"/>
    <w:multiLevelType w:val="hybridMultilevel"/>
    <w:tmpl w:val="491E5792"/>
    <w:lvl w:ilvl="0" w:tplc="F9FAA7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0FC7C1A"/>
    <w:multiLevelType w:val="hybridMultilevel"/>
    <w:tmpl w:val="841C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A873F6"/>
    <w:multiLevelType w:val="multilevel"/>
    <w:tmpl w:val="71347A5A"/>
    <w:lvl w:ilvl="0">
      <w:start w:val="1"/>
      <w:numFmt w:val="lowerLetter"/>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ind w:left="2700" w:hanging="72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1">
    <w:nsid w:val="68333469"/>
    <w:multiLevelType w:val="hybridMultilevel"/>
    <w:tmpl w:val="CA466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3">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B8E675F"/>
    <w:multiLevelType w:val="multilevel"/>
    <w:tmpl w:val="E3F6F5DE"/>
    <w:lvl w:ilvl="0">
      <w:start w:val="1"/>
      <w:numFmt w:val="bullet"/>
      <w:pStyle w:val="Summaryboxtextlevel1"/>
      <w:lvlText w:val=""/>
      <w:lvlJc w:val="left"/>
      <w:pPr>
        <w:tabs>
          <w:tab w:val="num" w:pos="360"/>
        </w:tabs>
        <w:ind w:left="360" w:hanging="360"/>
      </w:pPr>
      <w:rPr>
        <w:rFonts w:ascii="Symbol" w:hAnsi="Symbol" w:hint="default"/>
      </w:rPr>
    </w:lvl>
    <w:lvl w:ilvl="1">
      <w:start w:val="1"/>
      <w:numFmt w:val="bullet"/>
      <w:pStyle w:val="Summaryboxtextlevel2"/>
      <w:lvlText w:val="o"/>
      <w:lvlJc w:val="left"/>
      <w:pPr>
        <w:tabs>
          <w:tab w:val="num" w:pos="641"/>
        </w:tabs>
        <w:ind w:left="641" w:hanging="357"/>
      </w:pPr>
      <w:rPr>
        <w:rFonts w:ascii="Courier" w:hAnsi="Courier" w:hint="default"/>
      </w:rPr>
    </w:lvl>
    <w:lvl w:ilvl="2">
      <w:start w:val="1"/>
      <w:numFmt w:val="bullet"/>
      <w:pStyle w:val="Summaryboxtextlevel3"/>
      <w:lvlText w:val=""/>
      <w:lvlJc w:val="left"/>
      <w:pPr>
        <w:tabs>
          <w:tab w:val="num" w:pos="924"/>
        </w:tabs>
        <w:ind w:left="924" w:hanging="357"/>
      </w:pPr>
      <w:rPr>
        <w:rFonts w:ascii="Wingdings" w:hAnsi="Wingdings" w:hint="default"/>
      </w:rPr>
    </w:lvl>
    <w:lvl w:ilvl="3">
      <w:start w:val="1"/>
      <w:numFmt w:val="bullet"/>
      <w:lvlText w:val=""/>
      <w:lvlJc w:val="left"/>
      <w:pPr>
        <w:tabs>
          <w:tab w:val="num" w:pos="1208"/>
        </w:tabs>
        <w:ind w:left="1208" w:hanging="357"/>
      </w:pPr>
      <w:rPr>
        <w:rFonts w:ascii="Symbol" w:hAnsi="Symbol" w:hint="default"/>
      </w:rPr>
    </w:lvl>
    <w:lvl w:ilvl="4">
      <w:start w:val="1"/>
      <w:numFmt w:val="bullet"/>
      <w:lvlText w:val="o"/>
      <w:lvlJc w:val="left"/>
      <w:pPr>
        <w:tabs>
          <w:tab w:val="num" w:pos="1491"/>
        </w:tabs>
        <w:ind w:left="1491" w:hanging="357"/>
      </w:pPr>
      <w:rPr>
        <w:rFonts w:ascii="Courier" w:hAnsi="Courier"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D4405A1"/>
    <w:multiLevelType w:val="hybridMultilevel"/>
    <w:tmpl w:val="8758B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E626F39"/>
    <w:multiLevelType w:val="hybridMultilevel"/>
    <w:tmpl w:val="BC2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1035A3"/>
    <w:multiLevelType w:val="hybridMultilevel"/>
    <w:tmpl w:val="4BAA3E4E"/>
    <w:lvl w:ilvl="0" w:tplc="E22A06DA">
      <w:start w:val="1"/>
      <w:numFmt w:val="upperLetter"/>
      <w:pStyle w:val="C-Appendix"/>
      <w:lvlText w:val="Appendix %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50519D0"/>
    <w:multiLevelType w:val="hybridMultilevel"/>
    <w:tmpl w:val="EB3CFB2E"/>
    <w:lvl w:ilvl="0" w:tplc="1994BCD2">
      <w:start w:val="1"/>
      <w:numFmt w:val="bullet"/>
      <w:lvlText w:val=""/>
      <w:lvlJc w:val="left"/>
      <w:pPr>
        <w:ind w:left="971" w:hanging="851"/>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abstractNum w:abstractNumId="71">
    <w:nsid w:val="77E026D2"/>
    <w:multiLevelType w:val="hybridMultilevel"/>
    <w:tmpl w:val="93522E06"/>
    <w:lvl w:ilvl="0" w:tplc="E132C4E0">
      <w:start w:val="1"/>
      <w:numFmt w:val="lowerRoman"/>
      <w:pStyle w:val="ListRomanNumerals-H43"/>
      <w:lvlText w:val="%1."/>
      <w:lvlJc w:val="right"/>
      <w:pPr>
        <w:ind w:left="2781" w:hanging="360"/>
      </w:pPr>
    </w:lvl>
    <w:lvl w:ilvl="1" w:tplc="08090019">
      <w:start w:val="1"/>
      <w:numFmt w:val="lowerLetter"/>
      <w:lvlText w:val="%2."/>
      <w:lvlJc w:val="left"/>
      <w:pPr>
        <w:ind w:left="3501" w:hanging="360"/>
      </w:pPr>
    </w:lvl>
    <w:lvl w:ilvl="2" w:tplc="0809001B" w:tentative="1">
      <w:start w:val="1"/>
      <w:numFmt w:val="lowerRoman"/>
      <w:lvlText w:val="%3."/>
      <w:lvlJc w:val="right"/>
      <w:pPr>
        <w:ind w:left="4221" w:hanging="180"/>
      </w:pPr>
    </w:lvl>
    <w:lvl w:ilvl="3" w:tplc="0809000F" w:tentative="1">
      <w:start w:val="1"/>
      <w:numFmt w:val="decimal"/>
      <w:lvlText w:val="%4."/>
      <w:lvlJc w:val="left"/>
      <w:pPr>
        <w:ind w:left="4941" w:hanging="360"/>
      </w:pPr>
    </w:lvl>
    <w:lvl w:ilvl="4" w:tplc="08090019" w:tentative="1">
      <w:start w:val="1"/>
      <w:numFmt w:val="lowerLetter"/>
      <w:lvlText w:val="%5."/>
      <w:lvlJc w:val="left"/>
      <w:pPr>
        <w:ind w:left="5661" w:hanging="360"/>
      </w:pPr>
    </w:lvl>
    <w:lvl w:ilvl="5" w:tplc="0809001B" w:tentative="1">
      <w:start w:val="1"/>
      <w:numFmt w:val="lowerRoman"/>
      <w:lvlText w:val="%6."/>
      <w:lvlJc w:val="right"/>
      <w:pPr>
        <w:ind w:left="6381" w:hanging="180"/>
      </w:pPr>
    </w:lvl>
    <w:lvl w:ilvl="6" w:tplc="0809000F" w:tentative="1">
      <w:start w:val="1"/>
      <w:numFmt w:val="decimal"/>
      <w:lvlText w:val="%7."/>
      <w:lvlJc w:val="left"/>
      <w:pPr>
        <w:ind w:left="7101" w:hanging="360"/>
      </w:pPr>
    </w:lvl>
    <w:lvl w:ilvl="7" w:tplc="08090019" w:tentative="1">
      <w:start w:val="1"/>
      <w:numFmt w:val="lowerLetter"/>
      <w:lvlText w:val="%8."/>
      <w:lvlJc w:val="left"/>
      <w:pPr>
        <w:ind w:left="7821" w:hanging="360"/>
      </w:pPr>
    </w:lvl>
    <w:lvl w:ilvl="8" w:tplc="0809001B" w:tentative="1">
      <w:start w:val="1"/>
      <w:numFmt w:val="lowerRoman"/>
      <w:lvlText w:val="%9."/>
      <w:lvlJc w:val="right"/>
      <w:pPr>
        <w:ind w:left="8541" w:hanging="180"/>
      </w:pPr>
    </w:lvl>
  </w:abstractNum>
  <w:abstractNum w:abstractNumId="72">
    <w:nsid w:val="7ACA7D7D"/>
    <w:multiLevelType w:val="hybridMultilevel"/>
    <w:tmpl w:val="95148A68"/>
    <w:lvl w:ilvl="0" w:tplc="1994BCD2">
      <w:start w:val="1"/>
      <w:numFmt w:val="bullet"/>
      <w:lvlText w:val=""/>
      <w:lvlJc w:val="left"/>
      <w:pPr>
        <w:ind w:left="426"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2731E"/>
    <w:multiLevelType w:val="hybridMultilevel"/>
    <w:tmpl w:val="3954A7C4"/>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459" w:hanging="360"/>
      </w:pPr>
    </w:lvl>
    <w:lvl w:ilvl="2" w:tplc="04090005" w:tentative="1">
      <w:start w:val="1"/>
      <w:numFmt w:val="lowerRoman"/>
      <w:lvlText w:val="%3."/>
      <w:lvlJc w:val="right"/>
      <w:pPr>
        <w:ind w:left="1179" w:hanging="180"/>
      </w:pPr>
    </w:lvl>
    <w:lvl w:ilvl="3" w:tplc="04090001" w:tentative="1">
      <w:start w:val="1"/>
      <w:numFmt w:val="decimal"/>
      <w:lvlText w:val="%4."/>
      <w:lvlJc w:val="left"/>
      <w:pPr>
        <w:ind w:left="1899" w:hanging="360"/>
      </w:pPr>
    </w:lvl>
    <w:lvl w:ilvl="4" w:tplc="04090003" w:tentative="1">
      <w:start w:val="1"/>
      <w:numFmt w:val="lowerLetter"/>
      <w:lvlText w:val="%5."/>
      <w:lvlJc w:val="left"/>
      <w:pPr>
        <w:ind w:left="2619" w:hanging="360"/>
      </w:pPr>
    </w:lvl>
    <w:lvl w:ilvl="5" w:tplc="04090005" w:tentative="1">
      <w:start w:val="1"/>
      <w:numFmt w:val="lowerRoman"/>
      <w:lvlText w:val="%6."/>
      <w:lvlJc w:val="right"/>
      <w:pPr>
        <w:ind w:left="3339" w:hanging="180"/>
      </w:pPr>
    </w:lvl>
    <w:lvl w:ilvl="6" w:tplc="04090001" w:tentative="1">
      <w:start w:val="1"/>
      <w:numFmt w:val="decimal"/>
      <w:lvlText w:val="%7."/>
      <w:lvlJc w:val="left"/>
      <w:pPr>
        <w:ind w:left="4059" w:hanging="360"/>
      </w:pPr>
    </w:lvl>
    <w:lvl w:ilvl="7" w:tplc="04090003" w:tentative="1">
      <w:start w:val="1"/>
      <w:numFmt w:val="lowerLetter"/>
      <w:lvlText w:val="%8."/>
      <w:lvlJc w:val="left"/>
      <w:pPr>
        <w:ind w:left="4779" w:hanging="360"/>
      </w:pPr>
    </w:lvl>
    <w:lvl w:ilvl="8" w:tplc="04090005" w:tentative="1">
      <w:start w:val="1"/>
      <w:numFmt w:val="lowerRoman"/>
      <w:lvlText w:val="%9."/>
      <w:lvlJc w:val="right"/>
      <w:pPr>
        <w:ind w:left="5499" w:hanging="180"/>
      </w:pPr>
    </w:lvl>
  </w:abstractNum>
  <w:abstractNum w:abstractNumId="74">
    <w:nsid w:val="7CFB0959"/>
    <w:multiLevelType w:val="multilevel"/>
    <w:tmpl w:val="D5AA52AE"/>
    <w:lvl w:ilvl="0">
      <w:start w:val="1"/>
      <w:numFmt w:val="upperLetter"/>
      <w:pStyle w:val="Appendix1-H1"/>
      <w:lvlText w:val="Appendix %1"/>
      <w:lvlJc w:val="left"/>
      <w:pPr>
        <w:tabs>
          <w:tab w:val="num" w:pos="3119"/>
        </w:tabs>
        <w:ind w:left="3119" w:hanging="3119"/>
      </w:pPr>
      <w:rPr>
        <w:rFonts w:hint="default"/>
      </w:rPr>
    </w:lvl>
    <w:lvl w:ilvl="1">
      <w:start w:val="1"/>
      <w:numFmt w:val="decimal"/>
      <w:pStyle w:val="Appendix2-H2"/>
      <w:lvlText w:val="%1.%2"/>
      <w:lvlJc w:val="left"/>
      <w:pPr>
        <w:tabs>
          <w:tab w:val="num" w:pos="1021"/>
        </w:tabs>
        <w:ind w:left="1021" w:hanging="1021"/>
      </w:pPr>
      <w:rPr>
        <w:rFonts w:hint="default"/>
      </w:rPr>
    </w:lvl>
    <w:lvl w:ilvl="2">
      <w:start w:val="1"/>
      <w:numFmt w:val="decimal"/>
      <w:pStyle w:val="Appendix3-H3"/>
      <w:lvlText w:val="%1.%2.%3"/>
      <w:lvlJc w:val="left"/>
      <w:pPr>
        <w:tabs>
          <w:tab w:val="num" w:pos="1440"/>
        </w:tabs>
        <w:ind w:left="1021" w:hanging="1021"/>
      </w:pPr>
      <w:rPr>
        <w:rFonts w:hint="default"/>
      </w:rPr>
    </w:lvl>
    <w:lvl w:ilvl="3">
      <w:start w:val="1"/>
      <w:numFmt w:val="none"/>
      <w:lvlText w:val="%1.%2.%3.%4"/>
      <w:lvlJc w:val="left"/>
      <w:pPr>
        <w:tabs>
          <w:tab w:val="num" w:pos="2160"/>
        </w:tabs>
        <w:ind w:left="1021" w:hanging="1021"/>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75">
    <w:nsid w:val="7DFD2009"/>
    <w:multiLevelType w:val="hybridMultilevel"/>
    <w:tmpl w:val="4D229A2C"/>
    <w:lvl w:ilvl="0" w:tplc="1994BCD2">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hint="default"/>
      </w:rPr>
    </w:lvl>
    <w:lvl w:ilvl="8" w:tplc="08090005" w:tentative="1">
      <w:start w:val="1"/>
      <w:numFmt w:val="bullet"/>
      <w:lvlText w:val=""/>
      <w:lvlJc w:val="left"/>
      <w:pPr>
        <w:ind w:left="6186" w:hanging="360"/>
      </w:pPr>
      <w:rPr>
        <w:rFonts w:ascii="Wingdings" w:hAnsi="Wingdings" w:hint="default"/>
      </w:rPr>
    </w:lvl>
  </w:abstractNum>
  <w:num w:numId="1">
    <w:abstractNumId w:val="60"/>
  </w:num>
  <w:num w:numId="2">
    <w:abstractNumId w:val="34"/>
  </w:num>
  <w:num w:numId="3">
    <w:abstractNumId w:val="42"/>
  </w:num>
  <w:num w:numId="4">
    <w:abstractNumId w:val="25"/>
  </w:num>
  <w:num w:numId="5">
    <w:abstractNumId w:val="4"/>
  </w:num>
  <w:num w:numId="6">
    <w:abstractNumId w:val="22"/>
  </w:num>
  <w:num w:numId="7">
    <w:abstractNumId w:val="38"/>
  </w:num>
  <w:num w:numId="8">
    <w:abstractNumId w:val="48"/>
  </w:num>
  <w:num w:numId="9">
    <w:abstractNumId w:val="35"/>
  </w:num>
  <w:num w:numId="10">
    <w:abstractNumId w:val="33"/>
    <w:lvlOverride w:ilvl="0">
      <w:startOverride w:val="1"/>
    </w:lvlOverride>
  </w:num>
  <w:num w:numId="11">
    <w:abstractNumId w:val="20"/>
  </w:num>
  <w:num w:numId="12">
    <w:abstractNumId w:val="24"/>
  </w:num>
  <w:num w:numId="13">
    <w:abstractNumId w:val="21"/>
  </w:num>
  <w:num w:numId="14">
    <w:abstractNumId w:val="28"/>
  </w:num>
  <w:num w:numId="15">
    <w:abstractNumId w:val="68"/>
  </w:num>
  <w:num w:numId="16">
    <w:abstractNumId w:val="8"/>
  </w:num>
  <w:num w:numId="17">
    <w:abstractNumId w:val="74"/>
  </w:num>
  <w:num w:numId="18">
    <w:abstractNumId w:val="2"/>
  </w:num>
  <w:num w:numId="19">
    <w:abstractNumId w:val="13"/>
  </w:num>
  <w:num w:numId="20">
    <w:abstractNumId w:val="5"/>
  </w:num>
  <w:num w:numId="21">
    <w:abstractNumId w:val="71"/>
  </w:num>
  <w:num w:numId="22">
    <w:abstractNumId w:val="40"/>
  </w:num>
  <w:num w:numId="23">
    <w:abstractNumId w:val="63"/>
  </w:num>
  <w:num w:numId="24">
    <w:abstractNumId w:val="41"/>
  </w:num>
  <w:num w:numId="25">
    <w:abstractNumId w:val="54"/>
  </w:num>
  <w:num w:numId="26">
    <w:abstractNumId w:val="70"/>
  </w:num>
  <w:num w:numId="27">
    <w:abstractNumId w:val="65"/>
  </w:num>
  <w:num w:numId="28">
    <w:abstractNumId w:val="26"/>
  </w:num>
  <w:num w:numId="29">
    <w:abstractNumId w:val="53"/>
  </w:num>
  <w:num w:numId="30">
    <w:abstractNumId w:val="55"/>
  </w:num>
  <w:num w:numId="31">
    <w:abstractNumId w:val="47"/>
  </w:num>
  <w:num w:numId="32">
    <w:abstractNumId w:val="10"/>
  </w:num>
  <w:num w:numId="33">
    <w:abstractNumId w:val="62"/>
  </w:num>
  <w:num w:numId="34">
    <w:abstractNumId w:val="17"/>
  </w:num>
  <w:num w:numId="35">
    <w:abstractNumId w:val="16"/>
  </w:num>
  <w:num w:numId="36">
    <w:abstractNumId w:val="67"/>
  </w:num>
  <w:num w:numId="37">
    <w:abstractNumId w:val="29"/>
  </w:num>
  <w:num w:numId="38">
    <w:abstractNumId w:val="31"/>
  </w:num>
  <w:num w:numId="39">
    <w:abstractNumId w:val="9"/>
  </w:num>
  <w:num w:numId="40">
    <w:abstractNumId w:val="61"/>
  </w:num>
  <w:num w:numId="41">
    <w:abstractNumId w:val="12"/>
  </w:num>
  <w:num w:numId="42">
    <w:abstractNumId w:val="51"/>
  </w:num>
  <w:num w:numId="43">
    <w:abstractNumId w:val="6"/>
  </w:num>
  <w:num w:numId="44">
    <w:abstractNumId w:val="59"/>
  </w:num>
  <w:num w:numId="45">
    <w:abstractNumId w:val="73"/>
  </w:num>
  <w:num w:numId="46">
    <w:abstractNumId w:val="50"/>
  </w:num>
  <w:num w:numId="47">
    <w:abstractNumId w:val="64"/>
  </w:num>
  <w:num w:numId="48">
    <w:abstractNumId w:val="66"/>
  </w:num>
  <w:num w:numId="49">
    <w:abstractNumId w:val="75"/>
  </w:num>
  <w:num w:numId="50">
    <w:abstractNumId w:val="58"/>
  </w:num>
  <w:num w:numId="51">
    <w:abstractNumId w:val="52"/>
  </w:num>
  <w:num w:numId="52">
    <w:abstractNumId w:val="23"/>
  </w:num>
  <w:num w:numId="53">
    <w:abstractNumId w:val="1"/>
  </w:num>
  <w:num w:numId="54">
    <w:abstractNumId w:val="0"/>
  </w:num>
  <w:num w:numId="55">
    <w:abstractNumId w:val="72"/>
  </w:num>
  <w:num w:numId="56">
    <w:abstractNumId w:val="39"/>
  </w:num>
  <w:num w:numId="57">
    <w:abstractNumId w:val="30"/>
  </w:num>
  <w:num w:numId="58">
    <w:abstractNumId w:val="27"/>
  </w:num>
  <w:num w:numId="59">
    <w:abstractNumId w:val="7"/>
  </w:num>
  <w:num w:numId="60">
    <w:abstractNumId w:val="45"/>
  </w:num>
  <w:num w:numId="61">
    <w:abstractNumId w:val="57"/>
  </w:num>
  <w:num w:numId="62">
    <w:abstractNumId w:val="15"/>
  </w:num>
  <w:num w:numId="63">
    <w:abstractNumId w:val="11"/>
  </w:num>
  <w:num w:numId="64">
    <w:abstractNumId w:val="37"/>
  </w:num>
  <w:num w:numId="65">
    <w:abstractNumId w:val="36"/>
  </w:num>
  <w:num w:numId="66">
    <w:abstractNumId w:val="19"/>
  </w:num>
  <w:num w:numId="67">
    <w:abstractNumId w:val="44"/>
  </w:num>
  <w:num w:numId="68">
    <w:abstractNumId w:val="14"/>
  </w:num>
  <w:num w:numId="69">
    <w:abstractNumId w:val="56"/>
  </w:num>
  <w:num w:numId="70">
    <w:abstractNumId w:val="43"/>
  </w:num>
  <w:num w:numId="71">
    <w:abstractNumId w:val="32"/>
  </w:num>
  <w:num w:numId="72">
    <w:abstractNumId w:val="18"/>
  </w:num>
  <w:num w:numId="73">
    <w:abstractNumId w:val="49"/>
  </w:num>
  <w:num w:numId="74">
    <w:abstractNumId w:val="3"/>
  </w:num>
  <w:num w:numId="75">
    <w:abstractNumId w:val="46"/>
  </w:num>
  <w:num w:numId="76">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E8A"/>
    <w:rsid w:val="000005CA"/>
    <w:rsid w:val="00000B3C"/>
    <w:rsid w:val="00001C6F"/>
    <w:rsid w:val="00004AA5"/>
    <w:rsid w:val="000127C7"/>
    <w:rsid w:val="0001499F"/>
    <w:rsid w:val="00015AC7"/>
    <w:rsid w:val="00016279"/>
    <w:rsid w:val="00021F54"/>
    <w:rsid w:val="00023175"/>
    <w:rsid w:val="0002439A"/>
    <w:rsid w:val="00025376"/>
    <w:rsid w:val="000254DA"/>
    <w:rsid w:val="00030831"/>
    <w:rsid w:val="00030A4D"/>
    <w:rsid w:val="0003327B"/>
    <w:rsid w:val="000339DD"/>
    <w:rsid w:val="00033F91"/>
    <w:rsid w:val="00034AE2"/>
    <w:rsid w:val="00040459"/>
    <w:rsid w:val="00041336"/>
    <w:rsid w:val="0004169B"/>
    <w:rsid w:val="00043551"/>
    <w:rsid w:val="00044CE7"/>
    <w:rsid w:val="00044F41"/>
    <w:rsid w:val="000505EC"/>
    <w:rsid w:val="00050B8B"/>
    <w:rsid w:val="00053234"/>
    <w:rsid w:val="000544B8"/>
    <w:rsid w:val="000559D4"/>
    <w:rsid w:val="00056629"/>
    <w:rsid w:val="00057CDB"/>
    <w:rsid w:val="00061D01"/>
    <w:rsid w:val="00064DA8"/>
    <w:rsid w:val="000669EB"/>
    <w:rsid w:val="0007148C"/>
    <w:rsid w:val="0007241E"/>
    <w:rsid w:val="0007260D"/>
    <w:rsid w:val="0007380D"/>
    <w:rsid w:val="00075718"/>
    <w:rsid w:val="0007647E"/>
    <w:rsid w:val="00076AB6"/>
    <w:rsid w:val="00080D9E"/>
    <w:rsid w:val="00083672"/>
    <w:rsid w:val="00083BF5"/>
    <w:rsid w:val="00084020"/>
    <w:rsid w:val="00085D2B"/>
    <w:rsid w:val="0008683F"/>
    <w:rsid w:val="00087858"/>
    <w:rsid w:val="00090519"/>
    <w:rsid w:val="00090BFB"/>
    <w:rsid w:val="00091192"/>
    <w:rsid w:val="00094A11"/>
    <w:rsid w:val="00094DBD"/>
    <w:rsid w:val="000A1D22"/>
    <w:rsid w:val="000A1F56"/>
    <w:rsid w:val="000A1F8A"/>
    <w:rsid w:val="000A208D"/>
    <w:rsid w:val="000A2109"/>
    <w:rsid w:val="000A2B2C"/>
    <w:rsid w:val="000A33F5"/>
    <w:rsid w:val="000A50ED"/>
    <w:rsid w:val="000A719F"/>
    <w:rsid w:val="000B0CB7"/>
    <w:rsid w:val="000B1F68"/>
    <w:rsid w:val="000B2246"/>
    <w:rsid w:val="000B2A90"/>
    <w:rsid w:val="000B7472"/>
    <w:rsid w:val="000C0574"/>
    <w:rsid w:val="000C3B64"/>
    <w:rsid w:val="000C3EA0"/>
    <w:rsid w:val="000C450C"/>
    <w:rsid w:val="000C4ABB"/>
    <w:rsid w:val="000C4EAF"/>
    <w:rsid w:val="000C53EB"/>
    <w:rsid w:val="000C5789"/>
    <w:rsid w:val="000C634B"/>
    <w:rsid w:val="000C68FC"/>
    <w:rsid w:val="000D1711"/>
    <w:rsid w:val="000D21F1"/>
    <w:rsid w:val="000D273E"/>
    <w:rsid w:val="000D3B8B"/>
    <w:rsid w:val="000D42E9"/>
    <w:rsid w:val="000D53FE"/>
    <w:rsid w:val="000D6EA8"/>
    <w:rsid w:val="000E10A6"/>
    <w:rsid w:val="000E1A6A"/>
    <w:rsid w:val="000E1CE1"/>
    <w:rsid w:val="000E299F"/>
    <w:rsid w:val="000E46C7"/>
    <w:rsid w:val="000E5F24"/>
    <w:rsid w:val="000E60AA"/>
    <w:rsid w:val="000E6BAE"/>
    <w:rsid w:val="000F1029"/>
    <w:rsid w:val="000F28E9"/>
    <w:rsid w:val="000F3C1C"/>
    <w:rsid w:val="000F42F5"/>
    <w:rsid w:val="000F60A3"/>
    <w:rsid w:val="0010002B"/>
    <w:rsid w:val="00100BE6"/>
    <w:rsid w:val="00101997"/>
    <w:rsid w:val="00102040"/>
    <w:rsid w:val="001021BC"/>
    <w:rsid w:val="001021F4"/>
    <w:rsid w:val="00102343"/>
    <w:rsid w:val="001026D7"/>
    <w:rsid w:val="001042CC"/>
    <w:rsid w:val="0010571C"/>
    <w:rsid w:val="00106215"/>
    <w:rsid w:val="001126C0"/>
    <w:rsid w:val="00112ABA"/>
    <w:rsid w:val="00114857"/>
    <w:rsid w:val="00115CBD"/>
    <w:rsid w:val="00117675"/>
    <w:rsid w:val="00120F33"/>
    <w:rsid w:val="0012359D"/>
    <w:rsid w:val="00132EA9"/>
    <w:rsid w:val="00133192"/>
    <w:rsid w:val="00133D10"/>
    <w:rsid w:val="00134DA4"/>
    <w:rsid w:val="00135983"/>
    <w:rsid w:val="0014045E"/>
    <w:rsid w:val="00142BB1"/>
    <w:rsid w:val="0014347C"/>
    <w:rsid w:val="00143CC5"/>
    <w:rsid w:val="0014405A"/>
    <w:rsid w:val="00144EB4"/>
    <w:rsid w:val="0015130D"/>
    <w:rsid w:val="00151731"/>
    <w:rsid w:val="00151A1C"/>
    <w:rsid w:val="0015474C"/>
    <w:rsid w:val="00155EEA"/>
    <w:rsid w:val="0015653B"/>
    <w:rsid w:val="0015682C"/>
    <w:rsid w:val="00157D9D"/>
    <w:rsid w:val="00162F71"/>
    <w:rsid w:val="00163088"/>
    <w:rsid w:val="0016350B"/>
    <w:rsid w:val="00165ED7"/>
    <w:rsid w:val="00166E5A"/>
    <w:rsid w:val="00167F33"/>
    <w:rsid w:val="00170726"/>
    <w:rsid w:val="0017252A"/>
    <w:rsid w:val="001731DC"/>
    <w:rsid w:val="00173273"/>
    <w:rsid w:val="00174626"/>
    <w:rsid w:val="001750F1"/>
    <w:rsid w:val="00177145"/>
    <w:rsid w:val="00180DA3"/>
    <w:rsid w:val="00181F9A"/>
    <w:rsid w:val="0018487F"/>
    <w:rsid w:val="00187705"/>
    <w:rsid w:val="00187D40"/>
    <w:rsid w:val="00187E90"/>
    <w:rsid w:val="00187E9E"/>
    <w:rsid w:val="00190B14"/>
    <w:rsid w:val="00191D26"/>
    <w:rsid w:val="00195994"/>
    <w:rsid w:val="00195E5E"/>
    <w:rsid w:val="001965ED"/>
    <w:rsid w:val="001A0D70"/>
    <w:rsid w:val="001A169B"/>
    <w:rsid w:val="001A1998"/>
    <w:rsid w:val="001A3DC5"/>
    <w:rsid w:val="001A6C22"/>
    <w:rsid w:val="001A7DE0"/>
    <w:rsid w:val="001B0687"/>
    <w:rsid w:val="001B0BD7"/>
    <w:rsid w:val="001B1E90"/>
    <w:rsid w:val="001B3148"/>
    <w:rsid w:val="001B514D"/>
    <w:rsid w:val="001B6CA1"/>
    <w:rsid w:val="001B6F17"/>
    <w:rsid w:val="001B7900"/>
    <w:rsid w:val="001B7D67"/>
    <w:rsid w:val="001C0849"/>
    <w:rsid w:val="001C2BD3"/>
    <w:rsid w:val="001C4D00"/>
    <w:rsid w:val="001C6488"/>
    <w:rsid w:val="001C67E1"/>
    <w:rsid w:val="001C7869"/>
    <w:rsid w:val="001C7B75"/>
    <w:rsid w:val="001D29E4"/>
    <w:rsid w:val="001D3B94"/>
    <w:rsid w:val="001D3F4A"/>
    <w:rsid w:val="001D4879"/>
    <w:rsid w:val="001E0E5A"/>
    <w:rsid w:val="001E0E91"/>
    <w:rsid w:val="001E3488"/>
    <w:rsid w:val="001E4B40"/>
    <w:rsid w:val="001E4C0F"/>
    <w:rsid w:val="001F06C8"/>
    <w:rsid w:val="001F1E4F"/>
    <w:rsid w:val="001F248F"/>
    <w:rsid w:val="001F257D"/>
    <w:rsid w:val="001F55CE"/>
    <w:rsid w:val="001F5861"/>
    <w:rsid w:val="001F7192"/>
    <w:rsid w:val="001F72EB"/>
    <w:rsid w:val="002002B1"/>
    <w:rsid w:val="002031D9"/>
    <w:rsid w:val="0020398B"/>
    <w:rsid w:val="002046E0"/>
    <w:rsid w:val="00205F05"/>
    <w:rsid w:val="00211BCD"/>
    <w:rsid w:val="00212DC1"/>
    <w:rsid w:val="00213D51"/>
    <w:rsid w:val="0021444A"/>
    <w:rsid w:val="00214A49"/>
    <w:rsid w:val="00221294"/>
    <w:rsid w:val="00221D05"/>
    <w:rsid w:val="00221D91"/>
    <w:rsid w:val="0022330D"/>
    <w:rsid w:val="0022430F"/>
    <w:rsid w:val="002247BE"/>
    <w:rsid w:val="00224E51"/>
    <w:rsid w:val="002250F4"/>
    <w:rsid w:val="00225ACA"/>
    <w:rsid w:val="00226B08"/>
    <w:rsid w:val="0023004F"/>
    <w:rsid w:val="00230D49"/>
    <w:rsid w:val="002320FA"/>
    <w:rsid w:val="0023343C"/>
    <w:rsid w:val="00233C1D"/>
    <w:rsid w:val="00234466"/>
    <w:rsid w:val="00236852"/>
    <w:rsid w:val="002371BC"/>
    <w:rsid w:val="00237547"/>
    <w:rsid w:val="0023798D"/>
    <w:rsid w:val="00237A6D"/>
    <w:rsid w:val="00240DB3"/>
    <w:rsid w:val="00243610"/>
    <w:rsid w:val="002441B8"/>
    <w:rsid w:val="00244DA2"/>
    <w:rsid w:val="00244E29"/>
    <w:rsid w:val="00245356"/>
    <w:rsid w:val="002467EA"/>
    <w:rsid w:val="002507B1"/>
    <w:rsid w:val="00250AD1"/>
    <w:rsid w:val="00252692"/>
    <w:rsid w:val="002528F6"/>
    <w:rsid w:val="002547EC"/>
    <w:rsid w:val="002548D0"/>
    <w:rsid w:val="00254CDB"/>
    <w:rsid w:val="00255521"/>
    <w:rsid w:val="00257B24"/>
    <w:rsid w:val="00261296"/>
    <w:rsid w:val="00262058"/>
    <w:rsid w:val="002621D8"/>
    <w:rsid w:val="00263670"/>
    <w:rsid w:val="002638AE"/>
    <w:rsid w:val="002646C1"/>
    <w:rsid w:val="00264FB0"/>
    <w:rsid w:val="00271459"/>
    <w:rsid w:val="002720D0"/>
    <w:rsid w:val="00272B6C"/>
    <w:rsid w:val="002735A7"/>
    <w:rsid w:val="00273EFC"/>
    <w:rsid w:val="00275579"/>
    <w:rsid w:val="00275E40"/>
    <w:rsid w:val="002821B5"/>
    <w:rsid w:val="00282369"/>
    <w:rsid w:val="002858D8"/>
    <w:rsid w:val="00285CAC"/>
    <w:rsid w:val="00286D8E"/>
    <w:rsid w:val="00286EC5"/>
    <w:rsid w:val="00290E7B"/>
    <w:rsid w:val="002921CB"/>
    <w:rsid w:val="00295ACA"/>
    <w:rsid w:val="002A2810"/>
    <w:rsid w:val="002A33A2"/>
    <w:rsid w:val="002A50DC"/>
    <w:rsid w:val="002A58AA"/>
    <w:rsid w:val="002A6B82"/>
    <w:rsid w:val="002B2845"/>
    <w:rsid w:val="002B2C39"/>
    <w:rsid w:val="002B2E4F"/>
    <w:rsid w:val="002B4C64"/>
    <w:rsid w:val="002B7373"/>
    <w:rsid w:val="002C045B"/>
    <w:rsid w:val="002C1A74"/>
    <w:rsid w:val="002C2C1A"/>
    <w:rsid w:val="002C3FB7"/>
    <w:rsid w:val="002C640B"/>
    <w:rsid w:val="002C7019"/>
    <w:rsid w:val="002C7458"/>
    <w:rsid w:val="002C7F79"/>
    <w:rsid w:val="002D0ACA"/>
    <w:rsid w:val="002D1711"/>
    <w:rsid w:val="002D328E"/>
    <w:rsid w:val="002D36F8"/>
    <w:rsid w:val="002E0299"/>
    <w:rsid w:val="002E09AF"/>
    <w:rsid w:val="002E1997"/>
    <w:rsid w:val="002E1C3E"/>
    <w:rsid w:val="002E314E"/>
    <w:rsid w:val="002E32CB"/>
    <w:rsid w:val="002E51F2"/>
    <w:rsid w:val="002E5AA1"/>
    <w:rsid w:val="002E5ABF"/>
    <w:rsid w:val="002E5DF7"/>
    <w:rsid w:val="002E7EAF"/>
    <w:rsid w:val="002F3088"/>
    <w:rsid w:val="002F5734"/>
    <w:rsid w:val="002F6A75"/>
    <w:rsid w:val="002F79C6"/>
    <w:rsid w:val="003010CD"/>
    <w:rsid w:val="0030609C"/>
    <w:rsid w:val="003061A2"/>
    <w:rsid w:val="00311B8F"/>
    <w:rsid w:val="00312EC5"/>
    <w:rsid w:val="003136B5"/>
    <w:rsid w:val="00313989"/>
    <w:rsid w:val="00317AFA"/>
    <w:rsid w:val="00320EF3"/>
    <w:rsid w:val="00321F7B"/>
    <w:rsid w:val="0032349D"/>
    <w:rsid w:val="00323DD9"/>
    <w:rsid w:val="00325673"/>
    <w:rsid w:val="00325FFE"/>
    <w:rsid w:val="0032793F"/>
    <w:rsid w:val="0033087F"/>
    <w:rsid w:val="00331346"/>
    <w:rsid w:val="00331D51"/>
    <w:rsid w:val="00331EC0"/>
    <w:rsid w:val="00333BE9"/>
    <w:rsid w:val="00334476"/>
    <w:rsid w:val="00335048"/>
    <w:rsid w:val="003356C3"/>
    <w:rsid w:val="00335B33"/>
    <w:rsid w:val="00335FE5"/>
    <w:rsid w:val="00337653"/>
    <w:rsid w:val="00340304"/>
    <w:rsid w:val="00340356"/>
    <w:rsid w:val="00340FF4"/>
    <w:rsid w:val="00341534"/>
    <w:rsid w:val="00343041"/>
    <w:rsid w:val="00343058"/>
    <w:rsid w:val="003431DD"/>
    <w:rsid w:val="0034461B"/>
    <w:rsid w:val="00350BE0"/>
    <w:rsid w:val="00352771"/>
    <w:rsid w:val="003530AD"/>
    <w:rsid w:val="00354A06"/>
    <w:rsid w:val="003566DE"/>
    <w:rsid w:val="00357E90"/>
    <w:rsid w:val="003623F7"/>
    <w:rsid w:val="0036247D"/>
    <w:rsid w:val="003638B0"/>
    <w:rsid w:val="00367E54"/>
    <w:rsid w:val="00370284"/>
    <w:rsid w:val="00371479"/>
    <w:rsid w:val="00372558"/>
    <w:rsid w:val="003734F4"/>
    <w:rsid w:val="00373501"/>
    <w:rsid w:val="00373A3B"/>
    <w:rsid w:val="00373A65"/>
    <w:rsid w:val="00374269"/>
    <w:rsid w:val="00374CAE"/>
    <w:rsid w:val="00374E4A"/>
    <w:rsid w:val="00381A09"/>
    <w:rsid w:val="003826D5"/>
    <w:rsid w:val="003827D1"/>
    <w:rsid w:val="003833D2"/>
    <w:rsid w:val="00384D45"/>
    <w:rsid w:val="00384E36"/>
    <w:rsid w:val="003862A5"/>
    <w:rsid w:val="00387ACE"/>
    <w:rsid w:val="0039063B"/>
    <w:rsid w:val="003920DE"/>
    <w:rsid w:val="00392420"/>
    <w:rsid w:val="003937CA"/>
    <w:rsid w:val="003963F8"/>
    <w:rsid w:val="00397944"/>
    <w:rsid w:val="003A268B"/>
    <w:rsid w:val="003A33C8"/>
    <w:rsid w:val="003A4689"/>
    <w:rsid w:val="003A47D9"/>
    <w:rsid w:val="003A4DF6"/>
    <w:rsid w:val="003A5B0B"/>
    <w:rsid w:val="003A5C07"/>
    <w:rsid w:val="003B268D"/>
    <w:rsid w:val="003B39F6"/>
    <w:rsid w:val="003B4453"/>
    <w:rsid w:val="003B69E8"/>
    <w:rsid w:val="003C0F6B"/>
    <w:rsid w:val="003C3534"/>
    <w:rsid w:val="003C493D"/>
    <w:rsid w:val="003C55B8"/>
    <w:rsid w:val="003C60FE"/>
    <w:rsid w:val="003C6B42"/>
    <w:rsid w:val="003C702C"/>
    <w:rsid w:val="003D2FA8"/>
    <w:rsid w:val="003D5743"/>
    <w:rsid w:val="003D5B9A"/>
    <w:rsid w:val="003D6B26"/>
    <w:rsid w:val="003D7A1A"/>
    <w:rsid w:val="003E020D"/>
    <w:rsid w:val="003E089B"/>
    <w:rsid w:val="003E1DFD"/>
    <w:rsid w:val="003E470C"/>
    <w:rsid w:val="003E706F"/>
    <w:rsid w:val="003E7C9D"/>
    <w:rsid w:val="003F0763"/>
    <w:rsid w:val="003F1358"/>
    <w:rsid w:val="003F296C"/>
    <w:rsid w:val="003F4D43"/>
    <w:rsid w:val="003F4D5A"/>
    <w:rsid w:val="003F73C6"/>
    <w:rsid w:val="00402542"/>
    <w:rsid w:val="00402DC0"/>
    <w:rsid w:val="00404F5E"/>
    <w:rsid w:val="00407FD6"/>
    <w:rsid w:val="00410571"/>
    <w:rsid w:val="004111E4"/>
    <w:rsid w:val="0041199D"/>
    <w:rsid w:val="004135E8"/>
    <w:rsid w:val="00415C08"/>
    <w:rsid w:val="00416E1B"/>
    <w:rsid w:val="00420A09"/>
    <w:rsid w:val="00423979"/>
    <w:rsid w:val="00423982"/>
    <w:rsid w:val="00425A06"/>
    <w:rsid w:val="00426437"/>
    <w:rsid w:val="00431298"/>
    <w:rsid w:val="0043224C"/>
    <w:rsid w:val="00432C8C"/>
    <w:rsid w:val="00432E46"/>
    <w:rsid w:val="00433328"/>
    <w:rsid w:val="00433AFC"/>
    <w:rsid w:val="0043587A"/>
    <w:rsid w:val="00436EAB"/>
    <w:rsid w:val="00440E36"/>
    <w:rsid w:val="004412AA"/>
    <w:rsid w:val="00441673"/>
    <w:rsid w:val="00442586"/>
    <w:rsid w:val="00444386"/>
    <w:rsid w:val="004443DC"/>
    <w:rsid w:val="004466B9"/>
    <w:rsid w:val="00446ED5"/>
    <w:rsid w:val="0044763C"/>
    <w:rsid w:val="00452E81"/>
    <w:rsid w:val="004537A7"/>
    <w:rsid w:val="004559D3"/>
    <w:rsid w:val="004573F3"/>
    <w:rsid w:val="00457B2A"/>
    <w:rsid w:val="00460B3B"/>
    <w:rsid w:val="004610D3"/>
    <w:rsid w:val="00462384"/>
    <w:rsid w:val="004639FE"/>
    <w:rsid w:val="00464D66"/>
    <w:rsid w:val="00466686"/>
    <w:rsid w:val="00467D68"/>
    <w:rsid w:val="004728FC"/>
    <w:rsid w:val="00473591"/>
    <w:rsid w:val="004748C3"/>
    <w:rsid w:val="00477C55"/>
    <w:rsid w:val="0048084A"/>
    <w:rsid w:val="00481E22"/>
    <w:rsid w:val="00482280"/>
    <w:rsid w:val="0048246C"/>
    <w:rsid w:val="0048265F"/>
    <w:rsid w:val="00486CE6"/>
    <w:rsid w:val="00490C1C"/>
    <w:rsid w:val="00491671"/>
    <w:rsid w:val="00492C6E"/>
    <w:rsid w:val="0049441E"/>
    <w:rsid w:val="004945B8"/>
    <w:rsid w:val="004A0111"/>
    <w:rsid w:val="004A1E1D"/>
    <w:rsid w:val="004A20B4"/>
    <w:rsid w:val="004A6A13"/>
    <w:rsid w:val="004A7E99"/>
    <w:rsid w:val="004A7F94"/>
    <w:rsid w:val="004B0F70"/>
    <w:rsid w:val="004B1FA1"/>
    <w:rsid w:val="004C0376"/>
    <w:rsid w:val="004C0ABE"/>
    <w:rsid w:val="004C2122"/>
    <w:rsid w:val="004C2E1E"/>
    <w:rsid w:val="004C359A"/>
    <w:rsid w:val="004C3ED5"/>
    <w:rsid w:val="004C4789"/>
    <w:rsid w:val="004C58B3"/>
    <w:rsid w:val="004D0FA9"/>
    <w:rsid w:val="004D146B"/>
    <w:rsid w:val="004D2471"/>
    <w:rsid w:val="004D28D5"/>
    <w:rsid w:val="004D4BB7"/>
    <w:rsid w:val="004D4D22"/>
    <w:rsid w:val="004D5711"/>
    <w:rsid w:val="004D5E71"/>
    <w:rsid w:val="004D6F82"/>
    <w:rsid w:val="004D7850"/>
    <w:rsid w:val="004E1FAA"/>
    <w:rsid w:val="004E2F9B"/>
    <w:rsid w:val="004E34FA"/>
    <w:rsid w:val="004E56EB"/>
    <w:rsid w:val="004F2E5B"/>
    <w:rsid w:val="004F30E5"/>
    <w:rsid w:val="004F4758"/>
    <w:rsid w:val="004F63C8"/>
    <w:rsid w:val="004F6A1D"/>
    <w:rsid w:val="0050068F"/>
    <w:rsid w:val="00500B5B"/>
    <w:rsid w:val="00501CC8"/>
    <w:rsid w:val="0050270E"/>
    <w:rsid w:val="005027BB"/>
    <w:rsid w:val="005028F1"/>
    <w:rsid w:val="00505E38"/>
    <w:rsid w:val="0050762F"/>
    <w:rsid w:val="0050763F"/>
    <w:rsid w:val="00507C50"/>
    <w:rsid w:val="00511AFF"/>
    <w:rsid w:val="00511D47"/>
    <w:rsid w:val="00511E6A"/>
    <w:rsid w:val="0051476C"/>
    <w:rsid w:val="00514813"/>
    <w:rsid w:val="00515977"/>
    <w:rsid w:val="00516445"/>
    <w:rsid w:val="00516F8F"/>
    <w:rsid w:val="0051781B"/>
    <w:rsid w:val="00521E5D"/>
    <w:rsid w:val="0052262E"/>
    <w:rsid w:val="00526108"/>
    <w:rsid w:val="005271E1"/>
    <w:rsid w:val="00527988"/>
    <w:rsid w:val="00527A3A"/>
    <w:rsid w:val="005329C0"/>
    <w:rsid w:val="00532C77"/>
    <w:rsid w:val="00533076"/>
    <w:rsid w:val="00533832"/>
    <w:rsid w:val="00533A68"/>
    <w:rsid w:val="00534572"/>
    <w:rsid w:val="00534737"/>
    <w:rsid w:val="00540761"/>
    <w:rsid w:val="0054212B"/>
    <w:rsid w:val="00542387"/>
    <w:rsid w:val="00542F56"/>
    <w:rsid w:val="0054324E"/>
    <w:rsid w:val="0054384C"/>
    <w:rsid w:val="00543AF1"/>
    <w:rsid w:val="005457B9"/>
    <w:rsid w:val="00547560"/>
    <w:rsid w:val="00550011"/>
    <w:rsid w:val="005504E7"/>
    <w:rsid w:val="00550AB3"/>
    <w:rsid w:val="005527C0"/>
    <w:rsid w:val="00552D1E"/>
    <w:rsid w:val="005531DE"/>
    <w:rsid w:val="00554E19"/>
    <w:rsid w:val="00555BDF"/>
    <w:rsid w:val="005634E4"/>
    <w:rsid w:val="005654AD"/>
    <w:rsid w:val="00566611"/>
    <w:rsid w:val="0056711D"/>
    <w:rsid w:val="00567E8A"/>
    <w:rsid w:val="00570945"/>
    <w:rsid w:val="00571079"/>
    <w:rsid w:val="00571525"/>
    <w:rsid w:val="00574BD5"/>
    <w:rsid w:val="005766C0"/>
    <w:rsid w:val="00577A01"/>
    <w:rsid w:val="0058157A"/>
    <w:rsid w:val="00582249"/>
    <w:rsid w:val="00584100"/>
    <w:rsid w:val="005867EA"/>
    <w:rsid w:val="005934C5"/>
    <w:rsid w:val="00595368"/>
    <w:rsid w:val="00596FD1"/>
    <w:rsid w:val="00597B82"/>
    <w:rsid w:val="005A73A3"/>
    <w:rsid w:val="005B0359"/>
    <w:rsid w:val="005B1AC6"/>
    <w:rsid w:val="005B3850"/>
    <w:rsid w:val="005B4D4A"/>
    <w:rsid w:val="005B5AF1"/>
    <w:rsid w:val="005B65AE"/>
    <w:rsid w:val="005B7AC1"/>
    <w:rsid w:val="005C08AC"/>
    <w:rsid w:val="005C1CC3"/>
    <w:rsid w:val="005C1E44"/>
    <w:rsid w:val="005C3361"/>
    <w:rsid w:val="005C3F27"/>
    <w:rsid w:val="005C6E7A"/>
    <w:rsid w:val="005C73A6"/>
    <w:rsid w:val="005C7698"/>
    <w:rsid w:val="005C7930"/>
    <w:rsid w:val="005D0FF4"/>
    <w:rsid w:val="005D28EE"/>
    <w:rsid w:val="005D3CEB"/>
    <w:rsid w:val="005D626B"/>
    <w:rsid w:val="005D7B84"/>
    <w:rsid w:val="005E373F"/>
    <w:rsid w:val="005E3F09"/>
    <w:rsid w:val="005E6DBC"/>
    <w:rsid w:val="005F0185"/>
    <w:rsid w:val="005F3822"/>
    <w:rsid w:val="005F509A"/>
    <w:rsid w:val="005F7DDC"/>
    <w:rsid w:val="006026E6"/>
    <w:rsid w:val="006030DE"/>
    <w:rsid w:val="00604212"/>
    <w:rsid w:val="00604D8C"/>
    <w:rsid w:val="00605397"/>
    <w:rsid w:val="006069F8"/>
    <w:rsid w:val="00606B25"/>
    <w:rsid w:val="00606C62"/>
    <w:rsid w:val="0060770C"/>
    <w:rsid w:val="00610545"/>
    <w:rsid w:val="00613B80"/>
    <w:rsid w:val="00614ABD"/>
    <w:rsid w:val="00615C25"/>
    <w:rsid w:val="00615CB1"/>
    <w:rsid w:val="006169D8"/>
    <w:rsid w:val="006232F5"/>
    <w:rsid w:val="00623338"/>
    <w:rsid w:val="006239E0"/>
    <w:rsid w:val="006244E4"/>
    <w:rsid w:val="006247F8"/>
    <w:rsid w:val="00627F40"/>
    <w:rsid w:val="00627F52"/>
    <w:rsid w:val="00627F77"/>
    <w:rsid w:val="00630C93"/>
    <w:rsid w:val="0063121F"/>
    <w:rsid w:val="006347FB"/>
    <w:rsid w:val="006348E3"/>
    <w:rsid w:val="00634FC3"/>
    <w:rsid w:val="006368F3"/>
    <w:rsid w:val="00637972"/>
    <w:rsid w:val="0064173B"/>
    <w:rsid w:val="00642C43"/>
    <w:rsid w:val="00643BBB"/>
    <w:rsid w:val="0064685A"/>
    <w:rsid w:val="006472C6"/>
    <w:rsid w:val="00653BEB"/>
    <w:rsid w:val="006555E0"/>
    <w:rsid w:val="006558B2"/>
    <w:rsid w:val="00655EEB"/>
    <w:rsid w:val="006569F2"/>
    <w:rsid w:val="00656A69"/>
    <w:rsid w:val="0066183E"/>
    <w:rsid w:val="006619AE"/>
    <w:rsid w:val="006621B2"/>
    <w:rsid w:val="00662FEB"/>
    <w:rsid w:val="006645E7"/>
    <w:rsid w:val="00665B35"/>
    <w:rsid w:val="00667543"/>
    <w:rsid w:val="00670ABA"/>
    <w:rsid w:val="00672261"/>
    <w:rsid w:val="00672FDC"/>
    <w:rsid w:val="00673008"/>
    <w:rsid w:val="00675EB1"/>
    <w:rsid w:val="00675F7E"/>
    <w:rsid w:val="00681A6A"/>
    <w:rsid w:val="00681B6D"/>
    <w:rsid w:val="00682063"/>
    <w:rsid w:val="00683678"/>
    <w:rsid w:val="006851DE"/>
    <w:rsid w:val="00686546"/>
    <w:rsid w:val="006930D4"/>
    <w:rsid w:val="0069387D"/>
    <w:rsid w:val="00695C71"/>
    <w:rsid w:val="0069731A"/>
    <w:rsid w:val="006A231E"/>
    <w:rsid w:val="006A75D5"/>
    <w:rsid w:val="006A7EF3"/>
    <w:rsid w:val="006B0464"/>
    <w:rsid w:val="006B0EA3"/>
    <w:rsid w:val="006B1901"/>
    <w:rsid w:val="006B32CC"/>
    <w:rsid w:val="006B3AF6"/>
    <w:rsid w:val="006B5D1C"/>
    <w:rsid w:val="006B67C6"/>
    <w:rsid w:val="006C4AC0"/>
    <w:rsid w:val="006C567B"/>
    <w:rsid w:val="006C5845"/>
    <w:rsid w:val="006C5A48"/>
    <w:rsid w:val="006C5A86"/>
    <w:rsid w:val="006C648F"/>
    <w:rsid w:val="006C6C87"/>
    <w:rsid w:val="006C7EAC"/>
    <w:rsid w:val="006D0777"/>
    <w:rsid w:val="006D23BE"/>
    <w:rsid w:val="006D303A"/>
    <w:rsid w:val="006D7EB2"/>
    <w:rsid w:val="006E0479"/>
    <w:rsid w:val="006E04DD"/>
    <w:rsid w:val="006E15EE"/>
    <w:rsid w:val="006E1712"/>
    <w:rsid w:val="006E484B"/>
    <w:rsid w:val="006E48DC"/>
    <w:rsid w:val="006E6A70"/>
    <w:rsid w:val="006E7EB5"/>
    <w:rsid w:val="006F010F"/>
    <w:rsid w:val="006F2F14"/>
    <w:rsid w:val="006F3124"/>
    <w:rsid w:val="006F4C8B"/>
    <w:rsid w:val="006F6603"/>
    <w:rsid w:val="006F7DD5"/>
    <w:rsid w:val="0070098B"/>
    <w:rsid w:val="00700E38"/>
    <w:rsid w:val="00701CA3"/>
    <w:rsid w:val="007039D3"/>
    <w:rsid w:val="0070569F"/>
    <w:rsid w:val="00706950"/>
    <w:rsid w:val="0071142A"/>
    <w:rsid w:val="007116A0"/>
    <w:rsid w:val="00711884"/>
    <w:rsid w:val="00713011"/>
    <w:rsid w:val="00713476"/>
    <w:rsid w:val="00713763"/>
    <w:rsid w:val="007141C8"/>
    <w:rsid w:val="007151FA"/>
    <w:rsid w:val="00721CB2"/>
    <w:rsid w:val="00721E8D"/>
    <w:rsid w:val="007226EF"/>
    <w:rsid w:val="0072307A"/>
    <w:rsid w:val="007231EE"/>
    <w:rsid w:val="00723F1E"/>
    <w:rsid w:val="0072432E"/>
    <w:rsid w:val="00724D2F"/>
    <w:rsid w:val="00725910"/>
    <w:rsid w:val="00725D20"/>
    <w:rsid w:val="00725DFC"/>
    <w:rsid w:val="00727C73"/>
    <w:rsid w:val="00731093"/>
    <w:rsid w:val="007323E7"/>
    <w:rsid w:val="00733842"/>
    <w:rsid w:val="00736BD2"/>
    <w:rsid w:val="0074118E"/>
    <w:rsid w:val="00742B11"/>
    <w:rsid w:val="00747F8C"/>
    <w:rsid w:val="007500E7"/>
    <w:rsid w:val="007523AA"/>
    <w:rsid w:val="00753318"/>
    <w:rsid w:val="007533AA"/>
    <w:rsid w:val="0075674B"/>
    <w:rsid w:val="007571AA"/>
    <w:rsid w:val="00760A66"/>
    <w:rsid w:val="00760C76"/>
    <w:rsid w:val="00761341"/>
    <w:rsid w:val="00762360"/>
    <w:rsid w:val="00762A13"/>
    <w:rsid w:val="00764936"/>
    <w:rsid w:val="007669D6"/>
    <w:rsid w:val="00770560"/>
    <w:rsid w:val="00772217"/>
    <w:rsid w:val="00773BF4"/>
    <w:rsid w:val="0077648D"/>
    <w:rsid w:val="007764DC"/>
    <w:rsid w:val="00780358"/>
    <w:rsid w:val="00781FED"/>
    <w:rsid w:val="00783040"/>
    <w:rsid w:val="0078319B"/>
    <w:rsid w:val="00787CF0"/>
    <w:rsid w:val="007908DF"/>
    <w:rsid w:val="00792BD4"/>
    <w:rsid w:val="0079304D"/>
    <w:rsid w:val="00793D9B"/>
    <w:rsid w:val="007942A0"/>
    <w:rsid w:val="00794341"/>
    <w:rsid w:val="00797A79"/>
    <w:rsid w:val="007A0AA3"/>
    <w:rsid w:val="007B0861"/>
    <w:rsid w:val="007B128C"/>
    <w:rsid w:val="007B20BB"/>
    <w:rsid w:val="007B42FB"/>
    <w:rsid w:val="007B6DD8"/>
    <w:rsid w:val="007B7949"/>
    <w:rsid w:val="007C0E6D"/>
    <w:rsid w:val="007C1278"/>
    <w:rsid w:val="007C1AF6"/>
    <w:rsid w:val="007C1E54"/>
    <w:rsid w:val="007C213A"/>
    <w:rsid w:val="007C2905"/>
    <w:rsid w:val="007C3722"/>
    <w:rsid w:val="007C5DDC"/>
    <w:rsid w:val="007C68B4"/>
    <w:rsid w:val="007C6F69"/>
    <w:rsid w:val="007D1577"/>
    <w:rsid w:val="007D242F"/>
    <w:rsid w:val="007D3930"/>
    <w:rsid w:val="007D4E22"/>
    <w:rsid w:val="007D4F2E"/>
    <w:rsid w:val="007D4F4E"/>
    <w:rsid w:val="007D5F0A"/>
    <w:rsid w:val="007D6373"/>
    <w:rsid w:val="007D7014"/>
    <w:rsid w:val="007E21AC"/>
    <w:rsid w:val="007E2CDF"/>
    <w:rsid w:val="007E3F63"/>
    <w:rsid w:val="007E649E"/>
    <w:rsid w:val="007E67A8"/>
    <w:rsid w:val="007E75A4"/>
    <w:rsid w:val="007F11EF"/>
    <w:rsid w:val="007F33BA"/>
    <w:rsid w:val="007F435A"/>
    <w:rsid w:val="007F5784"/>
    <w:rsid w:val="007F5E3F"/>
    <w:rsid w:val="007F6C37"/>
    <w:rsid w:val="008018DA"/>
    <w:rsid w:val="008019A1"/>
    <w:rsid w:val="0080293E"/>
    <w:rsid w:val="00802BA5"/>
    <w:rsid w:val="00802E54"/>
    <w:rsid w:val="00803BD8"/>
    <w:rsid w:val="00803CF5"/>
    <w:rsid w:val="008056DE"/>
    <w:rsid w:val="00810606"/>
    <w:rsid w:val="0081130F"/>
    <w:rsid w:val="008122E0"/>
    <w:rsid w:val="008146D7"/>
    <w:rsid w:val="0081509F"/>
    <w:rsid w:val="008167D8"/>
    <w:rsid w:val="00817466"/>
    <w:rsid w:val="00820A51"/>
    <w:rsid w:val="00820B33"/>
    <w:rsid w:val="00820B8B"/>
    <w:rsid w:val="00821933"/>
    <w:rsid w:val="00822942"/>
    <w:rsid w:val="008231FB"/>
    <w:rsid w:val="008237AF"/>
    <w:rsid w:val="00825995"/>
    <w:rsid w:val="0082795E"/>
    <w:rsid w:val="00830962"/>
    <w:rsid w:val="00830AF7"/>
    <w:rsid w:val="00831C31"/>
    <w:rsid w:val="008328B6"/>
    <w:rsid w:val="00833B59"/>
    <w:rsid w:val="008358DB"/>
    <w:rsid w:val="00835DA8"/>
    <w:rsid w:val="0084174E"/>
    <w:rsid w:val="0084185A"/>
    <w:rsid w:val="008428B6"/>
    <w:rsid w:val="00843778"/>
    <w:rsid w:val="00846220"/>
    <w:rsid w:val="008472CC"/>
    <w:rsid w:val="00850140"/>
    <w:rsid w:val="00850517"/>
    <w:rsid w:val="00850AED"/>
    <w:rsid w:val="00853449"/>
    <w:rsid w:val="00854FA1"/>
    <w:rsid w:val="00855CDE"/>
    <w:rsid w:val="008563CC"/>
    <w:rsid w:val="00856DE3"/>
    <w:rsid w:val="0085754F"/>
    <w:rsid w:val="00862D96"/>
    <w:rsid w:val="00862ED5"/>
    <w:rsid w:val="008632EE"/>
    <w:rsid w:val="00864DDA"/>
    <w:rsid w:val="0086677F"/>
    <w:rsid w:val="00866790"/>
    <w:rsid w:val="00867A78"/>
    <w:rsid w:val="00870E04"/>
    <w:rsid w:val="00873099"/>
    <w:rsid w:val="00874DFC"/>
    <w:rsid w:val="0087796C"/>
    <w:rsid w:val="00891382"/>
    <w:rsid w:val="008917D4"/>
    <w:rsid w:val="00891ACF"/>
    <w:rsid w:val="008953E6"/>
    <w:rsid w:val="0089562B"/>
    <w:rsid w:val="00897319"/>
    <w:rsid w:val="00897F14"/>
    <w:rsid w:val="008A0EFB"/>
    <w:rsid w:val="008A3DC5"/>
    <w:rsid w:val="008A4FDD"/>
    <w:rsid w:val="008A5922"/>
    <w:rsid w:val="008A6D9A"/>
    <w:rsid w:val="008B027D"/>
    <w:rsid w:val="008B0AFA"/>
    <w:rsid w:val="008B1091"/>
    <w:rsid w:val="008B134E"/>
    <w:rsid w:val="008B2016"/>
    <w:rsid w:val="008B49A5"/>
    <w:rsid w:val="008B4F3D"/>
    <w:rsid w:val="008B68E0"/>
    <w:rsid w:val="008B6E8E"/>
    <w:rsid w:val="008B6FD1"/>
    <w:rsid w:val="008B7201"/>
    <w:rsid w:val="008B7CF3"/>
    <w:rsid w:val="008C0105"/>
    <w:rsid w:val="008C1052"/>
    <w:rsid w:val="008C1284"/>
    <w:rsid w:val="008C150F"/>
    <w:rsid w:val="008C39AF"/>
    <w:rsid w:val="008C409F"/>
    <w:rsid w:val="008C4B3D"/>
    <w:rsid w:val="008C5AF5"/>
    <w:rsid w:val="008C7196"/>
    <w:rsid w:val="008C7B1A"/>
    <w:rsid w:val="008D0373"/>
    <w:rsid w:val="008D09FA"/>
    <w:rsid w:val="008D1430"/>
    <w:rsid w:val="008D1D75"/>
    <w:rsid w:val="008D22DF"/>
    <w:rsid w:val="008D3849"/>
    <w:rsid w:val="008D5B72"/>
    <w:rsid w:val="008D5ECA"/>
    <w:rsid w:val="008D6972"/>
    <w:rsid w:val="008E14CD"/>
    <w:rsid w:val="008E2785"/>
    <w:rsid w:val="008E2AD2"/>
    <w:rsid w:val="008E3976"/>
    <w:rsid w:val="008E4E92"/>
    <w:rsid w:val="008E5067"/>
    <w:rsid w:val="008E5324"/>
    <w:rsid w:val="008E5A02"/>
    <w:rsid w:val="008E5D14"/>
    <w:rsid w:val="008E79DF"/>
    <w:rsid w:val="008F1718"/>
    <w:rsid w:val="008F2E61"/>
    <w:rsid w:val="008F7939"/>
    <w:rsid w:val="009015C3"/>
    <w:rsid w:val="009023CD"/>
    <w:rsid w:val="009025E3"/>
    <w:rsid w:val="00902690"/>
    <w:rsid w:val="00903527"/>
    <w:rsid w:val="009047E2"/>
    <w:rsid w:val="00904EC9"/>
    <w:rsid w:val="00905DE0"/>
    <w:rsid w:val="00907C6C"/>
    <w:rsid w:val="00913D26"/>
    <w:rsid w:val="00914929"/>
    <w:rsid w:val="009152B5"/>
    <w:rsid w:val="0091615C"/>
    <w:rsid w:val="0091684C"/>
    <w:rsid w:val="009178C9"/>
    <w:rsid w:val="00917DF6"/>
    <w:rsid w:val="009224D7"/>
    <w:rsid w:val="00923A1A"/>
    <w:rsid w:val="00925952"/>
    <w:rsid w:val="00930C6E"/>
    <w:rsid w:val="009319CD"/>
    <w:rsid w:val="00931EF1"/>
    <w:rsid w:val="00932E3A"/>
    <w:rsid w:val="00933455"/>
    <w:rsid w:val="009335C1"/>
    <w:rsid w:val="00933BDF"/>
    <w:rsid w:val="009356D7"/>
    <w:rsid w:val="0093709A"/>
    <w:rsid w:val="00937165"/>
    <w:rsid w:val="00940831"/>
    <w:rsid w:val="009416A8"/>
    <w:rsid w:val="00942526"/>
    <w:rsid w:val="00944571"/>
    <w:rsid w:val="00945987"/>
    <w:rsid w:val="00945CB7"/>
    <w:rsid w:val="00945FE0"/>
    <w:rsid w:val="00946031"/>
    <w:rsid w:val="0094789B"/>
    <w:rsid w:val="00950254"/>
    <w:rsid w:val="00950A50"/>
    <w:rsid w:val="00952197"/>
    <w:rsid w:val="009526FB"/>
    <w:rsid w:val="00953577"/>
    <w:rsid w:val="00954A52"/>
    <w:rsid w:val="00957973"/>
    <w:rsid w:val="0096247A"/>
    <w:rsid w:val="00962E32"/>
    <w:rsid w:val="00964306"/>
    <w:rsid w:val="00966F81"/>
    <w:rsid w:val="00967682"/>
    <w:rsid w:val="009678E9"/>
    <w:rsid w:val="0097298D"/>
    <w:rsid w:val="00972C84"/>
    <w:rsid w:val="00975FFA"/>
    <w:rsid w:val="00980616"/>
    <w:rsid w:val="009806A4"/>
    <w:rsid w:val="009809B9"/>
    <w:rsid w:val="00980B5C"/>
    <w:rsid w:val="0098259B"/>
    <w:rsid w:val="00987D72"/>
    <w:rsid w:val="0099072F"/>
    <w:rsid w:val="0099139B"/>
    <w:rsid w:val="009918B0"/>
    <w:rsid w:val="00991E75"/>
    <w:rsid w:val="009922B6"/>
    <w:rsid w:val="0099407E"/>
    <w:rsid w:val="0099508C"/>
    <w:rsid w:val="0099517B"/>
    <w:rsid w:val="00995B08"/>
    <w:rsid w:val="00997CA0"/>
    <w:rsid w:val="00997F12"/>
    <w:rsid w:val="009A0514"/>
    <w:rsid w:val="009A3811"/>
    <w:rsid w:val="009A3DF6"/>
    <w:rsid w:val="009A3E25"/>
    <w:rsid w:val="009A3E2F"/>
    <w:rsid w:val="009A6511"/>
    <w:rsid w:val="009A6D06"/>
    <w:rsid w:val="009A7AF5"/>
    <w:rsid w:val="009A7B99"/>
    <w:rsid w:val="009B0708"/>
    <w:rsid w:val="009B29DE"/>
    <w:rsid w:val="009B2C92"/>
    <w:rsid w:val="009B3534"/>
    <w:rsid w:val="009B599F"/>
    <w:rsid w:val="009B5B6A"/>
    <w:rsid w:val="009B6A35"/>
    <w:rsid w:val="009C03BD"/>
    <w:rsid w:val="009C16E5"/>
    <w:rsid w:val="009C2782"/>
    <w:rsid w:val="009C3163"/>
    <w:rsid w:val="009C3593"/>
    <w:rsid w:val="009C3A8D"/>
    <w:rsid w:val="009C3D8E"/>
    <w:rsid w:val="009C5628"/>
    <w:rsid w:val="009C5BD5"/>
    <w:rsid w:val="009C6A33"/>
    <w:rsid w:val="009C6B9E"/>
    <w:rsid w:val="009D039B"/>
    <w:rsid w:val="009D1AD3"/>
    <w:rsid w:val="009D2762"/>
    <w:rsid w:val="009D2C91"/>
    <w:rsid w:val="009D64A1"/>
    <w:rsid w:val="009E0560"/>
    <w:rsid w:val="009E1C9D"/>
    <w:rsid w:val="009E3DFC"/>
    <w:rsid w:val="009E510B"/>
    <w:rsid w:val="009E6E43"/>
    <w:rsid w:val="009E70B6"/>
    <w:rsid w:val="009E7B4D"/>
    <w:rsid w:val="009F0E71"/>
    <w:rsid w:val="009F1921"/>
    <w:rsid w:val="009F2DC6"/>
    <w:rsid w:val="009F3394"/>
    <w:rsid w:val="009F3484"/>
    <w:rsid w:val="009F499A"/>
    <w:rsid w:val="009F4BE8"/>
    <w:rsid w:val="009F4C53"/>
    <w:rsid w:val="009F6468"/>
    <w:rsid w:val="009F6AFB"/>
    <w:rsid w:val="00A00171"/>
    <w:rsid w:val="00A01ABB"/>
    <w:rsid w:val="00A01F03"/>
    <w:rsid w:val="00A03179"/>
    <w:rsid w:val="00A05488"/>
    <w:rsid w:val="00A116F4"/>
    <w:rsid w:val="00A12044"/>
    <w:rsid w:val="00A13945"/>
    <w:rsid w:val="00A14FFE"/>
    <w:rsid w:val="00A15486"/>
    <w:rsid w:val="00A15A05"/>
    <w:rsid w:val="00A17AEA"/>
    <w:rsid w:val="00A210AA"/>
    <w:rsid w:val="00A214EB"/>
    <w:rsid w:val="00A21E46"/>
    <w:rsid w:val="00A2439C"/>
    <w:rsid w:val="00A24FE1"/>
    <w:rsid w:val="00A2513A"/>
    <w:rsid w:val="00A27908"/>
    <w:rsid w:val="00A30B12"/>
    <w:rsid w:val="00A321DC"/>
    <w:rsid w:val="00A341BF"/>
    <w:rsid w:val="00A3423B"/>
    <w:rsid w:val="00A35929"/>
    <w:rsid w:val="00A36926"/>
    <w:rsid w:val="00A40735"/>
    <w:rsid w:val="00A4092E"/>
    <w:rsid w:val="00A42BC0"/>
    <w:rsid w:val="00A43E05"/>
    <w:rsid w:val="00A4487D"/>
    <w:rsid w:val="00A45560"/>
    <w:rsid w:val="00A47D67"/>
    <w:rsid w:val="00A5396A"/>
    <w:rsid w:val="00A541DF"/>
    <w:rsid w:val="00A55F05"/>
    <w:rsid w:val="00A56586"/>
    <w:rsid w:val="00A62090"/>
    <w:rsid w:val="00A62402"/>
    <w:rsid w:val="00A62B3C"/>
    <w:rsid w:val="00A63CF5"/>
    <w:rsid w:val="00A63ECB"/>
    <w:rsid w:val="00A658EC"/>
    <w:rsid w:val="00A66F67"/>
    <w:rsid w:val="00A7021C"/>
    <w:rsid w:val="00A71870"/>
    <w:rsid w:val="00A72399"/>
    <w:rsid w:val="00A72D55"/>
    <w:rsid w:val="00A72EF8"/>
    <w:rsid w:val="00A73BFF"/>
    <w:rsid w:val="00A74DA3"/>
    <w:rsid w:val="00A76B4F"/>
    <w:rsid w:val="00A772EE"/>
    <w:rsid w:val="00A80096"/>
    <w:rsid w:val="00A80E73"/>
    <w:rsid w:val="00A818D1"/>
    <w:rsid w:val="00A81C65"/>
    <w:rsid w:val="00A843AD"/>
    <w:rsid w:val="00A8645D"/>
    <w:rsid w:val="00A86469"/>
    <w:rsid w:val="00A9019C"/>
    <w:rsid w:val="00A91454"/>
    <w:rsid w:val="00A9241F"/>
    <w:rsid w:val="00A94AA2"/>
    <w:rsid w:val="00A94CE2"/>
    <w:rsid w:val="00A963C2"/>
    <w:rsid w:val="00AA035C"/>
    <w:rsid w:val="00AA2424"/>
    <w:rsid w:val="00AA3D81"/>
    <w:rsid w:val="00AA6291"/>
    <w:rsid w:val="00AA63F5"/>
    <w:rsid w:val="00AA6D03"/>
    <w:rsid w:val="00AA6D29"/>
    <w:rsid w:val="00AA7AD1"/>
    <w:rsid w:val="00AB037E"/>
    <w:rsid w:val="00AB16BC"/>
    <w:rsid w:val="00AB2E76"/>
    <w:rsid w:val="00AC04AB"/>
    <w:rsid w:val="00AC07D9"/>
    <w:rsid w:val="00AC4969"/>
    <w:rsid w:val="00AC6899"/>
    <w:rsid w:val="00AD016C"/>
    <w:rsid w:val="00AD1501"/>
    <w:rsid w:val="00AD2B33"/>
    <w:rsid w:val="00AD2DF8"/>
    <w:rsid w:val="00AD3D6A"/>
    <w:rsid w:val="00AD478C"/>
    <w:rsid w:val="00AD58C3"/>
    <w:rsid w:val="00AE14FC"/>
    <w:rsid w:val="00AE7612"/>
    <w:rsid w:val="00AE7812"/>
    <w:rsid w:val="00AF2099"/>
    <w:rsid w:val="00AF2281"/>
    <w:rsid w:val="00AF22CE"/>
    <w:rsid w:val="00AF307B"/>
    <w:rsid w:val="00AF3642"/>
    <w:rsid w:val="00AF3B3C"/>
    <w:rsid w:val="00AF795E"/>
    <w:rsid w:val="00B00B8E"/>
    <w:rsid w:val="00B078DE"/>
    <w:rsid w:val="00B10F02"/>
    <w:rsid w:val="00B11ECB"/>
    <w:rsid w:val="00B12EC0"/>
    <w:rsid w:val="00B13248"/>
    <w:rsid w:val="00B13CB3"/>
    <w:rsid w:val="00B151B8"/>
    <w:rsid w:val="00B15B8F"/>
    <w:rsid w:val="00B172B5"/>
    <w:rsid w:val="00B17559"/>
    <w:rsid w:val="00B25A6F"/>
    <w:rsid w:val="00B2707C"/>
    <w:rsid w:val="00B27F1C"/>
    <w:rsid w:val="00B30AEE"/>
    <w:rsid w:val="00B31779"/>
    <w:rsid w:val="00B3267B"/>
    <w:rsid w:val="00B33EFC"/>
    <w:rsid w:val="00B3545C"/>
    <w:rsid w:val="00B403B6"/>
    <w:rsid w:val="00B418B1"/>
    <w:rsid w:val="00B41BE5"/>
    <w:rsid w:val="00B42028"/>
    <w:rsid w:val="00B44601"/>
    <w:rsid w:val="00B449CC"/>
    <w:rsid w:val="00B600B9"/>
    <w:rsid w:val="00B60317"/>
    <w:rsid w:val="00B60D6A"/>
    <w:rsid w:val="00B6127D"/>
    <w:rsid w:val="00B619F6"/>
    <w:rsid w:val="00B62AFB"/>
    <w:rsid w:val="00B62FCC"/>
    <w:rsid w:val="00B6358E"/>
    <w:rsid w:val="00B63E0A"/>
    <w:rsid w:val="00B673CF"/>
    <w:rsid w:val="00B674BE"/>
    <w:rsid w:val="00B67E9A"/>
    <w:rsid w:val="00B716D1"/>
    <w:rsid w:val="00B733E7"/>
    <w:rsid w:val="00B734DB"/>
    <w:rsid w:val="00B76484"/>
    <w:rsid w:val="00B777F4"/>
    <w:rsid w:val="00B77F1F"/>
    <w:rsid w:val="00B8005D"/>
    <w:rsid w:val="00B80D9D"/>
    <w:rsid w:val="00B80F4E"/>
    <w:rsid w:val="00B8142F"/>
    <w:rsid w:val="00B82746"/>
    <w:rsid w:val="00B86256"/>
    <w:rsid w:val="00B864D8"/>
    <w:rsid w:val="00B87BD5"/>
    <w:rsid w:val="00B91811"/>
    <w:rsid w:val="00B95351"/>
    <w:rsid w:val="00B95903"/>
    <w:rsid w:val="00B95B37"/>
    <w:rsid w:val="00BA2319"/>
    <w:rsid w:val="00BA2D46"/>
    <w:rsid w:val="00BA604A"/>
    <w:rsid w:val="00BA66AD"/>
    <w:rsid w:val="00BA685C"/>
    <w:rsid w:val="00BB1A6E"/>
    <w:rsid w:val="00BB47E2"/>
    <w:rsid w:val="00BB5991"/>
    <w:rsid w:val="00BB5B0F"/>
    <w:rsid w:val="00BB6C12"/>
    <w:rsid w:val="00BC1EF1"/>
    <w:rsid w:val="00BC30DA"/>
    <w:rsid w:val="00BC4151"/>
    <w:rsid w:val="00BC5328"/>
    <w:rsid w:val="00BC675F"/>
    <w:rsid w:val="00BD13DD"/>
    <w:rsid w:val="00BD2132"/>
    <w:rsid w:val="00BD2ADA"/>
    <w:rsid w:val="00BD454B"/>
    <w:rsid w:val="00BD4720"/>
    <w:rsid w:val="00BD5439"/>
    <w:rsid w:val="00BD59AE"/>
    <w:rsid w:val="00BE0358"/>
    <w:rsid w:val="00BE036A"/>
    <w:rsid w:val="00BE0D70"/>
    <w:rsid w:val="00BE194A"/>
    <w:rsid w:val="00BE2907"/>
    <w:rsid w:val="00BE583D"/>
    <w:rsid w:val="00BE5B28"/>
    <w:rsid w:val="00BE69CC"/>
    <w:rsid w:val="00BE7CB6"/>
    <w:rsid w:val="00BE7EF6"/>
    <w:rsid w:val="00BF0021"/>
    <w:rsid w:val="00BF017F"/>
    <w:rsid w:val="00BF0201"/>
    <w:rsid w:val="00BF1105"/>
    <w:rsid w:val="00BF14FD"/>
    <w:rsid w:val="00BF379E"/>
    <w:rsid w:val="00BF78AD"/>
    <w:rsid w:val="00C02422"/>
    <w:rsid w:val="00C044BE"/>
    <w:rsid w:val="00C049C4"/>
    <w:rsid w:val="00C06F98"/>
    <w:rsid w:val="00C1113A"/>
    <w:rsid w:val="00C1492B"/>
    <w:rsid w:val="00C14CE3"/>
    <w:rsid w:val="00C158E9"/>
    <w:rsid w:val="00C212CA"/>
    <w:rsid w:val="00C21538"/>
    <w:rsid w:val="00C21816"/>
    <w:rsid w:val="00C224C8"/>
    <w:rsid w:val="00C24317"/>
    <w:rsid w:val="00C2574B"/>
    <w:rsid w:val="00C257C6"/>
    <w:rsid w:val="00C2674D"/>
    <w:rsid w:val="00C26E98"/>
    <w:rsid w:val="00C30026"/>
    <w:rsid w:val="00C304C7"/>
    <w:rsid w:val="00C30BF8"/>
    <w:rsid w:val="00C31783"/>
    <w:rsid w:val="00C31EFB"/>
    <w:rsid w:val="00C3430B"/>
    <w:rsid w:val="00C359D6"/>
    <w:rsid w:val="00C35A7E"/>
    <w:rsid w:val="00C35C1F"/>
    <w:rsid w:val="00C36D05"/>
    <w:rsid w:val="00C37493"/>
    <w:rsid w:val="00C40F2F"/>
    <w:rsid w:val="00C41AFE"/>
    <w:rsid w:val="00C42757"/>
    <w:rsid w:val="00C42E8E"/>
    <w:rsid w:val="00C4332F"/>
    <w:rsid w:val="00C4501F"/>
    <w:rsid w:val="00C4504A"/>
    <w:rsid w:val="00C4608A"/>
    <w:rsid w:val="00C464C0"/>
    <w:rsid w:val="00C47079"/>
    <w:rsid w:val="00C51F2B"/>
    <w:rsid w:val="00C53CCE"/>
    <w:rsid w:val="00C54F94"/>
    <w:rsid w:val="00C551F7"/>
    <w:rsid w:val="00C56E47"/>
    <w:rsid w:val="00C56F8E"/>
    <w:rsid w:val="00C575FE"/>
    <w:rsid w:val="00C6024F"/>
    <w:rsid w:val="00C636D7"/>
    <w:rsid w:val="00C64A9E"/>
    <w:rsid w:val="00C65748"/>
    <w:rsid w:val="00C66DFD"/>
    <w:rsid w:val="00C72C28"/>
    <w:rsid w:val="00C75C7E"/>
    <w:rsid w:val="00C76184"/>
    <w:rsid w:val="00C77783"/>
    <w:rsid w:val="00C805F2"/>
    <w:rsid w:val="00C873FB"/>
    <w:rsid w:val="00C91C26"/>
    <w:rsid w:val="00C9570A"/>
    <w:rsid w:val="00C95BED"/>
    <w:rsid w:val="00C96D1D"/>
    <w:rsid w:val="00C970E2"/>
    <w:rsid w:val="00CA0F83"/>
    <w:rsid w:val="00CA138B"/>
    <w:rsid w:val="00CA26A6"/>
    <w:rsid w:val="00CA2815"/>
    <w:rsid w:val="00CA4530"/>
    <w:rsid w:val="00CA4913"/>
    <w:rsid w:val="00CB002A"/>
    <w:rsid w:val="00CB1788"/>
    <w:rsid w:val="00CB2F26"/>
    <w:rsid w:val="00CB385C"/>
    <w:rsid w:val="00CB3CB0"/>
    <w:rsid w:val="00CB61B4"/>
    <w:rsid w:val="00CC180E"/>
    <w:rsid w:val="00CC2227"/>
    <w:rsid w:val="00CC2BF2"/>
    <w:rsid w:val="00CC33EC"/>
    <w:rsid w:val="00CC4150"/>
    <w:rsid w:val="00CC5012"/>
    <w:rsid w:val="00CC63F3"/>
    <w:rsid w:val="00CC7711"/>
    <w:rsid w:val="00CD0D9F"/>
    <w:rsid w:val="00CD112A"/>
    <w:rsid w:val="00CD27BE"/>
    <w:rsid w:val="00CD6DC2"/>
    <w:rsid w:val="00CD7B00"/>
    <w:rsid w:val="00CE1A57"/>
    <w:rsid w:val="00CE3741"/>
    <w:rsid w:val="00CE3A13"/>
    <w:rsid w:val="00CE443D"/>
    <w:rsid w:val="00CE65CC"/>
    <w:rsid w:val="00CE6870"/>
    <w:rsid w:val="00CE691B"/>
    <w:rsid w:val="00CE78C2"/>
    <w:rsid w:val="00CF13A3"/>
    <w:rsid w:val="00CF14E8"/>
    <w:rsid w:val="00CF2D01"/>
    <w:rsid w:val="00CF46FF"/>
    <w:rsid w:val="00CF4756"/>
    <w:rsid w:val="00CF6782"/>
    <w:rsid w:val="00D00FF0"/>
    <w:rsid w:val="00D01BE1"/>
    <w:rsid w:val="00D02956"/>
    <w:rsid w:val="00D05535"/>
    <w:rsid w:val="00D05C35"/>
    <w:rsid w:val="00D05C93"/>
    <w:rsid w:val="00D063E4"/>
    <w:rsid w:val="00D1121B"/>
    <w:rsid w:val="00D132D5"/>
    <w:rsid w:val="00D146D7"/>
    <w:rsid w:val="00D15D91"/>
    <w:rsid w:val="00D17917"/>
    <w:rsid w:val="00D209B5"/>
    <w:rsid w:val="00D2148D"/>
    <w:rsid w:val="00D21780"/>
    <w:rsid w:val="00D21784"/>
    <w:rsid w:val="00D21E81"/>
    <w:rsid w:val="00D26821"/>
    <w:rsid w:val="00D268C4"/>
    <w:rsid w:val="00D26CAE"/>
    <w:rsid w:val="00D271AF"/>
    <w:rsid w:val="00D2736A"/>
    <w:rsid w:val="00D27643"/>
    <w:rsid w:val="00D27A69"/>
    <w:rsid w:val="00D27D60"/>
    <w:rsid w:val="00D30507"/>
    <w:rsid w:val="00D31883"/>
    <w:rsid w:val="00D3343D"/>
    <w:rsid w:val="00D34316"/>
    <w:rsid w:val="00D35C54"/>
    <w:rsid w:val="00D36945"/>
    <w:rsid w:val="00D373C0"/>
    <w:rsid w:val="00D37521"/>
    <w:rsid w:val="00D376E8"/>
    <w:rsid w:val="00D41218"/>
    <w:rsid w:val="00D426A4"/>
    <w:rsid w:val="00D43594"/>
    <w:rsid w:val="00D43D9C"/>
    <w:rsid w:val="00D44228"/>
    <w:rsid w:val="00D45544"/>
    <w:rsid w:val="00D476DF"/>
    <w:rsid w:val="00D47853"/>
    <w:rsid w:val="00D5091B"/>
    <w:rsid w:val="00D52982"/>
    <w:rsid w:val="00D537AA"/>
    <w:rsid w:val="00D557A9"/>
    <w:rsid w:val="00D57CCA"/>
    <w:rsid w:val="00D6146A"/>
    <w:rsid w:val="00D62CBD"/>
    <w:rsid w:val="00D6337D"/>
    <w:rsid w:val="00D66F03"/>
    <w:rsid w:val="00D70B1C"/>
    <w:rsid w:val="00D7163E"/>
    <w:rsid w:val="00D75730"/>
    <w:rsid w:val="00D758B4"/>
    <w:rsid w:val="00D77409"/>
    <w:rsid w:val="00D77663"/>
    <w:rsid w:val="00D80DEB"/>
    <w:rsid w:val="00D81CDA"/>
    <w:rsid w:val="00D83F1E"/>
    <w:rsid w:val="00D841A7"/>
    <w:rsid w:val="00D84F4F"/>
    <w:rsid w:val="00D8648C"/>
    <w:rsid w:val="00D87709"/>
    <w:rsid w:val="00D87711"/>
    <w:rsid w:val="00D90D2F"/>
    <w:rsid w:val="00D922F4"/>
    <w:rsid w:val="00D933E2"/>
    <w:rsid w:val="00D93645"/>
    <w:rsid w:val="00D94C0C"/>
    <w:rsid w:val="00D953BA"/>
    <w:rsid w:val="00D95635"/>
    <w:rsid w:val="00D97149"/>
    <w:rsid w:val="00DA05CA"/>
    <w:rsid w:val="00DA203A"/>
    <w:rsid w:val="00DA277A"/>
    <w:rsid w:val="00DA312F"/>
    <w:rsid w:val="00DA3823"/>
    <w:rsid w:val="00DA6603"/>
    <w:rsid w:val="00DA76ED"/>
    <w:rsid w:val="00DB0AAF"/>
    <w:rsid w:val="00DB0ABB"/>
    <w:rsid w:val="00DB0C85"/>
    <w:rsid w:val="00DB0CD4"/>
    <w:rsid w:val="00DB13EC"/>
    <w:rsid w:val="00DB14F4"/>
    <w:rsid w:val="00DB5FFF"/>
    <w:rsid w:val="00DB661B"/>
    <w:rsid w:val="00DB6FFB"/>
    <w:rsid w:val="00DB7949"/>
    <w:rsid w:val="00DC2F0F"/>
    <w:rsid w:val="00DC584A"/>
    <w:rsid w:val="00DD0B37"/>
    <w:rsid w:val="00DD1CC4"/>
    <w:rsid w:val="00DD23C5"/>
    <w:rsid w:val="00DD2C3F"/>
    <w:rsid w:val="00DD3791"/>
    <w:rsid w:val="00DD5415"/>
    <w:rsid w:val="00DD55E7"/>
    <w:rsid w:val="00DD5D19"/>
    <w:rsid w:val="00DD606E"/>
    <w:rsid w:val="00DD713A"/>
    <w:rsid w:val="00DD7EE4"/>
    <w:rsid w:val="00DE06B7"/>
    <w:rsid w:val="00DE0D4C"/>
    <w:rsid w:val="00DE0F8E"/>
    <w:rsid w:val="00DE3104"/>
    <w:rsid w:val="00DE31CD"/>
    <w:rsid w:val="00DE3962"/>
    <w:rsid w:val="00DE3FC1"/>
    <w:rsid w:val="00DE4BD8"/>
    <w:rsid w:val="00DE4EAF"/>
    <w:rsid w:val="00DE6FDA"/>
    <w:rsid w:val="00DF0448"/>
    <w:rsid w:val="00DF0682"/>
    <w:rsid w:val="00DF138A"/>
    <w:rsid w:val="00DF3314"/>
    <w:rsid w:val="00DF45C7"/>
    <w:rsid w:val="00DF5FC8"/>
    <w:rsid w:val="00DF60D9"/>
    <w:rsid w:val="00DF7545"/>
    <w:rsid w:val="00E008AA"/>
    <w:rsid w:val="00E00DA2"/>
    <w:rsid w:val="00E037B2"/>
    <w:rsid w:val="00E03943"/>
    <w:rsid w:val="00E05A75"/>
    <w:rsid w:val="00E06428"/>
    <w:rsid w:val="00E07F6C"/>
    <w:rsid w:val="00E1437B"/>
    <w:rsid w:val="00E1588A"/>
    <w:rsid w:val="00E16DE5"/>
    <w:rsid w:val="00E2172F"/>
    <w:rsid w:val="00E217E2"/>
    <w:rsid w:val="00E2238B"/>
    <w:rsid w:val="00E22981"/>
    <w:rsid w:val="00E22F70"/>
    <w:rsid w:val="00E242D7"/>
    <w:rsid w:val="00E24312"/>
    <w:rsid w:val="00E24B3C"/>
    <w:rsid w:val="00E253C4"/>
    <w:rsid w:val="00E2782F"/>
    <w:rsid w:val="00E27FE4"/>
    <w:rsid w:val="00E31BF1"/>
    <w:rsid w:val="00E31FC6"/>
    <w:rsid w:val="00E341EC"/>
    <w:rsid w:val="00E34779"/>
    <w:rsid w:val="00E34791"/>
    <w:rsid w:val="00E34CB3"/>
    <w:rsid w:val="00E358AF"/>
    <w:rsid w:val="00E37664"/>
    <w:rsid w:val="00E44D2B"/>
    <w:rsid w:val="00E45F00"/>
    <w:rsid w:val="00E4779A"/>
    <w:rsid w:val="00E47E64"/>
    <w:rsid w:val="00E511D0"/>
    <w:rsid w:val="00E537FC"/>
    <w:rsid w:val="00E554F6"/>
    <w:rsid w:val="00E56388"/>
    <w:rsid w:val="00E56A3C"/>
    <w:rsid w:val="00E56BDE"/>
    <w:rsid w:val="00E579CB"/>
    <w:rsid w:val="00E601E6"/>
    <w:rsid w:val="00E60394"/>
    <w:rsid w:val="00E603EC"/>
    <w:rsid w:val="00E606B0"/>
    <w:rsid w:val="00E615DB"/>
    <w:rsid w:val="00E61F7C"/>
    <w:rsid w:val="00E63099"/>
    <w:rsid w:val="00E63998"/>
    <w:rsid w:val="00E64C9D"/>
    <w:rsid w:val="00E65ED4"/>
    <w:rsid w:val="00E66132"/>
    <w:rsid w:val="00E70039"/>
    <w:rsid w:val="00E711F5"/>
    <w:rsid w:val="00E723AF"/>
    <w:rsid w:val="00E72F88"/>
    <w:rsid w:val="00E76B04"/>
    <w:rsid w:val="00E80326"/>
    <w:rsid w:val="00E805B8"/>
    <w:rsid w:val="00E80642"/>
    <w:rsid w:val="00E806A9"/>
    <w:rsid w:val="00E81C22"/>
    <w:rsid w:val="00E828B1"/>
    <w:rsid w:val="00E8468F"/>
    <w:rsid w:val="00E8509F"/>
    <w:rsid w:val="00E870E5"/>
    <w:rsid w:val="00E87187"/>
    <w:rsid w:val="00E912F9"/>
    <w:rsid w:val="00E92210"/>
    <w:rsid w:val="00E92500"/>
    <w:rsid w:val="00E9331D"/>
    <w:rsid w:val="00E9465B"/>
    <w:rsid w:val="00E94E87"/>
    <w:rsid w:val="00EA06E1"/>
    <w:rsid w:val="00EA0FE5"/>
    <w:rsid w:val="00EA3AAE"/>
    <w:rsid w:val="00EA66DB"/>
    <w:rsid w:val="00EA7BDE"/>
    <w:rsid w:val="00EB204C"/>
    <w:rsid w:val="00EB236C"/>
    <w:rsid w:val="00EB2B47"/>
    <w:rsid w:val="00EB2DD8"/>
    <w:rsid w:val="00EB31C8"/>
    <w:rsid w:val="00EB4024"/>
    <w:rsid w:val="00EB566E"/>
    <w:rsid w:val="00EB74C0"/>
    <w:rsid w:val="00EC028B"/>
    <w:rsid w:val="00EC2CCB"/>
    <w:rsid w:val="00EC4726"/>
    <w:rsid w:val="00EC47BE"/>
    <w:rsid w:val="00EC7247"/>
    <w:rsid w:val="00EC77DF"/>
    <w:rsid w:val="00ED0323"/>
    <w:rsid w:val="00ED0837"/>
    <w:rsid w:val="00ED0C02"/>
    <w:rsid w:val="00ED1A5C"/>
    <w:rsid w:val="00ED31B2"/>
    <w:rsid w:val="00ED4C12"/>
    <w:rsid w:val="00ED64E0"/>
    <w:rsid w:val="00ED7FDC"/>
    <w:rsid w:val="00EE03DD"/>
    <w:rsid w:val="00EE05B0"/>
    <w:rsid w:val="00EE0BBE"/>
    <w:rsid w:val="00EE1920"/>
    <w:rsid w:val="00EE1B7F"/>
    <w:rsid w:val="00EE50A7"/>
    <w:rsid w:val="00EE6A9C"/>
    <w:rsid w:val="00EE72A2"/>
    <w:rsid w:val="00EE7E84"/>
    <w:rsid w:val="00EF0728"/>
    <w:rsid w:val="00EF383C"/>
    <w:rsid w:val="00EF4135"/>
    <w:rsid w:val="00EF6D1E"/>
    <w:rsid w:val="00EF7A39"/>
    <w:rsid w:val="00F00BD3"/>
    <w:rsid w:val="00F04B38"/>
    <w:rsid w:val="00F05575"/>
    <w:rsid w:val="00F12212"/>
    <w:rsid w:val="00F143FC"/>
    <w:rsid w:val="00F14EC3"/>
    <w:rsid w:val="00F15A09"/>
    <w:rsid w:val="00F178A8"/>
    <w:rsid w:val="00F22A03"/>
    <w:rsid w:val="00F22EC6"/>
    <w:rsid w:val="00F23571"/>
    <w:rsid w:val="00F24E89"/>
    <w:rsid w:val="00F257FE"/>
    <w:rsid w:val="00F25EDD"/>
    <w:rsid w:val="00F26974"/>
    <w:rsid w:val="00F305BD"/>
    <w:rsid w:val="00F338B7"/>
    <w:rsid w:val="00F33F25"/>
    <w:rsid w:val="00F3490D"/>
    <w:rsid w:val="00F35CCE"/>
    <w:rsid w:val="00F362B9"/>
    <w:rsid w:val="00F367DD"/>
    <w:rsid w:val="00F40A0C"/>
    <w:rsid w:val="00F43096"/>
    <w:rsid w:val="00F43488"/>
    <w:rsid w:val="00F43710"/>
    <w:rsid w:val="00F4529A"/>
    <w:rsid w:val="00F457D1"/>
    <w:rsid w:val="00F46510"/>
    <w:rsid w:val="00F47261"/>
    <w:rsid w:val="00F47B95"/>
    <w:rsid w:val="00F51F58"/>
    <w:rsid w:val="00F5366D"/>
    <w:rsid w:val="00F55047"/>
    <w:rsid w:val="00F55DFA"/>
    <w:rsid w:val="00F57DB4"/>
    <w:rsid w:val="00F610BA"/>
    <w:rsid w:val="00F6380B"/>
    <w:rsid w:val="00F65D5F"/>
    <w:rsid w:val="00F702ED"/>
    <w:rsid w:val="00F72116"/>
    <w:rsid w:val="00F746B7"/>
    <w:rsid w:val="00F74F93"/>
    <w:rsid w:val="00F82711"/>
    <w:rsid w:val="00F82E04"/>
    <w:rsid w:val="00F831BD"/>
    <w:rsid w:val="00F8335F"/>
    <w:rsid w:val="00F83733"/>
    <w:rsid w:val="00F8494F"/>
    <w:rsid w:val="00F85B68"/>
    <w:rsid w:val="00F877D6"/>
    <w:rsid w:val="00F91ABA"/>
    <w:rsid w:val="00F921D8"/>
    <w:rsid w:val="00F92B5C"/>
    <w:rsid w:val="00F93358"/>
    <w:rsid w:val="00F9348C"/>
    <w:rsid w:val="00F96560"/>
    <w:rsid w:val="00F96837"/>
    <w:rsid w:val="00F97529"/>
    <w:rsid w:val="00F97E5A"/>
    <w:rsid w:val="00FA0985"/>
    <w:rsid w:val="00FA1290"/>
    <w:rsid w:val="00FA1395"/>
    <w:rsid w:val="00FA15F6"/>
    <w:rsid w:val="00FA1FF1"/>
    <w:rsid w:val="00FA464C"/>
    <w:rsid w:val="00FA52A3"/>
    <w:rsid w:val="00FB0D23"/>
    <w:rsid w:val="00FB13CC"/>
    <w:rsid w:val="00FB1A7C"/>
    <w:rsid w:val="00FB4E0E"/>
    <w:rsid w:val="00FC1565"/>
    <w:rsid w:val="00FC2870"/>
    <w:rsid w:val="00FC2894"/>
    <w:rsid w:val="00FC4280"/>
    <w:rsid w:val="00FC4569"/>
    <w:rsid w:val="00FC48B7"/>
    <w:rsid w:val="00FC5E4F"/>
    <w:rsid w:val="00FD0B39"/>
    <w:rsid w:val="00FD0CA5"/>
    <w:rsid w:val="00FD100E"/>
    <w:rsid w:val="00FD2860"/>
    <w:rsid w:val="00FD3FC7"/>
    <w:rsid w:val="00FE1426"/>
    <w:rsid w:val="00FE164B"/>
    <w:rsid w:val="00FE193F"/>
    <w:rsid w:val="00FE3AAB"/>
    <w:rsid w:val="00FE3B54"/>
    <w:rsid w:val="00FE426A"/>
    <w:rsid w:val="00FE61A1"/>
    <w:rsid w:val="00FE7BBD"/>
    <w:rsid w:val="00FF3BD9"/>
    <w:rsid w:val="00FF7F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BFE6C5"/>
  <w15:docId w15:val="{3DE8260C-6B35-4CC6-B279-BC877FE3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7C6"/>
    <w:pPr>
      <w:ind w:left="0" w:firstLine="0"/>
      <w:jc w:val="left"/>
    </w:pPr>
    <w:rPr>
      <w:rFonts w:ascii="Arial" w:hAnsi="Arial" w:cs="Times New Roman"/>
      <w:sz w:val="24"/>
      <w:szCs w:val="20"/>
      <w:lang w:eastAsia="en-US"/>
    </w:rPr>
  </w:style>
  <w:style w:type="paragraph" w:styleId="Heading1">
    <w:name w:val="heading 1"/>
    <w:aliases w:val="- H33,Header 1"/>
    <w:basedOn w:val="Normal"/>
    <w:next w:val="Normal"/>
    <w:link w:val="Heading1Char"/>
    <w:qFormat/>
    <w:rsid w:val="008E4E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 H34"/>
    <w:basedOn w:val="Normal"/>
    <w:next w:val="Normal"/>
    <w:link w:val="Heading2Char"/>
    <w:uiPriority w:val="9"/>
    <w:qFormat/>
    <w:rsid w:val="00C257C6"/>
    <w:pPr>
      <w:keepNext/>
      <w:outlineLvl w:val="1"/>
    </w:pPr>
    <w:rPr>
      <w:b/>
      <w:sz w:val="28"/>
    </w:rPr>
  </w:style>
  <w:style w:type="paragraph" w:styleId="Heading3">
    <w:name w:val="heading 3"/>
    <w:aliases w:val="- H35"/>
    <w:basedOn w:val="Normal"/>
    <w:next w:val="Normal"/>
    <w:link w:val="Heading3Char"/>
    <w:uiPriority w:val="9"/>
    <w:unhideWhenUsed/>
    <w:qFormat/>
    <w:rsid w:val="008B4F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 H36"/>
    <w:basedOn w:val="Normal"/>
    <w:next w:val="Normal"/>
    <w:link w:val="Heading4Char"/>
    <w:uiPriority w:val="9"/>
    <w:unhideWhenUsed/>
    <w:qFormat/>
    <w:rsid w:val="0086679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 H37"/>
    <w:basedOn w:val="Normal"/>
    <w:next w:val="Normal"/>
    <w:link w:val="Heading5Char"/>
    <w:unhideWhenUsed/>
    <w:qFormat/>
    <w:rsid w:val="00C6024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Heading 6 - DO NOT USE"/>
    <w:basedOn w:val="Heading5"/>
    <w:next w:val="BodyText"/>
    <w:link w:val="Heading6Char"/>
    <w:qFormat/>
    <w:rsid w:val="00F72116"/>
    <w:pPr>
      <w:keepNext w:val="0"/>
      <w:widowControl w:val="0"/>
      <w:numPr>
        <w:ilvl w:val="5"/>
      </w:numPr>
      <w:spacing w:before="240"/>
      <w:outlineLvl w:val="5"/>
    </w:pPr>
    <w:rPr>
      <w:rFonts w:ascii="Tahoma" w:eastAsia="Times New Roman" w:hAnsi="Tahoma" w:cs="Times New Roman"/>
      <w:b/>
      <w:iCs/>
      <w:color w:val="auto"/>
      <w:sz w:val="22"/>
      <w:szCs w:val="22"/>
    </w:rPr>
  </w:style>
  <w:style w:type="paragraph" w:styleId="Heading7">
    <w:name w:val="heading 7"/>
    <w:aliases w:val="Heading 7 - DO NOT USE"/>
    <w:basedOn w:val="Normal"/>
    <w:next w:val="Normal"/>
    <w:link w:val="Heading7Char"/>
    <w:qFormat/>
    <w:rsid w:val="00100BE6"/>
    <w:pPr>
      <w:keepLines/>
      <w:widowControl w:val="0"/>
      <w:tabs>
        <w:tab w:val="num" w:pos="1296"/>
      </w:tabs>
      <w:spacing w:before="240" w:after="60"/>
      <w:ind w:left="1296" w:hanging="1296"/>
      <w:outlineLvl w:val="6"/>
    </w:pPr>
    <w:rPr>
      <w:rFonts w:ascii="Tahoma" w:eastAsia="Times New Roman" w:hAnsi="Tahoma"/>
      <w:sz w:val="22"/>
      <w:szCs w:val="24"/>
    </w:rPr>
  </w:style>
  <w:style w:type="paragraph" w:styleId="Heading8">
    <w:name w:val="heading 8"/>
    <w:aliases w:val="Heading 8 - - DO NOT USE"/>
    <w:basedOn w:val="Normal"/>
    <w:next w:val="Normal"/>
    <w:link w:val="Heading8Char"/>
    <w:qFormat/>
    <w:rsid w:val="00100BE6"/>
    <w:pPr>
      <w:keepLines/>
      <w:widowControl w:val="0"/>
      <w:tabs>
        <w:tab w:val="num" w:pos="1440"/>
      </w:tabs>
      <w:spacing w:before="240" w:after="60"/>
      <w:ind w:left="1440" w:hanging="1440"/>
      <w:outlineLvl w:val="7"/>
    </w:pPr>
    <w:rPr>
      <w:rFonts w:ascii="Tahoma" w:eastAsia="Times New Roman" w:hAnsi="Tahoma"/>
      <w:i/>
      <w:iCs/>
      <w:sz w:val="22"/>
      <w:szCs w:val="24"/>
    </w:rPr>
  </w:style>
  <w:style w:type="paragraph" w:styleId="Heading9">
    <w:name w:val="heading 9"/>
    <w:aliases w:val="Heading 9 - DO NOT USE"/>
    <w:basedOn w:val="Normal"/>
    <w:next w:val="Normal"/>
    <w:link w:val="Heading9Char"/>
    <w:qFormat/>
    <w:rsid w:val="00100BE6"/>
    <w:pPr>
      <w:keepLines/>
      <w:widowControl w:val="0"/>
      <w:tabs>
        <w:tab w:val="num" w:pos="1584"/>
      </w:tabs>
      <w:spacing w:before="240" w:after="60"/>
      <w:ind w:left="1584" w:hanging="1584"/>
      <w:outlineLvl w:val="8"/>
    </w:pPr>
    <w:rPr>
      <w:rFonts w:eastAsia="Times New Roman" w:cs="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H34 Char"/>
    <w:basedOn w:val="DefaultParagraphFont"/>
    <w:link w:val="Heading2"/>
    <w:uiPriority w:val="9"/>
    <w:rsid w:val="00C257C6"/>
    <w:rPr>
      <w:rFonts w:ascii="Arial" w:hAnsi="Arial" w:cs="Times New Roman"/>
      <w:b/>
      <w:sz w:val="28"/>
      <w:szCs w:val="20"/>
      <w:lang w:eastAsia="en-US"/>
    </w:rPr>
  </w:style>
  <w:style w:type="character" w:styleId="Hyperlink">
    <w:name w:val="Hyperlink"/>
    <w:aliases w:val="Hyperlink - H39"/>
    <w:basedOn w:val="DefaultParagraphFont"/>
    <w:qFormat/>
    <w:rsid w:val="00C257C6"/>
    <w:rPr>
      <w:rFonts w:cs="Times New Roman"/>
      <w:color w:val="0000FF"/>
      <w:u w:val="single"/>
    </w:rPr>
  </w:style>
  <w:style w:type="paragraph" w:styleId="BodyText">
    <w:name w:val="Body Text"/>
    <w:aliases w:val="- H16, Char,Char1,Body Text PP,Body Text Char1 Char,Body Text Char3 Char Char,Body Text Char2 Char1 Char Char,Body Text Char1 Char Char1 Char Char,Body Text Char Char Char Char1 Char Char,Body Text Char1 Char Char Char Char1 Char Char,Char"/>
    <w:basedOn w:val="Normal"/>
    <w:link w:val="BodyTextChar"/>
    <w:uiPriority w:val="99"/>
    <w:qFormat/>
    <w:rsid w:val="00C257C6"/>
    <w:rPr>
      <w:sz w:val="20"/>
    </w:rPr>
  </w:style>
  <w:style w:type="character" w:customStyle="1" w:styleId="BodyTextChar">
    <w:name w:val="Body Text Char"/>
    <w:aliases w:val="- H16 Char, Char Char,Char1 Char,Body Text PP Char,Body Text Char1 Char Char,Body Text Char3 Char Char Char,Body Text Char2 Char1 Char Char Char,Body Text Char1 Char Char1 Char Char Char,Body Text Char Char Char Char1 Char Char Char"/>
    <w:basedOn w:val="DefaultParagraphFont"/>
    <w:link w:val="BodyText"/>
    <w:uiPriority w:val="99"/>
    <w:rsid w:val="00C257C6"/>
    <w:rPr>
      <w:rFonts w:ascii="Arial" w:hAnsi="Arial" w:cs="Times New Roman"/>
      <w:sz w:val="20"/>
      <w:szCs w:val="20"/>
      <w:lang w:eastAsia="en-US"/>
    </w:rPr>
  </w:style>
  <w:style w:type="paragraph" w:customStyle="1" w:styleId="Corpsdetextemarge">
    <w:name w:val="Corps de texte marge"/>
    <w:basedOn w:val="BodyText"/>
    <w:rsid w:val="00C257C6"/>
    <w:pPr>
      <w:jc w:val="both"/>
    </w:pPr>
    <w:rPr>
      <w:rFonts w:ascii="Times" w:hAnsi="Times"/>
      <w:sz w:val="24"/>
      <w:lang w:val="en-US"/>
    </w:rPr>
  </w:style>
  <w:style w:type="paragraph" w:customStyle="1" w:styleId="CorpsdetextemargeExp">
    <w:name w:val="Corps de texte marge Exp"/>
    <w:basedOn w:val="Corpsdetextemarge"/>
    <w:rsid w:val="00C257C6"/>
    <w:pPr>
      <w:overflowPunct w:val="0"/>
      <w:autoSpaceDE w:val="0"/>
      <w:autoSpaceDN w:val="0"/>
      <w:adjustRightInd w:val="0"/>
      <w:textAlignment w:val="baseline"/>
    </w:pPr>
    <w:rPr>
      <w:sz w:val="22"/>
    </w:rPr>
  </w:style>
  <w:style w:type="paragraph" w:styleId="Title">
    <w:name w:val="Title"/>
    <w:aliases w:val="- H61,Table Text"/>
    <w:basedOn w:val="Normal"/>
    <w:link w:val="TitleChar"/>
    <w:uiPriority w:val="99"/>
    <w:qFormat/>
    <w:rsid w:val="00C257C6"/>
    <w:pPr>
      <w:jc w:val="center"/>
    </w:pPr>
    <w:rPr>
      <w:rFonts w:ascii="Times New Roman" w:hAnsi="Times New Roman"/>
      <w:b/>
      <w:bCs/>
      <w:szCs w:val="24"/>
      <w:u w:val="single"/>
    </w:rPr>
  </w:style>
  <w:style w:type="character" w:customStyle="1" w:styleId="TitleChar">
    <w:name w:val="Title Char"/>
    <w:aliases w:val="- H61 Char,Table Text Char"/>
    <w:basedOn w:val="DefaultParagraphFont"/>
    <w:link w:val="Title"/>
    <w:uiPriority w:val="99"/>
    <w:rsid w:val="00C257C6"/>
    <w:rPr>
      <w:rFonts w:ascii="Times New Roman" w:hAnsi="Times New Roman" w:cs="Times New Roman"/>
      <w:b/>
      <w:bCs/>
      <w:sz w:val="24"/>
      <w:szCs w:val="24"/>
      <w:u w:val="single"/>
      <w:lang w:eastAsia="en-US"/>
    </w:rPr>
  </w:style>
  <w:style w:type="paragraph" w:styleId="BodyText3">
    <w:name w:val="Body Text 3"/>
    <w:basedOn w:val="Normal"/>
    <w:link w:val="BodyText3Char"/>
    <w:unhideWhenUsed/>
    <w:rsid w:val="00C257C6"/>
    <w:pPr>
      <w:spacing w:after="120"/>
    </w:pPr>
    <w:rPr>
      <w:sz w:val="16"/>
      <w:szCs w:val="16"/>
    </w:rPr>
  </w:style>
  <w:style w:type="character" w:customStyle="1" w:styleId="BodyText3Char">
    <w:name w:val="Body Text 3 Char"/>
    <w:basedOn w:val="DefaultParagraphFont"/>
    <w:link w:val="BodyText3"/>
    <w:rsid w:val="00C257C6"/>
    <w:rPr>
      <w:rFonts w:ascii="Arial" w:hAnsi="Arial" w:cs="Times New Roman"/>
      <w:sz w:val="16"/>
      <w:szCs w:val="16"/>
      <w:lang w:eastAsia="en-US"/>
    </w:rPr>
  </w:style>
  <w:style w:type="paragraph" w:styleId="ListParagraph">
    <w:name w:val="List Paragraph"/>
    <w:aliases w:val="Lijstalinenomala,Bullet1,Table Legend"/>
    <w:basedOn w:val="Normal"/>
    <w:link w:val="ListParagraphChar"/>
    <w:uiPriority w:val="34"/>
    <w:qFormat/>
    <w:rsid w:val="00C257C6"/>
    <w:pPr>
      <w:ind w:left="720"/>
      <w:contextualSpacing/>
    </w:pPr>
  </w:style>
  <w:style w:type="character" w:customStyle="1" w:styleId="apple-converted-space">
    <w:name w:val="apple-converted-space"/>
    <w:basedOn w:val="DefaultParagraphFont"/>
    <w:rsid w:val="00C257C6"/>
  </w:style>
  <w:style w:type="character" w:styleId="Emphasis">
    <w:name w:val="Emphasis"/>
    <w:basedOn w:val="DefaultParagraphFont"/>
    <w:uiPriority w:val="20"/>
    <w:qFormat/>
    <w:rsid w:val="00C257C6"/>
    <w:rPr>
      <w:i/>
      <w:iCs/>
    </w:rPr>
  </w:style>
  <w:style w:type="character" w:customStyle="1" w:styleId="Heading1Char">
    <w:name w:val="Heading 1 Char"/>
    <w:aliases w:val="- H33 Char,Header 1 Char"/>
    <w:basedOn w:val="DefaultParagraphFont"/>
    <w:link w:val="Heading1"/>
    <w:rsid w:val="008E4E92"/>
    <w:rPr>
      <w:rFonts w:asciiTheme="majorHAnsi" w:eastAsiaTheme="majorEastAsia" w:hAnsiTheme="majorHAnsi" w:cstheme="majorBidi"/>
      <w:b/>
      <w:bCs/>
      <w:color w:val="365F91" w:themeColor="accent1" w:themeShade="BF"/>
      <w:sz w:val="28"/>
      <w:szCs w:val="28"/>
      <w:lang w:eastAsia="en-US"/>
    </w:rPr>
  </w:style>
  <w:style w:type="paragraph" w:styleId="Footer">
    <w:name w:val="footer"/>
    <w:aliases w:val="- H24"/>
    <w:basedOn w:val="Normal"/>
    <w:link w:val="FooterChar"/>
    <w:qFormat/>
    <w:rsid w:val="008E4E92"/>
    <w:pPr>
      <w:tabs>
        <w:tab w:val="center" w:pos="4153"/>
        <w:tab w:val="right" w:pos="8306"/>
      </w:tabs>
    </w:pPr>
  </w:style>
  <w:style w:type="character" w:customStyle="1" w:styleId="FooterChar">
    <w:name w:val="Footer Char"/>
    <w:aliases w:val="- H24 Char"/>
    <w:basedOn w:val="DefaultParagraphFont"/>
    <w:link w:val="Footer"/>
    <w:rsid w:val="008E4E92"/>
    <w:rPr>
      <w:rFonts w:ascii="Arial" w:hAnsi="Arial" w:cs="Times New Roman"/>
      <w:sz w:val="24"/>
      <w:szCs w:val="20"/>
      <w:lang w:eastAsia="en-US"/>
    </w:rPr>
  </w:style>
  <w:style w:type="paragraph" w:styleId="EndnoteText">
    <w:name w:val="endnote text"/>
    <w:aliases w:val="mcx-EndnoteText"/>
    <w:basedOn w:val="Normal"/>
    <w:link w:val="EndnoteTextChar"/>
    <w:uiPriority w:val="99"/>
    <w:rsid w:val="008E4E92"/>
    <w:pPr>
      <w:tabs>
        <w:tab w:val="left" w:pos="567"/>
      </w:tabs>
    </w:pPr>
    <w:rPr>
      <w:rFonts w:ascii="Times New Roman" w:hAnsi="Times New Roman"/>
      <w:sz w:val="22"/>
    </w:rPr>
  </w:style>
  <w:style w:type="character" w:customStyle="1" w:styleId="EndnoteTextChar">
    <w:name w:val="Endnote Text Char"/>
    <w:aliases w:val="mcx-EndnoteText Char"/>
    <w:basedOn w:val="DefaultParagraphFont"/>
    <w:link w:val="EndnoteText"/>
    <w:uiPriority w:val="99"/>
    <w:rsid w:val="008E4E92"/>
    <w:rPr>
      <w:rFonts w:ascii="Times New Roman" w:hAnsi="Times New Roman" w:cs="Times New Roman"/>
      <w:szCs w:val="20"/>
      <w:lang w:eastAsia="en-US"/>
    </w:rPr>
  </w:style>
  <w:style w:type="paragraph" w:styleId="NormalWeb">
    <w:name w:val="Normal (Web)"/>
    <w:aliases w:val=" webb"/>
    <w:basedOn w:val="Normal"/>
    <w:link w:val="NormalWebChar"/>
    <w:uiPriority w:val="99"/>
    <w:rsid w:val="008E4E92"/>
    <w:pPr>
      <w:spacing w:before="100" w:after="100"/>
    </w:pPr>
    <w:rPr>
      <w:rFonts w:ascii="Times New Roman" w:hAnsi="Times New Roman"/>
    </w:rPr>
  </w:style>
  <w:style w:type="character" w:customStyle="1" w:styleId="Heading5Char">
    <w:name w:val="Heading 5 Char"/>
    <w:aliases w:val="- H37 Char"/>
    <w:basedOn w:val="DefaultParagraphFont"/>
    <w:link w:val="Heading5"/>
    <w:rsid w:val="00C6024F"/>
    <w:rPr>
      <w:rFonts w:asciiTheme="majorHAnsi" w:eastAsiaTheme="majorEastAsia" w:hAnsiTheme="majorHAnsi" w:cstheme="majorBidi"/>
      <w:color w:val="243F60" w:themeColor="accent1" w:themeShade="7F"/>
      <w:sz w:val="24"/>
      <w:szCs w:val="20"/>
      <w:lang w:eastAsia="en-US"/>
    </w:rPr>
  </w:style>
  <w:style w:type="paragraph" w:customStyle="1" w:styleId="ListBullet-H41">
    <w:name w:val="List Bullet - H41"/>
    <w:basedOn w:val="Normal"/>
    <w:link w:val="ListBullet-H41Char"/>
    <w:qFormat/>
    <w:rsid w:val="00C6024F"/>
    <w:pPr>
      <w:keepLines/>
      <w:widowControl w:val="0"/>
      <w:numPr>
        <w:numId w:val="8"/>
      </w:numPr>
      <w:spacing w:before="240" w:after="120"/>
      <w:jc w:val="both"/>
    </w:pPr>
    <w:rPr>
      <w:rFonts w:ascii="Tahoma" w:eastAsia="Times New Roman" w:hAnsi="Tahoma"/>
      <w:sz w:val="20"/>
      <w:szCs w:val="24"/>
    </w:rPr>
  </w:style>
  <w:style w:type="character" w:customStyle="1" w:styleId="ListBullet-H41Char">
    <w:name w:val="List Bullet - H41 Char"/>
    <w:basedOn w:val="DefaultParagraphFont"/>
    <w:link w:val="ListBullet-H41"/>
    <w:rsid w:val="00C6024F"/>
    <w:rPr>
      <w:rFonts w:ascii="Tahoma" w:eastAsia="Times New Roman" w:hAnsi="Tahoma" w:cs="Times New Roman"/>
      <w:sz w:val="20"/>
      <w:szCs w:val="24"/>
      <w:lang w:eastAsia="en-US"/>
    </w:rPr>
  </w:style>
  <w:style w:type="paragraph" w:customStyle="1" w:styleId="ListLevel2-H41a">
    <w:name w:val="List Level 2 - H41a"/>
    <w:basedOn w:val="ListBullet-H41"/>
    <w:link w:val="ListLevel2-H41aChar"/>
    <w:qFormat/>
    <w:rsid w:val="00C6024F"/>
    <w:pPr>
      <w:numPr>
        <w:ilvl w:val="1"/>
      </w:numPr>
    </w:pPr>
  </w:style>
  <w:style w:type="paragraph" w:styleId="CommentText">
    <w:name w:val="annotation text"/>
    <w:aliases w:val="- H19"/>
    <w:basedOn w:val="Normal"/>
    <w:link w:val="CommentTextChar"/>
    <w:qFormat/>
    <w:rsid w:val="00C6024F"/>
    <w:pPr>
      <w:keepLines/>
      <w:widowControl w:val="0"/>
    </w:pPr>
    <w:rPr>
      <w:rFonts w:ascii="Tahoma" w:eastAsia="Times New Roman" w:hAnsi="Tahoma"/>
      <w:sz w:val="20"/>
    </w:rPr>
  </w:style>
  <w:style w:type="character" w:customStyle="1" w:styleId="CommentTextChar">
    <w:name w:val="Comment Text Char"/>
    <w:aliases w:val="- H19 Char"/>
    <w:basedOn w:val="DefaultParagraphFont"/>
    <w:link w:val="CommentText"/>
    <w:uiPriority w:val="99"/>
    <w:rsid w:val="00C6024F"/>
    <w:rPr>
      <w:rFonts w:ascii="Tahoma" w:eastAsia="Times New Roman" w:hAnsi="Tahoma" w:cs="Times New Roman"/>
      <w:sz w:val="20"/>
      <w:szCs w:val="20"/>
      <w:lang w:eastAsia="en-US"/>
    </w:rPr>
  </w:style>
  <w:style w:type="paragraph" w:customStyle="1" w:styleId="Summary-Bullet-H47">
    <w:name w:val="Summary - Bullet - H47"/>
    <w:basedOn w:val="Normal"/>
    <w:uiPriority w:val="99"/>
    <w:qFormat/>
    <w:rsid w:val="00C6024F"/>
    <w:pPr>
      <w:keepLines/>
      <w:widowControl w:val="0"/>
      <w:numPr>
        <w:numId w:val="9"/>
      </w:numPr>
      <w:pBdr>
        <w:top w:val="single" w:sz="12" w:space="12" w:color="00529B"/>
        <w:left w:val="single" w:sz="12" w:space="12" w:color="00529B"/>
        <w:bottom w:val="single" w:sz="12" w:space="12" w:color="00529B"/>
        <w:right w:val="single" w:sz="12" w:space="12" w:color="00529B"/>
      </w:pBdr>
      <w:shd w:val="clear" w:color="auto" w:fill="C0C0C0"/>
      <w:spacing w:after="120"/>
      <w:ind w:right="805"/>
    </w:pPr>
    <w:rPr>
      <w:rFonts w:ascii="Tahoma" w:eastAsia="Times New Roman" w:hAnsi="Tahoma"/>
      <w:iCs/>
      <w:sz w:val="20"/>
      <w:lang w:val="en-US"/>
    </w:rPr>
  </w:style>
  <w:style w:type="character" w:customStyle="1" w:styleId="ListLevel2-H41aChar">
    <w:name w:val="List Level 2 - H41a Char"/>
    <w:basedOn w:val="ListBullet-H41Char"/>
    <w:link w:val="ListLevel2-H41a"/>
    <w:rsid w:val="0004169B"/>
    <w:rPr>
      <w:rFonts w:ascii="Tahoma" w:eastAsia="Times New Roman" w:hAnsi="Tahoma" w:cs="Times New Roman"/>
      <w:sz w:val="20"/>
      <w:szCs w:val="24"/>
      <w:lang w:eastAsia="en-US"/>
    </w:rPr>
  </w:style>
  <w:style w:type="paragraph" w:customStyle="1" w:styleId="TableBodyText-H54">
    <w:name w:val="Table Body Text - H54"/>
    <w:basedOn w:val="BodyText"/>
    <w:link w:val="TableBodyText-H54Char"/>
    <w:qFormat/>
    <w:rsid w:val="00335B33"/>
    <w:pPr>
      <w:keepLines/>
      <w:widowControl w:val="0"/>
      <w:spacing w:before="40" w:after="40"/>
    </w:pPr>
    <w:rPr>
      <w:rFonts w:ascii="Tahoma" w:eastAsia="Times New Roman" w:hAnsi="Tahoma"/>
      <w:sz w:val="16"/>
    </w:rPr>
  </w:style>
  <w:style w:type="character" w:customStyle="1" w:styleId="TableBodyText-H54Char">
    <w:name w:val="Table Body Text - H54 Char"/>
    <w:basedOn w:val="DefaultParagraphFont"/>
    <w:link w:val="TableBodyText-H54"/>
    <w:rsid w:val="00335B33"/>
    <w:rPr>
      <w:rFonts w:ascii="Tahoma" w:eastAsia="Times New Roman" w:hAnsi="Tahoma" w:cs="Times New Roman"/>
      <w:sz w:val="16"/>
      <w:szCs w:val="20"/>
      <w:lang w:eastAsia="en-US"/>
    </w:rPr>
  </w:style>
  <w:style w:type="table" w:customStyle="1" w:styleId="TableGrid13">
    <w:name w:val="Table Grid13"/>
    <w:basedOn w:val="TableNormal"/>
    <w:next w:val="TableGrid"/>
    <w:rsid w:val="00335B33"/>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35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aliases w:val="mcx-EndnoteReference"/>
    <w:basedOn w:val="DefaultParagraphFont"/>
    <w:uiPriority w:val="99"/>
    <w:unhideWhenUsed/>
    <w:rsid w:val="00335B33"/>
    <w:rPr>
      <w:vertAlign w:val="superscript"/>
    </w:rPr>
  </w:style>
  <w:style w:type="character" w:customStyle="1" w:styleId="Heading3Char">
    <w:name w:val="Heading 3 Char"/>
    <w:aliases w:val="- H35 Char"/>
    <w:basedOn w:val="DefaultParagraphFont"/>
    <w:link w:val="Heading3"/>
    <w:uiPriority w:val="9"/>
    <w:rsid w:val="008B4F3D"/>
    <w:rPr>
      <w:rFonts w:asciiTheme="majorHAnsi" w:eastAsiaTheme="majorEastAsia" w:hAnsiTheme="majorHAnsi" w:cstheme="majorBidi"/>
      <w:b/>
      <w:bCs/>
      <w:color w:val="4F81BD" w:themeColor="accent1"/>
      <w:sz w:val="24"/>
      <w:szCs w:val="20"/>
      <w:lang w:eastAsia="en-US"/>
    </w:rPr>
  </w:style>
  <w:style w:type="character" w:customStyle="1" w:styleId="BodyText-italic-H12">
    <w:name w:val="Body Text - italic - H12"/>
    <w:basedOn w:val="DefaultParagraphFont"/>
    <w:uiPriority w:val="1"/>
    <w:qFormat/>
    <w:rsid w:val="008B4F3D"/>
    <w:rPr>
      <w:b w:val="0"/>
      <w:i/>
      <w:u w:val="none"/>
    </w:rPr>
  </w:style>
  <w:style w:type="paragraph" w:styleId="Caption">
    <w:name w:val="caption"/>
    <w:aliases w:val="- H17,Bayer Caption,IB Caption,Medical Caption,CaptionFigure,Caption-FUSA"/>
    <w:basedOn w:val="BodyText"/>
    <w:next w:val="BodyText"/>
    <w:link w:val="CaptionChar"/>
    <w:uiPriority w:val="35"/>
    <w:qFormat/>
    <w:rsid w:val="001D29E4"/>
    <w:pPr>
      <w:keepNext/>
      <w:keepLines/>
      <w:widowControl w:val="0"/>
      <w:spacing w:before="360" w:after="120"/>
      <w:jc w:val="both"/>
    </w:pPr>
    <w:rPr>
      <w:rFonts w:ascii="Tahoma" w:eastAsia="Times New Roman" w:hAnsi="Tahoma"/>
      <w:b/>
      <w:bCs/>
      <w:sz w:val="16"/>
    </w:rPr>
  </w:style>
  <w:style w:type="paragraph" w:customStyle="1" w:styleId="TableBodyCentered-H52">
    <w:name w:val="Table Body Centered - H52"/>
    <w:basedOn w:val="TableBodyText-H54"/>
    <w:uiPriority w:val="99"/>
    <w:qFormat/>
    <w:rsid w:val="001D29E4"/>
    <w:pPr>
      <w:jc w:val="center"/>
    </w:pPr>
  </w:style>
  <w:style w:type="paragraph" w:customStyle="1" w:styleId="TableNote-H58">
    <w:name w:val="Table Note - H58"/>
    <w:basedOn w:val="BodyText"/>
    <w:uiPriority w:val="99"/>
    <w:qFormat/>
    <w:rsid w:val="001D29E4"/>
    <w:pPr>
      <w:keepLines/>
      <w:tabs>
        <w:tab w:val="left" w:pos="680"/>
      </w:tabs>
      <w:spacing w:before="45" w:after="120"/>
      <w:jc w:val="both"/>
    </w:pPr>
    <w:rPr>
      <w:rFonts w:ascii="Tahoma" w:eastAsia="Times New Roman" w:hAnsi="Tahoma"/>
      <w:bCs/>
      <w:sz w:val="12"/>
      <w:szCs w:val="12"/>
    </w:rPr>
  </w:style>
  <w:style w:type="table" w:customStyle="1" w:styleId="Table-HERONplain">
    <w:name w:val="Table - HERON plain"/>
    <w:basedOn w:val="TableNormal"/>
    <w:uiPriority w:val="99"/>
    <w:qFormat/>
    <w:rsid w:val="001D29E4"/>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character" w:customStyle="1" w:styleId="CaptionChar">
    <w:name w:val="Caption Char"/>
    <w:aliases w:val="- H17 Char,Bayer Caption Char,IB Caption Char,Medical Caption Char,CaptionFigure Char,Caption-FUSA Char"/>
    <w:link w:val="Caption"/>
    <w:rsid w:val="001D29E4"/>
    <w:rPr>
      <w:rFonts w:ascii="Tahoma" w:eastAsia="Times New Roman" w:hAnsi="Tahoma" w:cs="Times New Roman"/>
      <w:b/>
      <w:bCs/>
      <w:sz w:val="16"/>
      <w:szCs w:val="20"/>
      <w:lang w:eastAsia="en-US"/>
    </w:rPr>
  </w:style>
  <w:style w:type="paragraph" w:styleId="ListNumber">
    <w:name w:val="List Number"/>
    <w:aliases w:val="- H42"/>
    <w:basedOn w:val="BodyText"/>
    <w:qFormat/>
    <w:rsid w:val="009C2782"/>
    <w:pPr>
      <w:keepLines/>
      <w:widowControl w:val="0"/>
      <w:numPr>
        <w:numId w:val="10"/>
      </w:numPr>
      <w:spacing w:before="240" w:after="120"/>
      <w:jc w:val="both"/>
    </w:pPr>
    <w:rPr>
      <w:rFonts w:ascii="Tahoma" w:eastAsia="Times New Roman" w:hAnsi="Tahoma"/>
      <w:szCs w:val="24"/>
    </w:rPr>
  </w:style>
  <w:style w:type="table" w:customStyle="1" w:styleId="Table-HERONplain32">
    <w:name w:val="Table - HERON plain32"/>
    <w:basedOn w:val="TableNormal"/>
    <w:uiPriority w:val="99"/>
    <w:qFormat/>
    <w:rsid w:val="009C2782"/>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paragraph" w:styleId="BalloonText">
    <w:name w:val="Balloon Text"/>
    <w:basedOn w:val="Normal"/>
    <w:link w:val="BalloonTextChar"/>
    <w:uiPriority w:val="99"/>
    <w:unhideWhenUsed/>
    <w:rsid w:val="009C278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C2782"/>
    <w:rPr>
      <w:rFonts w:ascii="Lucida Grande" w:hAnsi="Lucida Grande" w:cs="Lucida Grande"/>
      <w:sz w:val="18"/>
      <w:szCs w:val="18"/>
      <w:lang w:eastAsia="en-US"/>
    </w:rPr>
  </w:style>
  <w:style w:type="table" w:customStyle="1" w:styleId="Table-HERONplain9">
    <w:name w:val="Table - HERON plain9"/>
    <w:basedOn w:val="TableNormal"/>
    <w:uiPriority w:val="99"/>
    <w:qFormat/>
    <w:rsid w:val="00B172B5"/>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paragraph" w:customStyle="1" w:styleId="TableHeadingCentre-H57">
    <w:name w:val="Table Heading Centre - H57"/>
    <w:basedOn w:val="Normal"/>
    <w:uiPriority w:val="99"/>
    <w:qFormat/>
    <w:rsid w:val="004C4789"/>
    <w:pPr>
      <w:keepNext/>
      <w:tabs>
        <w:tab w:val="left" w:pos="1440"/>
      </w:tabs>
      <w:spacing w:before="80" w:after="40"/>
      <w:jc w:val="center"/>
    </w:pPr>
    <w:rPr>
      <w:rFonts w:ascii="Tahoma" w:eastAsia="Arial Unicode MS" w:hAnsi="Tahoma"/>
      <w:b/>
      <w:sz w:val="16"/>
      <w:szCs w:val="44"/>
    </w:rPr>
  </w:style>
  <w:style w:type="table" w:customStyle="1" w:styleId="Table-HERONplain91">
    <w:name w:val="Table - HERON plain91"/>
    <w:basedOn w:val="TableNormal"/>
    <w:uiPriority w:val="99"/>
    <w:qFormat/>
    <w:rsid w:val="004C4789"/>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cPr>
    </w:tblStylePr>
    <w:tblStylePr w:type="band2Horz">
      <w:rPr>
        <w:rFonts w:ascii="Tahoma" w:hAnsi="Tahoma"/>
        <w:sz w:val="16"/>
      </w:rPr>
    </w:tblStylePr>
  </w:style>
  <w:style w:type="table" w:customStyle="1" w:styleId="Table-HERONplain42">
    <w:name w:val="Table - HERON plain42"/>
    <w:basedOn w:val="TableNormal"/>
    <w:uiPriority w:val="99"/>
    <w:qFormat/>
    <w:rsid w:val="001D3B94"/>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paragraph" w:customStyle="1" w:styleId="TableBullet-H55">
    <w:name w:val="Table Bullet - H55"/>
    <w:basedOn w:val="Normal"/>
    <w:uiPriority w:val="99"/>
    <w:qFormat/>
    <w:rsid w:val="00866790"/>
    <w:pPr>
      <w:keepLines/>
      <w:widowControl w:val="0"/>
      <w:numPr>
        <w:numId w:val="11"/>
      </w:numPr>
      <w:ind w:left="470" w:hanging="357"/>
    </w:pPr>
    <w:rPr>
      <w:rFonts w:ascii="Tahoma" w:eastAsia="Times New Roman" w:hAnsi="Tahoma"/>
      <w:color w:val="000000"/>
      <w:sz w:val="16"/>
      <w:szCs w:val="16"/>
      <w:lang w:val="en-US" w:eastAsia="en-GB"/>
    </w:rPr>
  </w:style>
  <w:style w:type="paragraph" w:customStyle="1" w:styleId="TableHeading-H56">
    <w:name w:val="Table Heading - H56"/>
    <w:basedOn w:val="Heading4"/>
    <w:qFormat/>
    <w:rsid w:val="00866790"/>
    <w:pPr>
      <w:keepLines w:val="0"/>
      <w:tabs>
        <w:tab w:val="left" w:pos="1440"/>
      </w:tabs>
      <w:spacing w:before="80" w:after="40"/>
      <w:outlineLvl w:val="9"/>
    </w:pPr>
    <w:rPr>
      <w:rFonts w:ascii="Tahoma" w:eastAsia="Arial Unicode MS" w:hAnsi="Tahoma" w:cs="Times New Roman"/>
      <w:bCs w:val="0"/>
      <w:i w:val="0"/>
      <w:iCs w:val="0"/>
      <w:color w:val="auto"/>
      <w:sz w:val="16"/>
      <w:szCs w:val="44"/>
    </w:rPr>
  </w:style>
  <w:style w:type="character" w:styleId="CommentReference">
    <w:name w:val="annotation reference"/>
    <w:aliases w:val="-H18"/>
    <w:basedOn w:val="DefaultParagraphFont"/>
    <w:qFormat/>
    <w:rsid w:val="00866790"/>
  </w:style>
  <w:style w:type="paragraph" w:customStyle="1" w:styleId="TableBullet">
    <w:name w:val="Table Bullet"/>
    <w:basedOn w:val="Normal"/>
    <w:rsid w:val="00866790"/>
    <w:pPr>
      <w:keepLines/>
      <w:widowControl w:val="0"/>
      <w:ind w:left="720" w:hanging="360"/>
    </w:pPr>
    <w:rPr>
      <w:rFonts w:ascii="Tahoma" w:eastAsia="Times New Roman" w:hAnsi="Tahoma"/>
      <w:color w:val="000000"/>
      <w:sz w:val="16"/>
      <w:szCs w:val="16"/>
      <w:lang w:eastAsia="en-GB"/>
    </w:rPr>
  </w:style>
  <w:style w:type="character" w:customStyle="1" w:styleId="BodyText-SubScript">
    <w:name w:val="Body Text - SubScript"/>
    <w:basedOn w:val="DefaultParagraphFont"/>
    <w:uiPriority w:val="1"/>
    <w:rsid w:val="00866790"/>
    <w:rPr>
      <w:rFonts w:ascii="Tahoma" w:eastAsia="Times New Roman" w:hAnsi="Tahoma" w:cs="Times New Roman" w:hint="default"/>
      <w:sz w:val="20"/>
      <w:szCs w:val="24"/>
      <w:vertAlign w:val="subscript"/>
      <w:lang w:val="en-GB" w:eastAsia="en-US"/>
    </w:rPr>
  </w:style>
  <w:style w:type="character" w:customStyle="1" w:styleId="Heading4Char">
    <w:name w:val="Heading 4 Char"/>
    <w:aliases w:val="- H36 Char"/>
    <w:basedOn w:val="DefaultParagraphFont"/>
    <w:link w:val="Heading4"/>
    <w:uiPriority w:val="9"/>
    <w:rsid w:val="00866790"/>
    <w:rPr>
      <w:rFonts w:asciiTheme="majorHAnsi" w:eastAsiaTheme="majorEastAsia" w:hAnsiTheme="majorHAnsi" w:cstheme="majorBidi"/>
      <w:b/>
      <w:bCs/>
      <w:i/>
      <w:iCs/>
      <w:color w:val="4F81BD" w:themeColor="accent1"/>
      <w:sz w:val="24"/>
      <w:szCs w:val="20"/>
      <w:lang w:eastAsia="en-US"/>
    </w:rPr>
  </w:style>
  <w:style w:type="paragraph" w:customStyle="1" w:styleId="FigureNote-H23">
    <w:name w:val="Figure Note - H23"/>
    <w:basedOn w:val="Heading5"/>
    <w:uiPriority w:val="99"/>
    <w:qFormat/>
    <w:rsid w:val="002547EC"/>
    <w:pPr>
      <w:keepNext w:val="0"/>
      <w:widowControl w:val="0"/>
      <w:spacing w:before="240" w:after="60"/>
      <w:jc w:val="both"/>
    </w:pPr>
    <w:rPr>
      <w:rFonts w:ascii="Tahoma" w:eastAsia="Times New Roman" w:hAnsi="Tahoma" w:cs="Tahoma"/>
      <w:bCs/>
      <w:iCs/>
      <w:color w:val="auto"/>
      <w:sz w:val="12"/>
      <w:szCs w:val="16"/>
    </w:rPr>
  </w:style>
  <w:style w:type="paragraph" w:customStyle="1" w:styleId="C-Appendix">
    <w:name w:val="C-Appendix"/>
    <w:next w:val="Normal"/>
    <w:rsid w:val="008E79DF"/>
    <w:pPr>
      <w:keepNext/>
      <w:pageBreakBefore/>
      <w:numPr>
        <w:numId w:val="15"/>
      </w:numPr>
      <w:spacing w:before="480" w:after="120"/>
      <w:jc w:val="left"/>
      <w:outlineLvl w:val="0"/>
    </w:pPr>
    <w:rPr>
      <w:rFonts w:ascii="Times New Roman" w:eastAsia="Times New Roman" w:hAnsi="Times New Roman" w:cs="Times New Roman"/>
      <w:b/>
      <w:caps/>
      <w:sz w:val="28"/>
      <w:szCs w:val="20"/>
      <w:lang w:val="en-US" w:eastAsia="en-US"/>
    </w:rPr>
  </w:style>
  <w:style w:type="character" w:customStyle="1" w:styleId="BodyText-SuperScript-H14">
    <w:name w:val="Body Text - SuperScript - H14"/>
    <w:basedOn w:val="DefaultParagraphFont"/>
    <w:uiPriority w:val="1"/>
    <w:qFormat/>
    <w:rsid w:val="00FD2860"/>
    <w:rPr>
      <w:rFonts w:ascii="Tahoma" w:hAnsi="Tahoma" w:cs="Times New Roman"/>
      <w:vertAlign w:val="superscript"/>
    </w:rPr>
  </w:style>
  <w:style w:type="paragraph" w:customStyle="1" w:styleId="TableNote">
    <w:name w:val="Table Note"/>
    <w:basedOn w:val="BodyText"/>
    <w:rsid w:val="00FD2860"/>
    <w:pPr>
      <w:keepLines/>
      <w:tabs>
        <w:tab w:val="left" w:pos="680"/>
      </w:tabs>
      <w:spacing w:before="45" w:after="120"/>
      <w:jc w:val="both"/>
    </w:pPr>
    <w:rPr>
      <w:rFonts w:ascii="Tahoma" w:eastAsia="Times New Roman" w:hAnsi="Tahoma"/>
      <w:bCs/>
      <w:sz w:val="12"/>
      <w:szCs w:val="12"/>
      <w:lang w:val="en-US"/>
    </w:rPr>
  </w:style>
  <w:style w:type="table" w:customStyle="1" w:styleId="Table-HERONplain1">
    <w:name w:val="Table - HERON plain1"/>
    <w:basedOn w:val="TableNormal"/>
    <w:uiPriority w:val="99"/>
    <w:qFormat/>
    <w:rsid w:val="00FD2860"/>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character" w:customStyle="1" w:styleId="BodyText-Blue-H5">
    <w:name w:val="Body Text - Blue - H5"/>
    <w:basedOn w:val="DefaultParagraphFont"/>
    <w:uiPriority w:val="2"/>
    <w:qFormat/>
    <w:rsid w:val="00A01F03"/>
    <w:rPr>
      <w:b w:val="0"/>
      <w:color w:val="00529B"/>
    </w:rPr>
  </w:style>
  <w:style w:type="paragraph" w:customStyle="1" w:styleId="TableBodyText">
    <w:name w:val="Table Body Text"/>
    <w:basedOn w:val="BodyText"/>
    <w:link w:val="TableBodyTextChar"/>
    <w:qFormat/>
    <w:rsid w:val="00000B3C"/>
    <w:pPr>
      <w:keepLines/>
      <w:widowControl w:val="0"/>
      <w:spacing w:before="40" w:after="40"/>
    </w:pPr>
    <w:rPr>
      <w:rFonts w:ascii="Tahoma" w:eastAsia="Times New Roman" w:hAnsi="Tahoma"/>
      <w:sz w:val="16"/>
      <w:szCs w:val="24"/>
    </w:rPr>
  </w:style>
  <w:style w:type="character" w:customStyle="1" w:styleId="TableBodyTextChar">
    <w:name w:val="Table Body Text Char"/>
    <w:basedOn w:val="DefaultParagraphFont"/>
    <w:link w:val="TableBodyText"/>
    <w:rsid w:val="00000B3C"/>
    <w:rPr>
      <w:rFonts w:ascii="Tahoma" w:eastAsia="Times New Roman" w:hAnsi="Tahoma" w:cs="Times New Roman"/>
      <w:sz w:val="16"/>
      <w:szCs w:val="24"/>
      <w:lang w:eastAsia="en-US"/>
    </w:rPr>
  </w:style>
  <w:style w:type="paragraph" w:customStyle="1" w:styleId="TableBodyCentered">
    <w:name w:val="Table Body Centered"/>
    <w:basedOn w:val="TableBodyText"/>
    <w:rsid w:val="000B1F68"/>
    <w:pPr>
      <w:jc w:val="center"/>
    </w:pPr>
  </w:style>
  <w:style w:type="character" w:customStyle="1" w:styleId="Heading7Char">
    <w:name w:val="Heading 7 Char"/>
    <w:aliases w:val="Heading 7 - DO NOT USE Char"/>
    <w:basedOn w:val="DefaultParagraphFont"/>
    <w:link w:val="Heading7"/>
    <w:rsid w:val="00100BE6"/>
    <w:rPr>
      <w:rFonts w:ascii="Tahoma" w:eastAsia="Times New Roman" w:hAnsi="Tahoma" w:cs="Times New Roman"/>
      <w:szCs w:val="24"/>
      <w:lang w:eastAsia="en-US"/>
    </w:rPr>
  </w:style>
  <w:style w:type="character" w:customStyle="1" w:styleId="Heading8Char">
    <w:name w:val="Heading 8 Char"/>
    <w:aliases w:val="Heading 8 - - DO NOT USE Char"/>
    <w:basedOn w:val="DefaultParagraphFont"/>
    <w:link w:val="Heading8"/>
    <w:rsid w:val="00100BE6"/>
    <w:rPr>
      <w:rFonts w:ascii="Tahoma" w:eastAsia="Times New Roman" w:hAnsi="Tahoma" w:cs="Times New Roman"/>
      <w:i/>
      <w:iCs/>
      <w:szCs w:val="24"/>
      <w:lang w:eastAsia="en-US"/>
    </w:rPr>
  </w:style>
  <w:style w:type="character" w:customStyle="1" w:styleId="Heading9Char">
    <w:name w:val="Heading 9 Char"/>
    <w:aliases w:val="Heading 9 - DO NOT USE Char"/>
    <w:basedOn w:val="DefaultParagraphFont"/>
    <w:link w:val="Heading9"/>
    <w:rsid w:val="00100BE6"/>
    <w:rPr>
      <w:rFonts w:ascii="Arial" w:eastAsia="Times New Roman" w:hAnsi="Arial" w:cs="Arial"/>
      <w:szCs w:val="24"/>
      <w:lang w:eastAsia="en-US"/>
    </w:rPr>
  </w:style>
  <w:style w:type="character" w:customStyle="1" w:styleId="Heading6Char">
    <w:name w:val="Heading 6 Char"/>
    <w:aliases w:val="Heading 6 - DO NOT USE Char"/>
    <w:basedOn w:val="DefaultParagraphFont"/>
    <w:link w:val="Heading6"/>
    <w:rsid w:val="00F72116"/>
    <w:rPr>
      <w:rFonts w:ascii="Tahoma" w:eastAsia="Times New Roman" w:hAnsi="Tahoma" w:cs="Times New Roman"/>
      <w:b/>
      <w:iCs/>
      <w:lang w:eastAsia="en-US"/>
    </w:rPr>
  </w:style>
  <w:style w:type="paragraph" w:customStyle="1" w:styleId="Appendix1-H1">
    <w:name w:val="Appendix 1 - H1"/>
    <w:next w:val="BodyText"/>
    <w:uiPriority w:val="99"/>
    <w:qFormat/>
    <w:rsid w:val="00F72116"/>
    <w:pPr>
      <w:numPr>
        <w:numId w:val="17"/>
      </w:numPr>
      <w:jc w:val="left"/>
    </w:pPr>
    <w:rPr>
      <w:rFonts w:ascii="Tahoma" w:eastAsia="Times New Roman" w:hAnsi="Tahoma" w:cs="Times New Roman"/>
      <w:b/>
      <w:bCs/>
      <w:sz w:val="44"/>
      <w:szCs w:val="20"/>
      <w:lang w:eastAsia="en-US"/>
    </w:rPr>
  </w:style>
  <w:style w:type="paragraph" w:customStyle="1" w:styleId="Appendix2-H2">
    <w:name w:val="Appendix 2 - H2"/>
    <w:basedOn w:val="Appendix1-H1"/>
    <w:next w:val="BodyText"/>
    <w:uiPriority w:val="99"/>
    <w:qFormat/>
    <w:rsid w:val="00F72116"/>
    <w:pPr>
      <w:numPr>
        <w:ilvl w:val="1"/>
      </w:numPr>
      <w:pBdr>
        <w:top w:val="single" w:sz="24" w:space="1" w:color="00529B"/>
      </w:pBdr>
      <w:spacing w:before="560"/>
      <w:outlineLvl w:val="1"/>
    </w:pPr>
    <w:rPr>
      <w:bCs w:val="0"/>
      <w:sz w:val="32"/>
    </w:rPr>
  </w:style>
  <w:style w:type="paragraph" w:customStyle="1" w:styleId="Appendix3-H3">
    <w:name w:val="Appendix 3 - H3"/>
    <w:basedOn w:val="Appendix2-H2"/>
    <w:next w:val="BodyText"/>
    <w:uiPriority w:val="99"/>
    <w:qFormat/>
    <w:rsid w:val="00F72116"/>
    <w:pPr>
      <w:numPr>
        <w:ilvl w:val="2"/>
      </w:numPr>
    </w:pPr>
    <w:rPr>
      <w:bCs/>
      <w:sz w:val="28"/>
    </w:rPr>
  </w:style>
  <w:style w:type="character" w:customStyle="1" w:styleId="BodyText-Bluebold-H4">
    <w:name w:val="Body Text -  Blue bold - H4"/>
    <w:basedOn w:val="BodyText-Bold-H10"/>
    <w:uiPriority w:val="2"/>
    <w:qFormat/>
    <w:rsid w:val="00F72116"/>
    <w:rPr>
      <w:rFonts w:ascii="Tahoma" w:hAnsi="Tahoma"/>
      <w:b/>
      <w:color w:val="00529B"/>
      <w:sz w:val="20"/>
    </w:rPr>
  </w:style>
  <w:style w:type="paragraph" w:styleId="BodyTextIndent">
    <w:name w:val="Body Text Indent"/>
    <w:basedOn w:val="BodyText"/>
    <w:link w:val="BodyTextIndentChar"/>
    <w:rsid w:val="00F72116"/>
    <w:pPr>
      <w:keepLines/>
      <w:widowControl w:val="0"/>
      <w:spacing w:before="240" w:after="120"/>
      <w:ind w:left="1701"/>
      <w:jc w:val="both"/>
    </w:pPr>
    <w:rPr>
      <w:rFonts w:ascii="Tahoma" w:eastAsia="Times New Roman" w:hAnsi="Tahoma"/>
      <w:szCs w:val="24"/>
    </w:rPr>
  </w:style>
  <w:style w:type="character" w:customStyle="1" w:styleId="BodyTextIndentChar">
    <w:name w:val="Body Text Indent Char"/>
    <w:basedOn w:val="DefaultParagraphFont"/>
    <w:link w:val="BodyTextIndent"/>
    <w:rsid w:val="00F72116"/>
    <w:rPr>
      <w:rFonts w:ascii="Tahoma" w:eastAsia="Times New Roman" w:hAnsi="Tahoma" w:cs="Times New Roman"/>
      <w:sz w:val="20"/>
      <w:szCs w:val="24"/>
      <w:lang w:eastAsia="en-US"/>
    </w:rPr>
  </w:style>
  <w:style w:type="paragraph" w:styleId="CommentSubject">
    <w:name w:val="annotation subject"/>
    <w:basedOn w:val="Normal"/>
    <w:next w:val="CommentText"/>
    <w:link w:val="CommentSubjectChar"/>
    <w:uiPriority w:val="99"/>
    <w:rsid w:val="00F72116"/>
    <w:pPr>
      <w:keepLines/>
      <w:widowControl w:val="0"/>
    </w:pPr>
    <w:rPr>
      <w:rFonts w:ascii="Tahoma" w:eastAsia="Times New Roman" w:hAnsi="Tahoma"/>
      <w:b/>
      <w:bCs/>
      <w:sz w:val="20"/>
    </w:rPr>
  </w:style>
  <w:style w:type="character" w:customStyle="1" w:styleId="CommentSubjectChar">
    <w:name w:val="Comment Subject Char"/>
    <w:basedOn w:val="CommentTextChar"/>
    <w:link w:val="CommentSubject"/>
    <w:uiPriority w:val="99"/>
    <w:rsid w:val="00F72116"/>
    <w:rPr>
      <w:rFonts w:ascii="Tahoma" w:eastAsia="Times New Roman" w:hAnsi="Tahoma" w:cs="Times New Roman"/>
      <w:b/>
      <w:bCs/>
      <w:sz w:val="20"/>
      <w:szCs w:val="20"/>
      <w:lang w:eastAsia="en-US"/>
    </w:rPr>
  </w:style>
  <w:style w:type="paragraph" w:customStyle="1" w:styleId="Commercialinconfidence-H21">
    <w:name w:val="Commercial in confidence - H21"/>
    <w:basedOn w:val="Caption"/>
    <w:uiPriority w:val="1"/>
    <w:qFormat/>
    <w:rsid w:val="00F72116"/>
    <w:rPr>
      <w:i/>
      <w:color w:val="FF0000"/>
      <w:sz w:val="20"/>
      <w:u w:val="single"/>
    </w:rPr>
  </w:style>
  <w:style w:type="paragraph" w:customStyle="1" w:styleId="Equation-H22">
    <w:name w:val="Equation - H22"/>
    <w:basedOn w:val="BodyText"/>
    <w:next w:val="Normal"/>
    <w:uiPriority w:val="1"/>
    <w:qFormat/>
    <w:rsid w:val="00F72116"/>
    <w:pPr>
      <w:keepLines/>
      <w:widowControl w:val="0"/>
      <w:spacing w:before="240" w:after="120"/>
      <w:jc w:val="center"/>
    </w:pPr>
    <w:rPr>
      <w:rFonts w:ascii="Book Antiqua" w:eastAsia="Times New Roman" w:hAnsi="Book Antiqua"/>
      <w:i/>
      <w:sz w:val="22"/>
      <w:szCs w:val="24"/>
    </w:rPr>
  </w:style>
  <w:style w:type="paragraph" w:styleId="Header">
    <w:name w:val="header"/>
    <w:aliases w:val="- H31"/>
    <w:basedOn w:val="BodyText"/>
    <w:link w:val="HeaderChar"/>
    <w:uiPriority w:val="99"/>
    <w:qFormat/>
    <w:rsid w:val="00F72116"/>
    <w:pPr>
      <w:keepLines/>
      <w:widowControl w:val="0"/>
      <w:pBdr>
        <w:bottom w:val="single" w:sz="4" w:space="1" w:color="00529B"/>
      </w:pBdr>
      <w:tabs>
        <w:tab w:val="right" w:pos="9072"/>
      </w:tabs>
      <w:spacing w:before="240" w:after="120"/>
    </w:pPr>
    <w:rPr>
      <w:rFonts w:ascii="Tahoma" w:eastAsia="Times New Roman" w:hAnsi="Tahoma" w:cs="Tahoma"/>
      <w:b/>
      <w:color w:val="00529B"/>
      <w:sz w:val="16"/>
      <w:szCs w:val="16"/>
    </w:rPr>
  </w:style>
  <w:style w:type="character" w:customStyle="1" w:styleId="HeaderChar">
    <w:name w:val="Header Char"/>
    <w:aliases w:val="- H31 Char"/>
    <w:basedOn w:val="DefaultParagraphFont"/>
    <w:link w:val="Header"/>
    <w:uiPriority w:val="99"/>
    <w:rsid w:val="00F72116"/>
    <w:rPr>
      <w:rFonts w:ascii="Tahoma" w:eastAsia="Times New Roman" w:hAnsi="Tahoma" w:cs="Tahoma"/>
      <w:b/>
      <w:color w:val="00529B"/>
      <w:sz w:val="16"/>
      <w:szCs w:val="16"/>
      <w:lang w:eastAsia="en-US"/>
    </w:rPr>
  </w:style>
  <w:style w:type="paragraph" w:customStyle="1" w:styleId="FrontPageTitlesubtitle-H29">
    <w:name w:val="Front Page Title_subtitle - H29"/>
    <w:basedOn w:val="Normal"/>
    <w:next w:val="Normal"/>
    <w:uiPriority w:val="99"/>
    <w:qFormat/>
    <w:rsid w:val="00F72116"/>
    <w:pPr>
      <w:keepLines/>
      <w:widowControl w:val="0"/>
      <w:spacing w:before="240" w:after="360"/>
    </w:pPr>
    <w:rPr>
      <w:rFonts w:ascii="Tahoma" w:eastAsia="Arial Unicode MS" w:hAnsi="Tahoma" w:cs="Tahoma"/>
      <w:b/>
      <w:color w:val="00529B"/>
      <w:sz w:val="48"/>
      <w:szCs w:val="44"/>
    </w:rPr>
  </w:style>
  <w:style w:type="paragraph" w:customStyle="1" w:styleId="FrontPageTitle-H26">
    <w:name w:val="Front Page Title - H26"/>
    <w:basedOn w:val="FrontPageTitlesubtitle-H29"/>
    <w:next w:val="Normal"/>
    <w:uiPriority w:val="99"/>
    <w:qFormat/>
    <w:rsid w:val="00F72116"/>
    <w:pPr>
      <w:spacing w:before="120"/>
    </w:pPr>
    <w:rPr>
      <w:sz w:val="52"/>
      <w:szCs w:val="52"/>
    </w:rPr>
  </w:style>
  <w:style w:type="paragraph" w:customStyle="1" w:styleId="FrontPageTitledate-H28">
    <w:name w:val="Front Page Title_date - H28"/>
    <w:basedOn w:val="FrontPageTitlesubtitle-H29"/>
    <w:next w:val="Normal"/>
    <w:uiPriority w:val="99"/>
    <w:qFormat/>
    <w:rsid w:val="00F72116"/>
    <w:rPr>
      <w:b w:val="0"/>
      <w:sz w:val="40"/>
    </w:rPr>
  </w:style>
  <w:style w:type="paragraph" w:customStyle="1" w:styleId="FrontPageTitleconfidentiality-H27">
    <w:name w:val="Front Page Title_confidentiality - H27"/>
    <w:basedOn w:val="FrontPageTitledate-H28"/>
    <w:uiPriority w:val="99"/>
    <w:qFormat/>
    <w:rsid w:val="00F72116"/>
    <w:pPr>
      <w:spacing w:after="120"/>
    </w:pPr>
    <w:rPr>
      <w:sz w:val="24"/>
    </w:rPr>
  </w:style>
  <w:style w:type="paragraph" w:customStyle="1" w:styleId="Heading1Exec-H32">
    <w:name w:val="Heading 1 Exec - H32"/>
    <w:basedOn w:val="Heading1"/>
    <w:next w:val="BodyText"/>
    <w:link w:val="Heading1Exec-H32Char"/>
    <w:qFormat/>
    <w:rsid w:val="00F72116"/>
    <w:pPr>
      <w:keepLines w:val="0"/>
      <w:spacing w:before="200" w:after="200"/>
      <w:outlineLvl w:val="2"/>
    </w:pPr>
    <w:rPr>
      <w:rFonts w:ascii="Tahoma" w:eastAsia="Arial Unicode MS" w:hAnsi="Tahoma" w:cs="Times New Roman"/>
      <w:bCs w:val="0"/>
      <w:sz w:val="44"/>
      <w:szCs w:val="44"/>
    </w:rPr>
  </w:style>
  <w:style w:type="paragraph" w:styleId="Index1">
    <w:name w:val="index 1"/>
    <w:basedOn w:val="Normal"/>
    <w:next w:val="Normal"/>
    <w:autoRedefine/>
    <w:semiHidden/>
    <w:rsid w:val="00F72116"/>
    <w:pPr>
      <w:keepLines/>
      <w:widowControl w:val="0"/>
      <w:tabs>
        <w:tab w:val="right" w:leader="dot" w:pos="3856"/>
      </w:tabs>
      <w:overflowPunct w:val="0"/>
      <w:autoSpaceDE w:val="0"/>
      <w:autoSpaceDN w:val="0"/>
      <w:adjustRightInd w:val="0"/>
      <w:spacing w:after="100"/>
      <w:textAlignment w:val="baseline"/>
    </w:pPr>
    <w:rPr>
      <w:rFonts w:ascii="Tahoma" w:eastAsia="Times New Roman" w:hAnsi="Tahoma"/>
      <w:sz w:val="22"/>
    </w:rPr>
  </w:style>
  <w:style w:type="paragraph" w:styleId="Index2">
    <w:name w:val="index 2"/>
    <w:basedOn w:val="Index1"/>
    <w:next w:val="Normal"/>
    <w:autoRedefine/>
    <w:semiHidden/>
    <w:rsid w:val="00F72116"/>
    <w:pPr>
      <w:tabs>
        <w:tab w:val="clear" w:pos="3856"/>
        <w:tab w:val="right" w:leader="dot" w:pos="3881"/>
      </w:tabs>
      <w:spacing w:after="40"/>
      <w:ind w:left="396" w:hanging="198"/>
    </w:pPr>
  </w:style>
  <w:style w:type="paragraph" w:customStyle="1" w:styleId="Summary-numberedbullet-H49">
    <w:name w:val="Summary - numbered bullet - H49"/>
    <w:basedOn w:val="BodyText"/>
    <w:uiPriority w:val="99"/>
    <w:qFormat/>
    <w:rsid w:val="00F72116"/>
    <w:pPr>
      <w:keepLines/>
      <w:widowControl w:val="0"/>
      <w:numPr>
        <w:numId w:val="18"/>
      </w:numPr>
      <w:pBdr>
        <w:top w:val="single" w:sz="12" w:space="12" w:color="00529B"/>
        <w:left w:val="single" w:sz="12" w:space="12" w:color="00529B"/>
        <w:bottom w:val="single" w:sz="12" w:space="12" w:color="00529B"/>
        <w:right w:val="single" w:sz="12" w:space="12" w:color="00529B"/>
      </w:pBdr>
      <w:shd w:val="clear" w:color="auto" w:fill="C0C0C0"/>
      <w:spacing w:before="60" w:after="120"/>
      <w:ind w:left="1276" w:right="804" w:hanging="425"/>
      <w:jc w:val="both"/>
    </w:pPr>
    <w:rPr>
      <w:rFonts w:ascii="Tahoma" w:eastAsia="Times New Roman" w:hAnsi="Tahoma"/>
      <w:iCs/>
      <w:szCs w:val="24"/>
    </w:rPr>
  </w:style>
  <w:style w:type="paragraph" w:customStyle="1" w:styleId="Summary-H48">
    <w:name w:val="Summary - H48"/>
    <w:basedOn w:val="BodyText"/>
    <w:uiPriority w:val="99"/>
    <w:qFormat/>
    <w:rsid w:val="00F72116"/>
    <w:pPr>
      <w:keepLines/>
      <w:widowControl w:val="0"/>
      <w:pBdr>
        <w:top w:val="single" w:sz="12" w:space="12" w:color="00529B"/>
        <w:left w:val="single" w:sz="12" w:space="12" w:color="00529B"/>
        <w:bottom w:val="single" w:sz="12" w:space="12" w:color="00529B"/>
        <w:right w:val="single" w:sz="12" w:space="12" w:color="00529B"/>
      </w:pBdr>
      <w:shd w:val="clear" w:color="auto" w:fill="C0C0C0"/>
      <w:spacing w:before="60" w:after="120"/>
      <w:ind w:left="851" w:right="804"/>
      <w:jc w:val="both"/>
    </w:pPr>
    <w:rPr>
      <w:rFonts w:ascii="Tahoma" w:eastAsia="Times New Roman" w:hAnsi="Tahoma"/>
      <w:szCs w:val="24"/>
    </w:rPr>
  </w:style>
  <w:style w:type="paragraph" w:customStyle="1" w:styleId="SummaryKVM">
    <w:name w:val="Summary KVM"/>
    <w:aliases w:val="- H51"/>
    <w:basedOn w:val="BodyText"/>
    <w:qFormat/>
    <w:rsid w:val="00F72116"/>
    <w:pPr>
      <w:keepLines/>
      <w:widowControl w:val="0"/>
      <w:pBdr>
        <w:left w:val="single" w:sz="48" w:space="13" w:color="00529B"/>
      </w:pBdr>
      <w:spacing w:before="120" w:after="120"/>
      <w:ind w:left="425"/>
      <w:jc w:val="both"/>
    </w:pPr>
    <w:rPr>
      <w:rFonts w:ascii="Tahoma" w:eastAsia="Times New Roman" w:hAnsi="Tahoma"/>
      <w:b/>
      <w:bCs/>
      <w:color w:val="00529B"/>
    </w:rPr>
  </w:style>
  <w:style w:type="paragraph" w:customStyle="1" w:styleId="Summary-Title-H50">
    <w:name w:val="Summary - Title - H50"/>
    <w:basedOn w:val="Summary-H48"/>
    <w:next w:val="Summary-H48"/>
    <w:uiPriority w:val="99"/>
    <w:qFormat/>
    <w:rsid w:val="00F72116"/>
    <w:pPr>
      <w:spacing w:before="0"/>
      <w:ind w:left="709" w:right="805"/>
      <w:jc w:val="left"/>
    </w:pPr>
    <w:rPr>
      <w:b/>
      <w:lang w:val="en-US"/>
    </w:rPr>
  </w:style>
  <w:style w:type="paragraph" w:styleId="ListNumber3">
    <w:name w:val="List Number 3"/>
    <w:aliases w:val="List Number 3 - DO NOT USE"/>
    <w:basedOn w:val="Normal"/>
    <w:uiPriority w:val="99"/>
    <w:semiHidden/>
    <w:rsid w:val="00F72116"/>
    <w:pPr>
      <w:keepLines/>
      <w:widowControl w:val="0"/>
      <w:numPr>
        <w:numId w:val="20"/>
      </w:numPr>
      <w:spacing w:before="60"/>
      <w:jc w:val="both"/>
    </w:pPr>
    <w:rPr>
      <w:rFonts w:ascii="Tahoma" w:eastAsia="Times New Roman" w:hAnsi="Tahoma"/>
      <w:sz w:val="20"/>
      <w:szCs w:val="24"/>
    </w:rPr>
  </w:style>
  <w:style w:type="character" w:styleId="PageNumber">
    <w:name w:val="page number"/>
    <w:aliases w:val="- H45"/>
    <w:basedOn w:val="DefaultParagraphFont"/>
    <w:qFormat/>
    <w:rsid w:val="00F72116"/>
    <w:rPr>
      <w:rFonts w:ascii="Tahoma" w:hAnsi="Tahoma"/>
      <w:color w:val="00529B"/>
      <w:sz w:val="16"/>
      <w:szCs w:val="24"/>
    </w:rPr>
  </w:style>
  <w:style w:type="paragraph" w:customStyle="1" w:styleId="ReferenceList-H46">
    <w:name w:val="Reference List - H46"/>
    <w:basedOn w:val="BodyText"/>
    <w:uiPriority w:val="99"/>
    <w:qFormat/>
    <w:rsid w:val="00F72116"/>
    <w:pPr>
      <w:keepLines/>
      <w:widowControl w:val="0"/>
      <w:spacing w:after="120"/>
    </w:pPr>
    <w:rPr>
      <w:rFonts w:ascii="Tahoma" w:eastAsia="Times New Roman" w:hAnsi="Tahoma"/>
      <w:szCs w:val="24"/>
    </w:rPr>
  </w:style>
  <w:style w:type="paragraph" w:customStyle="1" w:styleId="TableBodyCurrency-H53">
    <w:name w:val="Table Body Currency - H53"/>
    <w:basedOn w:val="TableBodyText-H54"/>
    <w:uiPriority w:val="99"/>
    <w:qFormat/>
    <w:rsid w:val="00F72116"/>
    <w:pPr>
      <w:jc w:val="right"/>
    </w:pPr>
  </w:style>
  <w:style w:type="table" w:styleId="LightShading-Accent2">
    <w:name w:val="Light Shading Accent 2"/>
    <w:basedOn w:val="TableNormal"/>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NumberList-H59">
    <w:name w:val="Table Number List - H59"/>
    <w:basedOn w:val="TableBodyText-H54"/>
    <w:uiPriority w:val="99"/>
    <w:qFormat/>
    <w:rsid w:val="00F72116"/>
    <w:pPr>
      <w:keepNext/>
      <w:numPr>
        <w:numId w:val="16"/>
      </w:numPr>
      <w:ind w:left="709"/>
    </w:pPr>
    <w:rPr>
      <w:lang w:eastAsia="en-GB"/>
    </w:rPr>
  </w:style>
  <w:style w:type="paragraph" w:customStyle="1" w:styleId="TableofContents-H60">
    <w:name w:val="Table of Contents - H60"/>
    <w:basedOn w:val="Heading1Exec-H32"/>
    <w:link w:val="TableofContents-H60Char"/>
    <w:qFormat/>
    <w:rsid w:val="00F72116"/>
  </w:style>
  <w:style w:type="paragraph" w:styleId="TOC1">
    <w:name w:val="toc 1"/>
    <w:aliases w:val="- H62"/>
    <w:next w:val="BodyText"/>
    <w:link w:val="TOC1Char"/>
    <w:autoRedefine/>
    <w:uiPriority w:val="39"/>
    <w:qFormat/>
    <w:rsid w:val="00F72116"/>
    <w:pPr>
      <w:tabs>
        <w:tab w:val="left" w:pos="284"/>
        <w:tab w:val="right" w:leader="dot" w:pos="9072"/>
      </w:tabs>
      <w:spacing w:before="240" w:after="60"/>
      <w:ind w:left="0" w:firstLine="0"/>
      <w:jc w:val="left"/>
    </w:pPr>
    <w:rPr>
      <w:rFonts w:ascii="Tahoma" w:eastAsia="Times New Roman" w:hAnsi="Tahoma" w:cs="Times New Roman"/>
      <w:b/>
      <w:bCs/>
      <w:szCs w:val="20"/>
      <w:lang w:eastAsia="en-US"/>
    </w:rPr>
  </w:style>
  <w:style w:type="paragraph" w:styleId="TOC2">
    <w:name w:val="toc 2"/>
    <w:aliases w:val="- H63"/>
    <w:basedOn w:val="TOC1"/>
    <w:next w:val="BodyText"/>
    <w:link w:val="TOC2Char"/>
    <w:autoRedefine/>
    <w:uiPriority w:val="39"/>
    <w:qFormat/>
    <w:rsid w:val="00F72116"/>
    <w:pPr>
      <w:tabs>
        <w:tab w:val="clear" w:pos="284"/>
        <w:tab w:val="left" w:pos="851"/>
      </w:tabs>
      <w:spacing w:before="0" w:after="0"/>
      <w:ind w:left="284"/>
    </w:pPr>
    <w:rPr>
      <w:b w:val="0"/>
      <w:noProof/>
      <w:sz w:val="20"/>
    </w:rPr>
  </w:style>
  <w:style w:type="paragraph" w:customStyle="1" w:styleId="ListAlphabet-H40">
    <w:name w:val="List Alphabet - H40"/>
    <w:basedOn w:val="Normal"/>
    <w:link w:val="ListAlphabet-H40Char"/>
    <w:uiPriority w:val="99"/>
    <w:qFormat/>
    <w:rsid w:val="00F72116"/>
    <w:pPr>
      <w:keepLines/>
      <w:widowControl w:val="0"/>
      <w:numPr>
        <w:numId w:val="19"/>
      </w:numPr>
      <w:ind w:left="1418" w:hanging="284"/>
    </w:pPr>
    <w:rPr>
      <w:rFonts w:ascii="Tahoma" w:eastAsia="Times New Roman" w:hAnsi="Tahoma"/>
      <w:sz w:val="20"/>
      <w:szCs w:val="24"/>
    </w:rPr>
  </w:style>
  <w:style w:type="character" w:customStyle="1" w:styleId="ListAlphabet-H40Char">
    <w:name w:val="List Alphabet - H40 Char"/>
    <w:basedOn w:val="DefaultParagraphFont"/>
    <w:link w:val="ListAlphabet-H40"/>
    <w:uiPriority w:val="99"/>
    <w:rsid w:val="00F72116"/>
    <w:rPr>
      <w:rFonts w:ascii="Tahoma" w:eastAsia="Times New Roman" w:hAnsi="Tahoma" w:cs="Times New Roman"/>
      <w:sz w:val="20"/>
      <w:szCs w:val="24"/>
      <w:lang w:eastAsia="en-US"/>
    </w:rPr>
  </w:style>
  <w:style w:type="paragraph" w:customStyle="1" w:styleId="ListRomanNumerals-H43">
    <w:name w:val="List Roman Numerals - H43"/>
    <w:basedOn w:val="Normal"/>
    <w:link w:val="ListRomanNumerals-H43Char"/>
    <w:uiPriority w:val="99"/>
    <w:qFormat/>
    <w:rsid w:val="00F72116"/>
    <w:pPr>
      <w:keepLines/>
      <w:widowControl w:val="0"/>
      <w:numPr>
        <w:numId w:val="21"/>
      </w:numPr>
      <w:ind w:left="1418" w:hanging="142"/>
    </w:pPr>
    <w:rPr>
      <w:rFonts w:ascii="Tahoma" w:eastAsia="Times New Roman" w:hAnsi="Tahoma"/>
      <w:sz w:val="20"/>
      <w:szCs w:val="24"/>
    </w:rPr>
  </w:style>
  <w:style w:type="character" w:customStyle="1" w:styleId="ListRomanNumerals-H43Char">
    <w:name w:val="List Roman Numerals - H43 Char"/>
    <w:basedOn w:val="DefaultParagraphFont"/>
    <w:link w:val="ListRomanNumerals-H43"/>
    <w:uiPriority w:val="99"/>
    <w:rsid w:val="00F72116"/>
    <w:rPr>
      <w:rFonts w:ascii="Tahoma" w:eastAsia="Times New Roman" w:hAnsi="Tahoma" w:cs="Times New Roman"/>
      <w:sz w:val="20"/>
      <w:szCs w:val="24"/>
      <w:lang w:eastAsia="en-US"/>
    </w:rPr>
  </w:style>
  <w:style w:type="paragraph" w:customStyle="1" w:styleId="Comments-H20">
    <w:name w:val="Comments - H20"/>
    <w:basedOn w:val="BodyText"/>
    <w:uiPriority w:val="99"/>
    <w:qFormat/>
    <w:rsid w:val="00F72116"/>
    <w:pPr>
      <w:keepLines/>
      <w:widowControl w:val="0"/>
      <w:pBdr>
        <w:top w:val="dashed" w:sz="4" w:space="1" w:color="auto"/>
        <w:left w:val="dashed" w:sz="4" w:space="4" w:color="auto"/>
        <w:bottom w:val="dashed" w:sz="4" w:space="0" w:color="auto"/>
        <w:right w:val="dashed" w:sz="4" w:space="4" w:color="auto"/>
      </w:pBdr>
      <w:shd w:val="clear" w:color="auto" w:fill="91AFD3"/>
      <w:spacing w:before="240" w:after="120"/>
      <w:jc w:val="both"/>
    </w:pPr>
    <w:rPr>
      <w:rFonts w:ascii="Tahoma" w:eastAsia="Times New Roman" w:hAnsi="Tahoma" w:cs="Tahoma"/>
      <w:i/>
      <w:szCs w:val="23"/>
      <w:lang w:val="en-US"/>
    </w:rPr>
  </w:style>
  <w:style w:type="paragraph" w:customStyle="1" w:styleId="Noparagraphstyle">
    <w:name w:val="[No paragraph style]"/>
    <w:rsid w:val="00F72116"/>
    <w:pPr>
      <w:autoSpaceDE w:val="0"/>
      <w:autoSpaceDN w:val="0"/>
      <w:adjustRightInd w:val="0"/>
      <w:spacing w:line="288" w:lineRule="auto"/>
      <w:ind w:left="0" w:firstLine="0"/>
      <w:jc w:val="left"/>
      <w:textAlignment w:val="center"/>
    </w:pPr>
    <w:rPr>
      <w:rFonts w:ascii="Tahoma" w:eastAsia="SimSun" w:hAnsi="Tahoma" w:cs="Times New Roman"/>
      <w:color w:val="000000"/>
      <w:sz w:val="16"/>
      <w:szCs w:val="24"/>
      <w:lang w:eastAsia="zh-CN"/>
    </w:rPr>
  </w:style>
  <w:style w:type="paragraph" w:styleId="TOCHeading">
    <w:name w:val="TOC Heading"/>
    <w:aliases w:val="- H65"/>
    <w:basedOn w:val="Heading1"/>
    <w:next w:val="Normal"/>
    <w:uiPriority w:val="99"/>
    <w:unhideWhenUsed/>
    <w:qFormat/>
    <w:rsid w:val="00F72116"/>
    <w:pPr>
      <w:spacing w:line="276" w:lineRule="auto"/>
      <w:outlineLvl w:val="9"/>
    </w:pPr>
    <w:rPr>
      <w:rFonts w:ascii="Tahoma" w:eastAsia="Times New Roman" w:hAnsi="Tahoma" w:cs="Times New Roman"/>
      <w:color w:val="002D56"/>
      <w:lang w:val="en-US"/>
    </w:rPr>
  </w:style>
  <w:style w:type="paragraph" w:styleId="TOC3">
    <w:name w:val="toc 3"/>
    <w:aliases w:val="- H64"/>
    <w:basedOn w:val="Normal"/>
    <w:next w:val="Normal"/>
    <w:autoRedefine/>
    <w:uiPriority w:val="39"/>
    <w:unhideWhenUsed/>
    <w:qFormat/>
    <w:rsid w:val="00F72116"/>
    <w:pPr>
      <w:tabs>
        <w:tab w:val="left" w:pos="851"/>
        <w:tab w:val="right" w:leader="dot" w:pos="9072"/>
      </w:tabs>
      <w:spacing w:after="100" w:line="276" w:lineRule="auto"/>
      <w:ind w:left="284"/>
    </w:pPr>
    <w:rPr>
      <w:rFonts w:ascii="Tahoma" w:eastAsia="Times New Roman" w:hAnsi="Tahoma"/>
      <w:sz w:val="20"/>
      <w:szCs w:val="22"/>
      <w:lang w:val="en-US"/>
    </w:rPr>
  </w:style>
  <w:style w:type="character" w:styleId="PlaceholderText">
    <w:name w:val="Placeholder Text"/>
    <w:basedOn w:val="DefaultParagraphFont"/>
    <w:uiPriority w:val="99"/>
    <w:semiHidden/>
    <w:rsid w:val="00F72116"/>
    <w:rPr>
      <w:color w:val="808080"/>
    </w:rPr>
  </w:style>
  <w:style w:type="table" w:customStyle="1" w:styleId="HERONtablecolour">
    <w:name w:val="HERON table colour"/>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paragraph" w:styleId="FootnoteText">
    <w:name w:val="footnote text"/>
    <w:basedOn w:val="Normal"/>
    <w:link w:val="FootnoteTextChar"/>
    <w:uiPriority w:val="99"/>
    <w:unhideWhenUsed/>
    <w:rsid w:val="00F72116"/>
    <w:pPr>
      <w:keepLines/>
      <w:widowControl w:val="0"/>
    </w:pPr>
    <w:rPr>
      <w:rFonts w:ascii="Tahoma" w:eastAsia="Times New Roman" w:hAnsi="Tahoma"/>
      <w:sz w:val="20"/>
    </w:rPr>
  </w:style>
  <w:style w:type="character" w:customStyle="1" w:styleId="FootnoteTextChar">
    <w:name w:val="Footnote Text Char"/>
    <w:basedOn w:val="DefaultParagraphFont"/>
    <w:link w:val="FootnoteText"/>
    <w:uiPriority w:val="99"/>
    <w:rsid w:val="00F72116"/>
    <w:rPr>
      <w:rFonts w:ascii="Tahoma" w:eastAsia="Times New Roman" w:hAnsi="Tahoma" w:cs="Times New Roman"/>
      <w:sz w:val="20"/>
      <w:szCs w:val="20"/>
      <w:lang w:eastAsia="en-US"/>
    </w:rPr>
  </w:style>
  <w:style w:type="character" w:styleId="FootnoteReference">
    <w:name w:val="footnote reference"/>
    <w:basedOn w:val="DefaultParagraphFont"/>
    <w:uiPriority w:val="99"/>
    <w:unhideWhenUsed/>
    <w:rsid w:val="00F72116"/>
    <w:rPr>
      <w:vertAlign w:val="superscript"/>
    </w:rPr>
  </w:style>
  <w:style w:type="paragraph" w:customStyle="1" w:styleId="Footnote-H25">
    <w:name w:val="Footnote - H25"/>
    <w:basedOn w:val="FootnoteText"/>
    <w:uiPriority w:val="3"/>
    <w:qFormat/>
    <w:rsid w:val="00F72116"/>
    <w:rPr>
      <w:sz w:val="16"/>
      <w:szCs w:val="16"/>
    </w:rPr>
  </w:style>
  <w:style w:type="paragraph" w:styleId="NoSpacing">
    <w:name w:val="No Spacing"/>
    <w:uiPriority w:val="1"/>
    <w:qFormat/>
    <w:rsid w:val="00F72116"/>
    <w:pPr>
      <w:ind w:left="0" w:firstLine="0"/>
      <w:jc w:val="left"/>
    </w:pPr>
    <w:rPr>
      <w:rFonts w:ascii="Tahoma" w:eastAsia="Times New Roman" w:hAnsi="Tahoma" w:cs="Times New Roman"/>
      <w:lang w:val="en-US" w:eastAsia="en-US"/>
    </w:rPr>
  </w:style>
  <w:style w:type="table" w:styleId="LightList-Accent3">
    <w:name w:val="Light List Accent 3"/>
    <w:basedOn w:val="TableNormal"/>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styleId="LightList-Accent4">
    <w:name w:val="Light List Accent 4"/>
    <w:basedOn w:val="TableNormal"/>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character" w:styleId="Strong">
    <w:name w:val="Strong"/>
    <w:basedOn w:val="DefaultParagraphFont"/>
    <w:uiPriority w:val="22"/>
    <w:qFormat/>
    <w:rsid w:val="00F72116"/>
    <w:rPr>
      <w:rFonts w:cs="Times New Roman"/>
      <w:b/>
      <w:bCs/>
    </w:rPr>
  </w:style>
  <w:style w:type="character" w:customStyle="1" w:styleId="BodyText-SubScript-H13">
    <w:name w:val="Body Text - SubScript - H13"/>
    <w:basedOn w:val="DefaultParagraphFont"/>
    <w:uiPriority w:val="1"/>
    <w:qFormat/>
    <w:rsid w:val="00F72116"/>
    <w:rPr>
      <w:rFonts w:ascii="Tahoma" w:hAnsi="Tahoma" w:cs="Times New Roman"/>
      <w:vertAlign w:val="subscript"/>
    </w:rPr>
  </w:style>
  <w:style w:type="paragraph" w:customStyle="1" w:styleId="HeadingCentre-H38">
    <w:name w:val="Heading Centre - H38"/>
    <w:basedOn w:val="Heading1Exec-H32"/>
    <w:uiPriority w:val="1"/>
    <w:qFormat/>
    <w:rsid w:val="00F72116"/>
    <w:pPr>
      <w:jc w:val="center"/>
    </w:pPr>
  </w:style>
  <w:style w:type="character" w:customStyle="1" w:styleId="TOC1Char">
    <w:name w:val="TOC 1 Char"/>
    <w:aliases w:val="- H62 Char"/>
    <w:basedOn w:val="DefaultParagraphFont"/>
    <w:link w:val="TOC1"/>
    <w:uiPriority w:val="39"/>
    <w:rsid w:val="00F72116"/>
    <w:rPr>
      <w:rFonts w:ascii="Tahoma" w:eastAsia="Times New Roman" w:hAnsi="Tahoma" w:cs="Times New Roman"/>
      <w:b/>
      <w:bCs/>
      <w:szCs w:val="20"/>
      <w:lang w:eastAsia="en-US"/>
    </w:rPr>
  </w:style>
  <w:style w:type="character" w:customStyle="1" w:styleId="TOC2Char">
    <w:name w:val="TOC 2 Char"/>
    <w:aliases w:val="- H63 Char"/>
    <w:basedOn w:val="TOC1Char"/>
    <w:link w:val="TOC2"/>
    <w:uiPriority w:val="39"/>
    <w:rsid w:val="00F72116"/>
    <w:rPr>
      <w:rFonts w:ascii="Tahoma" w:eastAsia="Times New Roman" w:hAnsi="Tahoma" w:cs="Times New Roman"/>
      <w:b w:val="0"/>
      <w:bCs/>
      <w:noProof/>
      <w:sz w:val="20"/>
      <w:szCs w:val="20"/>
      <w:lang w:eastAsia="en-US"/>
    </w:rPr>
  </w:style>
  <w:style w:type="paragraph" w:customStyle="1" w:styleId="E2996BA37C6049D0A1C504D3CD7D410F">
    <w:name w:val="E2996BA37C6049D0A1C504D3CD7D410F"/>
    <w:uiPriority w:val="99"/>
    <w:semiHidden/>
    <w:locked/>
    <w:rsid w:val="00F72116"/>
    <w:pPr>
      <w:spacing w:after="200" w:line="276" w:lineRule="auto"/>
      <w:ind w:left="0" w:firstLine="0"/>
      <w:jc w:val="left"/>
    </w:pPr>
    <w:rPr>
      <w:lang w:val="en-US" w:eastAsia="en-US"/>
    </w:rPr>
  </w:style>
  <w:style w:type="table" w:styleId="LightShading-Accent4">
    <w:name w:val="Light Shading Accent 4"/>
    <w:basedOn w:val="TableNormal"/>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Exec-H32Char">
    <w:name w:val="Heading 1 Exec - H32 Char"/>
    <w:basedOn w:val="Heading1Char"/>
    <w:link w:val="Heading1Exec-H32"/>
    <w:rsid w:val="00F72116"/>
    <w:rPr>
      <w:rFonts w:ascii="Tahoma" w:eastAsia="Arial Unicode MS" w:hAnsi="Tahoma" w:cs="Times New Roman"/>
      <w:b/>
      <w:bCs w:val="0"/>
      <w:color w:val="365F91" w:themeColor="accent1" w:themeShade="BF"/>
      <w:sz w:val="44"/>
      <w:szCs w:val="44"/>
      <w:lang w:eastAsia="en-US"/>
    </w:rPr>
  </w:style>
  <w:style w:type="character" w:customStyle="1" w:styleId="TableofContents-H60Char">
    <w:name w:val="Table of Contents - H60 Char"/>
    <w:basedOn w:val="Heading1Exec-H32Char"/>
    <w:link w:val="TableofContents-H60"/>
    <w:rsid w:val="00F72116"/>
    <w:rPr>
      <w:rFonts w:ascii="Tahoma" w:eastAsia="Arial Unicode MS" w:hAnsi="Tahoma" w:cs="Times New Roman"/>
      <w:b/>
      <w:bCs w:val="0"/>
      <w:color w:val="365F91" w:themeColor="accent1" w:themeShade="BF"/>
      <w:sz w:val="44"/>
      <w:szCs w:val="44"/>
      <w:lang w:eastAsia="en-US"/>
    </w:rPr>
  </w:style>
  <w:style w:type="character" w:customStyle="1" w:styleId="BodyText-Bold-H10">
    <w:name w:val="Body Text - Bold - H10"/>
    <w:basedOn w:val="DefaultParagraphFont"/>
    <w:uiPriority w:val="1"/>
    <w:qFormat/>
    <w:rsid w:val="00F72116"/>
    <w:rPr>
      <w:rFonts w:ascii="Tahoma" w:hAnsi="Tahoma"/>
      <w:b/>
      <w:sz w:val="20"/>
    </w:rPr>
  </w:style>
  <w:style w:type="character" w:customStyle="1" w:styleId="BodyText-underline-H15">
    <w:name w:val="Body Text - underline - H15"/>
    <w:uiPriority w:val="1"/>
    <w:qFormat/>
    <w:rsid w:val="00F72116"/>
    <w:rPr>
      <w:u w:val="single"/>
    </w:rPr>
  </w:style>
  <w:style w:type="character" w:customStyle="1" w:styleId="BodyText-highlighted-H11">
    <w:name w:val="Body Text - highlighted - H11"/>
    <w:basedOn w:val="DefaultParagraphFont"/>
    <w:uiPriority w:val="1"/>
    <w:qFormat/>
    <w:rsid w:val="00F72116"/>
    <w:rPr>
      <w:rFonts w:ascii="Tahoma" w:eastAsia="Times New Roman" w:hAnsi="Tahoma" w:cs="Times New Roman"/>
      <w:color w:val="auto"/>
      <w:szCs w:val="24"/>
      <w:u w:val="none"/>
      <w:bdr w:val="none" w:sz="0" w:space="0" w:color="auto"/>
      <w:shd w:val="clear" w:color="auto" w:fill="FFFF00"/>
      <w:lang w:eastAsia="en-US"/>
    </w:rPr>
  </w:style>
  <w:style w:type="character" w:customStyle="1" w:styleId="BodyText-Blueitalics-H6">
    <w:name w:val="Body Text - Blue italics - H6"/>
    <w:basedOn w:val="BodyText-italic-H12"/>
    <w:uiPriority w:val="2"/>
    <w:qFormat/>
    <w:rsid w:val="00F72116"/>
    <w:rPr>
      <w:b w:val="0"/>
      <w:i/>
      <w:color w:val="00529B"/>
      <w:u w:val="none"/>
    </w:rPr>
  </w:style>
  <w:style w:type="character" w:customStyle="1" w:styleId="BodyText-Blueunderline-H9">
    <w:name w:val="Body Text - Blue underline - H9"/>
    <w:basedOn w:val="BodyText-underline-H15"/>
    <w:uiPriority w:val="2"/>
    <w:qFormat/>
    <w:rsid w:val="00F72116"/>
    <w:rPr>
      <w:color w:val="00529B"/>
      <w:u w:val="single"/>
    </w:rPr>
  </w:style>
  <w:style w:type="character" w:customStyle="1" w:styleId="BodyText-BlueSubScript-H7">
    <w:name w:val="Body Text - Blue SubScript - H7"/>
    <w:basedOn w:val="BodyText-SubScript-H13"/>
    <w:uiPriority w:val="2"/>
    <w:qFormat/>
    <w:rsid w:val="00F72116"/>
    <w:rPr>
      <w:rFonts w:ascii="Tahoma" w:hAnsi="Tahoma" w:cs="Times New Roman"/>
      <w:color w:val="00529B"/>
      <w:vertAlign w:val="subscript"/>
    </w:rPr>
  </w:style>
  <w:style w:type="paragraph" w:customStyle="1" w:styleId="FrontPageTitleversion-H30">
    <w:name w:val="Front Page Title_version - H30"/>
    <w:basedOn w:val="FrontPageTitle-H26"/>
    <w:uiPriority w:val="99"/>
    <w:qFormat/>
    <w:rsid w:val="00F72116"/>
    <w:rPr>
      <w:sz w:val="44"/>
      <w:szCs w:val="44"/>
    </w:rPr>
  </w:style>
  <w:style w:type="character" w:customStyle="1" w:styleId="BodyText-BlueSuperScript-H8">
    <w:name w:val="Body Text - Blue SuperScript - H8"/>
    <w:basedOn w:val="BodyText-SuperScript-H14"/>
    <w:uiPriority w:val="2"/>
    <w:qFormat/>
    <w:rsid w:val="00F72116"/>
    <w:rPr>
      <w:rFonts w:ascii="Tahoma" w:hAnsi="Tahoma" w:cs="Times New Roman"/>
      <w:color w:val="00539B"/>
      <w:vertAlign w:val="superscript"/>
    </w:rPr>
  </w:style>
  <w:style w:type="table" w:customStyle="1" w:styleId="Style1">
    <w:name w:val="Style1"/>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ofContents">
    <w:name w:val="Table of Contents"/>
    <w:basedOn w:val="BodyText"/>
    <w:link w:val="TableofContentsChar"/>
    <w:rsid w:val="00F72116"/>
    <w:pPr>
      <w:keepLines/>
      <w:widowControl w:val="0"/>
      <w:spacing w:before="240" w:after="150"/>
      <w:ind w:left="567"/>
      <w:jc w:val="both"/>
    </w:pPr>
    <w:rPr>
      <w:rFonts w:ascii="Tahoma" w:eastAsia="Times New Roman" w:hAnsi="Tahoma"/>
      <w:b/>
      <w:bCs/>
      <w:color w:val="365F91" w:themeColor="accent1" w:themeShade="BF"/>
      <w:sz w:val="28"/>
      <w:szCs w:val="44"/>
    </w:rPr>
  </w:style>
  <w:style w:type="paragraph" w:styleId="TOC4">
    <w:name w:val="toc 4"/>
    <w:basedOn w:val="Normal"/>
    <w:next w:val="Normal"/>
    <w:autoRedefine/>
    <w:uiPriority w:val="39"/>
    <w:unhideWhenUsed/>
    <w:rsid w:val="00F72116"/>
    <w:pPr>
      <w:spacing w:after="100" w:line="276"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F72116"/>
    <w:pPr>
      <w:spacing w:after="100" w:line="276"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F72116"/>
    <w:pPr>
      <w:spacing w:after="100" w:line="276"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F72116"/>
    <w:pPr>
      <w:spacing w:after="100" w:line="276"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F72116"/>
    <w:pPr>
      <w:spacing w:after="100" w:line="276"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F72116"/>
    <w:pPr>
      <w:spacing w:after="100" w:line="276" w:lineRule="auto"/>
      <w:ind w:left="1760"/>
    </w:pPr>
    <w:rPr>
      <w:rFonts w:asciiTheme="minorHAnsi" w:hAnsiTheme="minorHAnsi" w:cstheme="minorBidi"/>
      <w:sz w:val="22"/>
      <w:szCs w:val="22"/>
      <w:lang w:eastAsia="en-GB"/>
    </w:rPr>
  </w:style>
  <w:style w:type="paragraph" w:styleId="Revision">
    <w:name w:val="Revision"/>
    <w:hidden/>
    <w:rsid w:val="00F72116"/>
    <w:pPr>
      <w:ind w:left="0" w:firstLine="0"/>
      <w:jc w:val="left"/>
    </w:pPr>
    <w:rPr>
      <w:rFonts w:ascii="Tahoma" w:eastAsia="Times New Roman" w:hAnsi="Tahoma" w:cs="Times New Roman"/>
      <w:szCs w:val="24"/>
      <w:lang w:eastAsia="en-US"/>
    </w:rPr>
  </w:style>
  <w:style w:type="paragraph" w:customStyle="1" w:styleId="Default">
    <w:name w:val="Default"/>
    <w:link w:val="DefaultChar"/>
    <w:rsid w:val="00F72116"/>
    <w:pPr>
      <w:autoSpaceDE w:val="0"/>
      <w:autoSpaceDN w:val="0"/>
      <w:adjustRightInd w:val="0"/>
      <w:ind w:left="0" w:firstLine="0"/>
      <w:jc w:val="left"/>
    </w:pPr>
    <w:rPr>
      <w:rFonts w:ascii="Times New Roman" w:eastAsia="Tahoma" w:hAnsi="Times New Roman" w:cs="Times New Roman"/>
      <w:color w:val="000000"/>
      <w:sz w:val="24"/>
      <w:szCs w:val="24"/>
      <w:lang w:val="en-US" w:eastAsia="en-GB"/>
    </w:rPr>
  </w:style>
  <w:style w:type="character" w:styleId="FollowedHyperlink">
    <w:name w:val="FollowedHyperlink"/>
    <w:basedOn w:val="DefaultParagraphFont"/>
    <w:unhideWhenUsed/>
    <w:rsid w:val="00F72116"/>
    <w:rPr>
      <w:color w:val="800080" w:themeColor="followedHyperlink"/>
      <w:u w:val="single"/>
    </w:rPr>
  </w:style>
  <w:style w:type="paragraph" w:styleId="TableofFigures">
    <w:name w:val="table of figures"/>
    <w:basedOn w:val="Normal"/>
    <w:next w:val="Normal"/>
    <w:uiPriority w:val="99"/>
    <w:unhideWhenUsed/>
    <w:rsid w:val="00F72116"/>
    <w:pPr>
      <w:keepLines/>
      <w:widowControl w:val="0"/>
    </w:pPr>
    <w:rPr>
      <w:rFonts w:ascii="Tahoma" w:eastAsia="Times New Roman" w:hAnsi="Tahoma"/>
      <w:sz w:val="22"/>
      <w:szCs w:val="24"/>
    </w:rPr>
  </w:style>
  <w:style w:type="table" w:customStyle="1" w:styleId="Table-HERONplain2">
    <w:name w:val="Table - HERON plain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
    <w:name w:val="Table - HERON plain3"/>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paragraph" w:customStyle="1" w:styleId="TableHeading">
    <w:name w:val="Table Heading"/>
    <w:basedOn w:val="Heading4"/>
    <w:qFormat/>
    <w:rsid w:val="00F72116"/>
    <w:pPr>
      <w:keepLines w:val="0"/>
      <w:tabs>
        <w:tab w:val="left" w:pos="1440"/>
      </w:tabs>
      <w:spacing w:before="80" w:after="40"/>
      <w:outlineLvl w:val="9"/>
    </w:pPr>
    <w:rPr>
      <w:rFonts w:ascii="Tahoma" w:eastAsia="Arial Unicode MS" w:hAnsi="Tahoma" w:cs="Times New Roman"/>
      <w:bCs w:val="0"/>
      <w:i w:val="0"/>
      <w:iCs w:val="0"/>
      <w:color w:val="auto"/>
      <w:sz w:val="16"/>
      <w:szCs w:val="44"/>
      <w:lang w:val="en-US"/>
    </w:rPr>
  </w:style>
  <w:style w:type="paragraph" w:customStyle="1" w:styleId="TableNumberList">
    <w:name w:val="Table Number List"/>
    <w:basedOn w:val="TableBodyText"/>
    <w:rsid w:val="00F72116"/>
    <w:pPr>
      <w:keepNext/>
      <w:ind w:left="709" w:hanging="360"/>
    </w:pPr>
    <w:rPr>
      <w:lang w:eastAsia="en-GB"/>
    </w:rPr>
  </w:style>
  <w:style w:type="paragraph" w:customStyle="1" w:styleId="ListBullet-Bullet">
    <w:name w:val="List Bullet - Bullet"/>
    <w:basedOn w:val="Normal"/>
    <w:link w:val="ListBullet-BulletChar"/>
    <w:qFormat/>
    <w:rsid w:val="00F72116"/>
    <w:pPr>
      <w:keepLines/>
      <w:widowControl w:val="0"/>
      <w:spacing w:before="240" w:after="120"/>
      <w:ind w:left="851" w:hanging="283"/>
      <w:jc w:val="both"/>
    </w:pPr>
    <w:rPr>
      <w:rFonts w:ascii="Tahoma" w:eastAsia="Times New Roman" w:hAnsi="Tahoma"/>
      <w:sz w:val="20"/>
      <w:szCs w:val="24"/>
    </w:rPr>
  </w:style>
  <w:style w:type="paragraph" w:customStyle="1" w:styleId="BodyText-Italic">
    <w:name w:val="Body Text - Italic"/>
    <w:basedOn w:val="BodyText"/>
    <w:next w:val="BodyText"/>
    <w:link w:val="BodyText-ItalicChar"/>
    <w:rsid w:val="00F72116"/>
    <w:pPr>
      <w:keepLines/>
      <w:widowControl w:val="0"/>
      <w:spacing w:before="240" w:after="120"/>
      <w:jc w:val="both"/>
    </w:pPr>
    <w:rPr>
      <w:rFonts w:ascii="Tahoma" w:eastAsia="Times New Roman" w:hAnsi="Tahoma"/>
      <w:i/>
      <w:szCs w:val="24"/>
    </w:rPr>
  </w:style>
  <w:style w:type="character" w:customStyle="1" w:styleId="BodyText-ItalicChar">
    <w:name w:val="Body Text - Italic Char"/>
    <w:basedOn w:val="BodyTextChar"/>
    <w:link w:val="BodyText-Italic"/>
    <w:rsid w:val="00F72116"/>
    <w:rPr>
      <w:rFonts w:ascii="Tahoma" w:eastAsia="Times New Roman" w:hAnsi="Tahoma" w:cs="Times New Roman"/>
      <w:i/>
      <w:sz w:val="20"/>
      <w:szCs w:val="24"/>
      <w:lang w:eastAsia="en-US"/>
    </w:rPr>
  </w:style>
  <w:style w:type="numbering" w:customStyle="1" w:styleId="NoList1">
    <w:name w:val="No List1"/>
    <w:next w:val="NoList"/>
    <w:uiPriority w:val="99"/>
    <w:semiHidden/>
    <w:unhideWhenUsed/>
    <w:rsid w:val="00F72116"/>
  </w:style>
  <w:style w:type="table" w:customStyle="1" w:styleId="LightShading-Accent21">
    <w:name w:val="Light Shading - Accent 21"/>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HERONplain4">
    <w:name w:val="Table - HERON plain4"/>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HERONtablecolour1">
    <w:name w:val="HERON table colour1"/>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1">
    <w:name w:val="Light List - Accent 31"/>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1">
    <w:name w:val="Light List - Accent 41"/>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1">
    <w:name w:val="Light Shading - Accent 41"/>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1">
    <w:name w:val="Light Shading - Accent 51"/>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1">
    <w:name w:val="Style11"/>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1">
    <w:name w:val="Table - HERON plain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1">
    <w:name w:val="Table - HERON plain2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1">
    <w:name w:val="Table - HERON plain3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Grid2">
    <w:name w:val="Table Grid2"/>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72116"/>
  </w:style>
  <w:style w:type="table" w:customStyle="1" w:styleId="LightShading-Accent22">
    <w:name w:val="Light Shading - Accent 22"/>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HERONplain5">
    <w:name w:val="Table - HERON plain5"/>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HERONtablecolour2">
    <w:name w:val="HERON table colour2"/>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2">
    <w:name w:val="Light List - Accent 32"/>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2">
    <w:name w:val="Light List - Accent 42"/>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2">
    <w:name w:val="Light Shading - Accent 42"/>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2">
    <w:name w:val="Light Shading - Accent 52"/>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2">
    <w:name w:val="Style12"/>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 82"/>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2">
    <w:name w:val="Table - HERON plain1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2">
    <w:name w:val="Table - HERON plain2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numbering" w:customStyle="1" w:styleId="NoList11">
    <w:name w:val="No List11"/>
    <w:next w:val="NoList"/>
    <w:uiPriority w:val="99"/>
    <w:semiHidden/>
    <w:unhideWhenUsed/>
    <w:rsid w:val="00F72116"/>
  </w:style>
  <w:style w:type="table" w:customStyle="1" w:styleId="LightShading-Accent211">
    <w:name w:val="Light Shading - Accent 211"/>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HERONplain41">
    <w:name w:val="Table - HERON plain4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HERONtablecolour11">
    <w:name w:val="HERON table colour11"/>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11">
    <w:name w:val="Light List - Accent 311"/>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11">
    <w:name w:val="Light List - Accent 411"/>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11">
    <w:name w:val="Light Shading - Accent 411"/>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11">
    <w:name w:val="Light Shading - Accent 511"/>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11">
    <w:name w:val="Style111"/>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11">
    <w:name w:val="Table - HERON plain1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11">
    <w:name w:val="Table - HERON plain2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11">
    <w:name w:val="Table - HERON plain3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Grid21">
    <w:name w:val="Table Grid2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 H33 Char1,Header 1 Char1"/>
    <w:basedOn w:val="DefaultParagraphFont"/>
    <w:rsid w:val="00F72116"/>
    <w:rPr>
      <w:rFonts w:asciiTheme="majorHAnsi" w:eastAsiaTheme="majorEastAsia" w:hAnsiTheme="majorHAnsi" w:cstheme="majorBidi"/>
      <w:b/>
      <w:bCs/>
      <w:color w:val="365F91" w:themeColor="accent1" w:themeShade="BF"/>
      <w:sz w:val="28"/>
      <w:szCs w:val="28"/>
      <w:lang w:eastAsia="en-US"/>
    </w:rPr>
  </w:style>
  <w:style w:type="character" w:customStyle="1" w:styleId="Heading2Char1">
    <w:name w:val="Heading 2 Char1"/>
    <w:aliases w:val="- H34 Char1"/>
    <w:basedOn w:val="DefaultParagraphFont"/>
    <w:uiPriority w:val="99"/>
    <w:semiHidden/>
    <w:rsid w:val="00F72116"/>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aliases w:val="- H35 Char1"/>
    <w:basedOn w:val="DefaultParagraphFont"/>
    <w:semiHidden/>
    <w:rsid w:val="00F72116"/>
    <w:rPr>
      <w:rFonts w:asciiTheme="majorHAnsi" w:eastAsiaTheme="majorEastAsia" w:hAnsiTheme="majorHAnsi" w:cstheme="majorBidi"/>
      <w:b/>
      <w:bCs/>
      <w:color w:val="4F81BD" w:themeColor="accent1"/>
      <w:sz w:val="22"/>
      <w:szCs w:val="24"/>
      <w:lang w:eastAsia="en-US"/>
    </w:rPr>
  </w:style>
  <w:style w:type="character" w:customStyle="1" w:styleId="Heading4Char1">
    <w:name w:val="Heading 4 Char1"/>
    <w:aliases w:val="- H36 Char1"/>
    <w:basedOn w:val="DefaultParagraphFont"/>
    <w:semiHidden/>
    <w:rsid w:val="00F72116"/>
    <w:rPr>
      <w:rFonts w:asciiTheme="majorHAnsi" w:eastAsiaTheme="majorEastAsia" w:hAnsiTheme="majorHAnsi" w:cstheme="majorBidi"/>
      <w:b/>
      <w:bCs/>
      <w:i/>
      <w:iCs/>
      <w:color w:val="4F81BD" w:themeColor="accent1"/>
      <w:sz w:val="22"/>
      <w:szCs w:val="24"/>
      <w:lang w:eastAsia="en-US"/>
    </w:rPr>
  </w:style>
  <w:style w:type="character" w:customStyle="1" w:styleId="Heading5Char1">
    <w:name w:val="Heading 5 Char1"/>
    <w:aliases w:val="- H37 Char1"/>
    <w:basedOn w:val="DefaultParagraphFont"/>
    <w:uiPriority w:val="99"/>
    <w:semiHidden/>
    <w:rsid w:val="00F72116"/>
    <w:rPr>
      <w:rFonts w:asciiTheme="majorHAnsi" w:eastAsiaTheme="majorEastAsia" w:hAnsiTheme="majorHAnsi" w:cstheme="majorBidi"/>
      <w:color w:val="243F60" w:themeColor="accent1" w:themeShade="7F"/>
      <w:sz w:val="22"/>
      <w:szCs w:val="24"/>
      <w:lang w:eastAsia="en-US"/>
    </w:rPr>
  </w:style>
  <w:style w:type="character" w:customStyle="1" w:styleId="Heading6Char1">
    <w:name w:val="Heading 6 Char1"/>
    <w:aliases w:val="Heading 6 - DO NOT USE Char1"/>
    <w:basedOn w:val="DefaultParagraphFont"/>
    <w:uiPriority w:val="99"/>
    <w:semiHidden/>
    <w:rsid w:val="00F72116"/>
    <w:rPr>
      <w:rFonts w:asciiTheme="majorHAnsi" w:eastAsiaTheme="majorEastAsia" w:hAnsiTheme="majorHAnsi" w:cstheme="majorBidi"/>
      <w:i/>
      <w:iCs/>
      <w:color w:val="243F60" w:themeColor="accent1" w:themeShade="7F"/>
      <w:sz w:val="22"/>
      <w:szCs w:val="24"/>
      <w:lang w:eastAsia="en-US"/>
    </w:rPr>
  </w:style>
  <w:style w:type="character" w:customStyle="1" w:styleId="Heading7Char1">
    <w:name w:val="Heading 7 Char1"/>
    <w:aliases w:val="Heading 7 - DO NOT USE Char1"/>
    <w:basedOn w:val="DefaultParagraphFont"/>
    <w:uiPriority w:val="99"/>
    <w:semiHidden/>
    <w:rsid w:val="00F72116"/>
    <w:rPr>
      <w:rFonts w:asciiTheme="majorHAnsi" w:eastAsiaTheme="majorEastAsia" w:hAnsiTheme="majorHAnsi" w:cstheme="majorBidi"/>
      <w:i/>
      <w:iCs/>
      <w:color w:val="404040" w:themeColor="text1" w:themeTint="BF"/>
      <w:sz w:val="22"/>
      <w:szCs w:val="24"/>
      <w:lang w:eastAsia="en-US"/>
    </w:rPr>
  </w:style>
  <w:style w:type="character" w:customStyle="1" w:styleId="Heading8Char1">
    <w:name w:val="Heading 8 Char1"/>
    <w:aliases w:val="Heading 8 - - DO NOT USE Char1"/>
    <w:basedOn w:val="DefaultParagraphFont"/>
    <w:uiPriority w:val="99"/>
    <w:semiHidden/>
    <w:rsid w:val="00F72116"/>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Heading 9 - DO NOT USE Char1"/>
    <w:basedOn w:val="DefaultParagraphFont"/>
    <w:uiPriority w:val="99"/>
    <w:semiHidden/>
    <w:rsid w:val="00F72116"/>
    <w:rPr>
      <w:rFonts w:asciiTheme="majorHAnsi" w:eastAsiaTheme="majorEastAsia" w:hAnsiTheme="majorHAnsi" w:cstheme="majorBidi"/>
      <w:i/>
      <w:iCs/>
      <w:color w:val="404040" w:themeColor="text1" w:themeTint="BF"/>
      <w:lang w:eastAsia="en-US"/>
    </w:rPr>
  </w:style>
  <w:style w:type="character" w:customStyle="1" w:styleId="CommentTextChar1">
    <w:name w:val="Comment Text Char1"/>
    <w:aliases w:val="- H19 Char1"/>
    <w:basedOn w:val="DefaultParagraphFont"/>
    <w:rsid w:val="00F72116"/>
    <w:rPr>
      <w:rFonts w:eastAsia="Times New Roman"/>
      <w:lang w:eastAsia="en-US"/>
    </w:rPr>
  </w:style>
  <w:style w:type="character" w:customStyle="1" w:styleId="HeaderChar1">
    <w:name w:val="Header Char1"/>
    <w:aliases w:val="- H31 Char1"/>
    <w:basedOn w:val="DefaultParagraphFont"/>
    <w:semiHidden/>
    <w:rsid w:val="00F72116"/>
    <w:rPr>
      <w:rFonts w:eastAsia="Times New Roman"/>
      <w:sz w:val="22"/>
      <w:szCs w:val="24"/>
      <w:lang w:eastAsia="en-US"/>
    </w:rPr>
  </w:style>
  <w:style w:type="character" w:customStyle="1" w:styleId="FooterChar1">
    <w:name w:val="Footer Char1"/>
    <w:aliases w:val="- H24 Char1"/>
    <w:basedOn w:val="DefaultParagraphFont"/>
    <w:uiPriority w:val="99"/>
    <w:semiHidden/>
    <w:rsid w:val="00F72116"/>
    <w:rPr>
      <w:rFonts w:eastAsia="Times New Roman"/>
      <w:sz w:val="22"/>
      <w:szCs w:val="24"/>
      <w:lang w:eastAsia="en-US"/>
    </w:rPr>
  </w:style>
  <w:style w:type="table" w:customStyle="1" w:styleId="Table-HERONplain6">
    <w:name w:val="Table - HERON plain6"/>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paragraph" w:customStyle="1" w:styleId="Tableheadings">
    <w:name w:val="Table headings"/>
    <w:basedOn w:val="Normal"/>
    <w:link w:val="TableheadingsChar"/>
    <w:uiPriority w:val="99"/>
    <w:rsid w:val="00F72116"/>
    <w:pPr>
      <w:keepNext/>
      <w:spacing w:before="120" w:line="260" w:lineRule="exact"/>
      <w:jc w:val="center"/>
    </w:pPr>
    <w:rPr>
      <w:rFonts w:ascii="Verdana" w:eastAsia="Times New Roman" w:hAnsi="Verdana"/>
      <w:b/>
      <w:sz w:val="18"/>
      <w:lang w:val="en-US"/>
    </w:rPr>
  </w:style>
  <w:style w:type="paragraph" w:customStyle="1" w:styleId="Tabletext">
    <w:name w:val="Table text"/>
    <w:basedOn w:val="Normal"/>
    <w:link w:val="TabletextChar"/>
    <w:uiPriority w:val="99"/>
    <w:rsid w:val="00F72116"/>
    <w:pPr>
      <w:spacing w:before="40" w:after="40" w:line="240" w:lineRule="atLeast"/>
    </w:pPr>
    <w:rPr>
      <w:rFonts w:ascii="Verdana" w:eastAsia="Times New Roman" w:hAnsi="Verdana"/>
      <w:sz w:val="18"/>
      <w:lang w:val="en-US"/>
    </w:rPr>
  </w:style>
  <w:style w:type="character" w:customStyle="1" w:styleId="TabletextChar">
    <w:name w:val="Table text Char"/>
    <w:basedOn w:val="DefaultParagraphFont"/>
    <w:link w:val="Tabletext"/>
    <w:uiPriority w:val="99"/>
    <w:locked/>
    <w:rsid w:val="00F72116"/>
    <w:rPr>
      <w:rFonts w:ascii="Verdana" w:eastAsia="Times New Roman" w:hAnsi="Verdana" w:cs="Times New Roman"/>
      <w:sz w:val="18"/>
      <w:szCs w:val="20"/>
      <w:lang w:val="en-US" w:eastAsia="en-US"/>
    </w:rPr>
  </w:style>
  <w:style w:type="paragraph" w:customStyle="1" w:styleId="Tablerowheading1">
    <w:name w:val="Table row heading 1"/>
    <w:basedOn w:val="Tabletext"/>
    <w:rsid w:val="00F72116"/>
    <w:pPr>
      <w:spacing w:before="0" w:after="20"/>
    </w:pPr>
    <w:rPr>
      <w:b/>
      <w:szCs w:val="22"/>
    </w:rPr>
  </w:style>
  <w:style w:type="character" w:customStyle="1" w:styleId="TableheadingsChar">
    <w:name w:val="Table headings Char"/>
    <w:link w:val="Tableheadings"/>
    <w:uiPriority w:val="99"/>
    <w:locked/>
    <w:rsid w:val="00F72116"/>
    <w:rPr>
      <w:rFonts w:ascii="Verdana" w:eastAsia="Times New Roman" w:hAnsi="Verdana" w:cs="Times New Roman"/>
      <w:b/>
      <w:sz w:val="18"/>
      <w:szCs w:val="20"/>
      <w:lang w:val="en-US" w:eastAsia="en-US"/>
    </w:rPr>
  </w:style>
  <w:style w:type="paragraph" w:customStyle="1" w:styleId="reference">
    <w:name w:val="reference"/>
    <w:basedOn w:val="Normal"/>
    <w:link w:val="referenceChar"/>
    <w:uiPriority w:val="99"/>
    <w:rsid w:val="00F72116"/>
    <w:pPr>
      <w:spacing w:before="240" w:line="320" w:lineRule="exact"/>
      <w:ind w:left="360" w:hanging="360"/>
    </w:pPr>
    <w:rPr>
      <w:rFonts w:ascii="Verdana" w:eastAsia="Times New Roman" w:hAnsi="Verdana"/>
      <w:sz w:val="20"/>
      <w:lang w:val="en-US"/>
    </w:rPr>
  </w:style>
  <w:style w:type="character" w:customStyle="1" w:styleId="referenceChar">
    <w:name w:val="reference Char"/>
    <w:link w:val="reference"/>
    <w:uiPriority w:val="99"/>
    <w:locked/>
    <w:rsid w:val="00F72116"/>
    <w:rPr>
      <w:rFonts w:ascii="Verdana" w:eastAsia="Times New Roman" w:hAnsi="Verdana" w:cs="Times New Roman"/>
      <w:sz w:val="20"/>
      <w:szCs w:val="20"/>
      <w:lang w:val="en-US" w:eastAsia="en-US"/>
    </w:rPr>
  </w:style>
  <w:style w:type="character" w:customStyle="1" w:styleId="BodyText-SuperScript">
    <w:name w:val="Body Text - SuperScript"/>
    <w:basedOn w:val="BodyTextChar"/>
    <w:uiPriority w:val="1"/>
    <w:rsid w:val="00F72116"/>
    <w:rPr>
      <w:rFonts w:ascii="Tahoma" w:eastAsia="Times New Roman" w:hAnsi="Tahoma" w:cs="Times New Roman"/>
      <w:sz w:val="20"/>
      <w:szCs w:val="24"/>
      <w:vertAlign w:val="superscript"/>
      <w:lang w:val="en-GB" w:eastAsia="en-US"/>
    </w:rPr>
  </w:style>
  <w:style w:type="paragraph" w:customStyle="1" w:styleId="ListRomanNumerals">
    <w:name w:val="List Roman Numerals"/>
    <w:basedOn w:val="Normal"/>
    <w:link w:val="ListRomanNumeralsChar"/>
    <w:qFormat/>
    <w:rsid w:val="00F72116"/>
    <w:pPr>
      <w:keepLines/>
      <w:widowControl w:val="0"/>
      <w:ind w:left="1418" w:hanging="142"/>
    </w:pPr>
    <w:rPr>
      <w:rFonts w:ascii="Tahoma" w:eastAsia="Times New Roman" w:hAnsi="Tahoma"/>
      <w:sz w:val="20"/>
      <w:szCs w:val="24"/>
    </w:rPr>
  </w:style>
  <w:style w:type="table" w:customStyle="1" w:styleId="Table-HERONplain7">
    <w:name w:val="Table - HERON plain7"/>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cPr>
      <w:vAlign w:val="center"/>
    </w:tcPr>
    <w:tblStylePr w:type="firstRow">
      <w:rPr>
        <w:rFonts w:ascii="Tahoma" w:hAnsi="Tahoma" w:cs="Tahoma" w:hint="default"/>
        <w:b/>
        <w:sz w:val="16"/>
        <w:szCs w:val="16"/>
      </w:rPr>
      <w:tblPr/>
      <w:tcPr>
        <w:shd w:val="clear" w:color="auto" w:fill="C7C7C7"/>
      </w:tcPr>
    </w:tblStylePr>
    <w:tblStylePr w:type="lastRow">
      <w:rPr>
        <w:rFonts w:ascii="Tahoma" w:hAnsi="Tahoma" w:cs="Tahoma" w:hint="default"/>
        <w:sz w:val="16"/>
        <w:szCs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cs="Tahoma" w:hint="default"/>
        <w:sz w:val="16"/>
        <w:szCs w:val="16"/>
      </w:rPr>
    </w:tblStylePr>
  </w:style>
  <w:style w:type="paragraph" w:customStyle="1" w:styleId="Appendix1">
    <w:name w:val="Appendix 1"/>
    <w:next w:val="BodyText"/>
    <w:uiPriority w:val="99"/>
    <w:qFormat/>
    <w:rsid w:val="00F72116"/>
    <w:pPr>
      <w:tabs>
        <w:tab w:val="num" w:pos="3119"/>
      </w:tabs>
      <w:ind w:left="3119" w:hanging="3119"/>
      <w:jc w:val="left"/>
    </w:pPr>
    <w:rPr>
      <w:rFonts w:ascii="Tahoma" w:eastAsia="Times New Roman" w:hAnsi="Tahoma" w:cs="Times New Roman"/>
      <w:b/>
      <w:bCs/>
      <w:sz w:val="44"/>
      <w:szCs w:val="20"/>
      <w:lang w:eastAsia="en-US"/>
    </w:rPr>
  </w:style>
  <w:style w:type="paragraph" w:customStyle="1" w:styleId="Appendix2">
    <w:name w:val="Appendix 2"/>
    <w:basedOn w:val="Appendix1"/>
    <w:next w:val="BodyText"/>
    <w:uiPriority w:val="99"/>
    <w:qFormat/>
    <w:rsid w:val="00F72116"/>
    <w:pPr>
      <w:pBdr>
        <w:top w:val="single" w:sz="24" w:space="1" w:color="00529B"/>
      </w:pBdr>
      <w:tabs>
        <w:tab w:val="clear" w:pos="3119"/>
        <w:tab w:val="num" w:pos="1021"/>
      </w:tabs>
      <w:spacing w:before="560"/>
      <w:ind w:left="1021" w:hanging="1021"/>
      <w:outlineLvl w:val="1"/>
    </w:pPr>
    <w:rPr>
      <w:bCs w:val="0"/>
      <w:sz w:val="32"/>
    </w:rPr>
  </w:style>
  <w:style w:type="paragraph" w:customStyle="1" w:styleId="Appendix3">
    <w:name w:val="Appendix 3"/>
    <w:basedOn w:val="Appendix2"/>
    <w:next w:val="BodyText"/>
    <w:rsid w:val="00F72116"/>
    <w:pPr>
      <w:tabs>
        <w:tab w:val="clear" w:pos="1021"/>
        <w:tab w:val="num" w:pos="1440"/>
      </w:tabs>
    </w:pPr>
    <w:rPr>
      <w:bCs/>
      <w:sz w:val="28"/>
    </w:rPr>
  </w:style>
  <w:style w:type="paragraph" w:customStyle="1" w:styleId="BodyText-Trainingmaterial">
    <w:name w:val="Body Text - Training material"/>
    <w:basedOn w:val="BodyText"/>
    <w:rsid w:val="00F72116"/>
    <w:pPr>
      <w:keepLines/>
      <w:widowControl w:val="0"/>
      <w:spacing w:before="240" w:after="120"/>
      <w:jc w:val="both"/>
    </w:pPr>
    <w:rPr>
      <w:rFonts w:ascii="Tahoma" w:eastAsia="Times New Roman" w:hAnsi="Tahoma"/>
      <w:b/>
      <w:color w:val="00529B"/>
      <w:szCs w:val="24"/>
      <w:lang w:val="en-US"/>
    </w:rPr>
  </w:style>
  <w:style w:type="character" w:customStyle="1" w:styleId="BodyTextIndentChar1">
    <w:name w:val="Body Text Indent Char1"/>
    <w:basedOn w:val="DefaultParagraphFont"/>
    <w:uiPriority w:val="99"/>
    <w:semiHidden/>
    <w:rsid w:val="00F72116"/>
    <w:rPr>
      <w:rFonts w:ascii="Tahoma" w:eastAsia="Times New Roman" w:hAnsi="Tahoma" w:cs="Times New Roman"/>
      <w:szCs w:val="24"/>
      <w:lang w:val="en-GB"/>
    </w:rPr>
  </w:style>
  <w:style w:type="paragraph" w:customStyle="1" w:styleId="BodyText-Bold">
    <w:name w:val="Body Text - Bold"/>
    <w:basedOn w:val="BodyText"/>
    <w:link w:val="BodyText-BoldChar"/>
    <w:rsid w:val="00F72116"/>
    <w:pPr>
      <w:keepLines/>
      <w:widowControl w:val="0"/>
      <w:spacing w:before="240" w:after="120"/>
      <w:jc w:val="both"/>
    </w:pPr>
    <w:rPr>
      <w:rFonts w:ascii="Tahoma" w:eastAsia="Times New Roman" w:hAnsi="Tahoma"/>
      <w:b/>
      <w:bCs/>
      <w:szCs w:val="24"/>
    </w:rPr>
  </w:style>
  <w:style w:type="character" w:customStyle="1" w:styleId="BodyText-BoldChar">
    <w:name w:val="Body Text - Bold Char"/>
    <w:basedOn w:val="BodyTextChar"/>
    <w:link w:val="BodyText-Bold"/>
    <w:rsid w:val="00F72116"/>
    <w:rPr>
      <w:rFonts w:ascii="Tahoma" w:eastAsia="Times New Roman" w:hAnsi="Tahoma" w:cs="Times New Roman"/>
      <w:b/>
      <w:bCs/>
      <w:sz w:val="20"/>
      <w:szCs w:val="24"/>
      <w:lang w:eastAsia="en-US"/>
    </w:rPr>
  </w:style>
  <w:style w:type="character" w:customStyle="1" w:styleId="CommentSubjectChar1">
    <w:name w:val="Comment Subject Char1"/>
    <w:basedOn w:val="CommentTextChar"/>
    <w:uiPriority w:val="99"/>
    <w:semiHidden/>
    <w:rsid w:val="00F72116"/>
    <w:rPr>
      <w:rFonts w:ascii="Tahoma" w:eastAsia="Times New Roman" w:hAnsi="Tahoma" w:cs="Times New Roman"/>
      <w:b/>
      <w:bCs/>
      <w:sz w:val="20"/>
      <w:szCs w:val="20"/>
      <w:lang w:val="en-GB" w:eastAsia="en-US"/>
    </w:rPr>
  </w:style>
  <w:style w:type="paragraph" w:customStyle="1" w:styleId="Commercialinconfidence">
    <w:name w:val="Commercial in confidence"/>
    <w:basedOn w:val="Normal"/>
    <w:rsid w:val="00F72116"/>
    <w:pPr>
      <w:keepNext/>
      <w:keepLines/>
      <w:widowControl w:val="0"/>
      <w:spacing w:before="360" w:after="120"/>
    </w:pPr>
    <w:rPr>
      <w:rFonts w:ascii="Tahoma" w:eastAsia="Times New Roman" w:hAnsi="Tahoma"/>
      <w:bCs/>
      <w:i/>
      <w:color w:val="FF0000"/>
      <w:sz w:val="20"/>
      <w:u w:val="single"/>
    </w:rPr>
  </w:style>
  <w:style w:type="paragraph" w:customStyle="1" w:styleId="Equation">
    <w:name w:val="Equation"/>
    <w:basedOn w:val="BodyText"/>
    <w:next w:val="Normal"/>
    <w:rsid w:val="00F72116"/>
    <w:pPr>
      <w:keepLines/>
      <w:widowControl w:val="0"/>
      <w:spacing w:before="240" w:after="120"/>
      <w:jc w:val="center"/>
    </w:pPr>
    <w:rPr>
      <w:rFonts w:ascii="Book Antiqua" w:eastAsia="Times New Roman" w:hAnsi="Book Antiqua"/>
      <w:i/>
      <w:sz w:val="22"/>
      <w:szCs w:val="24"/>
      <w:lang w:val="en-US"/>
    </w:rPr>
  </w:style>
  <w:style w:type="paragraph" w:customStyle="1" w:styleId="FigureNote">
    <w:name w:val="Figure Note"/>
    <w:basedOn w:val="Heading5"/>
    <w:rsid w:val="00F72116"/>
    <w:pPr>
      <w:keepNext w:val="0"/>
      <w:widowControl w:val="0"/>
      <w:spacing w:before="240" w:after="60"/>
      <w:jc w:val="both"/>
    </w:pPr>
    <w:rPr>
      <w:rFonts w:ascii="Tahoma" w:eastAsia="Times New Roman" w:hAnsi="Tahoma" w:cs="Tahoma"/>
      <w:bCs/>
      <w:iCs/>
      <w:color w:val="auto"/>
      <w:sz w:val="12"/>
      <w:szCs w:val="16"/>
    </w:rPr>
  </w:style>
  <w:style w:type="paragraph" w:customStyle="1" w:styleId="FrontPageTitlesubtitle">
    <w:name w:val="Front Page Title_subtitle"/>
    <w:basedOn w:val="Normal"/>
    <w:next w:val="Normal"/>
    <w:rsid w:val="00F72116"/>
    <w:pPr>
      <w:keepLines/>
      <w:widowControl w:val="0"/>
      <w:spacing w:before="720" w:after="840"/>
    </w:pPr>
    <w:rPr>
      <w:rFonts w:ascii="Tahoma" w:eastAsia="Arial Unicode MS" w:hAnsi="Tahoma" w:cs="Tahoma"/>
      <w:b/>
      <w:color w:val="00529B"/>
      <w:sz w:val="48"/>
      <w:szCs w:val="44"/>
    </w:rPr>
  </w:style>
  <w:style w:type="paragraph" w:customStyle="1" w:styleId="FrontPageTitle">
    <w:name w:val="Front Page Title"/>
    <w:next w:val="Normal"/>
    <w:rsid w:val="00F72116"/>
    <w:pPr>
      <w:spacing w:before="360" w:after="360"/>
      <w:ind w:left="0" w:firstLine="0"/>
      <w:jc w:val="left"/>
    </w:pPr>
    <w:rPr>
      <w:rFonts w:ascii="Tahoma" w:eastAsia="Arial Unicode MS" w:hAnsi="Tahoma" w:cs="Tahoma"/>
      <w:b/>
      <w:color w:val="00529B"/>
      <w:sz w:val="52"/>
      <w:szCs w:val="44"/>
      <w:lang w:eastAsia="en-US"/>
    </w:rPr>
  </w:style>
  <w:style w:type="paragraph" w:customStyle="1" w:styleId="FrontPageTitledate">
    <w:name w:val="Front Page Title_date"/>
    <w:basedOn w:val="FrontPageTitlesubtitle"/>
    <w:next w:val="Normal"/>
    <w:rsid w:val="00F72116"/>
    <w:pPr>
      <w:spacing w:before="120"/>
    </w:pPr>
    <w:rPr>
      <w:b w:val="0"/>
      <w:sz w:val="40"/>
    </w:rPr>
  </w:style>
  <w:style w:type="paragraph" w:customStyle="1" w:styleId="FrontPageTitleconfidentiality">
    <w:name w:val="Front Page Title_confidentiality"/>
    <w:basedOn w:val="FrontPageTitledate"/>
    <w:rsid w:val="00F72116"/>
    <w:pPr>
      <w:spacing w:after="120"/>
    </w:pPr>
    <w:rPr>
      <w:sz w:val="24"/>
    </w:rPr>
  </w:style>
  <w:style w:type="paragraph" w:customStyle="1" w:styleId="Heading1Exec">
    <w:name w:val="Heading 1 Exec"/>
    <w:basedOn w:val="Heading1"/>
    <w:next w:val="BodyText"/>
    <w:link w:val="Heading1ExecChar"/>
    <w:rsid w:val="00F72116"/>
    <w:pPr>
      <w:keepLines w:val="0"/>
      <w:spacing w:before="200" w:after="200"/>
      <w:outlineLvl w:val="2"/>
    </w:pPr>
    <w:rPr>
      <w:rFonts w:ascii="Tahoma" w:eastAsia="Arial Unicode MS" w:hAnsi="Tahoma" w:cs="Times New Roman"/>
      <w:bCs w:val="0"/>
      <w:sz w:val="44"/>
      <w:szCs w:val="44"/>
    </w:rPr>
  </w:style>
  <w:style w:type="character" w:customStyle="1" w:styleId="Heading1ExecChar">
    <w:name w:val="Heading 1 Exec Char"/>
    <w:basedOn w:val="Heading1Char"/>
    <w:link w:val="Heading1Exec"/>
    <w:rsid w:val="00F72116"/>
    <w:rPr>
      <w:rFonts w:ascii="Tahoma" w:eastAsia="Arial Unicode MS" w:hAnsi="Tahoma" w:cs="Times New Roman"/>
      <w:b/>
      <w:bCs w:val="0"/>
      <w:color w:val="365F91" w:themeColor="accent1" w:themeShade="BF"/>
      <w:sz w:val="44"/>
      <w:szCs w:val="44"/>
      <w:lang w:eastAsia="en-US"/>
    </w:rPr>
  </w:style>
  <w:style w:type="paragraph" w:customStyle="1" w:styleId="Summary-numberedbullet">
    <w:name w:val="Summary - numbered bullet"/>
    <w:basedOn w:val="BodyText"/>
    <w:qFormat/>
    <w:rsid w:val="00F72116"/>
    <w:pPr>
      <w:keepLines/>
      <w:widowControl w:val="0"/>
      <w:pBdr>
        <w:top w:val="single" w:sz="12" w:space="12" w:color="00529B"/>
        <w:left w:val="single" w:sz="12" w:space="12" w:color="00529B"/>
        <w:bottom w:val="single" w:sz="12" w:space="12" w:color="00529B"/>
        <w:right w:val="single" w:sz="12" w:space="12" w:color="00529B"/>
      </w:pBdr>
      <w:shd w:val="clear" w:color="auto" w:fill="C0C0C0"/>
      <w:spacing w:before="60" w:after="120"/>
      <w:ind w:left="1276" w:right="804" w:hanging="425"/>
      <w:jc w:val="both"/>
    </w:pPr>
    <w:rPr>
      <w:rFonts w:ascii="Tahoma" w:eastAsia="Times New Roman" w:hAnsi="Tahoma"/>
      <w:iCs/>
      <w:szCs w:val="24"/>
      <w:lang w:val="en-US"/>
    </w:rPr>
  </w:style>
  <w:style w:type="paragraph" w:customStyle="1" w:styleId="Summary">
    <w:name w:val="Summary"/>
    <w:basedOn w:val="BodyText"/>
    <w:rsid w:val="00F72116"/>
    <w:pPr>
      <w:keepLines/>
      <w:widowControl w:val="0"/>
      <w:pBdr>
        <w:top w:val="single" w:sz="12" w:space="12" w:color="00529B"/>
        <w:left w:val="single" w:sz="12" w:space="12" w:color="00529B"/>
        <w:bottom w:val="single" w:sz="12" w:space="12" w:color="00529B"/>
        <w:right w:val="single" w:sz="12" w:space="12" w:color="00529B"/>
      </w:pBdr>
      <w:shd w:val="clear" w:color="auto" w:fill="C0C0C0"/>
      <w:spacing w:before="60" w:after="120"/>
      <w:ind w:left="851" w:right="804"/>
      <w:jc w:val="both"/>
    </w:pPr>
    <w:rPr>
      <w:rFonts w:ascii="Tahoma" w:eastAsia="Times New Roman" w:hAnsi="Tahoma"/>
      <w:szCs w:val="24"/>
      <w:lang w:val="en-US"/>
    </w:rPr>
  </w:style>
  <w:style w:type="paragraph" w:customStyle="1" w:styleId="Summary-Title">
    <w:name w:val="Summary - Title"/>
    <w:basedOn w:val="Summary"/>
    <w:next w:val="Summary"/>
    <w:rsid w:val="00F72116"/>
    <w:rPr>
      <w:b/>
    </w:rPr>
  </w:style>
  <w:style w:type="paragraph" w:customStyle="1" w:styleId="ListBullet-Text">
    <w:name w:val="List Bullet - Text"/>
    <w:basedOn w:val="Normal"/>
    <w:link w:val="ListBullet-TextChar"/>
    <w:rsid w:val="00F72116"/>
    <w:pPr>
      <w:keepLines/>
      <w:widowControl w:val="0"/>
      <w:spacing w:before="60"/>
      <w:ind w:left="2608" w:hanging="360"/>
      <w:jc w:val="both"/>
    </w:pPr>
    <w:rPr>
      <w:rFonts w:ascii="Tahoma" w:eastAsia="Times New Roman" w:hAnsi="Tahoma"/>
      <w:sz w:val="20"/>
      <w:szCs w:val="24"/>
    </w:rPr>
  </w:style>
  <w:style w:type="character" w:customStyle="1" w:styleId="ListBullet-TextChar">
    <w:name w:val="List Bullet - Text Char"/>
    <w:basedOn w:val="DefaultParagraphFont"/>
    <w:link w:val="ListBullet-Text"/>
    <w:rsid w:val="00F72116"/>
    <w:rPr>
      <w:rFonts w:ascii="Tahoma" w:eastAsia="Times New Roman" w:hAnsi="Tahoma" w:cs="Times New Roman"/>
      <w:sz w:val="20"/>
      <w:szCs w:val="24"/>
      <w:lang w:eastAsia="en-US"/>
    </w:rPr>
  </w:style>
  <w:style w:type="paragraph" w:customStyle="1" w:styleId="ReferenceList">
    <w:name w:val="Reference List"/>
    <w:basedOn w:val="BodyText"/>
    <w:rsid w:val="00F72116"/>
    <w:pPr>
      <w:keepLines/>
      <w:widowControl w:val="0"/>
      <w:spacing w:after="120"/>
    </w:pPr>
    <w:rPr>
      <w:rFonts w:ascii="Tahoma" w:eastAsia="Times New Roman" w:hAnsi="Tahoma"/>
      <w:szCs w:val="24"/>
      <w:lang w:val="en-US"/>
    </w:rPr>
  </w:style>
  <w:style w:type="paragraph" w:customStyle="1" w:styleId="TableBodyCurrency">
    <w:name w:val="Table Body Currency"/>
    <w:basedOn w:val="TableBodyText"/>
    <w:rsid w:val="00F72116"/>
    <w:pPr>
      <w:jc w:val="right"/>
    </w:pPr>
    <w:rPr>
      <w:szCs w:val="20"/>
      <w:lang w:val="en-US"/>
    </w:rPr>
  </w:style>
  <w:style w:type="paragraph" w:customStyle="1" w:styleId="TableHeadingCentre">
    <w:name w:val="Table Heading Centre"/>
    <w:basedOn w:val="TableHeading"/>
    <w:rsid w:val="00F72116"/>
    <w:pPr>
      <w:jc w:val="center"/>
    </w:pPr>
    <w:rPr>
      <w:color w:val="000000" w:themeColor="text1"/>
    </w:rPr>
  </w:style>
  <w:style w:type="character" w:customStyle="1" w:styleId="TableofContentsChar">
    <w:name w:val="Table of Contents Char"/>
    <w:basedOn w:val="Heading1ExecChar"/>
    <w:link w:val="TableofContents"/>
    <w:rsid w:val="00F72116"/>
    <w:rPr>
      <w:rFonts w:ascii="Tahoma" w:eastAsia="Times New Roman" w:hAnsi="Tahoma" w:cs="Times New Roman"/>
      <w:b/>
      <w:bCs/>
      <w:color w:val="365F91" w:themeColor="accent1" w:themeShade="BF"/>
      <w:sz w:val="28"/>
      <w:szCs w:val="44"/>
      <w:lang w:eastAsia="en-US"/>
    </w:rPr>
  </w:style>
  <w:style w:type="paragraph" w:customStyle="1" w:styleId="ListAlphabet">
    <w:name w:val="List Alphabet"/>
    <w:basedOn w:val="Normal"/>
    <w:link w:val="ListAlphabetChar"/>
    <w:qFormat/>
    <w:rsid w:val="00F72116"/>
    <w:pPr>
      <w:keepLines/>
      <w:widowControl w:val="0"/>
      <w:ind w:left="1418" w:hanging="284"/>
    </w:pPr>
    <w:rPr>
      <w:rFonts w:ascii="Tahoma" w:eastAsia="Times New Roman" w:hAnsi="Tahoma"/>
      <w:sz w:val="20"/>
      <w:szCs w:val="24"/>
    </w:rPr>
  </w:style>
  <w:style w:type="character" w:customStyle="1" w:styleId="ListAlphabetChar">
    <w:name w:val="List Alphabet Char"/>
    <w:basedOn w:val="DefaultParagraphFont"/>
    <w:link w:val="ListAlphabet"/>
    <w:rsid w:val="00F72116"/>
    <w:rPr>
      <w:rFonts w:ascii="Tahoma" w:eastAsia="Times New Roman" w:hAnsi="Tahoma" w:cs="Times New Roman"/>
      <w:sz w:val="20"/>
      <w:szCs w:val="24"/>
      <w:lang w:eastAsia="en-US"/>
    </w:rPr>
  </w:style>
  <w:style w:type="character" w:customStyle="1" w:styleId="ListBullet-BulletChar">
    <w:name w:val="List Bullet - Bullet Char"/>
    <w:basedOn w:val="ListBullet-TextChar"/>
    <w:link w:val="ListBullet-Bullet"/>
    <w:rsid w:val="00F72116"/>
    <w:rPr>
      <w:rFonts w:ascii="Tahoma" w:eastAsia="Times New Roman" w:hAnsi="Tahoma" w:cs="Times New Roman"/>
      <w:sz w:val="20"/>
      <w:szCs w:val="24"/>
      <w:lang w:eastAsia="en-US"/>
    </w:rPr>
  </w:style>
  <w:style w:type="character" w:customStyle="1" w:styleId="ListRomanNumeralsChar">
    <w:name w:val="List Roman Numerals Char"/>
    <w:basedOn w:val="DefaultParagraphFont"/>
    <w:link w:val="ListRomanNumerals"/>
    <w:rsid w:val="00F72116"/>
    <w:rPr>
      <w:rFonts w:ascii="Tahoma" w:eastAsia="Times New Roman" w:hAnsi="Tahoma" w:cs="Times New Roman"/>
      <w:sz w:val="20"/>
      <w:szCs w:val="24"/>
      <w:lang w:eastAsia="en-US"/>
    </w:rPr>
  </w:style>
  <w:style w:type="paragraph" w:customStyle="1" w:styleId="Summary-Bullet">
    <w:name w:val="Summary - Bullet"/>
    <w:basedOn w:val="Normal"/>
    <w:rsid w:val="00F72116"/>
    <w:pPr>
      <w:keepLines/>
      <w:widowControl w:val="0"/>
      <w:pBdr>
        <w:top w:val="single" w:sz="12" w:space="12" w:color="00529B"/>
        <w:left w:val="single" w:sz="12" w:space="12" w:color="00529B"/>
        <w:bottom w:val="single" w:sz="12" w:space="12" w:color="00529B"/>
        <w:right w:val="single" w:sz="12" w:space="12" w:color="00529B"/>
      </w:pBdr>
      <w:shd w:val="clear" w:color="auto" w:fill="C0C0C0"/>
      <w:spacing w:after="120"/>
      <w:ind w:left="1276" w:right="804" w:hanging="425"/>
    </w:pPr>
    <w:rPr>
      <w:rFonts w:ascii="Tahoma" w:eastAsia="Times New Roman" w:hAnsi="Tahoma"/>
      <w:iCs/>
      <w:sz w:val="20"/>
    </w:rPr>
  </w:style>
  <w:style w:type="paragraph" w:customStyle="1" w:styleId="Comments">
    <w:name w:val="Comments"/>
    <w:basedOn w:val="BodyText"/>
    <w:rsid w:val="00F72116"/>
    <w:pPr>
      <w:keepLines/>
      <w:widowControl w:val="0"/>
      <w:pBdr>
        <w:top w:val="dashed" w:sz="4" w:space="1" w:color="auto"/>
        <w:left w:val="dashed" w:sz="4" w:space="4" w:color="auto"/>
        <w:bottom w:val="dashed" w:sz="4" w:space="0" w:color="auto"/>
        <w:right w:val="dashed" w:sz="4" w:space="4" w:color="auto"/>
      </w:pBdr>
      <w:shd w:val="clear" w:color="auto" w:fill="91AFD3"/>
      <w:spacing w:before="240" w:after="120"/>
      <w:jc w:val="both"/>
    </w:pPr>
    <w:rPr>
      <w:rFonts w:ascii="Tahoma" w:eastAsia="Times New Roman" w:hAnsi="Tahoma" w:cs="Tahoma"/>
      <w:i/>
      <w:szCs w:val="23"/>
      <w:lang w:val="en-US"/>
    </w:rPr>
  </w:style>
  <w:style w:type="paragraph" w:customStyle="1" w:styleId="Footnote">
    <w:name w:val="Footnote"/>
    <w:basedOn w:val="FootnoteText"/>
    <w:qFormat/>
    <w:rsid w:val="00F72116"/>
    <w:rPr>
      <w:sz w:val="16"/>
      <w:szCs w:val="16"/>
    </w:rPr>
  </w:style>
  <w:style w:type="character" w:customStyle="1" w:styleId="BodyText-Highlighted">
    <w:name w:val="Body Text - Highlighted"/>
    <w:basedOn w:val="BodyTextChar"/>
    <w:uiPriority w:val="1"/>
    <w:rsid w:val="00F72116"/>
    <w:rPr>
      <w:rFonts w:ascii="Tahoma" w:eastAsia="Times New Roman" w:hAnsi="Tahoma" w:cs="Times New Roman"/>
      <w:color w:val="auto"/>
      <w:sz w:val="20"/>
      <w:szCs w:val="24"/>
      <w:bdr w:val="none" w:sz="0" w:space="0" w:color="auto"/>
      <w:shd w:val="clear" w:color="auto" w:fill="FFFF00"/>
      <w:lang w:val="en-GB" w:eastAsia="en-US"/>
    </w:rPr>
  </w:style>
  <w:style w:type="character" w:customStyle="1" w:styleId="BodyText-underline">
    <w:name w:val="Body Text - underline"/>
    <w:basedOn w:val="DefaultParagraphFont"/>
    <w:uiPriority w:val="1"/>
    <w:rsid w:val="00F72116"/>
    <w:rPr>
      <w:u w:val="single"/>
    </w:rPr>
  </w:style>
  <w:style w:type="paragraph" w:customStyle="1" w:styleId="HeadingCentre">
    <w:name w:val="Heading Centre"/>
    <w:basedOn w:val="Heading1Exec"/>
    <w:rsid w:val="00F72116"/>
    <w:pPr>
      <w:jc w:val="center"/>
    </w:pPr>
  </w:style>
  <w:style w:type="character" w:customStyle="1" w:styleId="li-content">
    <w:name w:val="li-content"/>
    <w:basedOn w:val="DefaultParagraphFont"/>
    <w:rsid w:val="00F72116"/>
    <w:rPr>
      <w:color w:val="000000"/>
    </w:rPr>
  </w:style>
  <w:style w:type="character" w:styleId="IntenseEmphasis">
    <w:name w:val="Intense Emphasis"/>
    <w:basedOn w:val="DefaultParagraphFont"/>
    <w:uiPriority w:val="21"/>
    <w:qFormat/>
    <w:rsid w:val="00F72116"/>
    <w:rPr>
      <w:b/>
      <w:bCs/>
      <w:i/>
      <w:iCs/>
      <w:color w:val="4F81BD" w:themeColor="accent1"/>
    </w:rPr>
  </w:style>
  <w:style w:type="table" w:customStyle="1" w:styleId="Table-HERONplain8">
    <w:name w:val="Table - HERON plain8"/>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styleId="MediumShading2-Accent1">
    <w:name w:val="Medium Shading 2 Accent 1"/>
    <w:basedOn w:val="TableNormal"/>
    <w:uiPriority w:val="64"/>
    <w:rsid w:val="00F72116"/>
    <w:pPr>
      <w:ind w:left="0" w:firstLine="0"/>
      <w:jc w:val="left"/>
    </w:pPr>
    <w:rPr>
      <w:rFonts w:eastAsiaTheme="minorHAns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BodyText">
    <w:name w:val="C-Body Text"/>
    <w:rsid w:val="00F72116"/>
    <w:pPr>
      <w:spacing w:before="120" w:after="120" w:line="280" w:lineRule="atLeast"/>
      <w:ind w:left="0" w:firstLine="0"/>
      <w:jc w:val="left"/>
    </w:pPr>
    <w:rPr>
      <w:rFonts w:ascii="Times New Roman" w:eastAsia="Times New Roman" w:hAnsi="Times New Roman" w:cs="Times New Roman"/>
      <w:sz w:val="24"/>
      <w:szCs w:val="20"/>
      <w:lang w:val="en-US" w:eastAsia="en-US"/>
    </w:rPr>
  </w:style>
  <w:style w:type="paragraph" w:customStyle="1" w:styleId="C-Heading1">
    <w:name w:val="C-Heading 1"/>
    <w:next w:val="C-BodyText"/>
    <w:link w:val="C-Heading1Char"/>
    <w:rsid w:val="00F72116"/>
    <w:pPr>
      <w:keepNext/>
      <w:pageBreakBefore/>
      <w:numPr>
        <w:numId w:val="22"/>
      </w:numPr>
      <w:spacing w:before="480" w:after="120"/>
      <w:jc w:val="left"/>
      <w:outlineLvl w:val="0"/>
    </w:pPr>
    <w:rPr>
      <w:rFonts w:ascii="Times New Roman" w:eastAsia="Times New Roman" w:hAnsi="Times New Roman" w:cs="Times New Roman"/>
      <w:b/>
      <w:caps/>
      <w:sz w:val="28"/>
      <w:szCs w:val="20"/>
      <w:lang w:val="en-US" w:eastAsia="en-US"/>
    </w:rPr>
  </w:style>
  <w:style w:type="paragraph" w:customStyle="1" w:styleId="C-Heading2">
    <w:name w:val="C-Heading 2"/>
    <w:next w:val="C-BodyText"/>
    <w:rsid w:val="00F72116"/>
    <w:pPr>
      <w:keepNext/>
      <w:numPr>
        <w:ilvl w:val="1"/>
        <w:numId w:val="22"/>
      </w:numPr>
      <w:spacing w:before="240"/>
      <w:jc w:val="left"/>
      <w:outlineLvl w:val="1"/>
    </w:pPr>
    <w:rPr>
      <w:rFonts w:ascii="Times New Roman" w:eastAsia="Times New Roman" w:hAnsi="Times New Roman" w:cs="Times New Roman"/>
      <w:b/>
      <w:sz w:val="28"/>
      <w:szCs w:val="20"/>
      <w:lang w:val="en-US" w:eastAsia="en-US"/>
    </w:rPr>
  </w:style>
  <w:style w:type="paragraph" w:customStyle="1" w:styleId="C-Heading3">
    <w:name w:val="C-Heading 3"/>
    <w:next w:val="C-BodyText"/>
    <w:rsid w:val="00F72116"/>
    <w:pPr>
      <w:keepNext/>
      <w:numPr>
        <w:ilvl w:val="2"/>
        <w:numId w:val="22"/>
      </w:numPr>
      <w:spacing w:before="240"/>
      <w:jc w:val="left"/>
      <w:outlineLvl w:val="2"/>
    </w:pPr>
    <w:rPr>
      <w:rFonts w:ascii="Times New Roman" w:eastAsia="Times New Roman" w:hAnsi="Times New Roman" w:cs="Times New Roman"/>
      <w:b/>
      <w:sz w:val="24"/>
      <w:szCs w:val="20"/>
      <w:lang w:val="en-US" w:eastAsia="en-US"/>
    </w:rPr>
  </w:style>
  <w:style w:type="paragraph" w:customStyle="1" w:styleId="C-Heading4">
    <w:name w:val="C-Heading 4"/>
    <w:next w:val="C-BodyText"/>
    <w:rsid w:val="00F72116"/>
    <w:pPr>
      <w:keepNext/>
      <w:numPr>
        <w:ilvl w:val="3"/>
        <w:numId w:val="22"/>
      </w:numPr>
      <w:spacing w:before="240"/>
      <w:jc w:val="left"/>
      <w:outlineLvl w:val="3"/>
    </w:pPr>
    <w:rPr>
      <w:rFonts w:ascii="Times New Roman" w:eastAsia="Times New Roman" w:hAnsi="Times New Roman" w:cs="Times New Roman"/>
      <w:b/>
      <w:sz w:val="24"/>
      <w:szCs w:val="20"/>
      <w:lang w:val="en-US" w:eastAsia="en-US"/>
    </w:rPr>
  </w:style>
  <w:style w:type="paragraph" w:customStyle="1" w:styleId="C-Heading5">
    <w:name w:val="C-Heading 5"/>
    <w:next w:val="C-BodyText"/>
    <w:rsid w:val="00F72116"/>
    <w:pPr>
      <w:keepNext/>
      <w:numPr>
        <w:ilvl w:val="4"/>
        <w:numId w:val="22"/>
      </w:numPr>
      <w:spacing w:before="240"/>
      <w:jc w:val="left"/>
      <w:outlineLvl w:val="4"/>
    </w:pPr>
    <w:rPr>
      <w:rFonts w:ascii="Times New Roman" w:eastAsia="Times New Roman" w:hAnsi="Times New Roman" w:cs="Times New Roman"/>
      <w:b/>
      <w:sz w:val="24"/>
      <w:szCs w:val="20"/>
      <w:lang w:val="en-US" w:eastAsia="en-US"/>
    </w:rPr>
  </w:style>
  <w:style w:type="paragraph" w:customStyle="1" w:styleId="C-Heading6">
    <w:name w:val="C-Heading 6"/>
    <w:next w:val="C-BodyText"/>
    <w:rsid w:val="00F72116"/>
    <w:pPr>
      <w:keepNext/>
      <w:numPr>
        <w:ilvl w:val="5"/>
        <w:numId w:val="22"/>
      </w:numPr>
      <w:tabs>
        <w:tab w:val="clear" w:pos="1080"/>
        <w:tab w:val="num" w:pos="1224"/>
      </w:tabs>
      <w:spacing w:before="240"/>
      <w:ind w:left="1224" w:hanging="1224"/>
      <w:jc w:val="left"/>
      <w:outlineLvl w:val="5"/>
    </w:pPr>
    <w:rPr>
      <w:rFonts w:ascii="Times New Roman" w:eastAsia="Times New Roman" w:hAnsi="Times New Roman" w:cs="Times New Roman"/>
      <w:b/>
      <w:sz w:val="24"/>
      <w:szCs w:val="20"/>
      <w:lang w:val="en-US" w:eastAsia="en-US"/>
    </w:rPr>
  </w:style>
  <w:style w:type="paragraph" w:customStyle="1" w:styleId="C-BodyTextIndent">
    <w:name w:val="C-Body Text Indent"/>
    <w:rsid w:val="00F72116"/>
    <w:pPr>
      <w:spacing w:before="120" w:after="120" w:line="280" w:lineRule="atLeast"/>
      <w:ind w:left="360" w:firstLine="0"/>
      <w:jc w:val="left"/>
    </w:pPr>
    <w:rPr>
      <w:rFonts w:ascii="Times New Roman" w:eastAsia="Times New Roman" w:hAnsi="Times New Roman" w:cs="Times New Roman"/>
      <w:sz w:val="24"/>
      <w:szCs w:val="20"/>
      <w:lang w:val="en-US" w:eastAsia="en-US"/>
    </w:rPr>
  </w:style>
  <w:style w:type="paragraph" w:customStyle="1" w:styleId="C-Bullet">
    <w:name w:val="C-Bullet"/>
    <w:rsid w:val="00F72116"/>
    <w:pPr>
      <w:numPr>
        <w:numId w:val="33"/>
      </w:numPr>
      <w:spacing w:before="120" w:after="120" w:line="280" w:lineRule="atLeast"/>
      <w:jc w:val="left"/>
    </w:pPr>
    <w:rPr>
      <w:rFonts w:ascii="Times New Roman" w:eastAsia="Times New Roman" w:hAnsi="Times New Roman" w:cs="Times New Roman"/>
      <w:sz w:val="24"/>
      <w:szCs w:val="20"/>
      <w:lang w:val="en-US" w:eastAsia="en-US"/>
    </w:rPr>
  </w:style>
  <w:style w:type="paragraph" w:customStyle="1" w:styleId="C-BulletIndented">
    <w:name w:val="C-Bullet Indented"/>
    <w:rsid w:val="00F72116"/>
    <w:pPr>
      <w:numPr>
        <w:ilvl w:val="1"/>
        <w:numId w:val="33"/>
      </w:numPr>
      <w:spacing w:before="120" w:after="120" w:line="280" w:lineRule="atLeast"/>
      <w:jc w:val="left"/>
    </w:pPr>
    <w:rPr>
      <w:rFonts w:ascii="Times New Roman" w:eastAsia="Times New Roman" w:hAnsi="Times New Roman" w:cs="Arial"/>
      <w:sz w:val="24"/>
      <w:szCs w:val="20"/>
      <w:lang w:val="en-US" w:eastAsia="en-US"/>
    </w:rPr>
  </w:style>
  <w:style w:type="paragraph" w:customStyle="1" w:styleId="C-TableHeader">
    <w:name w:val="C-Table Header"/>
    <w:next w:val="C-TableText"/>
    <w:rsid w:val="00F72116"/>
    <w:pPr>
      <w:keepNext/>
      <w:spacing w:before="60" w:after="60"/>
      <w:ind w:left="0" w:firstLine="0"/>
      <w:jc w:val="left"/>
    </w:pPr>
    <w:rPr>
      <w:rFonts w:ascii="Times New Roman" w:eastAsia="Times New Roman" w:hAnsi="Times New Roman" w:cs="Times New Roman"/>
      <w:b/>
      <w:szCs w:val="20"/>
      <w:lang w:val="en-US" w:eastAsia="en-US"/>
    </w:rPr>
  </w:style>
  <w:style w:type="paragraph" w:customStyle="1" w:styleId="C-TableText">
    <w:name w:val="C-Table Text"/>
    <w:rsid w:val="00F72116"/>
    <w:pPr>
      <w:spacing w:before="60" w:after="60"/>
      <w:ind w:left="0" w:firstLine="0"/>
      <w:jc w:val="left"/>
    </w:pPr>
    <w:rPr>
      <w:rFonts w:ascii="Times New Roman" w:eastAsia="Times New Roman" w:hAnsi="Times New Roman" w:cs="Times New Roman"/>
      <w:szCs w:val="20"/>
      <w:lang w:val="en-US" w:eastAsia="en-US"/>
    </w:rPr>
  </w:style>
  <w:style w:type="paragraph" w:customStyle="1" w:styleId="C-TableFootnote">
    <w:name w:val="C-Table Footnote"/>
    <w:next w:val="C-BodyText"/>
    <w:rsid w:val="00F72116"/>
    <w:pPr>
      <w:tabs>
        <w:tab w:val="left" w:pos="144"/>
      </w:tabs>
      <w:ind w:left="144" w:hanging="144"/>
      <w:jc w:val="left"/>
    </w:pPr>
    <w:rPr>
      <w:rFonts w:ascii="Times New Roman" w:eastAsia="Times New Roman" w:hAnsi="Times New Roman" w:cs="Arial"/>
      <w:sz w:val="20"/>
      <w:szCs w:val="20"/>
      <w:lang w:val="en-US" w:eastAsia="en-US"/>
    </w:rPr>
  </w:style>
  <w:style w:type="paragraph" w:customStyle="1" w:styleId="C-TOCTitle">
    <w:name w:val="C-TOC Title"/>
    <w:next w:val="C-BodyText"/>
    <w:rsid w:val="00F72116"/>
    <w:pPr>
      <w:spacing w:after="120"/>
      <w:ind w:left="0" w:firstLine="0"/>
      <w:jc w:val="center"/>
    </w:pPr>
    <w:rPr>
      <w:rFonts w:ascii="Times New Roman" w:eastAsia="Times New Roman" w:hAnsi="Times New Roman" w:cs="Times New Roman"/>
      <w:b/>
      <w:caps/>
      <w:sz w:val="28"/>
      <w:szCs w:val="28"/>
      <w:lang w:val="en-US" w:eastAsia="en-US"/>
    </w:rPr>
  </w:style>
  <w:style w:type="paragraph" w:customStyle="1" w:styleId="C-CaptionContinued">
    <w:name w:val="C-Caption Continued"/>
    <w:next w:val="C-BodyText"/>
    <w:rsid w:val="00F72116"/>
    <w:pPr>
      <w:keepNext/>
      <w:spacing w:before="120" w:after="120" w:line="280" w:lineRule="atLeast"/>
      <w:ind w:left="1440" w:hanging="1440"/>
      <w:jc w:val="left"/>
    </w:pPr>
    <w:rPr>
      <w:rFonts w:ascii="Times New Roman" w:eastAsia="Times New Roman" w:hAnsi="Times New Roman" w:cs="Arial"/>
      <w:b/>
      <w:sz w:val="24"/>
      <w:szCs w:val="20"/>
      <w:lang w:val="en-US" w:eastAsia="en-US"/>
    </w:rPr>
  </w:style>
  <w:style w:type="paragraph" w:customStyle="1" w:styleId="C-NumberedList">
    <w:name w:val="C-Numbered List"/>
    <w:rsid w:val="00F72116"/>
    <w:pPr>
      <w:numPr>
        <w:numId w:val="31"/>
      </w:numPr>
      <w:spacing w:before="120" w:after="120" w:line="280" w:lineRule="atLeast"/>
      <w:jc w:val="left"/>
    </w:pPr>
    <w:rPr>
      <w:rFonts w:ascii="Times New Roman" w:eastAsia="Times New Roman" w:hAnsi="Times New Roman" w:cs="Times New Roman"/>
      <w:sz w:val="24"/>
      <w:szCs w:val="20"/>
      <w:lang w:val="en-US" w:eastAsia="en-US"/>
    </w:rPr>
  </w:style>
  <w:style w:type="paragraph" w:customStyle="1" w:styleId="C-InstructionText">
    <w:name w:val="C-Instruction Text"/>
    <w:rsid w:val="00F72116"/>
    <w:pPr>
      <w:spacing w:before="120" w:after="120" w:line="280" w:lineRule="atLeast"/>
      <w:ind w:left="0" w:firstLine="0"/>
      <w:jc w:val="left"/>
    </w:pPr>
    <w:rPr>
      <w:rFonts w:ascii="Times New Roman" w:eastAsia="Times New Roman" w:hAnsi="Times New Roman" w:cs="Times New Roman"/>
      <w:vanish/>
      <w:color w:val="FF0000"/>
      <w:sz w:val="24"/>
      <w:szCs w:val="24"/>
      <w:lang w:val="en-US" w:eastAsia="en-US"/>
    </w:rPr>
  </w:style>
  <w:style w:type="paragraph" w:styleId="TOAHeading">
    <w:name w:val="toa heading"/>
    <w:basedOn w:val="Normal"/>
    <w:next w:val="Normal"/>
    <w:rsid w:val="00F72116"/>
    <w:pPr>
      <w:spacing w:before="120"/>
    </w:pPr>
    <w:rPr>
      <w:rFonts w:eastAsia="Times New Roman" w:cs="Arial"/>
      <w:b/>
      <w:bCs/>
      <w:szCs w:val="24"/>
      <w:lang w:val="en-US"/>
    </w:rPr>
  </w:style>
  <w:style w:type="paragraph" w:customStyle="1" w:styleId="C-Title">
    <w:name w:val="C-Title"/>
    <w:next w:val="C-BodyText"/>
    <w:rsid w:val="00F72116"/>
    <w:pPr>
      <w:spacing w:after="120"/>
      <w:ind w:left="0" w:firstLine="0"/>
      <w:jc w:val="center"/>
    </w:pPr>
    <w:rPr>
      <w:rFonts w:ascii="Times New Roman" w:eastAsia="Times New Roman" w:hAnsi="Times New Roman" w:cs="Times New Roman"/>
      <w:b/>
      <w:caps/>
      <w:sz w:val="36"/>
      <w:szCs w:val="20"/>
      <w:lang w:val="en-US" w:eastAsia="en-US"/>
    </w:rPr>
  </w:style>
  <w:style w:type="paragraph" w:customStyle="1" w:styleId="C-Header">
    <w:name w:val="C-Header"/>
    <w:rsid w:val="00F72116"/>
    <w:pPr>
      <w:ind w:left="0" w:firstLine="0"/>
      <w:jc w:val="left"/>
    </w:pPr>
    <w:rPr>
      <w:rFonts w:ascii="Times New Roman" w:eastAsia="Times New Roman" w:hAnsi="Times New Roman" w:cs="Times New Roman"/>
      <w:sz w:val="24"/>
      <w:szCs w:val="20"/>
      <w:lang w:val="en-US" w:eastAsia="en-US"/>
    </w:rPr>
  </w:style>
  <w:style w:type="paragraph" w:customStyle="1" w:styleId="C-Footer">
    <w:name w:val="C-Footer"/>
    <w:rsid w:val="00F72116"/>
    <w:pPr>
      <w:ind w:left="0" w:firstLine="0"/>
      <w:jc w:val="left"/>
    </w:pPr>
    <w:rPr>
      <w:rFonts w:ascii="Times New Roman" w:eastAsia="Times New Roman" w:hAnsi="Times New Roman" w:cs="Times New Roman"/>
      <w:sz w:val="24"/>
      <w:szCs w:val="20"/>
      <w:lang w:val="en-US" w:eastAsia="en-US"/>
    </w:rPr>
  </w:style>
  <w:style w:type="paragraph" w:customStyle="1" w:styleId="C-Heading1non-numbered">
    <w:name w:val="C-Heading 1 (non-numbered)"/>
    <w:basedOn w:val="C-Heading1"/>
    <w:next w:val="C-BodyText"/>
    <w:rsid w:val="00F72116"/>
    <w:pPr>
      <w:numPr>
        <w:numId w:val="0"/>
      </w:numPr>
      <w:tabs>
        <w:tab w:val="left" w:pos="1080"/>
      </w:tabs>
      <w:ind w:left="1080" w:hanging="1080"/>
    </w:pPr>
  </w:style>
  <w:style w:type="paragraph" w:customStyle="1" w:styleId="C-Heading2non-numbered">
    <w:name w:val="C-Heading 2 (non-numbered)"/>
    <w:basedOn w:val="C-Heading2"/>
    <w:next w:val="C-BodyText"/>
    <w:rsid w:val="00F72116"/>
    <w:pPr>
      <w:numPr>
        <w:ilvl w:val="0"/>
        <w:numId w:val="0"/>
      </w:numPr>
      <w:tabs>
        <w:tab w:val="left" w:pos="1080"/>
      </w:tabs>
      <w:ind w:left="1080" w:hanging="1080"/>
    </w:pPr>
  </w:style>
  <w:style w:type="paragraph" w:customStyle="1" w:styleId="C-Heading3non-numbered">
    <w:name w:val="C-Heading 3 (non-numbered)"/>
    <w:basedOn w:val="C-Heading3"/>
    <w:next w:val="C-BodyText"/>
    <w:rsid w:val="00F72116"/>
    <w:pPr>
      <w:numPr>
        <w:ilvl w:val="0"/>
        <w:numId w:val="0"/>
      </w:numPr>
      <w:tabs>
        <w:tab w:val="left" w:pos="1080"/>
      </w:tabs>
      <w:ind w:left="1080" w:hanging="1080"/>
    </w:pPr>
  </w:style>
  <w:style w:type="paragraph" w:customStyle="1" w:styleId="C-Heading4non-numbered">
    <w:name w:val="C-Heading 4 (non-numbered)"/>
    <w:basedOn w:val="C-Heading4"/>
    <w:next w:val="C-BodyText"/>
    <w:rsid w:val="00F72116"/>
    <w:pPr>
      <w:numPr>
        <w:ilvl w:val="0"/>
        <w:numId w:val="0"/>
      </w:numPr>
      <w:tabs>
        <w:tab w:val="left" w:pos="1080"/>
      </w:tabs>
      <w:ind w:left="1080" w:hanging="1080"/>
    </w:pPr>
  </w:style>
  <w:style w:type="paragraph" w:customStyle="1" w:styleId="C-Heading5non-numbered">
    <w:name w:val="C-Heading 5 (non-numbered)"/>
    <w:basedOn w:val="C-Heading5"/>
    <w:next w:val="C-BodyText"/>
    <w:rsid w:val="00F72116"/>
    <w:pPr>
      <w:numPr>
        <w:ilvl w:val="0"/>
        <w:numId w:val="0"/>
      </w:numPr>
      <w:tabs>
        <w:tab w:val="left" w:pos="1080"/>
      </w:tabs>
      <w:ind w:left="1080" w:hanging="1080"/>
    </w:pPr>
  </w:style>
  <w:style w:type="paragraph" w:customStyle="1" w:styleId="C-Heading6non-numbered">
    <w:name w:val="C-Heading 6 (non-numbered)"/>
    <w:basedOn w:val="C-Heading6"/>
    <w:next w:val="C-BodyText"/>
    <w:rsid w:val="00F72116"/>
    <w:pPr>
      <w:numPr>
        <w:ilvl w:val="0"/>
        <w:numId w:val="0"/>
      </w:numPr>
      <w:tabs>
        <w:tab w:val="left" w:pos="1080"/>
      </w:tabs>
      <w:ind w:left="1080" w:hanging="1080"/>
    </w:pPr>
  </w:style>
  <w:style w:type="paragraph" w:customStyle="1" w:styleId="C-Heading1nopagebreak">
    <w:name w:val="C-Heading 1 (no page break)"/>
    <w:basedOn w:val="C-Heading1"/>
    <w:next w:val="C-BodyText"/>
    <w:rsid w:val="00F72116"/>
    <w:pPr>
      <w:pageBreakBefore w:val="0"/>
    </w:pPr>
  </w:style>
  <w:style w:type="paragraph" w:customStyle="1" w:styleId="C-Heading1nopagebreak0">
    <w:name w:val="C-Heading 1 (no page break"/>
    <w:aliases w:val="non-numbered)"/>
    <w:basedOn w:val="C-Heading1non-numbered"/>
    <w:next w:val="C-BodyText"/>
    <w:rsid w:val="00F72116"/>
    <w:pPr>
      <w:pageBreakBefore w:val="0"/>
    </w:pPr>
  </w:style>
  <w:style w:type="character" w:styleId="HTMLKeyboard">
    <w:name w:val="HTML Keyboard"/>
    <w:rsid w:val="00F72116"/>
    <w:rPr>
      <w:rFonts w:ascii="Courier New" w:hAnsi="Courier New"/>
      <w:sz w:val="20"/>
      <w:szCs w:val="20"/>
    </w:rPr>
  </w:style>
  <w:style w:type="character" w:styleId="HTMLSample">
    <w:name w:val="HTML Sample"/>
    <w:rsid w:val="00F72116"/>
    <w:rPr>
      <w:rFonts w:ascii="Courier New" w:hAnsi="Courier New"/>
    </w:rPr>
  </w:style>
  <w:style w:type="paragraph" w:styleId="DocumentMap">
    <w:name w:val="Document Map"/>
    <w:basedOn w:val="Normal"/>
    <w:link w:val="DocumentMapChar"/>
    <w:rsid w:val="00F72116"/>
    <w:pPr>
      <w:shd w:val="clear" w:color="auto" w:fill="000080"/>
    </w:pPr>
    <w:rPr>
      <w:rFonts w:ascii="Tahoma" w:eastAsia="Times New Roman" w:hAnsi="Tahoma" w:cs="Tahoma"/>
      <w:lang w:val="en-US"/>
    </w:rPr>
  </w:style>
  <w:style w:type="character" w:customStyle="1" w:styleId="DocumentMapChar">
    <w:name w:val="Document Map Char"/>
    <w:basedOn w:val="DefaultParagraphFont"/>
    <w:link w:val="DocumentMap"/>
    <w:rsid w:val="00F72116"/>
    <w:rPr>
      <w:rFonts w:ascii="Tahoma" w:eastAsia="Times New Roman" w:hAnsi="Tahoma" w:cs="Tahoma"/>
      <w:sz w:val="24"/>
      <w:szCs w:val="20"/>
      <w:shd w:val="clear" w:color="auto" w:fill="000080"/>
      <w:lang w:val="en-US" w:eastAsia="en-US"/>
    </w:rPr>
  </w:style>
  <w:style w:type="character" w:customStyle="1" w:styleId="PLRHighlightLineChar">
    <w:name w:val="PLR Highlight Line Char"/>
    <w:rsid w:val="00F72116"/>
    <w:rPr>
      <w:rFonts w:ascii="Times New Roman" w:hAnsi="Times New Roman"/>
      <w:position w:val="8"/>
    </w:rPr>
  </w:style>
  <w:style w:type="paragraph" w:customStyle="1" w:styleId="PLRDivider">
    <w:name w:val="PLR Divider"/>
    <w:basedOn w:val="BodyText3"/>
    <w:rsid w:val="00F72116"/>
    <w:pPr>
      <w:pBdr>
        <w:bottom w:val="single" w:sz="4" w:space="1" w:color="auto"/>
      </w:pBdr>
    </w:pPr>
    <w:rPr>
      <w:rFonts w:ascii="Times New Roman" w:eastAsia="Times New Roman" w:hAnsi="Times New Roman"/>
      <w:b/>
      <w:szCs w:val="20"/>
      <w:lang w:val="en-US"/>
    </w:rPr>
  </w:style>
  <w:style w:type="paragraph" w:customStyle="1" w:styleId="C-PLR-BodyText">
    <w:name w:val="C-PLR-Body Text"/>
    <w:rsid w:val="00F72116"/>
    <w:pPr>
      <w:ind w:left="0" w:firstLine="0"/>
      <w:jc w:val="left"/>
    </w:pPr>
    <w:rPr>
      <w:rFonts w:ascii="Times New Roman" w:eastAsia="Times New Roman" w:hAnsi="Times New Roman" w:cs="Times New Roman"/>
      <w:sz w:val="16"/>
      <w:szCs w:val="20"/>
      <w:lang w:val="en-US" w:eastAsia="en-US"/>
    </w:rPr>
  </w:style>
  <w:style w:type="paragraph" w:customStyle="1" w:styleId="C-PLR-BodyTextIndent">
    <w:name w:val="C-PLR-Body Text Indent"/>
    <w:rsid w:val="00F72116"/>
    <w:pPr>
      <w:ind w:left="360" w:firstLine="0"/>
      <w:jc w:val="left"/>
    </w:pPr>
    <w:rPr>
      <w:rFonts w:ascii="Times New Roman" w:eastAsia="Times New Roman" w:hAnsi="Times New Roman" w:cs="Times New Roman"/>
      <w:sz w:val="16"/>
      <w:szCs w:val="20"/>
      <w:lang w:val="en-US" w:eastAsia="en-US"/>
    </w:rPr>
  </w:style>
  <w:style w:type="paragraph" w:customStyle="1" w:styleId="C-PLR-NumberedList">
    <w:name w:val="C-PLR-Numbered List"/>
    <w:rsid w:val="00F72116"/>
    <w:pPr>
      <w:numPr>
        <w:numId w:val="27"/>
      </w:numPr>
      <w:jc w:val="left"/>
    </w:pPr>
    <w:rPr>
      <w:rFonts w:ascii="Times New Roman" w:eastAsia="Times New Roman" w:hAnsi="Times New Roman" w:cs="Times New Roman"/>
      <w:sz w:val="16"/>
      <w:szCs w:val="20"/>
      <w:lang w:val="en-US" w:eastAsia="en-US"/>
    </w:rPr>
  </w:style>
  <w:style w:type="paragraph" w:customStyle="1" w:styleId="C-PLR-Bullet">
    <w:name w:val="C-PLR-Bullet"/>
    <w:rsid w:val="00F72116"/>
    <w:pPr>
      <w:numPr>
        <w:numId w:val="23"/>
      </w:numPr>
      <w:jc w:val="left"/>
    </w:pPr>
    <w:rPr>
      <w:rFonts w:ascii="Times New Roman" w:eastAsia="Times New Roman" w:hAnsi="Times New Roman" w:cs="Times New Roman"/>
      <w:sz w:val="16"/>
      <w:szCs w:val="20"/>
      <w:lang w:val="en-US" w:eastAsia="en-US"/>
    </w:rPr>
  </w:style>
  <w:style w:type="paragraph" w:customStyle="1" w:styleId="C-PLR-BulletIndented">
    <w:name w:val="C-PLR-Bullet Indented"/>
    <w:rsid w:val="00F72116"/>
    <w:pPr>
      <w:numPr>
        <w:numId w:val="24"/>
      </w:numPr>
      <w:jc w:val="left"/>
    </w:pPr>
    <w:rPr>
      <w:rFonts w:ascii="Times New Roman" w:eastAsia="Times New Roman" w:hAnsi="Times New Roman" w:cs="Times New Roman"/>
      <w:sz w:val="16"/>
      <w:szCs w:val="20"/>
      <w:lang w:val="en-US" w:eastAsia="en-US"/>
    </w:rPr>
  </w:style>
  <w:style w:type="paragraph" w:customStyle="1" w:styleId="C-PLR-TableHeader">
    <w:name w:val="C-PLR-Table Header"/>
    <w:next w:val="C-PLR-TableText"/>
    <w:rsid w:val="00F72116"/>
    <w:pPr>
      <w:keepNext/>
      <w:ind w:left="0" w:firstLine="0"/>
      <w:jc w:val="left"/>
    </w:pPr>
    <w:rPr>
      <w:rFonts w:ascii="Times New Roman" w:eastAsia="Times New Roman" w:hAnsi="Times New Roman" w:cs="Times New Roman"/>
      <w:b/>
      <w:sz w:val="16"/>
      <w:szCs w:val="20"/>
      <w:lang w:val="en-US" w:eastAsia="en-US"/>
    </w:rPr>
  </w:style>
  <w:style w:type="paragraph" w:customStyle="1" w:styleId="C-PLR-TableText">
    <w:name w:val="C-PLR-Table Text"/>
    <w:rsid w:val="00F72116"/>
    <w:pPr>
      <w:ind w:left="0" w:firstLine="0"/>
      <w:jc w:val="left"/>
    </w:pPr>
    <w:rPr>
      <w:rFonts w:ascii="Times New Roman" w:eastAsia="Times New Roman" w:hAnsi="Times New Roman" w:cs="Times New Roman"/>
      <w:sz w:val="16"/>
      <w:szCs w:val="20"/>
      <w:lang w:val="en-US" w:eastAsia="en-US"/>
    </w:rPr>
  </w:style>
  <w:style w:type="paragraph" w:customStyle="1" w:styleId="C-PLR-TOCTitle">
    <w:name w:val="C-PLR-TOC Title"/>
    <w:next w:val="C-PLR-BodyText"/>
    <w:rsid w:val="00F72116"/>
    <w:pPr>
      <w:tabs>
        <w:tab w:val="center" w:leader="underscore" w:pos="2520"/>
        <w:tab w:val="right" w:leader="underscore" w:pos="5040"/>
      </w:tabs>
      <w:ind w:left="0" w:firstLine="0"/>
      <w:jc w:val="center"/>
    </w:pPr>
    <w:rPr>
      <w:rFonts w:ascii="Times New Roman" w:eastAsia="Times New Roman" w:hAnsi="Times New Roman" w:cs="Times New Roman"/>
      <w:b/>
      <w:caps/>
      <w:sz w:val="16"/>
      <w:szCs w:val="20"/>
      <w:lang w:val="en-US" w:eastAsia="en-US"/>
    </w:rPr>
  </w:style>
  <w:style w:type="paragraph" w:customStyle="1" w:styleId="C-PLR-Title">
    <w:name w:val="C-PLR-Title"/>
    <w:next w:val="C-PLR-BodyText"/>
    <w:rsid w:val="00F72116"/>
    <w:pPr>
      <w:ind w:left="0" w:firstLine="0"/>
      <w:jc w:val="center"/>
    </w:pPr>
    <w:rPr>
      <w:rFonts w:ascii="Times New Roman" w:eastAsia="Times New Roman" w:hAnsi="Times New Roman" w:cs="Times New Roman"/>
      <w:b/>
      <w:caps/>
      <w:sz w:val="16"/>
      <w:szCs w:val="20"/>
      <w:lang w:val="en-US" w:eastAsia="en-US"/>
    </w:rPr>
  </w:style>
  <w:style w:type="paragraph" w:customStyle="1" w:styleId="C-PLR-Caption">
    <w:name w:val="C-PLR-Caption"/>
    <w:next w:val="C-PLR-BodyText"/>
    <w:rsid w:val="00F72116"/>
    <w:pPr>
      <w:keepNext/>
      <w:ind w:left="360" w:hanging="360"/>
      <w:jc w:val="left"/>
    </w:pPr>
    <w:rPr>
      <w:rFonts w:ascii="Times New Roman" w:eastAsia="Times New Roman" w:hAnsi="Times New Roman" w:cs="Times New Roman"/>
      <w:b/>
      <w:sz w:val="16"/>
      <w:szCs w:val="20"/>
      <w:lang w:val="en-US" w:eastAsia="en-US"/>
    </w:rPr>
  </w:style>
  <w:style w:type="paragraph" w:customStyle="1" w:styleId="C-PLR-Heading1nopagebreaknon-numbered">
    <w:name w:val="C-PLR-Heading 1 (no page break.non-numbered)"/>
    <w:basedOn w:val="C-PLR-Heading1non-numbered"/>
    <w:next w:val="C-PLR-BodyText"/>
    <w:rsid w:val="00F72116"/>
  </w:style>
  <w:style w:type="paragraph" w:customStyle="1" w:styleId="C-PLR-Heading2non-numbered">
    <w:name w:val="C-PLR-Heading 2 (non-numbered)"/>
    <w:basedOn w:val="C-PLR-Heading2"/>
    <w:next w:val="C-PLR-BodyText"/>
    <w:rsid w:val="00F72116"/>
    <w:pPr>
      <w:numPr>
        <w:ilvl w:val="0"/>
        <w:numId w:val="0"/>
      </w:numPr>
      <w:ind w:left="720" w:hanging="720"/>
    </w:pPr>
  </w:style>
  <w:style w:type="paragraph" w:customStyle="1" w:styleId="C-PLR-TableFootnote">
    <w:name w:val="C-PLR-Table Footnote"/>
    <w:next w:val="C-PLR-BodyText"/>
    <w:rsid w:val="00F72116"/>
    <w:pPr>
      <w:tabs>
        <w:tab w:val="left" w:pos="432"/>
      </w:tabs>
      <w:ind w:left="432" w:hanging="432"/>
      <w:jc w:val="left"/>
    </w:pPr>
    <w:rPr>
      <w:rFonts w:ascii="Times New Roman" w:eastAsia="Times New Roman" w:hAnsi="Times New Roman" w:cs="Times New Roman"/>
      <w:sz w:val="16"/>
      <w:szCs w:val="20"/>
      <w:lang w:val="en-US" w:eastAsia="en-US"/>
    </w:rPr>
  </w:style>
  <w:style w:type="paragraph" w:customStyle="1" w:styleId="C-PLR-TOC1">
    <w:name w:val="C-PLR-TOC 1"/>
    <w:next w:val="C-PLR-BodyText"/>
    <w:rsid w:val="00F72116"/>
    <w:pPr>
      <w:ind w:left="432" w:hanging="432"/>
      <w:jc w:val="left"/>
    </w:pPr>
    <w:rPr>
      <w:rFonts w:ascii="Times New Roman Bold" w:eastAsia="Times New Roman" w:hAnsi="Times New Roman Bold" w:cs="Times New Roman"/>
      <w:b/>
      <w:caps/>
      <w:sz w:val="16"/>
      <w:szCs w:val="16"/>
      <w:lang w:val="en-US" w:eastAsia="en-US"/>
    </w:rPr>
  </w:style>
  <w:style w:type="paragraph" w:customStyle="1" w:styleId="C-PLR-TOC2">
    <w:name w:val="C-PLR-TOC 2"/>
    <w:basedOn w:val="C-PLR-TOC1"/>
    <w:next w:val="C-PLR-BodyText"/>
    <w:rsid w:val="00F72116"/>
    <w:pPr>
      <w:ind w:left="864"/>
    </w:pPr>
    <w:rPr>
      <w:rFonts w:ascii="Times New Roman" w:hAnsi="Times New Roman"/>
      <w:b w:val="0"/>
      <w:caps w:val="0"/>
    </w:rPr>
  </w:style>
  <w:style w:type="paragraph" w:customStyle="1" w:styleId="Textedebulles">
    <w:name w:val="Texte de bulles"/>
    <w:basedOn w:val="Normal"/>
    <w:rsid w:val="00F72116"/>
    <w:rPr>
      <w:rFonts w:ascii="Tahoma" w:eastAsia="Times New Roman" w:hAnsi="Tahoma" w:cs="Tahoma"/>
      <w:sz w:val="16"/>
      <w:szCs w:val="16"/>
      <w:lang w:val="en-US"/>
    </w:rPr>
  </w:style>
  <w:style w:type="paragraph" w:customStyle="1" w:styleId="C-AlphabeticList">
    <w:name w:val="C-Alphabetic List"/>
    <w:rsid w:val="00F72116"/>
    <w:pPr>
      <w:numPr>
        <w:ilvl w:val="1"/>
        <w:numId w:val="31"/>
      </w:numPr>
      <w:jc w:val="left"/>
    </w:pPr>
    <w:rPr>
      <w:rFonts w:ascii="Times New Roman" w:eastAsia="Times New Roman" w:hAnsi="Times New Roman" w:cs="Times New Roman"/>
      <w:sz w:val="24"/>
      <w:szCs w:val="20"/>
      <w:lang w:val="en-US" w:eastAsia="en-US"/>
    </w:rPr>
  </w:style>
  <w:style w:type="character" w:customStyle="1" w:styleId="C-Hyperlink">
    <w:name w:val="C-Hyperlink"/>
    <w:rsid w:val="00F72116"/>
    <w:rPr>
      <w:color w:val="0000FF"/>
    </w:rPr>
  </w:style>
  <w:style w:type="character" w:customStyle="1" w:styleId="C-TableCallout">
    <w:name w:val="C-Table Callout"/>
    <w:rsid w:val="00F72116"/>
    <w:rPr>
      <w:rFonts w:ascii="Times New Roman" w:hAnsi="Times New Roman"/>
      <w:dstrike w:val="0"/>
      <w:color w:val="auto"/>
      <w:spacing w:val="0"/>
      <w:w w:val="100"/>
      <w:position w:val="0"/>
      <w:sz w:val="22"/>
      <w:szCs w:val="22"/>
      <w:u w:val="none"/>
      <w:effect w:val="none"/>
      <w:vertAlign w:val="superscript"/>
      <w:em w:val="none"/>
    </w:rPr>
  </w:style>
  <w:style w:type="table" w:customStyle="1" w:styleId="C-Table">
    <w:name w:val="C-Table"/>
    <w:basedOn w:val="TableNormal"/>
    <w:rsid w:val="00F72116"/>
    <w:pPr>
      <w:ind w:left="0" w:firstLine="0"/>
      <w:jc w:val="left"/>
    </w:pPr>
    <w:rPr>
      <w:rFonts w:ascii="Times New Roman" w:eastAsia="Times New Roman" w:hAnsi="Times New Roman" w:cs="Times New Roman"/>
      <w:sz w:val="20"/>
      <w:szCs w:val="20"/>
      <w:lang w:val="en-US" w:eastAsia="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C-PLR-AlphabeticList">
    <w:name w:val="C-PLR-Alphabetic List"/>
    <w:rsid w:val="00F72116"/>
    <w:pPr>
      <w:numPr>
        <w:numId w:val="26"/>
      </w:numPr>
      <w:jc w:val="left"/>
    </w:pPr>
    <w:rPr>
      <w:rFonts w:ascii="Times New Roman" w:eastAsia="Times New Roman" w:hAnsi="Times New Roman" w:cs="Arial"/>
      <w:sz w:val="16"/>
      <w:szCs w:val="20"/>
      <w:lang w:val="en-US" w:eastAsia="en-US"/>
    </w:rPr>
  </w:style>
  <w:style w:type="paragraph" w:customStyle="1" w:styleId="C-PLR-CaptionContinued">
    <w:name w:val="C-PLR-Caption Continued"/>
    <w:next w:val="C-PLR-BodyText"/>
    <w:rsid w:val="00F72116"/>
    <w:pPr>
      <w:keepNext/>
      <w:ind w:left="360" w:hanging="360"/>
      <w:jc w:val="left"/>
    </w:pPr>
    <w:rPr>
      <w:rFonts w:ascii="Times New Roman Bold" w:eastAsia="Times New Roman" w:hAnsi="Times New Roman Bold" w:cs="Arial"/>
      <w:b/>
      <w:sz w:val="16"/>
      <w:szCs w:val="20"/>
      <w:lang w:val="en-US" w:eastAsia="en-US"/>
    </w:rPr>
  </w:style>
  <w:style w:type="paragraph" w:customStyle="1" w:styleId="C-PLR-Heading1">
    <w:name w:val="C-PLR-Heading 1"/>
    <w:next w:val="C-PLR-BodyText"/>
    <w:rsid w:val="00F72116"/>
    <w:pPr>
      <w:keepNext/>
      <w:numPr>
        <w:numId w:val="25"/>
      </w:numPr>
      <w:tabs>
        <w:tab w:val="clear" w:pos="1080"/>
        <w:tab w:val="left" w:pos="720"/>
      </w:tabs>
      <w:ind w:left="720" w:hanging="720"/>
      <w:jc w:val="left"/>
      <w:outlineLvl w:val="0"/>
    </w:pPr>
    <w:rPr>
      <w:rFonts w:ascii="Times New Roman Bold" w:eastAsia="Times New Roman" w:hAnsi="Times New Roman Bold" w:cs="Times New Roman"/>
      <w:caps/>
      <w:sz w:val="16"/>
      <w:szCs w:val="20"/>
      <w:lang w:val="en-US" w:eastAsia="en-US"/>
    </w:rPr>
  </w:style>
  <w:style w:type="paragraph" w:customStyle="1" w:styleId="C-PLR-Heading1nopagebreak">
    <w:name w:val="C-PLR-Heading 1 (no page break)"/>
    <w:basedOn w:val="C-PLR-Heading1"/>
    <w:next w:val="C-PLR-BodyText"/>
    <w:rsid w:val="00F72116"/>
  </w:style>
  <w:style w:type="paragraph" w:customStyle="1" w:styleId="C-PLR-Heading2">
    <w:name w:val="C-PLR-Heading 2"/>
    <w:next w:val="C-PLR-BodyText"/>
    <w:rsid w:val="00F72116"/>
    <w:pPr>
      <w:numPr>
        <w:ilvl w:val="1"/>
        <w:numId w:val="25"/>
      </w:numPr>
      <w:tabs>
        <w:tab w:val="clear" w:pos="1080"/>
        <w:tab w:val="left" w:pos="720"/>
      </w:tabs>
      <w:ind w:left="720" w:hanging="720"/>
      <w:jc w:val="left"/>
      <w:outlineLvl w:val="1"/>
    </w:pPr>
    <w:rPr>
      <w:rFonts w:ascii="Times New Roman Bold" w:eastAsia="Times New Roman" w:hAnsi="Times New Roman Bold" w:cs="Arial"/>
      <w:sz w:val="16"/>
      <w:szCs w:val="20"/>
      <w:lang w:val="en-US" w:eastAsia="en-US"/>
    </w:rPr>
  </w:style>
  <w:style w:type="paragraph" w:customStyle="1" w:styleId="C-PLR-Heading3">
    <w:name w:val="C-PLR-Heading 3"/>
    <w:next w:val="C-PLR-BodyText"/>
    <w:rsid w:val="00F72116"/>
    <w:pPr>
      <w:numPr>
        <w:ilvl w:val="2"/>
        <w:numId w:val="25"/>
      </w:numPr>
      <w:tabs>
        <w:tab w:val="clear" w:pos="1080"/>
        <w:tab w:val="left" w:pos="720"/>
      </w:tabs>
      <w:ind w:left="720" w:hanging="720"/>
      <w:jc w:val="left"/>
      <w:outlineLvl w:val="2"/>
    </w:pPr>
    <w:rPr>
      <w:rFonts w:ascii="Times New Roman Bold" w:eastAsia="Times New Roman" w:hAnsi="Times New Roman Bold" w:cs="Arial"/>
      <w:sz w:val="16"/>
      <w:szCs w:val="20"/>
      <w:lang w:val="en-US" w:eastAsia="en-US"/>
    </w:rPr>
  </w:style>
  <w:style w:type="paragraph" w:customStyle="1" w:styleId="C-PLR-Heading3non-numbered">
    <w:name w:val="C-PLR-Heading 3 (non-numbered)"/>
    <w:basedOn w:val="C-PLR-Heading3"/>
    <w:next w:val="C-PLR-BodyText"/>
    <w:rsid w:val="00F72116"/>
    <w:pPr>
      <w:numPr>
        <w:ilvl w:val="0"/>
        <w:numId w:val="0"/>
      </w:numPr>
      <w:ind w:left="720" w:hanging="720"/>
    </w:pPr>
  </w:style>
  <w:style w:type="paragraph" w:customStyle="1" w:styleId="C-PLR-Heading4">
    <w:name w:val="C-PLR-Heading 4"/>
    <w:next w:val="C-PLR-BodyText"/>
    <w:rsid w:val="00F72116"/>
    <w:pPr>
      <w:numPr>
        <w:ilvl w:val="3"/>
        <w:numId w:val="25"/>
      </w:numPr>
      <w:tabs>
        <w:tab w:val="clear" w:pos="1080"/>
        <w:tab w:val="left" w:pos="720"/>
      </w:tabs>
      <w:ind w:left="720" w:hanging="720"/>
      <w:jc w:val="left"/>
      <w:outlineLvl w:val="3"/>
    </w:pPr>
    <w:rPr>
      <w:rFonts w:ascii="Times New Roman Bold" w:eastAsia="Times New Roman" w:hAnsi="Times New Roman Bold" w:cs="Arial"/>
      <w:sz w:val="16"/>
      <w:szCs w:val="20"/>
      <w:lang w:val="en-US" w:eastAsia="en-US"/>
    </w:rPr>
  </w:style>
  <w:style w:type="paragraph" w:customStyle="1" w:styleId="C-PLR-Heading4non-numbered">
    <w:name w:val="C-PLR-Heading 4 (non-numbered)"/>
    <w:basedOn w:val="C-PLR-Heading4"/>
    <w:next w:val="C-PLR-BodyText"/>
    <w:rsid w:val="00F72116"/>
    <w:pPr>
      <w:numPr>
        <w:ilvl w:val="0"/>
        <w:numId w:val="0"/>
      </w:numPr>
      <w:ind w:left="720" w:hanging="720"/>
    </w:pPr>
  </w:style>
  <w:style w:type="paragraph" w:customStyle="1" w:styleId="C-PLR-Heading5">
    <w:name w:val="C-PLR-Heading 5"/>
    <w:next w:val="C-PLR-BodyText"/>
    <w:rsid w:val="00F72116"/>
    <w:pPr>
      <w:numPr>
        <w:ilvl w:val="4"/>
        <w:numId w:val="25"/>
      </w:numPr>
      <w:tabs>
        <w:tab w:val="clear" w:pos="1080"/>
        <w:tab w:val="left" w:pos="720"/>
      </w:tabs>
      <w:ind w:left="720" w:hanging="720"/>
      <w:jc w:val="left"/>
      <w:outlineLvl w:val="4"/>
    </w:pPr>
    <w:rPr>
      <w:rFonts w:ascii="Times New Roman Bold" w:eastAsia="Times New Roman" w:hAnsi="Times New Roman Bold" w:cs="Arial"/>
      <w:sz w:val="16"/>
      <w:szCs w:val="20"/>
      <w:lang w:val="en-US" w:eastAsia="en-US"/>
    </w:rPr>
  </w:style>
  <w:style w:type="paragraph" w:customStyle="1" w:styleId="C-PLR-Heading5non-numbered">
    <w:name w:val="C-PLR-Heading 5 (non-numbered)"/>
    <w:basedOn w:val="C-PLR-Heading5"/>
    <w:next w:val="C-PLR-BodyText"/>
    <w:rsid w:val="00F72116"/>
    <w:pPr>
      <w:numPr>
        <w:ilvl w:val="0"/>
        <w:numId w:val="0"/>
      </w:numPr>
      <w:ind w:left="720" w:hanging="720"/>
    </w:pPr>
  </w:style>
  <w:style w:type="paragraph" w:customStyle="1" w:styleId="C-PLR-Heading6">
    <w:name w:val="C-PLR-Heading 6"/>
    <w:next w:val="C-PLR-BodyText"/>
    <w:rsid w:val="00F72116"/>
    <w:pPr>
      <w:numPr>
        <w:ilvl w:val="5"/>
        <w:numId w:val="25"/>
      </w:numPr>
      <w:tabs>
        <w:tab w:val="clear" w:pos="1080"/>
        <w:tab w:val="left" w:pos="864"/>
      </w:tabs>
      <w:ind w:left="864" w:hanging="864"/>
      <w:jc w:val="left"/>
      <w:outlineLvl w:val="5"/>
    </w:pPr>
    <w:rPr>
      <w:rFonts w:ascii="Times New Roman Bold" w:eastAsia="Times New Roman" w:hAnsi="Times New Roman Bold" w:cs="Arial"/>
      <w:sz w:val="16"/>
      <w:szCs w:val="20"/>
      <w:lang w:val="en-US" w:eastAsia="en-US"/>
    </w:rPr>
  </w:style>
  <w:style w:type="paragraph" w:customStyle="1" w:styleId="C-PLR-Heading6non-numbered">
    <w:name w:val="C-PLR-Heading 6 (non-numbered)"/>
    <w:basedOn w:val="C-PLR-Heading6"/>
    <w:next w:val="C-PLR-BodyText"/>
    <w:rsid w:val="00F72116"/>
    <w:pPr>
      <w:numPr>
        <w:ilvl w:val="0"/>
        <w:numId w:val="0"/>
      </w:numPr>
      <w:ind w:left="864" w:hanging="864"/>
    </w:pPr>
  </w:style>
  <w:style w:type="paragraph" w:customStyle="1" w:styleId="C-PLR-InstructionText">
    <w:name w:val="C-PLR-Instruction Text"/>
    <w:rsid w:val="00F72116"/>
    <w:pPr>
      <w:ind w:left="0" w:firstLine="0"/>
      <w:jc w:val="left"/>
    </w:pPr>
    <w:rPr>
      <w:rFonts w:ascii="Times New Roman Bold" w:eastAsia="Times New Roman" w:hAnsi="Times New Roman Bold" w:cs="Arial"/>
      <w:vanish/>
      <w:color w:val="FF0000"/>
      <w:sz w:val="16"/>
      <w:szCs w:val="20"/>
      <w:lang w:val="en-US" w:eastAsia="en-US"/>
    </w:rPr>
  </w:style>
  <w:style w:type="paragraph" w:customStyle="1" w:styleId="C-PLR-TOC3">
    <w:name w:val="C-PLR-TOC 3"/>
    <w:basedOn w:val="C-PLR-TOC1"/>
    <w:next w:val="C-PLR-BodyText"/>
    <w:rsid w:val="00F72116"/>
    <w:pPr>
      <w:tabs>
        <w:tab w:val="left" w:pos="432"/>
      </w:tabs>
      <w:ind w:left="864"/>
    </w:pPr>
    <w:rPr>
      <w:rFonts w:ascii="Times New Roman" w:hAnsi="Times New Roman"/>
      <w:b w:val="0"/>
      <w:caps w:val="0"/>
    </w:rPr>
  </w:style>
  <w:style w:type="paragraph" w:customStyle="1" w:styleId="C-PLR-TOC4">
    <w:name w:val="C-PLR-TOC 4"/>
    <w:basedOn w:val="C-PLR-TOC1"/>
    <w:next w:val="C-PLR-BodyText"/>
    <w:rsid w:val="00F72116"/>
    <w:pPr>
      <w:tabs>
        <w:tab w:val="left" w:pos="432"/>
      </w:tabs>
      <w:ind w:left="864"/>
    </w:pPr>
    <w:rPr>
      <w:rFonts w:ascii="Times New Roman" w:hAnsi="Times New Roman"/>
      <w:b w:val="0"/>
      <w:caps w:val="0"/>
    </w:rPr>
  </w:style>
  <w:style w:type="paragraph" w:styleId="BodyTextFirstIndent2">
    <w:name w:val="Body Text First Indent 2"/>
    <w:basedOn w:val="BodyTextIndent"/>
    <w:link w:val="BodyTextFirstIndent2Char"/>
    <w:rsid w:val="00F72116"/>
    <w:pPr>
      <w:keepLines w:val="0"/>
      <w:widowControl/>
      <w:spacing w:before="0"/>
      <w:ind w:left="360" w:firstLine="210"/>
      <w:jc w:val="left"/>
    </w:pPr>
    <w:rPr>
      <w:rFonts w:ascii="Times New Roman" w:hAnsi="Times New Roman" w:cs="Arial"/>
      <w:sz w:val="24"/>
      <w:szCs w:val="20"/>
      <w:lang w:val="en-US"/>
    </w:rPr>
  </w:style>
  <w:style w:type="character" w:customStyle="1" w:styleId="BodyTextFirstIndent2Char">
    <w:name w:val="Body Text First Indent 2 Char"/>
    <w:basedOn w:val="BodyTextIndentChar"/>
    <w:link w:val="BodyTextFirstIndent2"/>
    <w:rsid w:val="00F72116"/>
    <w:rPr>
      <w:rFonts w:ascii="Times New Roman" w:eastAsia="Times New Roman" w:hAnsi="Times New Roman" w:cs="Arial"/>
      <w:sz w:val="24"/>
      <w:szCs w:val="20"/>
      <w:lang w:val="en-US" w:eastAsia="en-US"/>
    </w:rPr>
  </w:style>
  <w:style w:type="paragraph" w:customStyle="1" w:styleId="C-PLR-Heading1non-numbered">
    <w:name w:val="C-PLR-Heading 1 (non-numbered)"/>
    <w:basedOn w:val="C-PLR-Heading1"/>
    <w:next w:val="C-PLR-BodyText"/>
    <w:rsid w:val="00F72116"/>
    <w:pPr>
      <w:numPr>
        <w:numId w:val="0"/>
      </w:numPr>
      <w:ind w:left="720" w:hanging="720"/>
    </w:pPr>
  </w:style>
  <w:style w:type="paragraph" w:customStyle="1" w:styleId="C-AppendixNumbered">
    <w:name w:val="C-Appendix (Numbered)"/>
    <w:basedOn w:val="C-Appendix"/>
    <w:next w:val="C-BodyText"/>
    <w:rsid w:val="00F72116"/>
    <w:pPr>
      <w:numPr>
        <w:numId w:val="28"/>
      </w:numPr>
      <w:tabs>
        <w:tab w:val="left" w:pos="1987"/>
      </w:tabs>
    </w:pPr>
  </w:style>
  <w:style w:type="numbering" w:customStyle="1" w:styleId="SPNumberedTabs">
    <w:name w:val="SP Numbered Tabs"/>
    <w:rsid w:val="00F72116"/>
    <w:pPr>
      <w:numPr>
        <w:numId w:val="29"/>
      </w:numPr>
    </w:pPr>
  </w:style>
  <w:style w:type="numbering" w:customStyle="1" w:styleId="SPBulletTabs">
    <w:name w:val="SP Bullet Tabs"/>
    <w:rsid w:val="00F72116"/>
    <w:pPr>
      <w:numPr>
        <w:numId w:val="30"/>
      </w:numPr>
    </w:pPr>
  </w:style>
  <w:style w:type="paragraph" w:customStyle="1" w:styleId="C-Alphabetic">
    <w:name w:val="C-Alphabetic"/>
    <w:basedOn w:val="C-Heading1"/>
    <w:next w:val="C-BodyText"/>
    <w:link w:val="C-AlphabeticChar"/>
    <w:qFormat/>
    <w:rsid w:val="00F72116"/>
    <w:pPr>
      <w:numPr>
        <w:numId w:val="32"/>
      </w:numPr>
      <w:tabs>
        <w:tab w:val="left" w:pos="1080"/>
      </w:tabs>
      <w:ind w:left="1080" w:hanging="1080"/>
    </w:pPr>
  </w:style>
  <w:style w:type="character" w:customStyle="1" w:styleId="C-Heading1Char">
    <w:name w:val="C-Heading 1 Char"/>
    <w:link w:val="C-Heading1"/>
    <w:rsid w:val="00F72116"/>
    <w:rPr>
      <w:rFonts w:ascii="Times New Roman" w:eastAsia="Times New Roman" w:hAnsi="Times New Roman" w:cs="Times New Roman"/>
      <w:b/>
      <w:caps/>
      <w:sz w:val="28"/>
      <w:szCs w:val="20"/>
      <w:lang w:val="en-US" w:eastAsia="en-US"/>
    </w:rPr>
  </w:style>
  <w:style w:type="character" w:customStyle="1" w:styleId="C-AlphabeticChar">
    <w:name w:val="C-Alphabetic Char"/>
    <w:link w:val="C-Alphabetic"/>
    <w:rsid w:val="00F72116"/>
    <w:rPr>
      <w:rFonts w:ascii="Times New Roman" w:eastAsia="Times New Roman" w:hAnsi="Times New Roman" w:cs="Times New Roman"/>
      <w:b/>
      <w:caps/>
      <w:sz w:val="28"/>
      <w:szCs w:val="20"/>
      <w:lang w:val="en-US" w:eastAsia="en-US"/>
    </w:rPr>
  </w:style>
  <w:style w:type="paragraph" w:customStyle="1" w:styleId="C-Footnote">
    <w:name w:val="C-Footnote"/>
    <w:basedOn w:val="C-TableFootnote"/>
    <w:qFormat/>
    <w:rsid w:val="00F72116"/>
    <w:pPr>
      <w:ind w:left="0" w:firstLine="0"/>
    </w:pPr>
  </w:style>
  <w:style w:type="paragraph" w:customStyle="1" w:styleId="BodyText-Highlights">
    <w:name w:val="Body Text - Highlights"/>
    <w:basedOn w:val="BodyText"/>
    <w:rsid w:val="00F72116"/>
    <w:rPr>
      <w:rFonts w:ascii="Times New Roman" w:eastAsia="Times New Roman" w:hAnsi="Times New Roman"/>
      <w:sz w:val="24"/>
      <w:lang w:val="en-US"/>
    </w:rPr>
  </w:style>
  <w:style w:type="numbering" w:customStyle="1" w:styleId="NumberSage">
    <w:name w:val="Number Sage"/>
    <w:basedOn w:val="NoList"/>
    <w:rsid w:val="00F72116"/>
    <w:pPr>
      <w:numPr>
        <w:numId w:val="34"/>
      </w:numPr>
    </w:pPr>
  </w:style>
  <w:style w:type="paragraph" w:customStyle="1" w:styleId="TableFootnote">
    <w:name w:val="Table Footnote"/>
    <w:rsid w:val="00F72116"/>
    <w:pPr>
      <w:ind w:left="0" w:firstLine="0"/>
      <w:jc w:val="left"/>
    </w:pPr>
    <w:rPr>
      <w:rFonts w:ascii="Times New Roman" w:eastAsia="Times New Roman" w:hAnsi="Times New Roman" w:cs="Times New Roman"/>
      <w:sz w:val="20"/>
      <w:szCs w:val="20"/>
      <w:lang w:val="en-US" w:eastAsia="en-US"/>
    </w:rPr>
  </w:style>
  <w:style w:type="paragraph" w:customStyle="1" w:styleId="TableParagraph">
    <w:name w:val="Table Paragraph"/>
    <w:basedOn w:val="Normal"/>
    <w:rsid w:val="00F72116"/>
    <w:pPr>
      <w:widowControl w:val="0"/>
    </w:pPr>
    <w:rPr>
      <w:rFonts w:ascii="Calibri" w:eastAsia="Calibri" w:hAnsi="Calibri"/>
      <w:sz w:val="22"/>
      <w:szCs w:val="22"/>
      <w:lang w:val="en-US"/>
    </w:rPr>
  </w:style>
  <w:style w:type="paragraph" w:customStyle="1" w:styleId="FigureTitleLeft">
    <w:name w:val="Figure Title Left"/>
    <w:next w:val="BodyText"/>
    <w:rsid w:val="00F72116"/>
    <w:pPr>
      <w:keepNext/>
      <w:keepLines/>
      <w:spacing w:after="120"/>
      <w:ind w:left="1080" w:hanging="1080"/>
      <w:jc w:val="left"/>
    </w:pPr>
    <w:rPr>
      <w:rFonts w:ascii="Times New Roman Bold" w:eastAsia="Times New Roman" w:hAnsi="Times New Roman Bold" w:cs="Times New Roman"/>
      <w:b/>
      <w:bCs/>
      <w:sz w:val="20"/>
      <w:szCs w:val="20"/>
      <w:lang w:val="en-US" w:eastAsia="en-US"/>
    </w:rPr>
  </w:style>
  <w:style w:type="paragraph" w:customStyle="1" w:styleId="SageBodyText">
    <w:name w:val="Sage Body Text"/>
    <w:rsid w:val="00F72116"/>
    <w:pPr>
      <w:spacing w:before="240"/>
      <w:ind w:left="0" w:firstLine="0"/>
      <w:jc w:val="left"/>
    </w:pPr>
    <w:rPr>
      <w:rFonts w:ascii="Times New Roman" w:eastAsia="Arial Unicode MS" w:hAnsi="Times New Roman" w:cs="Times New Roman"/>
      <w:sz w:val="24"/>
      <w:szCs w:val="24"/>
      <w:lang w:val="en-US" w:eastAsia="zh-TW"/>
    </w:rPr>
  </w:style>
  <w:style w:type="character" w:customStyle="1" w:styleId="italics6">
    <w:name w:val="italics6"/>
    <w:rsid w:val="00F72116"/>
    <w:rPr>
      <w:i/>
      <w:iCs/>
    </w:rPr>
  </w:style>
  <w:style w:type="table" w:customStyle="1" w:styleId="TableGrid12">
    <w:name w:val="Table Grid12"/>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RONplain312">
    <w:name w:val="Table - HERON plain31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numbering" w:customStyle="1" w:styleId="NoList3">
    <w:name w:val="No List3"/>
    <w:next w:val="NoList"/>
    <w:uiPriority w:val="99"/>
    <w:semiHidden/>
    <w:unhideWhenUsed/>
    <w:rsid w:val="00F72116"/>
  </w:style>
  <w:style w:type="table" w:customStyle="1" w:styleId="LightShading-Accent23">
    <w:name w:val="Light Shading - Accent 23"/>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RONtablecolour3">
    <w:name w:val="HERON table colour3"/>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3">
    <w:name w:val="Light List - Accent 33"/>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3">
    <w:name w:val="Light List - Accent 43"/>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3">
    <w:name w:val="Light Shading - Accent 43"/>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3">
    <w:name w:val="Light Shading - Accent 53"/>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3">
    <w:name w:val="Style13"/>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4">
    <w:name w:val="Table Grid4"/>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 83"/>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3">
    <w:name w:val="Table - HERON plain13"/>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3">
    <w:name w:val="Table - HERON plain23"/>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3">
    <w:name w:val="Table - HERON plain33"/>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numbering" w:customStyle="1" w:styleId="NoList12">
    <w:name w:val="No List12"/>
    <w:next w:val="NoList"/>
    <w:uiPriority w:val="99"/>
    <w:semiHidden/>
    <w:unhideWhenUsed/>
    <w:rsid w:val="00F72116"/>
  </w:style>
  <w:style w:type="table" w:customStyle="1" w:styleId="LightShading-Accent212">
    <w:name w:val="Light Shading - Accent 212"/>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RONtablecolour12">
    <w:name w:val="HERON table colour12"/>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12">
    <w:name w:val="Light List - Accent 312"/>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12">
    <w:name w:val="Light List - Accent 412"/>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12">
    <w:name w:val="Light Shading - Accent 412"/>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12">
    <w:name w:val="Light Shading - Accent 512"/>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12">
    <w:name w:val="Style112"/>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12">
    <w:name w:val="Table - HERON plain11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12">
    <w:name w:val="Table - HERON plain212"/>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13">
    <w:name w:val="Table - HERON plain313"/>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Grid22">
    <w:name w:val="Table Grid22"/>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72116"/>
  </w:style>
  <w:style w:type="table" w:customStyle="1" w:styleId="LightShading-Accent221">
    <w:name w:val="Light Shading - Accent 221"/>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HERONplain51">
    <w:name w:val="Table - HERON plain5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HERONtablecolour21">
    <w:name w:val="HERON table colour21"/>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21">
    <w:name w:val="Light List - Accent 321"/>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21">
    <w:name w:val="Light List - Accent 421"/>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21">
    <w:name w:val="Light Shading - Accent 421"/>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21">
    <w:name w:val="Light Shading - Accent 521"/>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21">
    <w:name w:val="Style121"/>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3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 821"/>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21">
    <w:name w:val="Table - HERON plain12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21">
    <w:name w:val="Table - HERON plain22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21">
    <w:name w:val="Table - HERON plain32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numbering" w:customStyle="1" w:styleId="NoList111">
    <w:name w:val="No List111"/>
    <w:next w:val="NoList"/>
    <w:uiPriority w:val="99"/>
    <w:semiHidden/>
    <w:unhideWhenUsed/>
    <w:rsid w:val="00F72116"/>
  </w:style>
  <w:style w:type="table" w:customStyle="1" w:styleId="LightShading-Accent2111">
    <w:name w:val="Light Shading - Accent 2111"/>
    <w:basedOn w:val="TableNormal"/>
    <w:next w:val="LightShading-Accent2"/>
    <w:uiPriority w:val="60"/>
    <w:rsid w:val="00F72116"/>
    <w:pPr>
      <w:ind w:left="0" w:firstLine="0"/>
      <w:jc w:val="left"/>
    </w:pPr>
    <w:rPr>
      <w:rFonts w:ascii="Tahoma" w:eastAsia="Tahoma" w:hAnsi="Tahom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HERONplain411">
    <w:name w:val="Table - HERON plain4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HERONtablecolour111">
    <w:name w:val="HERON table colour111"/>
    <w:basedOn w:val="TableNormal"/>
    <w:uiPriority w:val="99"/>
    <w:qFormat/>
    <w:rsid w:val="00F72116"/>
    <w:pPr>
      <w:ind w:left="108"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vAlign w:val="center"/>
    </w:tcPr>
    <w:tblStylePr w:type="firstRow">
      <w:rPr>
        <w:rFonts w:ascii="Tahoma" w:hAnsi="Tahoma"/>
        <w:b/>
        <w:color w:val="D9D9D9" w:themeColor="background1" w:themeShade="D9"/>
        <w:sz w:val="16"/>
      </w:rPr>
      <w:tblPr/>
      <w:trPr>
        <w:cantSplit w:val="0"/>
        <w:tblHeader/>
      </w:trPr>
      <w:tcPr>
        <w:shd w:val="clear" w:color="auto" w:fill="00529B"/>
      </w:tcPr>
    </w:tblStylePr>
    <w:tblStylePr w:type="lastRow">
      <w:rPr>
        <w:rFonts w:ascii="Tahoma" w:hAnsi="Tahoma"/>
        <w:b/>
        <w:color w:val="DEDEDE"/>
        <w:sz w:val="16"/>
      </w:rPr>
      <w:tblPr/>
      <w:tcPr>
        <w:shd w:val="clear" w:color="auto" w:fill="00529B"/>
      </w:tcPr>
    </w:tblStylePr>
    <w:tblStylePr w:type="firstCol">
      <w:rPr>
        <w:b/>
        <w:color w:val="D9D9D9" w:themeColor="background1" w:themeShade="D9"/>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00529B"/>
      </w:tcPr>
    </w:tblStylePr>
    <w:tblStylePr w:type="band1Horz">
      <w:rPr>
        <w:rFonts w:ascii="Tahoma" w:hAnsi="Tahoma"/>
        <w:sz w:val="16"/>
      </w:rPr>
      <w:tblPr/>
      <w:tcPr>
        <w:shd w:val="clear" w:color="auto" w:fill="E9EDF4"/>
      </w:tcPr>
    </w:tblStylePr>
    <w:tblStylePr w:type="band2Horz">
      <w:rPr>
        <w:rFonts w:ascii="Tahoma" w:hAnsi="Tahoma"/>
        <w:sz w:val="16"/>
      </w:rPr>
      <w:tblPr/>
      <w:tcPr>
        <w:shd w:val="clear" w:color="auto" w:fill="D0D8E8"/>
      </w:tcPr>
    </w:tblStylePr>
  </w:style>
  <w:style w:type="table" w:customStyle="1" w:styleId="LightList-Accent3111">
    <w:name w:val="Light List - Accent 3111"/>
    <w:basedOn w:val="TableNormal"/>
    <w:next w:val="LightList-Accent3"/>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91AFD3"/>
        <w:left w:val="single" w:sz="8" w:space="0" w:color="91AFD3"/>
        <w:bottom w:val="single" w:sz="8" w:space="0" w:color="91AFD3"/>
        <w:right w:val="single" w:sz="8" w:space="0" w:color="91AFD3"/>
      </w:tblBorders>
    </w:tblPr>
    <w:tblStylePr w:type="firstRow">
      <w:pPr>
        <w:spacing w:before="0" w:after="0" w:line="240" w:lineRule="auto"/>
      </w:pPr>
      <w:rPr>
        <w:b/>
        <w:bCs/>
        <w:color w:val="EAEAEA"/>
      </w:rPr>
      <w:tblPr/>
      <w:tcPr>
        <w:shd w:val="clear" w:color="auto" w:fill="91AFD3"/>
      </w:tcPr>
    </w:tblStylePr>
    <w:tblStylePr w:type="lastRow">
      <w:pPr>
        <w:spacing w:before="0" w:after="0" w:line="240" w:lineRule="auto"/>
      </w:pPr>
      <w:rPr>
        <w:b/>
        <w:bCs/>
      </w:rPr>
      <w:tblPr/>
      <w:tcPr>
        <w:tcBorders>
          <w:top w:val="double" w:sz="6" w:space="0" w:color="91AFD3"/>
          <w:left w:val="single" w:sz="8" w:space="0" w:color="91AFD3"/>
          <w:bottom w:val="single" w:sz="8" w:space="0" w:color="91AFD3"/>
          <w:right w:val="single" w:sz="8" w:space="0" w:color="91AFD3"/>
        </w:tcBorders>
      </w:tcPr>
    </w:tblStylePr>
    <w:tblStylePr w:type="firstCol">
      <w:rPr>
        <w:b/>
        <w:bCs/>
      </w:rPr>
    </w:tblStylePr>
    <w:tblStylePr w:type="lastCol">
      <w:rPr>
        <w:b/>
        <w:bCs/>
      </w:rPr>
    </w:tblStylePr>
    <w:tblStylePr w:type="band1Vert">
      <w:tblPr/>
      <w:tcPr>
        <w:tcBorders>
          <w:top w:val="single" w:sz="8" w:space="0" w:color="91AFD3"/>
          <w:left w:val="single" w:sz="8" w:space="0" w:color="91AFD3"/>
          <w:bottom w:val="single" w:sz="8" w:space="0" w:color="91AFD3"/>
          <w:right w:val="single" w:sz="8" w:space="0" w:color="91AFD3"/>
        </w:tcBorders>
      </w:tcPr>
    </w:tblStylePr>
    <w:tblStylePr w:type="band1Horz">
      <w:tblPr/>
      <w:tcPr>
        <w:tcBorders>
          <w:top w:val="single" w:sz="8" w:space="0" w:color="91AFD3"/>
          <w:left w:val="single" w:sz="8" w:space="0" w:color="91AFD3"/>
          <w:bottom w:val="single" w:sz="8" w:space="0" w:color="91AFD3"/>
          <w:right w:val="single" w:sz="8" w:space="0" w:color="91AFD3"/>
        </w:tcBorders>
      </w:tcPr>
    </w:tblStylePr>
  </w:style>
  <w:style w:type="table" w:customStyle="1" w:styleId="LightList-Accent4111">
    <w:name w:val="Light List - Accent 4111"/>
    <w:basedOn w:val="TableNormal"/>
    <w:next w:val="LightList-Accent4"/>
    <w:uiPriority w:val="61"/>
    <w:rsid w:val="00F72116"/>
    <w:pPr>
      <w:ind w:left="0" w:firstLine="0"/>
      <w:jc w:val="left"/>
    </w:pPr>
    <w:rPr>
      <w:rFonts w:ascii="Tahoma" w:eastAsia="Tahoma" w:hAnsi="Tahoma" w:cs="Times New Roman"/>
      <w:sz w:val="20"/>
      <w:szCs w:val="20"/>
      <w:lang w:eastAsia="en-GB"/>
    </w:rPr>
    <w:tblPr>
      <w:tblStyleRowBandSize w:val="1"/>
      <w:tblStyleColBandSize w:val="1"/>
      <w:tblBorders>
        <w:top w:val="single" w:sz="8" w:space="0" w:color="48486C"/>
        <w:left w:val="single" w:sz="8" w:space="0" w:color="48486C"/>
        <w:bottom w:val="single" w:sz="8" w:space="0" w:color="48486C"/>
        <w:right w:val="single" w:sz="8" w:space="0" w:color="48486C"/>
      </w:tblBorders>
    </w:tblPr>
    <w:tblStylePr w:type="firstRow">
      <w:pPr>
        <w:spacing w:before="0" w:after="0" w:line="240" w:lineRule="auto"/>
      </w:pPr>
      <w:rPr>
        <w:b/>
        <w:bCs/>
        <w:color w:val="EAEAEA"/>
      </w:rPr>
      <w:tblPr/>
      <w:tcPr>
        <w:shd w:val="clear" w:color="auto" w:fill="48486C"/>
      </w:tcPr>
    </w:tblStylePr>
    <w:tblStylePr w:type="lastRow">
      <w:pPr>
        <w:spacing w:before="0" w:after="0" w:line="240" w:lineRule="auto"/>
      </w:pPr>
      <w:rPr>
        <w:b/>
        <w:bCs/>
      </w:rPr>
      <w:tblPr/>
      <w:tcPr>
        <w:tcBorders>
          <w:top w:val="double" w:sz="6" w:space="0" w:color="48486C"/>
          <w:left w:val="single" w:sz="8" w:space="0" w:color="48486C"/>
          <w:bottom w:val="single" w:sz="8" w:space="0" w:color="48486C"/>
          <w:right w:val="single" w:sz="8" w:space="0" w:color="48486C"/>
        </w:tcBorders>
      </w:tcPr>
    </w:tblStylePr>
    <w:tblStylePr w:type="firstCol">
      <w:rPr>
        <w:b/>
        <w:bCs/>
      </w:rPr>
    </w:tblStylePr>
    <w:tblStylePr w:type="lastCol">
      <w:rPr>
        <w:b/>
        <w:bCs/>
      </w:rPr>
    </w:tblStylePr>
    <w:tblStylePr w:type="band1Vert">
      <w:tblPr/>
      <w:tcPr>
        <w:tcBorders>
          <w:top w:val="single" w:sz="8" w:space="0" w:color="48486C"/>
          <w:left w:val="single" w:sz="8" w:space="0" w:color="48486C"/>
          <w:bottom w:val="single" w:sz="8" w:space="0" w:color="48486C"/>
          <w:right w:val="single" w:sz="8" w:space="0" w:color="48486C"/>
        </w:tcBorders>
      </w:tcPr>
    </w:tblStylePr>
    <w:tblStylePr w:type="band1Horz">
      <w:tblPr/>
      <w:tcPr>
        <w:tcBorders>
          <w:top w:val="single" w:sz="8" w:space="0" w:color="48486C"/>
          <w:left w:val="single" w:sz="8" w:space="0" w:color="48486C"/>
          <w:bottom w:val="single" w:sz="8" w:space="0" w:color="48486C"/>
          <w:right w:val="single" w:sz="8" w:space="0" w:color="48486C"/>
        </w:tcBorders>
      </w:tcPr>
    </w:tblStylePr>
  </w:style>
  <w:style w:type="table" w:customStyle="1" w:styleId="LightShading-Accent4111">
    <w:name w:val="Light Shading - Accent 4111"/>
    <w:basedOn w:val="TableNormal"/>
    <w:next w:val="LightShading-Accent4"/>
    <w:uiPriority w:val="60"/>
    <w:rsid w:val="00F72116"/>
    <w:pPr>
      <w:ind w:left="0" w:firstLine="0"/>
      <w:jc w:val="left"/>
    </w:pPr>
    <w:rPr>
      <w:rFonts w:ascii="Tahoma" w:eastAsia="Tahoma" w:hAnsi="Tahoma"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111">
    <w:name w:val="Light Shading - Accent 5111"/>
    <w:basedOn w:val="TableNormal"/>
    <w:next w:val="LightShading-Accent5"/>
    <w:uiPriority w:val="60"/>
    <w:rsid w:val="00F72116"/>
    <w:pPr>
      <w:ind w:left="0" w:firstLine="0"/>
      <w:jc w:val="left"/>
    </w:pPr>
    <w:rPr>
      <w:rFonts w:ascii="Tahoma" w:eastAsia="Tahoma" w:hAnsi="Tahoma" w:cs="Times New Roman"/>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111">
    <w:name w:val="Style1111"/>
    <w:basedOn w:val="TableGrid8"/>
    <w:uiPriority w:val="99"/>
    <w:qFormat/>
    <w:rsid w:val="00F72116"/>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1">
    <w:name w:val="Table Grid11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 8111"/>
    <w:basedOn w:val="TableNormal"/>
    <w:next w:val="TableGrid8"/>
    <w:uiPriority w:val="99"/>
    <w:semiHidden/>
    <w:unhideWhenUsed/>
    <w:rsid w:val="00F72116"/>
    <w:pPr>
      <w:keepLines/>
      <w:widowControl w:val="0"/>
      <w:ind w:left="0" w:firstLine="0"/>
      <w:jc w:val="left"/>
    </w:pPr>
    <w:rPr>
      <w:rFonts w:ascii="Tahoma" w:eastAsia="Tahoma" w:hAnsi="Tahom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HERONplain1111">
    <w:name w:val="Table - HERON plain11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2111">
    <w:name w:val="Table - HERON plain21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3111">
    <w:name w:val="Table - HERON plain311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Grid211">
    <w:name w:val="Table Grid211"/>
    <w:basedOn w:val="TableNormal"/>
    <w:next w:val="TableGrid"/>
    <w:rsid w:val="00F72116"/>
    <w:pPr>
      <w:ind w:left="0" w:firstLine="0"/>
      <w:jc w:val="left"/>
    </w:pPr>
    <w:rPr>
      <w:rFonts w:ascii="Tahoma" w:eastAsia="Tahoma"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RONplain61">
    <w:name w:val="Table - HERON plain6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Table-HERONplain71">
    <w:name w:val="Table - HERON plain7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cPr>
      <w:vAlign w:val="center"/>
    </w:tcPr>
    <w:tblStylePr w:type="firstRow">
      <w:rPr>
        <w:rFonts w:ascii="Tahoma" w:hAnsi="Tahoma" w:cs="Tahoma" w:hint="default"/>
        <w:b/>
        <w:sz w:val="16"/>
        <w:szCs w:val="16"/>
      </w:rPr>
      <w:tblPr/>
      <w:tcPr>
        <w:shd w:val="clear" w:color="auto" w:fill="C7C7C7"/>
      </w:tcPr>
    </w:tblStylePr>
    <w:tblStylePr w:type="lastRow">
      <w:rPr>
        <w:rFonts w:ascii="Tahoma" w:hAnsi="Tahoma" w:cs="Tahoma" w:hint="default"/>
        <w:sz w:val="16"/>
        <w:szCs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cs="Tahoma" w:hint="default"/>
        <w:sz w:val="16"/>
        <w:szCs w:val="16"/>
      </w:rPr>
    </w:tblStylePr>
  </w:style>
  <w:style w:type="table" w:customStyle="1" w:styleId="Table-HERONplain81">
    <w:name w:val="Table - HERON plain81"/>
    <w:basedOn w:val="TableNormal"/>
    <w:uiPriority w:val="99"/>
    <w:qFormat/>
    <w:rsid w:val="00F72116"/>
    <w:pPr>
      <w:ind w:left="0" w:firstLine="0"/>
      <w:jc w:val="left"/>
    </w:pPr>
    <w:rPr>
      <w:rFonts w:ascii="Tahoma" w:eastAsia="Tahoma" w:hAnsi="Tahoma" w:cs="Times New Roman"/>
      <w:sz w:val="16"/>
      <w:szCs w:val="20"/>
      <w:lang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Tahoma" w:hAnsi="Tahoma"/>
        <w:b/>
        <w:sz w:val="16"/>
      </w:rPr>
      <w:tblPr/>
      <w:trPr>
        <w:cantSplit w:val="0"/>
        <w:tblHeader/>
      </w:trPr>
      <w:tcPr>
        <w:shd w:val="clear" w:color="auto" w:fill="C7C7C7"/>
      </w:tcPr>
    </w:tblStylePr>
    <w:tblStylePr w:type="lastRow">
      <w:rPr>
        <w:rFonts w:ascii="Tahoma" w:hAnsi="Tahoma"/>
        <w:sz w:val="16"/>
      </w:rPr>
      <w:tblPr/>
      <w:tcPr>
        <w:shd w:val="clear" w:color="auto" w:fill="DEDEDE"/>
      </w:tcPr>
    </w:tblStylePr>
    <w:tblStylePr w:type="firstCol">
      <w:rPr>
        <w:b/>
      </w:rPr>
      <w:tblPr/>
      <w:tcPr>
        <w:shd w:val="clear" w:color="auto" w:fill="BFBFBF" w:themeFill="background1" w:themeFillShade="BF"/>
      </w:tcPr>
    </w:tblStylePr>
    <w:tblStylePr w:type="band2Horz">
      <w:rPr>
        <w:rFonts w:ascii="Tahoma" w:hAnsi="Tahoma"/>
        <w:sz w:val="16"/>
      </w:rPr>
    </w:tblStylePr>
  </w:style>
  <w:style w:type="table" w:customStyle="1" w:styleId="MediumShading2-Accent11">
    <w:name w:val="Medium Shading 2 - Accent 11"/>
    <w:basedOn w:val="TableNormal"/>
    <w:next w:val="MediumShading2-Accent1"/>
    <w:uiPriority w:val="64"/>
    <w:rsid w:val="00F72116"/>
    <w:pPr>
      <w:ind w:left="0" w:firstLine="0"/>
      <w:jc w:val="left"/>
    </w:pPr>
    <w:rPr>
      <w:rFonts w:eastAsiaTheme="minorHAns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Table1">
    <w:name w:val="C-Table1"/>
    <w:basedOn w:val="TableNormal"/>
    <w:rsid w:val="00F72116"/>
    <w:pPr>
      <w:ind w:left="0" w:firstLine="0"/>
      <w:jc w:val="left"/>
    </w:pPr>
    <w:rPr>
      <w:rFonts w:ascii="Times New Roman" w:eastAsia="Times New Roman" w:hAnsi="Times New Roman" w:cs="Times New Roman"/>
      <w:sz w:val="20"/>
      <w:szCs w:val="20"/>
      <w:lang w:val="en-US" w:eastAsia="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Answer">
    <w:name w:val="Answer"/>
    <w:basedOn w:val="Normal"/>
    <w:link w:val="AnswerCharChar"/>
    <w:uiPriority w:val="99"/>
    <w:qFormat/>
    <w:rsid w:val="00C56E47"/>
    <w:pPr>
      <w:spacing w:after="120" w:line="276" w:lineRule="auto"/>
    </w:pPr>
    <w:rPr>
      <w:rFonts w:eastAsia="Calibri" w:cs="Arial"/>
      <w:sz w:val="22"/>
      <w:szCs w:val="22"/>
    </w:rPr>
  </w:style>
  <w:style w:type="character" w:customStyle="1" w:styleId="AnswerCharChar">
    <w:name w:val="Answer Char Char"/>
    <w:link w:val="Answer"/>
    <w:uiPriority w:val="99"/>
    <w:rsid w:val="00C56E47"/>
    <w:rPr>
      <w:rFonts w:ascii="Arial" w:eastAsia="Calibri" w:hAnsi="Arial" w:cs="Arial"/>
      <w:lang w:eastAsia="en-US"/>
    </w:rPr>
  </w:style>
  <w:style w:type="paragraph" w:styleId="List">
    <w:name w:val="List"/>
    <w:basedOn w:val="Normal"/>
    <w:uiPriority w:val="99"/>
    <w:unhideWhenUsed/>
    <w:rsid w:val="00491671"/>
    <w:pPr>
      <w:ind w:left="283" w:hanging="283"/>
      <w:contextualSpacing/>
    </w:pPr>
  </w:style>
  <w:style w:type="paragraph" w:customStyle="1" w:styleId="ReportText">
    <w:name w:val="Report Text"/>
    <w:link w:val="ReportTextChar"/>
    <w:rsid w:val="00491671"/>
    <w:pPr>
      <w:spacing w:line="288" w:lineRule="auto"/>
      <w:ind w:left="0" w:firstLine="0"/>
    </w:pPr>
    <w:rPr>
      <w:rFonts w:ascii="Arial" w:eastAsia="Times New Roman" w:hAnsi="Arial" w:cs="Times New Roman"/>
      <w:szCs w:val="20"/>
      <w:lang w:eastAsia="en-US"/>
    </w:rPr>
  </w:style>
  <w:style w:type="character" w:customStyle="1" w:styleId="ReportTextChar">
    <w:name w:val="Report Text Char"/>
    <w:link w:val="ReportText"/>
    <w:locked/>
    <w:rsid w:val="00491671"/>
    <w:rPr>
      <w:rFonts w:ascii="Arial" w:eastAsia="Times New Roman" w:hAnsi="Arial" w:cs="Times New Roman"/>
      <w:szCs w:val="20"/>
      <w:lang w:eastAsia="en-US"/>
    </w:rPr>
  </w:style>
  <w:style w:type="paragraph" w:customStyle="1" w:styleId="ProposalText">
    <w:name w:val="Proposal Text"/>
    <w:link w:val="ProposalTextChar"/>
    <w:rsid w:val="00957973"/>
    <w:pPr>
      <w:spacing w:line="288" w:lineRule="auto"/>
      <w:ind w:left="0" w:firstLine="0"/>
    </w:pPr>
    <w:rPr>
      <w:rFonts w:ascii="Arial" w:eastAsia="Times New Roman" w:hAnsi="Arial" w:cs="Times New Roman"/>
      <w:szCs w:val="20"/>
      <w:lang w:eastAsia="en-US"/>
    </w:rPr>
  </w:style>
  <w:style w:type="character" w:customStyle="1" w:styleId="ProposalTextChar">
    <w:name w:val="Proposal Text Char"/>
    <w:basedOn w:val="DefaultParagraphFont"/>
    <w:link w:val="ProposalText"/>
    <w:rsid w:val="00957973"/>
    <w:rPr>
      <w:rFonts w:ascii="Arial" w:eastAsia="Times New Roman" w:hAnsi="Arial" w:cs="Times New Roman"/>
      <w:szCs w:val="20"/>
      <w:lang w:eastAsia="en-US"/>
    </w:rPr>
  </w:style>
  <w:style w:type="character" w:customStyle="1" w:styleId="TableTitle">
    <w:name w:val="Table Title"/>
    <w:basedOn w:val="DefaultParagraphFont"/>
    <w:uiPriority w:val="1"/>
    <w:rsid w:val="00C30BF8"/>
    <w:rPr>
      <w:rFonts w:ascii="Arial Bold" w:hAnsi="Arial Bold"/>
      <w:b/>
      <w:i w:val="0"/>
      <w:sz w:val="22"/>
      <w:u w:val="none"/>
    </w:rPr>
  </w:style>
  <w:style w:type="paragraph" w:customStyle="1" w:styleId="TableColumnHeading">
    <w:name w:val="Table Column Heading"/>
    <w:basedOn w:val="Normal"/>
    <w:rsid w:val="00C30BF8"/>
    <w:pPr>
      <w:jc w:val="both"/>
    </w:pPr>
    <w:rPr>
      <w:rFonts w:eastAsia="Times New Roman"/>
      <w:b/>
      <w:sz w:val="20"/>
    </w:rPr>
  </w:style>
  <w:style w:type="character" w:customStyle="1" w:styleId="Authors">
    <w:name w:val="Authors"/>
    <w:basedOn w:val="TableTitle"/>
    <w:uiPriority w:val="1"/>
    <w:qFormat/>
    <w:rsid w:val="00514813"/>
    <w:rPr>
      <w:rFonts w:ascii="Arial" w:hAnsi="Arial"/>
      <w:b/>
      <w:i w:val="0"/>
      <w:sz w:val="28"/>
      <w:u w:val="none"/>
    </w:rPr>
  </w:style>
  <w:style w:type="paragraph" w:customStyle="1" w:styleId="EndNoteBibliography">
    <w:name w:val="EndNote Bibliography"/>
    <w:basedOn w:val="Normal"/>
    <w:link w:val="EndNoteBibliographyChar"/>
    <w:rsid w:val="00514813"/>
    <w:pPr>
      <w:jc w:val="both"/>
    </w:pPr>
    <w:rPr>
      <w:rFonts w:eastAsia="Times New Roman" w:cs="Arial"/>
      <w:noProof/>
      <w:sz w:val="22"/>
      <w:szCs w:val="24"/>
      <w:lang w:val="en-US"/>
    </w:rPr>
  </w:style>
  <w:style w:type="character" w:customStyle="1" w:styleId="EndNoteBibliographyChar">
    <w:name w:val="EndNote Bibliography Char"/>
    <w:basedOn w:val="ProposalTextChar"/>
    <w:link w:val="EndNoteBibliography"/>
    <w:rsid w:val="00514813"/>
    <w:rPr>
      <w:rFonts w:ascii="Arial" w:eastAsia="Times New Roman" w:hAnsi="Arial" w:cs="Arial"/>
      <w:noProof/>
      <w:szCs w:val="24"/>
      <w:lang w:val="en-US" w:eastAsia="en-US"/>
    </w:rPr>
  </w:style>
  <w:style w:type="character" w:customStyle="1" w:styleId="header1">
    <w:name w:val="header1"/>
    <w:basedOn w:val="DefaultParagraphFont"/>
    <w:rsid w:val="00177145"/>
  </w:style>
  <w:style w:type="paragraph" w:customStyle="1" w:styleId="CM28">
    <w:name w:val="CM28"/>
    <w:basedOn w:val="Default"/>
    <w:next w:val="Default"/>
    <w:uiPriority w:val="99"/>
    <w:rsid w:val="003963F8"/>
    <w:pPr>
      <w:widowControl w:val="0"/>
    </w:pPr>
    <w:rPr>
      <w:rFonts w:eastAsiaTheme="minorEastAsia"/>
      <w:color w:val="auto"/>
      <w:lang w:eastAsia="ja-JP"/>
    </w:rPr>
  </w:style>
  <w:style w:type="paragraph" w:customStyle="1" w:styleId="Summaryboxtextlevel2">
    <w:name w:val="Summary box text level 2"/>
    <w:basedOn w:val="Normal"/>
    <w:uiPriority w:val="99"/>
    <w:rsid w:val="00DE0F8E"/>
    <w:pPr>
      <w:numPr>
        <w:ilvl w:val="1"/>
        <w:numId w:val="47"/>
      </w:numPr>
    </w:pPr>
    <w:rPr>
      <w:rFonts w:eastAsia="Times New Roman"/>
      <w:sz w:val="22"/>
    </w:rPr>
  </w:style>
  <w:style w:type="paragraph" w:customStyle="1" w:styleId="Summaryboxtextlevel1">
    <w:name w:val="Summary box text level 1"/>
    <w:basedOn w:val="Normal"/>
    <w:uiPriority w:val="99"/>
    <w:qFormat/>
    <w:rsid w:val="00DE0F8E"/>
    <w:pPr>
      <w:numPr>
        <w:numId w:val="47"/>
      </w:numPr>
      <w:spacing w:after="120" w:line="276" w:lineRule="auto"/>
    </w:pPr>
    <w:rPr>
      <w:rFonts w:eastAsia="Calibri" w:cs="Arial"/>
      <w:sz w:val="22"/>
      <w:szCs w:val="22"/>
    </w:rPr>
  </w:style>
  <w:style w:type="paragraph" w:customStyle="1" w:styleId="Summaryboxtextlevel3">
    <w:name w:val="Summary box text level 3"/>
    <w:basedOn w:val="Summaryboxtextlevel2"/>
    <w:uiPriority w:val="99"/>
    <w:rsid w:val="00DE0F8E"/>
    <w:pPr>
      <w:numPr>
        <w:ilvl w:val="2"/>
      </w:numPr>
      <w:spacing w:after="120" w:line="276" w:lineRule="auto"/>
    </w:pPr>
    <w:rPr>
      <w:rFonts w:eastAsia="Calibri" w:cs="Arial"/>
      <w:szCs w:val="22"/>
    </w:rPr>
  </w:style>
  <w:style w:type="character" w:customStyle="1" w:styleId="NormalWebChar">
    <w:name w:val="Normal (Web) Char"/>
    <w:aliases w:val=" webb Char"/>
    <w:link w:val="NormalWeb"/>
    <w:uiPriority w:val="99"/>
    <w:rsid w:val="0014347C"/>
    <w:rPr>
      <w:rFonts w:ascii="Times New Roman" w:hAnsi="Times New Roman" w:cs="Times New Roman"/>
      <w:sz w:val="24"/>
      <w:szCs w:val="20"/>
      <w:lang w:eastAsia="en-US"/>
    </w:rPr>
  </w:style>
  <w:style w:type="character" w:customStyle="1" w:styleId="ListParagraphChar">
    <w:name w:val="List Paragraph Char"/>
    <w:aliases w:val="Lijstalinenomala Char,Bullet1 Char,Table Legend Char"/>
    <w:link w:val="ListParagraph"/>
    <w:uiPriority w:val="34"/>
    <w:locked/>
    <w:rsid w:val="00BE69CC"/>
    <w:rPr>
      <w:rFonts w:ascii="Arial" w:hAnsi="Arial" w:cs="Times New Roman"/>
      <w:sz w:val="24"/>
      <w:szCs w:val="20"/>
      <w:lang w:eastAsia="en-US"/>
    </w:rPr>
  </w:style>
  <w:style w:type="numbering" w:styleId="111111">
    <w:name w:val="Outline List 2"/>
    <w:basedOn w:val="NoList"/>
    <w:rsid w:val="00BE69CC"/>
    <w:pPr>
      <w:numPr>
        <w:numId w:val="51"/>
      </w:numPr>
    </w:pPr>
  </w:style>
  <w:style w:type="paragraph" w:customStyle="1" w:styleId="norma">
    <w:name w:val="norma"/>
    <w:basedOn w:val="Normal"/>
    <w:rsid w:val="00BE69CC"/>
    <w:pPr>
      <w:numPr>
        <w:numId w:val="51"/>
      </w:numPr>
      <w:tabs>
        <w:tab w:val="left" w:pos="284"/>
        <w:tab w:val="left" w:pos="1701"/>
      </w:tabs>
      <w:spacing w:line="360" w:lineRule="auto"/>
      <w:jc w:val="both"/>
    </w:pPr>
    <w:rPr>
      <w:rFonts w:ascii="Times New Roman" w:eastAsia="Times New Roman" w:hAnsi="Times New Roman"/>
      <w:sz w:val="22"/>
      <w:szCs w:val="22"/>
      <w:lang w:val="nl-NL" w:eastAsia="nl-NL"/>
    </w:rPr>
  </w:style>
  <w:style w:type="paragraph" w:customStyle="1" w:styleId="Normal1">
    <w:name w:val="Normal1"/>
    <w:basedOn w:val="norma"/>
    <w:rsid w:val="00BE69CC"/>
  </w:style>
  <w:style w:type="paragraph" w:styleId="ListBullet">
    <w:name w:val="List Bullet"/>
    <w:basedOn w:val="Normal"/>
    <w:uiPriority w:val="99"/>
    <w:qFormat/>
    <w:rsid w:val="00BE69CC"/>
    <w:pPr>
      <w:numPr>
        <w:numId w:val="53"/>
      </w:numPr>
      <w:spacing w:line="360" w:lineRule="auto"/>
    </w:pPr>
    <w:rPr>
      <w:rFonts w:eastAsia="Times New Roman"/>
      <w:szCs w:val="24"/>
    </w:rPr>
  </w:style>
  <w:style w:type="paragraph" w:customStyle="1" w:styleId="Level3">
    <w:name w:val="Level 3"/>
    <w:basedOn w:val="Footer"/>
    <w:rsid w:val="00BE69CC"/>
    <w:pPr>
      <w:tabs>
        <w:tab w:val="clear" w:pos="4153"/>
        <w:tab w:val="clear" w:pos="8306"/>
      </w:tabs>
      <w:spacing w:line="360" w:lineRule="auto"/>
    </w:pPr>
    <w:rPr>
      <w:rFonts w:ascii="Times New Roman" w:eastAsia="Times New Roman" w:hAnsi="Times New Roman"/>
      <w:i/>
    </w:rPr>
  </w:style>
  <w:style w:type="paragraph" w:customStyle="1" w:styleId="Bullet1">
    <w:name w:val="Bullet 1"/>
    <w:basedOn w:val="BodyText"/>
    <w:rsid w:val="00BE69CC"/>
    <w:pPr>
      <w:widowControl w:val="0"/>
      <w:numPr>
        <w:numId w:val="54"/>
      </w:numPr>
      <w:adjustRightInd w:val="0"/>
      <w:spacing w:after="180" w:line="360" w:lineRule="auto"/>
      <w:textAlignment w:val="baseline"/>
    </w:pPr>
    <w:rPr>
      <w:rFonts w:ascii="Times New Roman" w:eastAsia="Calibri" w:hAnsi="Times New Roman"/>
      <w:sz w:val="24"/>
    </w:rPr>
  </w:style>
  <w:style w:type="paragraph" w:customStyle="1" w:styleId="Bullet4">
    <w:name w:val="Bullet 4"/>
    <w:basedOn w:val="BodyText"/>
    <w:rsid w:val="00BE69CC"/>
    <w:pPr>
      <w:widowControl w:val="0"/>
      <w:numPr>
        <w:numId w:val="56"/>
      </w:numPr>
      <w:adjustRightInd w:val="0"/>
      <w:spacing w:after="180" w:line="360" w:lineRule="auto"/>
      <w:ind w:left="1800"/>
      <w:textAlignment w:val="baseline"/>
    </w:pPr>
    <w:rPr>
      <w:rFonts w:ascii="Times New Roman" w:eastAsia="Calibri" w:hAnsi="Times New Roman"/>
      <w:sz w:val="24"/>
    </w:rPr>
  </w:style>
  <w:style w:type="paragraph" w:customStyle="1" w:styleId="nornal">
    <w:name w:val="nornal"/>
    <w:basedOn w:val="ListParagraph"/>
    <w:rsid w:val="00BE69CC"/>
    <w:pPr>
      <w:spacing w:after="160" w:line="259" w:lineRule="auto"/>
      <w:ind w:left="0"/>
      <w:jc w:val="both"/>
    </w:pPr>
    <w:rPr>
      <w:rFonts w:ascii="Times New Roman" w:eastAsia="Calibri" w:hAnsi="Times New Roman"/>
      <w:szCs w:val="22"/>
    </w:rPr>
  </w:style>
  <w:style w:type="character" w:customStyle="1" w:styleId="organisation">
    <w:name w:val="organisation"/>
    <w:rsid w:val="00BE69CC"/>
  </w:style>
  <w:style w:type="paragraph" w:customStyle="1" w:styleId="Numberedheading1">
    <w:name w:val="Numbered heading 1"/>
    <w:basedOn w:val="Heading1"/>
    <w:next w:val="Normal"/>
    <w:uiPriority w:val="99"/>
    <w:qFormat/>
    <w:rsid w:val="00BE69CC"/>
    <w:pPr>
      <w:keepLines w:val="0"/>
      <w:numPr>
        <w:numId w:val="58"/>
      </w:numPr>
      <w:pBdr>
        <w:top w:val="single" w:sz="4" w:space="1" w:color="auto"/>
        <w:bottom w:val="single" w:sz="4" w:space="1" w:color="auto"/>
      </w:pBdr>
      <w:tabs>
        <w:tab w:val="left" w:pos="567"/>
      </w:tabs>
      <w:spacing w:before="240" w:after="240" w:line="360" w:lineRule="auto"/>
    </w:pPr>
    <w:rPr>
      <w:rFonts w:ascii="Arial" w:eastAsia="Times New Roman" w:hAnsi="Arial" w:cs="Arial"/>
      <w:color w:val="auto"/>
      <w:kern w:val="32"/>
      <w:szCs w:val="24"/>
    </w:rPr>
  </w:style>
  <w:style w:type="paragraph" w:customStyle="1" w:styleId="Numberedheading2">
    <w:name w:val="Numbered heading 2"/>
    <w:basedOn w:val="Heading2"/>
    <w:next w:val="Normal"/>
    <w:link w:val="Numberedheading2CharChar"/>
    <w:uiPriority w:val="99"/>
    <w:qFormat/>
    <w:rsid w:val="00BE69CC"/>
    <w:pPr>
      <w:numPr>
        <w:ilvl w:val="1"/>
        <w:numId w:val="58"/>
      </w:numPr>
      <w:spacing w:before="240" w:after="120"/>
    </w:pPr>
    <w:rPr>
      <w:rFonts w:eastAsia="Times New Roman" w:cs="Arial"/>
      <w:i/>
      <w:iCs/>
      <w:szCs w:val="28"/>
    </w:rPr>
  </w:style>
  <w:style w:type="character" w:customStyle="1" w:styleId="Numberedheading2CharChar">
    <w:name w:val="Numbered heading 2 Char Char"/>
    <w:link w:val="Numberedheading2"/>
    <w:uiPriority w:val="99"/>
    <w:rsid w:val="00BE69CC"/>
    <w:rPr>
      <w:rFonts w:ascii="Arial" w:eastAsia="Times New Roman" w:hAnsi="Arial" w:cs="Arial"/>
      <w:b/>
      <w:i/>
      <w:iCs/>
      <w:sz w:val="28"/>
      <w:szCs w:val="28"/>
      <w:lang w:eastAsia="en-US"/>
    </w:rPr>
  </w:style>
  <w:style w:type="paragraph" w:customStyle="1" w:styleId="Numberedheading3">
    <w:name w:val="Numbered heading 3"/>
    <w:basedOn w:val="Heading3"/>
    <w:next w:val="Normal"/>
    <w:uiPriority w:val="99"/>
    <w:qFormat/>
    <w:rsid w:val="00BE69CC"/>
    <w:pPr>
      <w:keepLines w:val="0"/>
      <w:numPr>
        <w:ilvl w:val="2"/>
        <w:numId w:val="58"/>
      </w:numPr>
      <w:tabs>
        <w:tab w:val="clear" w:pos="1134"/>
      </w:tabs>
      <w:spacing w:before="240" w:after="120"/>
      <w:ind w:left="720" w:hanging="720"/>
    </w:pPr>
    <w:rPr>
      <w:rFonts w:ascii="Arial" w:eastAsia="Times New Roman" w:hAnsi="Arial" w:cs="Arial"/>
      <w:bCs w:val="0"/>
      <w:i/>
      <w:color w:val="auto"/>
      <w:szCs w:val="24"/>
    </w:rPr>
  </w:style>
  <w:style w:type="paragraph" w:customStyle="1" w:styleId="Numberedheading4">
    <w:name w:val="Numbered heading 4"/>
    <w:basedOn w:val="Heading4"/>
    <w:next w:val="Normal"/>
    <w:uiPriority w:val="99"/>
    <w:qFormat/>
    <w:rsid w:val="00BE69CC"/>
    <w:pPr>
      <w:keepLines w:val="0"/>
      <w:numPr>
        <w:ilvl w:val="3"/>
        <w:numId w:val="58"/>
      </w:numPr>
      <w:tabs>
        <w:tab w:val="clear" w:pos="1134"/>
      </w:tabs>
      <w:spacing w:before="240" w:after="120"/>
      <w:ind w:left="720" w:hanging="720"/>
    </w:pPr>
    <w:rPr>
      <w:rFonts w:ascii="Arial" w:eastAsia="Times New Roman" w:hAnsi="Arial" w:cs="Times New Roman"/>
      <w:bCs w:val="0"/>
      <w:i w:val="0"/>
      <w:iCs w:val="0"/>
      <w:color w:val="auto"/>
      <w:sz w:val="22"/>
    </w:rPr>
  </w:style>
  <w:style w:type="paragraph" w:customStyle="1" w:styleId="Header2">
    <w:name w:val="Header 2"/>
    <w:basedOn w:val="Heading1"/>
    <w:qFormat/>
    <w:rsid w:val="00C35C1F"/>
    <w:pPr>
      <w:keepNext w:val="0"/>
      <w:keepLines w:val="0"/>
      <w:pBdr>
        <w:bottom w:val="single" w:sz="4" w:space="1" w:color="C2D69B" w:themeColor="accent3" w:themeTint="99"/>
      </w:pBdr>
      <w:spacing w:before="0" w:line="360" w:lineRule="auto"/>
      <w:ind w:left="720"/>
      <w:jc w:val="center"/>
      <w:outlineLvl w:val="9"/>
    </w:pPr>
    <w:rPr>
      <w:rFonts w:ascii="Arial" w:eastAsiaTheme="minorEastAsia" w:hAnsi="Arial" w:cstheme="minorBidi"/>
      <w:bCs w:val="0"/>
      <w:color w:val="006348"/>
      <w:sz w:val="36"/>
      <w:szCs w:val="24"/>
      <w:lang w:val="en-US"/>
    </w:rPr>
  </w:style>
  <w:style w:type="character" w:customStyle="1" w:styleId="Mainheader">
    <w:name w:val="Main header"/>
    <w:basedOn w:val="TableTitle"/>
    <w:uiPriority w:val="1"/>
    <w:qFormat/>
    <w:rsid w:val="00C35C1F"/>
    <w:rPr>
      <w:rFonts w:ascii="LeituraSans-Grot 2" w:hAnsi="LeituraSans-Grot 2"/>
      <w:b/>
      <w:i w:val="0"/>
      <w:color w:val="FFFFFF" w:themeColor="background1"/>
      <w:sz w:val="56"/>
      <w:u w:val="none"/>
    </w:rPr>
  </w:style>
  <w:style w:type="paragraph" w:customStyle="1" w:styleId="AppendixA">
    <w:name w:val="Appendix A"/>
    <w:basedOn w:val="Normal"/>
    <w:rsid w:val="00C35C1F"/>
    <w:pPr>
      <w:jc w:val="center"/>
    </w:pPr>
    <w:rPr>
      <w:rFonts w:eastAsia="Times New Roman"/>
      <w:b/>
      <w:caps/>
      <w:sz w:val="30"/>
      <w:szCs w:val="24"/>
    </w:rPr>
  </w:style>
  <w:style w:type="paragraph" w:customStyle="1" w:styleId="AppendixTitle">
    <w:name w:val="Appendix Title"/>
    <w:basedOn w:val="AppendixA"/>
    <w:rsid w:val="00C35C1F"/>
    <w:rPr>
      <w:caps w:val="0"/>
    </w:rPr>
  </w:style>
  <w:style w:type="paragraph" w:customStyle="1" w:styleId="FPHeading1">
    <w:name w:val="FP Heading 1"/>
    <w:basedOn w:val="Normal"/>
    <w:rsid w:val="00C35C1F"/>
    <w:pPr>
      <w:jc w:val="center"/>
    </w:pPr>
    <w:rPr>
      <w:rFonts w:eastAsia="Times New Roman"/>
      <w:b/>
      <w:caps/>
      <w:sz w:val="30"/>
      <w:szCs w:val="24"/>
    </w:rPr>
  </w:style>
  <w:style w:type="paragraph" w:customStyle="1" w:styleId="FPHeading2">
    <w:name w:val="FP Heading 2"/>
    <w:basedOn w:val="FPHeading1"/>
    <w:rsid w:val="00C35C1F"/>
    <w:rPr>
      <w:caps w:val="0"/>
      <w:sz w:val="40"/>
    </w:rPr>
  </w:style>
  <w:style w:type="paragraph" w:customStyle="1" w:styleId="FPHeading3">
    <w:name w:val="FP Heading 3"/>
    <w:basedOn w:val="FPHeading2"/>
    <w:rsid w:val="00C35C1F"/>
    <w:rPr>
      <w:sz w:val="30"/>
    </w:rPr>
  </w:style>
  <w:style w:type="paragraph" w:customStyle="1" w:styleId="OtherHeading">
    <w:name w:val="Other Heading"/>
    <w:basedOn w:val="Normal"/>
    <w:rsid w:val="00C35C1F"/>
    <w:pPr>
      <w:jc w:val="center"/>
    </w:pPr>
    <w:rPr>
      <w:rFonts w:eastAsia="Times New Roman"/>
      <w:b/>
      <w:sz w:val="40"/>
      <w:szCs w:val="24"/>
    </w:rPr>
  </w:style>
  <w:style w:type="paragraph" w:customStyle="1" w:styleId="FreeForm">
    <w:name w:val="Free Form"/>
    <w:rsid w:val="00C35C1F"/>
    <w:pPr>
      <w:ind w:left="0" w:firstLine="0"/>
      <w:jc w:val="left"/>
    </w:pPr>
    <w:rPr>
      <w:rFonts w:ascii="Helvetica" w:eastAsia="ヒラギノ角ゴ Pro W3" w:hAnsi="Helvetica" w:cs="Times New Roman"/>
      <w:color w:val="000000"/>
      <w:sz w:val="24"/>
      <w:szCs w:val="20"/>
      <w:lang w:val="en-US" w:eastAsia="en-GB"/>
    </w:rPr>
  </w:style>
  <w:style w:type="character" w:customStyle="1" w:styleId="DefaultChar">
    <w:name w:val="Default Char"/>
    <w:basedOn w:val="DefaultParagraphFont"/>
    <w:link w:val="Default"/>
    <w:rsid w:val="00C35C1F"/>
    <w:rPr>
      <w:rFonts w:ascii="Times New Roman" w:eastAsia="Tahoma" w:hAnsi="Times New Roman" w:cs="Times New Roman"/>
      <w:color w:val="000000"/>
      <w:sz w:val="24"/>
      <w:szCs w:val="24"/>
      <w:lang w:val="en-US" w:eastAsia="en-GB"/>
    </w:rPr>
  </w:style>
  <w:style w:type="paragraph" w:customStyle="1" w:styleId="EndNoteBibliographyTitle">
    <w:name w:val="EndNote Bibliography Title"/>
    <w:basedOn w:val="Normal"/>
    <w:link w:val="EndNoteBibliographyTitleChar"/>
    <w:rsid w:val="00C35C1F"/>
    <w:pPr>
      <w:jc w:val="center"/>
    </w:pPr>
    <w:rPr>
      <w:rFonts w:eastAsia="Times New Roman" w:cs="Arial"/>
      <w:noProof/>
      <w:sz w:val="22"/>
    </w:rPr>
  </w:style>
  <w:style w:type="character" w:customStyle="1" w:styleId="EndNoteBibliographyTitleChar">
    <w:name w:val="EndNote Bibliography Title Char"/>
    <w:basedOn w:val="ProposalTextChar"/>
    <w:link w:val="EndNoteBibliographyTitle"/>
    <w:rsid w:val="00C35C1F"/>
    <w:rPr>
      <w:rFonts w:ascii="Arial" w:eastAsia="Times New Roman" w:hAnsi="Arial" w:cs="Arial"/>
      <w:noProof/>
      <w:szCs w:val="20"/>
      <w:lang w:eastAsia="en-US"/>
    </w:rPr>
  </w:style>
  <w:style w:type="character" w:customStyle="1" w:styleId="Titletext">
    <w:name w:val="Title text"/>
    <w:basedOn w:val="DefaultParagraphFont"/>
    <w:uiPriority w:val="1"/>
    <w:qFormat/>
    <w:rsid w:val="00C35C1F"/>
    <w:rPr>
      <w:rFonts w:ascii="Arial" w:hAnsi="Arial"/>
      <w:b w:val="0"/>
      <w:i w:val="0"/>
      <w:sz w:val="36"/>
      <w:u w:val="none"/>
    </w:rPr>
  </w:style>
  <w:style w:type="paragraph" w:customStyle="1" w:styleId="Normal2">
    <w:name w:val="Normal2"/>
    <w:basedOn w:val="norma"/>
    <w:rsid w:val="0049441E"/>
    <w:pPr>
      <w:numPr>
        <w:numId w:val="0"/>
      </w:numPr>
      <w:tabs>
        <w:tab w:val="num" w:pos="720"/>
      </w:tabs>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11207">
      <w:bodyDiv w:val="1"/>
      <w:marLeft w:val="0"/>
      <w:marRight w:val="0"/>
      <w:marTop w:val="0"/>
      <w:marBottom w:val="0"/>
      <w:divBdr>
        <w:top w:val="none" w:sz="0" w:space="0" w:color="auto"/>
        <w:left w:val="none" w:sz="0" w:space="0" w:color="auto"/>
        <w:bottom w:val="none" w:sz="0" w:space="0" w:color="auto"/>
        <w:right w:val="none" w:sz="0" w:space="0" w:color="auto"/>
      </w:divBdr>
      <w:divsChild>
        <w:div w:id="2015692244">
          <w:marLeft w:val="0"/>
          <w:marRight w:val="0"/>
          <w:marTop w:val="0"/>
          <w:marBottom w:val="0"/>
          <w:divBdr>
            <w:top w:val="none" w:sz="0" w:space="0" w:color="auto"/>
            <w:left w:val="none" w:sz="0" w:space="0" w:color="auto"/>
            <w:bottom w:val="none" w:sz="0" w:space="0" w:color="auto"/>
            <w:right w:val="none" w:sz="0" w:space="0" w:color="auto"/>
          </w:divBdr>
        </w:div>
      </w:divsChild>
    </w:div>
    <w:div w:id="545063432">
      <w:bodyDiv w:val="1"/>
      <w:marLeft w:val="0"/>
      <w:marRight w:val="0"/>
      <w:marTop w:val="0"/>
      <w:marBottom w:val="0"/>
      <w:divBdr>
        <w:top w:val="none" w:sz="0" w:space="0" w:color="auto"/>
        <w:left w:val="none" w:sz="0" w:space="0" w:color="auto"/>
        <w:bottom w:val="none" w:sz="0" w:space="0" w:color="auto"/>
        <w:right w:val="none" w:sz="0" w:space="0" w:color="auto"/>
      </w:divBdr>
      <w:divsChild>
        <w:div w:id="1589535265">
          <w:marLeft w:val="0"/>
          <w:marRight w:val="0"/>
          <w:marTop w:val="0"/>
          <w:marBottom w:val="0"/>
          <w:divBdr>
            <w:top w:val="none" w:sz="0" w:space="0" w:color="auto"/>
            <w:left w:val="none" w:sz="0" w:space="0" w:color="auto"/>
            <w:bottom w:val="none" w:sz="0" w:space="0" w:color="auto"/>
            <w:right w:val="none" w:sz="0" w:space="0" w:color="auto"/>
          </w:divBdr>
          <w:divsChild>
            <w:div w:id="1222013135">
              <w:marLeft w:val="0"/>
              <w:marRight w:val="0"/>
              <w:marTop w:val="0"/>
              <w:marBottom w:val="0"/>
              <w:divBdr>
                <w:top w:val="none" w:sz="0" w:space="0" w:color="auto"/>
                <w:left w:val="none" w:sz="0" w:space="0" w:color="auto"/>
                <w:bottom w:val="none" w:sz="0" w:space="0" w:color="auto"/>
                <w:right w:val="none" w:sz="0" w:space="0" w:color="auto"/>
              </w:divBdr>
            </w:div>
            <w:div w:id="1884323839">
              <w:marLeft w:val="0"/>
              <w:marRight w:val="0"/>
              <w:marTop w:val="0"/>
              <w:marBottom w:val="0"/>
              <w:divBdr>
                <w:top w:val="none" w:sz="0" w:space="0" w:color="auto"/>
                <w:left w:val="none" w:sz="0" w:space="0" w:color="auto"/>
                <w:bottom w:val="none" w:sz="0" w:space="0" w:color="auto"/>
                <w:right w:val="none" w:sz="0" w:space="0" w:color="auto"/>
              </w:divBdr>
            </w:div>
            <w:div w:id="54357497">
              <w:marLeft w:val="0"/>
              <w:marRight w:val="0"/>
              <w:marTop w:val="0"/>
              <w:marBottom w:val="0"/>
              <w:divBdr>
                <w:top w:val="none" w:sz="0" w:space="0" w:color="auto"/>
                <w:left w:val="none" w:sz="0" w:space="0" w:color="auto"/>
                <w:bottom w:val="none" w:sz="0" w:space="0" w:color="auto"/>
                <w:right w:val="none" w:sz="0" w:space="0" w:color="auto"/>
              </w:divBdr>
            </w:div>
            <w:div w:id="372653463">
              <w:marLeft w:val="0"/>
              <w:marRight w:val="0"/>
              <w:marTop w:val="0"/>
              <w:marBottom w:val="0"/>
              <w:divBdr>
                <w:top w:val="none" w:sz="0" w:space="0" w:color="auto"/>
                <w:left w:val="none" w:sz="0" w:space="0" w:color="auto"/>
                <w:bottom w:val="none" w:sz="0" w:space="0" w:color="auto"/>
                <w:right w:val="none" w:sz="0" w:space="0" w:color="auto"/>
              </w:divBdr>
            </w:div>
            <w:div w:id="1876847943">
              <w:marLeft w:val="0"/>
              <w:marRight w:val="0"/>
              <w:marTop w:val="0"/>
              <w:marBottom w:val="0"/>
              <w:divBdr>
                <w:top w:val="none" w:sz="0" w:space="0" w:color="auto"/>
                <w:left w:val="none" w:sz="0" w:space="0" w:color="auto"/>
                <w:bottom w:val="none" w:sz="0" w:space="0" w:color="auto"/>
                <w:right w:val="none" w:sz="0" w:space="0" w:color="auto"/>
              </w:divBdr>
            </w:div>
            <w:div w:id="1769427079">
              <w:marLeft w:val="0"/>
              <w:marRight w:val="0"/>
              <w:marTop w:val="0"/>
              <w:marBottom w:val="0"/>
              <w:divBdr>
                <w:top w:val="none" w:sz="0" w:space="0" w:color="auto"/>
                <w:left w:val="none" w:sz="0" w:space="0" w:color="auto"/>
                <w:bottom w:val="none" w:sz="0" w:space="0" w:color="auto"/>
                <w:right w:val="none" w:sz="0" w:space="0" w:color="auto"/>
              </w:divBdr>
            </w:div>
            <w:div w:id="1862552623">
              <w:marLeft w:val="0"/>
              <w:marRight w:val="0"/>
              <w:marTop w:val="0"/>
              <w:marBottom w:val="0"/>
              <w:divBdr>
                <w:top w:val="none" w:sz="0" w:space="0" w:color="auto"/>
                <w:left w:val="none" w:sz="0" w:space="0" w:color="auto"/>
                <w:bottom w:val="none" w:sz="0" w:space="0" w:color="auto"/>
                <w:right w:val="none" w:sz="0" w:space="0" w:color="auto"/>
              </w:divBdr>
            </w:div>
            <w:div w:id="932130736">
              <w:marLeft w:val="0"/>
              <w:marRight w:val="0"/>
              <w:marTop w:val="0"/>
              <w:marBottom w:val="0"/>
              <w:divBdr>
                <w:top w:val="none" w:sz="0" w:space="0" w:color="auto"/>
                <w:left w:val="none" w:sz="0" w:space="0" w:color="auto"/>
                <w:bottom w:val="none" w:sz="0" w:space="0" w:color="auto"/>
                <w:right w:val="none" w:sz="0" w:space="0" w:color="auto"/>
              </w:divBdr>
            </w:div>
            <w:div w:id="2037582429">
              <w:marLeft w:val="0"/>
              <w:marRight w:val="0"/>
              <w:marTop w:val="0"/>
              <w:marBottom w:val="0"/>
              <w:divBdr>
                <w:top w:val="none" w:sz="0" w:space="0" w:color="auto"/>
                <w:left w:val="none" w:sz="0" w:space="0" w:color="auto"/>
                <w:bottom w:val="none" w:sz="0" w:space="0" w:color="auto"/>
                <w:right w:val="none" w:sz="0" w:space="0" w:color="auto"/>
              </w:divBdr>
            </w:div>
            <w:div w:id="644550985">
              <w:marLeft w:val="0"/>
              <w:marRight w:val="0"/>
              <w:marTop w:val="0"/>
              <w:marBottom w:val="0"/>
              <w:divBdr>
                <w:top w:val="none" w:sz="0" w:space="0" w:color="auto"/>
                <w:left w:val="none" w:sz="0" w:space="0" w:color="auto"/>
                <w:bottom w:val="none" w:sz="0" w:space="0" w:color="auto"/>
                <w:right w:val="none" w:sz="0" w:space="0" w:color="auto"/>
              </w:divBdr>
            </w:div>
            <w:div w:id="635138873">
              <w:marLeft w:val="0"/>
              <w:marRight w:val="0"/>
              <w:marTop w:val="0"/>
              <w:marBottom w:val="0"/>
              <w:divBdr>
                <w:top w:val="none" w:sz="0" w:space="0" w:color="auto"/>
                <w:left w:val="none" w:sz="0" w:space="0" w:color="auto"/>
                <w:bottom w:val="none" w:sz="0" w:space="0" w:color="auto"/>
                <w:right w:val="none" w:sz="0" w:space="0" w:color="auto"/>
              </w:divBdr>
            </w:div>
            <w:div w:id="1910844430">
              <w:marLeft w:val="0"/>
              <w:marRight w:val="0"/>
              <w:marTop w:val="0"/>
              <w:marBottom w:val="0"/>
              <w:divBdr>
                <w:top w:val="none" w:sz="0" w:space="0" w:color="auto"/>
                <w:left w:val="none" w:sz="0" w:space="0" w:color="auto"/>
                <w:bottom w:val="none" w:sz="0" w:space="0" w:color="auto"/>
                <w:right w:val="none" w:sz="0" w:space="0" w:color="auto"/>
              </w:divBdr>
            </w:div>
            <w:div w:id="577984126">
              <w:marLeft w:val="0"/>
              <w:marRight w:val="0"/>
              <w:marTop w:val="0"/>
              <w:marBottom w:val="0"/>
              <w:divBdr>
                <w:top w:val="none" w:sz="0" w:space="0" w:color="auto"/>
                <w:left w:val="none" w:sz="0" w:space="0" w:color="auto"/>
                <w:bottom w:val="none" w:sz="0" w:space="0" w:color="auto"/>
                <w:right w:val="none" w:sz="0" w:space="0" w:color="auto"/>
              </w:divBdr>
            </w:div>
            <w:div w:id="862011255">
              <w:marLeft w:val="0"/>
              <w:marRight w:val="0"/>
              <w:marTop w:val="0"/>
              <w:marBottom w:val="0"/>
              <w:divBdr>
                <w:top w:val="none" w:sz="0" w:space="0" w:color="auto"/>
                <w:left w:val="none" w:sz="0" w:space="0" w:color="auto"/>
                <w:bottom w:val="none" w:sz="0" w:space="0" w:color="auto"/>
                <w:right w:val="none" w:sz="0" w:space="0" w:color="auto"/>
              </w:divBdr>
            </w:div>
            <w:div w:id="1527325905">
              <w:marLeft w:val="0"/>
              <w:marRight w:val="0"/>
              <w:marTop w:val="0"/>
              <w:marBottom w:val="0"/>
              <w:divBdr>
                <w:top w:val="none" w:sz="0" w:space="0" w:color="auto"/>
                <w:left w:val="none" w:sz="0" w:space="0" w:color="auto"/>
                <w:bottom w:val="none" w:sz="0" w:space="0" w:color="auto"/>
                <w:right w:val="none" w:sz="0" w:space="0" w:color="auto"/>
              </w:divBdr>
            </w:div>
            <w:div w:id="1845391787">
              <w:marLeft w:val="0"/>
              <w:marRight w:val="0"/>
              <w:marTop w:val="0"/>
              <w:marBottom w:val="0"/>
              <w:divBdr>
                <w:top w:val="none" w:sz="0" w:space="0" w:color="auto"/>
                <w:left w:val="none" w:sz="0" w:space="0" w:color="auto"/>
                <w:bottom w:val="none" w:sz="0" w:space="0" w:color="auto"/>
                <w:right w:val="none" w:sz="0" w:space="0" w:color="auto"/>
              </w:divBdr>
            </w:div>
            <w:div w:id="1313826986">
              <w:marLeft w:val="0"/>
              <w:marRight w:val="0"/>
              <w:marTop w:val="0"/>
              <w:marBottom w:val="0"/>
              <w:divBdr>
                <w:top w:val="none" w:sz="0" w:space="0" w:color="auto"/>
                <w:left w:val="none" w:sz="0" w:space="0" w:color="auto"/>
                <w:bottom w:val="none" w:sz="0" w:space="0" w:color="auto"/>
                <w:right w:val="none" w:sz="0" w:space="0" w:color="auto"/>
              </w:divBdr>
            </w:div>
            <w:div w:id="1939026047">
              <w:marLeft w:val="0"/>
              <w:marRight w:val="0"/>
              <w:marTop w:val="0"/>
              <w:marBottom w:val="0"/>
              <w:divBdr>
                <w:top w:val="none" w:sz="0" w:space="0" w:color="auto"/>
                <w:left w:val="none" w:sz="0" w:space="0" w:color="auto"/>
                <w:bottom w:val="none" w:sz="0" w:space="0" w:color="auto"/>
                <w:right w:val="none" w:sz="0" w:space="0" w:color="auto"/>
              </w:divBdr>
            </w:div>
            <w:div w:id="2109539040">
              <w:marLeft w:val="0"/>
              <w:marRight w:val="0"/>
              <w:marTop w:val="0"/>
              <w:marBottom w:val="0"/>
              <w:divBdr>
                <w:top w:val="none" w:sz="0" w:space="0" w:color="auto"/>
                <w:left w:val="none" w:sz="0" w:space="0" w:color="auto"/>
                <w:bottom w:val="none" w:sz="0" w:space="0" w:color="auto"/>
                <w:right w:val="none" w:sz="0" w:space="0" w:color="auto"/>
              </w:divBdr>
            </w:div>
            <w:div w:id="1600063662">
              <w:marLeft w:val="0"/>
              <w:marRight w:val="0"/>
              <w:marTop w:val="0"/>
              <w:marBottom w:val="0"/>
              <w:divBdr>
                <w:top w:val="none" w:sz="0" w:space="0" w:color="auto"/>
                <w:left w:val="none" w:sz="0" w:space="0" w:color="auto"/>
                <w:bottom w:val="none" w:sz="0" w:space="0" w:color="auto"/>
                <w:right w:val="none" w:sz="0" w:space="0" w:color="auto"/>
              </w:divBdr>
            </w:div>
            <w:div w:id="1996833104">
              <w:marLeft w:val="0"/>
              <w:marRight w:val="0"/>
              <w:marTop w:val="0"/>
              <w:marBottom w:val="0"/>
              <w:divBdr>
                <w:top w:val="none" w:sz="0" w:space="0" w:color="auto"/>
                <w:left w:val="none" w:sz="0" w:space="0" w:color="auto"/>
                <w:bottom w:val="none" w:sz="0" w:space="0" w:color="auto"/>
                <w:right w:val="none" w:sz="0" w:space="0" w:color="auto"/>
              </w:divBdr>
            </w:div>
            <w:div w:id="919217530">
              <w:marLeft w:val="0"/>
              <w:marRight w:val="0"/>
              <w:marTop w:val="0"/>
              <w:marBottom w:val="0"/>
              <w:divBdr>
                <w:top w:val="none" w:sz="0" w:space="0" w:color="auto"/>
                <w:left w:val="none" w:sz="0" w:space="0" w:color="auto"/>
                <w:bottom w:val="none" w:sz="0" w:space="0" w:color="auto"/>
                <w:right w:val="none" w:sz="0" w:space="0" w:color="auto"/>
              </w:divBdr>
            </w:div>
            <w:div w:id="1353847891">
              <w:marLeft w:val="0"/>
              <w:marRight w:val="0"/>
              <w:marTop w:val="0"/>
              <w:marBottom w:val="0"/>
              <w:divBdr>
                <w:top w:val="none" w:sz="0" w:space="0" w:color="auto"/>
                <w:left w:val="none" w:sz="0" w:space="0" w:color="auto"/>
                <w:bottom w:val="none" w:sz="0" w:space="0" w:color="auto"/>
                <w:right w:val="none" w:sz="0" w:space="0" w:color="auto"/>
              </w:divBdr>
            </w:div>
            <w:div w:id="876744551">
              <w:marLeft w:val="0"/>
              <w:marRight w:val="0"/>
              <w:marTop w:val="0"/>
              <w:marBottom w:val="0"/>
              <w:divBdr>
                <w:top w:val="none" w:sz="0" w:space="0" w:color="auto"/>
                <w:left w:val="none" w:sz="0" w:space="0" w:color="auto"/>
                <w:bottom w:val="none" w:sz="0" w:space="0" w:color="auto"/>
                <w:right w:val="none" w:sz="0" w:space="0" w:color="auto"/>
              </w:divBdr>
            </w:div>
            <w:div w:id="1803814067">
              <w:marLeft w:val="0"/>
              <w:marRight w:val="0"/>
              <w:marTop w:val="0"/>
              <w:marBottom w:val="0"/>
              <w:divBdr>
                <w:top w:val="none" w:sz="0" w:space="0" w:color="auto"/>
                <w:left w:val="none" w:sz="0" w:space="0" w:color="auto"/>
                <w:bottom w:val="none" w:sz="0" w:space="0" w:color="auto"/>
                <w:right w:val="none" w:sz="0" w:space="0" w:color="auto"/>
              </w:divBdr>
            </w:div>
            <w:div w:id="1669018076">
              <w:marLeft w:val="0"/>
              <w:marRight w:val="0"/>
              <w:marTop w:val="0"/>
              <w:marBottom w:val="0"/>
              <w:divBdr>
                <w:top w:val="none" w:sz="0" w:space="0" w:color="auto"/>
                <w:left w:val="none" w:sz="0" w:space="0" w:color="auto"/>
                <w:bottom w:val="none" w:sz="0" w:space="0" w:color="auto"/>
                <w:right w:val="none" w:sz="0" w:space="0" w:color="auto"/>
              </w:divBdr>
            </w:div>
            <w:div w:id="1784107759">
              <w:marLeft w:val="0"/>
              <w:marRight w:val="0"/>
              <w:marTop w:val="0"/>
              <w:marBottom w:val="0"/>
              <w:divBdr>
                <w:top w:val="none" w:sz="0" w:space="0" w:color="auto"/>
                <w:left w:val="none" w:sz="0" w:space="0" w:color="auto"/>
                <w:bottom w:val="none" w:sz="0" w:space="0" w:color="auto"/>
                <w:right w:val="none" w:sz="0" w:space="0" w:color="auto"/>
              </w:divBdr>
            </w:div>
            <w:div w:id="954796931">
              <w:marLeft w:val="0"/>
              <w:marRight w:val="0"/>
              <w:marTop w:val="0"/>
              <w:marBottom w:val="0"/>
              <w:divBdr>
                <w:top w:val="none" w:sz="0" w:space="0" w:color="auto"/>
                <w:left w:val="none" w:sz="0" w:space="0" w:color="auto"/>
                <w:bottom w:val="none" w:sz="0" w:space="0" w:color="auto"/>
                <w:right w:val="none" w:sz="0" w:space="0" w:color="auto"/>
              </w:divBdr>
            </w:div>
            <w:div w:id="648677504">
              <w:marLeft w:val="0"/>
              <w:marRight w:val="0"/>
              <w:marTop w:val="0"/>
              <w:marBottom w:val="0"/>
              <w:divBdr>
                <w:top w:val="none" w:sz="0" w:space="0" w:color="auto"/>
                <w:left w:val="none" w:sz="0" w:space="0" w:color="auto"/>
                <w:bottom w:val="none" w:sz="0" w:space="0" w:color="auto"/>
                <w:right w:val="none" w:sz="0" w:space="0" w:color="auto"/>
              </w:divBdr>
            </w:div>
            <w:div w:id="356322219">
              <w:marLeft w:val="0"/>
              <w:marRight w:val="0"/>
              <w:marTop w:val="0"/>
              <w:marBottom w:val="0"/>
              <w:divBdr>
                <w:top w:val="none" w:sz="0" w:space="0" w:color="auto"/>
                <w:left w:val="none" w:sz="0" w:space="0" w:color="auto"/>
                <w:bottom w:val="none" w:sz="0" w:space="0" w:color="auto"/>
                <w:right w:val="none" w:sz="0" w:space="0" w:color="auto"/>
              </w:divBdr>
            </w:div>
            <w:div w:id="442961529">
              <w:marLeft w:val="0"/>
              <w:marRight w:val="0"/>
              <w:marTop w:val="0"/>
              <w:marBottom w:val="0"/>
              <w:divBdr>
                <w:top w:val="none" w:sz="0" w:space="0" w:color="auto"/>
                <w:left w:val="none" w:sz="0" w:space="0" w:color="auto"/>
                <w:bottom w:val="none" w:sz="0" w:space="0" w:color="auto"/>
                <w:right w:val="none" w:sz="0" w:space="0" w:color="auto"/>
              </w:divBdr>
            </w:div>
            <w:div w:id="1117678883">
              <w:marLeft w:val="0"/>
              <w:marRight w:val="0"/>
              <w:marTop w:val="0"/>
              <w:marBottom w:val="0"/>
              <w:divBdr>
                <w:top w:val="none" w:sz="0" w:space="0" w:color="auto"/>
                <w:left w:val="none" w:sz="0" w:space="0" w:color="auto"/>
                <w:bottom w:val="none" w:sz="0" w:space="0" w:color="auto"/>
                <w:right w:val="none" w:sz="0" w:space="0" w:color="auto"/>
              </w:divBdr>
            </w:div>
            <w:div w:id="1905218550">
              <w:marLeft w:val="0"/>
              <w:marRight w:val="0"/>
              <w:marTop w:val="0"/>
              <w:marBottom w:val="0"/>
              <w:divBdr>
                <w:top w:val="none" w:sz="0" w:space="0" w:color="auto"/>
                <w:left w:val="none" w:sz="0" w:space="0" w:color="auto"/>
                <w:bottom w:val="none" w:sz="0" w:space="0" w:color="auto"/>
                <w:right w:val="none" w:sz="0" w:space="0" w:color="auto"/>
              </w:divBdr>
            </w:div>
            <w:div w:id="467935176">
              <w:marLeft w:val="0"/>
              <w:marRight w:val="0"/>
              <w:marTop w:val="0"/>
              <w:marBottom w:val="0"/>
              <w:divBdr>
                <w:top w:val="none" w:sz="0" w:space="0" w:color="auto"/>
                <w:left w:val="none" w:sz="0" w:space="0" w:color="auto"/>
                <w:bottom w:val="none" w:sz="0" w:space="0" w:color="auto"/>
                <w:right w:val="none" w:sz="0" w:space="0" w:color="auto"/>
              </w:divBdr>
            </w:div>
            <w:div w:id="1098252651">
              <w:marLeft w:val="0"/>
              <w:marRight w:val="0"/>
              <w:marTop w:val="0"/>
              <w:marBottom w:val="0"/>
              <w:divBdr>
                <w:top w:val="none" w:sz="0" w:space="0" w:color="auto"/>
                <w:left w:val="none" w:sz="0" w:space="0" w:color="auto"/>
                <w:bottom w:val="none" w:sz="0" w:space="0" w:color="auto"/>
                <w:right w:val="none" w:sz="0" w:space="0" w:color="auto"/>
              </w:divBdr>
            </w:div>
            <w:div w:id="1911381118">
              <w:marLeft w:val="0"/>
              <w:marRight w:val="0"/>
              <w:marTop w:val="0"/>
              <w:marBottom w:val="0"/>
              <w:divBdr>
                <w:top w:val="none" w:sz="0" w:space="0" w:color="auto"/>
                <w:left w:val="none" w:sz="0" w:space="0" w:color="auto"/>
                <w:bottom w:val="none" w:sz="0" w:space="0" w:color="auto"/>
                <w:right w:val="none" w:sz="0" w:space="0" w:color="auto"/>
              </w:divBdr>
            </w:div>
            <w:div w:id="1619526235">
              <w:marLeft w:val="0"/>
              <w:marRight w:val="0"/>
              <w:marTop w:val="0"/>
              <w:marBottom w:val="0"/>
              <w:divBdr>
                <w:top w:val="none" w:sz="0" w:space="0" w:color="auto"/>
                <w:left w:val="none" w:sz="0" w:space="0" w:color="auto"/>
                <w:bottom w:val="none" w:sz="0" w:space="0" w:color="auto"/>
                <w:right w:val="none" w:sz="0" w:space="0" w:color="auto"/>
              </w:divBdr>
            </w:div>
            <w:div w:id="1980186156">
              <w:marLeft w:val="0"/>
              <w:marRight w:val="0"/>
              <w:marTop w:val="0"/>
              <w:marBottom w:val="0"/>
              <w:divBdr>
                <w:top w:val="none" w:sz="0" w:space="0" w:color="auto"/>
                <w:left w:val="none" w:sz="0" w:space="0" w:color="auto"/>
                <w:bottom w:val="none" w:sz="0" w:space="0" w:color="auto"/>
                <w:right w:val="none" w:sz="0" w:space="0" w:color="auto"/>
              </w:divBdr>
            </w:div>
            <w:div w:id="649863733">
              <w:marLeft w:val="0"/>
              <w:marRight w:val="0"/>
              <w:marTop w:val="0"/>
              <w:marBottom w:val="0"/>
              <w:divBdr>
                <w:top w:val="none" w:sz="0" w:space="0" w:color="auto"/>
                <w:left w:val="none" w:sz="0" w:space="0" w:color="auto"/>
                <w:bottom w:val="none" w:sz="0" w:space="0" w:color="auto"/>
                <w:right w:val="none" w:sz="0" w:space="0" w:color="auto"/>
              </w:divBdr>
            </w:div>
            <w:div w:id="1762943314">
              <w:marLeft w:val="0"/>
              <w:marRight w:val="0"/>
              <w:marTop w:val="0"/>
              <w:marBottom w:val="0"/>
              <w:divBdr>
                <w:top w:val="none" w:sz="0" w:space="0" w:color="auto"/>
                <w:left w:val="none" w:sz="0" w:space="0" w:color="auto"/>
                <w:bottom w:val="none" w:sz="0" w:space="0" w:color="auto"/>
                <w:right w:val="none" w:sz="0" w:space="0" w:color="auto"/>
              </w:divBdr>
            </w:div>
            <w:div w:id="649019047">
              <w:marLeft w:val="0"/>
              <w:marRight w:val="0"/>
              <w:marTop w:val="0"/>
              <w:marBottom w:val="0"/>
              <w:divBdr>
                <w:top w:val="none" w:sz="0" w:space="0" w:color="auto"/>
                <w:left w:val="none" w:sz="0" w:space="0" w:color="auto"/>
                <w:bottom w:val="none" w:sz="0" w:space="0" w:color="auto"/>
                <w:right w:val="none" w:sz="0" w:space="0" w:color="auto"/>
              </w:divBdr>
            </w:div>
            <w:div w:id="902984818">
              <w:marLeft w:val="0"/>
              <w:marRight w:val="0"/>
              <w:marTop w:val="0"/>
              <w:marBottom w:val="0"/>
              <w:divBdr>
                <w:top w:val="none" w:sz="0" w:space="0" w:color="auto"/>
                <w:left w:val="none" w:sz="0" w:space="0" w:color="auto"/>
                <w:bottom w:val="none" w:sz="0" w:space="0" w:color="auto"/>
                <w:right w:val="none" w:sz="0" w:space="0" w:color="auto"/>
              </w:divBdr>
            </w:div>
            <w:div w:id="1626354754">
              <w:marLeft w:val="0"/>
              <w:marRight w:val="0"/>
              <w:marTop w:val="0"/>
              <w:marBottom w:val="0"/>
              <w:divBdr>
                <w:top w:val="none" w:sz="0" w:space="0" w:color="auto"/>
                <w:left w:val="none" w:sz="0" w:space="0" w:color="auto"/>
                <w:bottom w:val="none" w:sz="0" w:space="0" w:color="auto"/>
                <w:right w:val="none" w:sz="0" w:space="0" w:color="auto"/>
              </w:divBdr>
            </w:div>
            <w:div w:id="1847863452">
              <w:marLeft w:val="0"/>
              <w:marRight w:val="0"/>
              <w:marTop w:val="0"/>
              <w:marBottom w:val="0"/>
              <w:divBdr>
                <w:top w:val="none" w:sz="0" w:space="0" w:color="auto"/>
                <w:left w:val="none" w:sz="0" w:space="0" w:color="auto"/>
                <w:bottom w:val="none" w:sz="0" w:space="0" w:color="auto"/>
                <w:right w:val="none" w:sz="0" w:space="0" w:color="auto"/>
              </w:divBdr>
            </w:div>
            <w:div w:id="2055494393">
              <w:marLeft w:val="0"/>
              <w:marRight w:val="0"/>
              <w:marTop w:val="0"/>
              <w:marBottom w:val="0"/>
              <w:divBdr>
                <w:top w:val="none" w:sz="0" w:space="0" w:color="auto"/>
                <w:left w:val="none" w:sz="0" w:space="0" w:color="auto"/>
                <w:bottom w:val="none" w:sz="0" w:space="0" w:color="auto"/>
                <w:right w:val="none" w:sz="0" w:space="0" w:color="auto"/>
              </w:divBdr>
            </w:div>
            <w:div w:id="865410881">
              <w:marLeft w:val="0"/>
              <w:marRight w:val="0"/>
              <w:marTop w:val="0"/>
              <w:marBottom w:val="0"/>
              <w:divBdr>
                <w:top w:val="none" w:sz="0" w:space="0" w:color="auto"/>
                <w:left w:val="none" w:sz="0" w:space="0" w:color="auto"/>
                <w:bottom w:val="none" w:sz="0" w:space="0" w:color="auto"/>
                <w:right w:val="none" w:sz="0" w:space="0" w:color="auto"/>
              </w:divBdr>
            </w:div>
            <w:div w:id="570508816">
              <w:marLeft w:val="0"/>
              <w:marRight w:val="0"/>
              <w:marTop w:val="0"/>
              <w:marBottom w:val="0"/>
              <w:divBdr>
                <w:top w:val="none" w:sz="0" w:space="0" w:color="auto"/>
                <w:left w:val="none" w:sz="0" w:space="0" w:color="auto"/>
                <w:bottom w:val="none" w:sz="0" w:space="0" w:color="auto"/>
                <w:right w:val="none" w:sz="0" w:space="0" w:color="auto"/>
              </w:divBdr>
            </w:div>
            <w:div w:id="1958829378">
              <w:marLeft w:val="0"/>
              <w:marRight w:val="0"/>
              <w:marTop w:val="0"/>
              <w:marBottom w:val="0"/>
              <w:divBdr>
                <w:top w:val="none" w:sz="0" w:space="0" w:color="auto"/>
                <w:left w:val="none" w:sz="0" w:space="0" w:color="auto"/>
                <w:bottom w:val="none" w:sz="0" w:space="0" w:color="auto"/>
                <w:right w:val="none" w:sz="0" w:space="0" w:color="auto"/>
              </w:divBdr>
            </w:div>
            <w:div w:id="1245803319">
              <w:marLeft w:val="0"/>
              <w:marRight w:val="0"/>
              <w:marTop w:val="0"/>
              <w:marBottom w:val="0"/>
              <w:divBdr>
                <w:top w:val="none" w:sz="0" w:space="0" w:color="auto"/>
                <w:left w:val="none" w:sz="0" w:space="0" w:color="auto"/>
                <w:bottom w:val="none" w:sz="0" w:space="0" w:color="auto"/>
                <w:right w:val="none" w:sz="0" w:space="0" w:color="auto"/>
              </w:divBdr>
            </w:div>
            <w:div w:id="699086346">
              <w:marLeft w:val="0"/>
              <w:marRight w:val="0"/>
              <w:marTop w:val="0"/>
              <w:marBottom w:val="0"/>
              <w:divBdr>
                <w:top w:val="none" w:sz="0" w:space="0" w:color="auto"/>
                <w:left w:val="none" w:sz="0" w:space="0" w:color="auto"/>
                <w:bottom w:val="none" w:sz="0" w:space="0" w:color="auto"/>
                <w:right w:val="none" w:sz="0" w:space="0" w:color="auto"/>
              </w:divBdr>
            </w:div>
            <w:div w:id="1175460495">
              <w:marLeft w:val="0"/>
              <w:marRight w:val="0"/>
              <w:marTop w:val="0"/>
              <w:marBottom w:val="0"/>
              <w:divBdr>
                <w:top w:val="none" w:sz="0" w:space="0" w:color="auto"/>
                <w:left w:val="none" w:sz="0" w:space="0" w:color="auto"/>
                <w:bottom w:val="none" w:sz="0" w:space="0" w:color="auto"/>
                <w:right w:val="none" w:sz="0" w:space="0" w:color="auto"/>
              </w:divBdr>
            </w:div>
            <w:div w:id="2055812126">
              <w:marLeft w:val="0"/>
              <w:marRight w:val="0"/>
              <w:marTop w:val="0"/>
              <w:marBottom w:val="0"/>
              <w:divBdr>
                <w:top w:val="none" w:sz="0" w:space="0" w:color="auto"/>
                <w:left w:val="none" w:sz="0" w:space="0" w:color="auto"/>
                <w:bottom w:val="none" w:sz="0" w:space="0" w:color="auto"/>
                <w:right w:val="none" w:sz="0" w:space="0" w:color="auto"/>
              </w:divBdr>
            </w:div>
            <w:div w:id="1973711149">
              <w:marLeft w:val="0"/>
              <w:marRight w:val="0"/>
              <w:marTop w:val="0"/>
              <w:marBottom w:val="0"/>
              <w:divBdr>
                <w:top w:val="none" w:sz="0" w:space="0" w:color="auto"/>
                <w:left w:val="none" w:sz="0" w:space="0" w:color="auto"/>
                <w:bottom w:val="none" w:sz="0" w:space="0" w:color="auto"/>
                <w:right w:val="none" w:sz="0" w:space="0" w:color="auto"/>
              </w:divBdr>
            </w:div>
            <w:div w:id="1786073061">
              <w:marLeft w:val="0"/>
              <w:marRight w:val="0"/>
              <w:marTop w:val="0"/>
              <w:marBottom w:val="0"/>
              <w:divBdr>
                <w:top w:val="none" w:sz="0" w:space="0" w:color="auto"/>
                <w:left w:val="none" w:sz="0" w:space="0" w:color="auto"/>
                <w:bottom w:val="none" w:sz="0" w:space="0" w:color="auto"/>
                <w:right w:val="none" w:sz="0" w:space="0" w:color="auto"/>
              </w:divBdr>
            </w:div>
            <w:div w:id="780927006">
              <w:marLeft w:val="0"/>
              <w:marRight w:val="0"/>
              <w:marTop w:val="0"/>
              <w:marBottom w:val="0"/>
              <w:divBdr>
                <w:top w:val="none" w:sz="0" w:space="0" w:color="auto"/>
                <w:left w:val="none" w:sz="0" w:space="0" w:color="auto"/>
                <w:bottom w:val="none" w:sz="0" w:space="0" w:color="auto"/>
                <w:right w:val="none" w:sz="0" w:space="0" w:color="auto"/>
              </w:divBdr>
            </w:div>
            <w:div w:id="396325302">
              <w:marLeft w:val="0"/>
              <w:marRight w:val="0"/>
              <w:marTop w:val="0"/>
              <w:marBottom w:val="0"/>
              <w:divBdr>
                <w:top w:val="none" w:sz="0" w:space="0" w:color="auto"/>
                <w:left w:val="none" w:sz="0" w:space="0" w:color="auto"/>
                <w:bottom w:val="none" w:sz="0" w:space="0" w:color="auto"/>
                <w:right w:val="none" w:sz="0" w:space="0" w:color="auto"/>
              </w:divBdr>
            </w:div>
            <w:div w:id="2096632282">
              <w:marLeft w:val="0"/>
              <w:marRight w:val="0"/>
              <w:marTop w:val="0"/>
              <w:marBottom w:val="0"/>
              <w:divBdr>
                <w:top w:val="none" w:sz="0" w:space="0" w:color="auto"/>
                <w:left w:val="none" w:sz="0" w:space="0" w:color="auto"/>
                <w:bottom w:val="none" w:sz="0" w:space="0" w:color="auto"/>
                <w:right w:val="none" w:sz="0" w:space="0" w:color="auto"/>
              </w:divBdr>
            </w:div>
            <w:div w:id="1812479179">
              <w:marLeft w:val="0"/>
              <w:marRight w:val="0"/>
              <w:marTop w:val="0"/>
              <w:marBottom w:val="0"/>
              <w:divBdr>
                <w:top w:val="none" w:sz="0" w:space="0" w:color="auto"/>
                <w:left w:val="none" w:sz="0" w:space="0" w:color="auto"/>
                <w:bottom w:val="none" w:sz="0" w:space="0" w:color="auto"/>
                <w:right w:val="none" w:sz="0" w:space="0" w:color="auto"/>
              </w:divBdr>
            </w:div>
            <w:div w:id="1542932867">
              <w:marLeft w:val="0"/>
              <w:marRight w:val="0"/>
              <w:marTop w:val="0"/>
              <w:marBottom w:val="0"/>
              <w:divBdr>
                <w:top w:val="none" w:sz="0" w:space="0" w:color="auto"/>
                <w:left w:val="none" w:sz="0" w:space="0" w:color="auto"/>
                <w:bottom w:val="none" w:sz="0" w:space="0" w:color="auto"/>
                <w:right w:val="none" w:sz="0" w:space="0" w:color="auto"/>
              </w:divBdr>
            </w:div>
            <w:div w:id="1071776153">
              <w:marLeft w:val="0"/>
              <w:marRight w:val="0"/>
              <w:marTop w:val="0"/>
              <w:marBottom w:val="0"/>
              <w:divBdr>
                <w:top w:val="none" w:sz="0" w:space="0" w:color="auto"/>
                <w:left w:val="none" w:sz="0" w:space="0" w:color="auto"/>
                <w:bottom w:val="none" w:sz="0" w:space="0" w:color="auto"/>
                <w:right w:val="none" w:sz="0" w:space="0" w:color="auto"/>
              </w:divBdr>
            </w:div>
            <w:div w:id="1625308853">
              <w:marLeft w:val="0"/>
              <w:marRight w:val="0"/>
              <w:marTop w:val="0"/>
              <w:marBottom w:val="0"/>
              <w:divBdr>
                <w:top w:val="none" w:sz="0" w:space="0" w:color="auto"/>
                <w:left w:val="none" w:sz="0" w:space="0" w:color="auto"/>
                <w:bottom w:val="none" w:sz="0" w:space="0" w:color="auto"/>
                <w:right w:val="none" w:sz="0" w:space="0" w:color="auto"/>
              </w:divBdr>
            </w:div>
            <w:div w:id="838157074">
              <w:marLeft w:val="0"/>
              <w:marRight w:val="0"/>
              <w:marTop w:val="0"/>
              <w:marBottom w:val="0"/>
              <w:divBdr>
                <w:top w:val="none" w:sz="0" w:space="0" w:color="auto"/>
                <w:left w:val="none" w:sz="0" w:space="0" w:color="auto"/>
                <w:bottom w:val="none" w:sz="0" w:space="0" w:color="auto"/>
                <w:right w:val="none" w:sz="0" w:space="0" w:color="auto"/>
              </w:divBdr>
            </w:div>
            <w:div w:id="694767153">
              <w:marLeft w:val="0"/>
              <w:marRight w:val="0"/>
              <w:marTop w:val="0"/>
              <w:marBottom w:val="0"/>
              <w:divBdr>
                <w:top w:val="none" w:sz="0" w:space="0" w:color="auto"/>
                <w:left w:val="none" w:sz="0" w:space="0" w:color="auto"/>
                <w:bottom w:val="none" w:sz="0" w:space="0" w:color="auto"/>
                <w:right w:val="none" w:sz="0" w:space="0" w:color="auto"/>
              </w:divBdr>
            </w:div>
            <w:div w:id="1415276024">
              <w:marLeft w:val="0"/>
              <w:marRight w:val="0"/>
              <w:marTop w:val="0"/>
              <w:marBottom w:val="0"/>
              <w:divBdr>
                <w:top w:val="none" w:sz="0" w:space="0" w:color="auto"/>
                <w:left w:val="none" w:sz="0" w:space="0" w:color="auto"/>
                <w:bottom w:val="none" w:sz="0" w:space="0" w:color="auto"/>
                <w:right w:val="none" w:sz="0" w:space="0" w:color="auto"/>
              </w:divBdr>
            </w:div>
            <w:div w:id="2026051173">
              <w:marLeft w:val="0"/>
              <w:marRight w:val="0"/>
              <w:marTop w:val="0"/>
              <w:marBottom w:val="0"/>
              <w:divBdr>
                <w:top w:val="none" w:sz="0" w:space="0" w:color="auto"/>
                <w:left w:val="none" w:sz="0" w:space="0" w:color="auto"/>
                <w:bottom w:val="none" w:sz="0" w:space="0" w:color="auto"/>
                <w:right w:val="none" w:sz="0" w:space="0" w:color="auto"/>
              </w:divBdr>
            </w:div>
            <w:div w:id="1104419623">
              <w:marLeft w:val="0"/>
              <w:marRight w:val="0"/>
              <w:marTop w:val="0"/>
              <w:marBottom w:val="0"/>
              <w:divBdr>
                <w:top w:val="none" w:sz="0" w:space="0" w:color="auto"/>
                <w:left w:val="none" w:sz="0" w:space="0" w:color="auto"/>
                <w:bottom w:val="none" w:sz="0" w:space="0" w:color="auto"/>
                <w:right w:val="none" w:sz="0" w:space="0" w:color="auto"/>
              </w:divBdr>
            </w:div>
            <w:div w:id="891231384">
              <w:marLeft w:val="0"/>
              <w:marRight w:val="0"/>
              <w:marTop w:val="0"/>
              <w:marBottom w:val="0"/>
              <w:divBdr>
                <w:top w:val="none" w:sz="0" w:space="0" w:color="auto"/>
                <w:left w:val="none" w:sz="0" w:space="0" w:color="auto"/>
                <w:bottom w:val="none" w:sz="0" w:space="0" w:color="auto"/>
                <w:right w:val="none" w:sz="0" w:space="0" w:color="auto"/>
              </w:divBdr>
            </w:div>
            <w:div w:id="173612900">
              <w:marLeft w:val="0"/>
              <w:marRight w:val="0"/>
              <w:marTop w:val="0"/>
              <w:marBottom w:val="0"/>
              <w:divBdr>
                <w:top w:val="none" w:sz="0" w:space="0" w:color="auto"/>
                <w:left w:val="none" w:sz="0" w:space="0" w:color="auto"/>
                <w:bottom w:val="none" w:sz="0" w:space="0" w:color="auto"/>
                <w:right w:val="none" w:sz="0" w:space="0" w:color="auto"/>
              </w:divBdr>
            </w:div>
            <w:div w:id="1498157094">
              <w:marLeft w:val="0"/>
              <w:marRight w:val="0"/>
              <w:marTop w:val="0"/>
              <w:marBottom w:val="0"/>
              <w:divBdr>
                <w:top w:val="none" w:sz="0" w:space="0" w:color="auto"/>
                <w:left w:val="none" w:sz="0" w:space="0" w:color="auto"/>
                <w:bottom w:val="none" w:sz="0" w:space="0" w:color="auto"/>
                <w:right w:val="none" w:sz="0" w:space="0" w:color="auto"/>
              </w:divBdr>
            </w:div>
            <w:div w:id="318191603">
              <w:marLeft w:val="0"/>
              <w:marRight w:val="0"/>
              <w:marTop w:val="0"/>
              <w:marBottom w:val="0"/>
              <w:divBdr>
                <w:top w:val="none" w:sz="0" w:space="0" w:color="auto"/>
                <w:left w:val="none" w:sz="0" w:space="0" w:color="auto"/>
                <w:bottom w:val="none" w:sz="0" w:space="0" w:color="auto"/>
                <w:right w:val="none" w:sz="0" w:space="0" w:color="auto"/>
              </w:divBdr>
            </w:div>
            <w:div w:id="1928074419">
              <w:marLeft w:val="0"/>
              <w:marRight w:val="0"/>
              <w:marTop w:val="0"/>
              <w:marBottom w:val="0"/>
              <w:divBdr>
                <w:top w:val="none" w:sz="0" w:space="0" w:color="auto"/>
                <w:left w:val="none" w:sz="0" w:space="0" w:color="auto"/>
                <w:bottom w:val="none" w:sz="0" w:space="0" w:color="auto"/>
                <w:right w:val="none" w:sz="0" w:space="0" w:color="auto"/>
              </w:divBdr>
            </w:div>
            <w:div w:id="346643062">
              <w:marLeft w:val="0"/>
              <w:marRight w:val="0"/>
              <w:marTop w:val="0"/>
              <w:marBottom w:val="0"/>
              <w:divBdr>
                <w:top w:val="none" w:sz="0" w:space="0" w:color="auto"/>
                <w:left w:val="none" w:sz="0" w:space="0" w:color="auto"/>
                <w:bottom w:val="none" w:sz="0" w:space="0" w:color="auto"/>
                <w:right w:val="none" w:sz="0" w:space="0" w:color="auto"/>
              </w:divBdr>
            </w:div>
            <w:div w:id="113793730">
              <w:marLeft w:val="0"/>
              <w:marRight w:val="0"/>
              <w:marTop w:val="0"/>
              <w:marBottom w:val="0"/>
              <w:divBdr>
                <w:top w:val="none" w:sz="0" w:space="0" w:color="auto"/>
                <w:left w:val="none" w:sz="0" w:space="0" w:color="auto"/>
                <w:bottom w:val="none" w:sz="0" w:space="0" w:color="auto"/>
                <w:right w:val="none" w:sz="0" w:space="0" w:color="auto"/>
              </w:divBdr>
            </w:div>
            <w:div w:id="1758869592">
              <w:marLeft w:val="0"/>
              <w:marRight w:val="0"/>
              <w:marTop w:val="0"/>
              <w:marBottom w:val="0"/>
              <w:divBdr>
                <w:top w:val="none" w:sz="0" w:space="0" w:color="auto"/>
                <w:left w:val="none" w:sz="0" w:space="0" w:color="auto"/>
                <w:bottom w:val="none" w:sz="0" w:space="0" w:color="auto"/>
                <w:right w:val="none" w:sz="0" w:space="0" w:color="auto"/>
              </w:divBdr>
            </w:div>
            <w:div w:id="604775389">
              <w:marLeft w:val="0"/>
              <w:marRight w:val="0"/>
              <w:marTop w:val="0"/>
              <w:marBottom w:val="0"/>
              <w:divBdr>
                <w:top w:val="none" w:sz="0" w:space="0" w:color="auto"/>
                <w:left w:val="none" w:sz="0" w:space="0" w:color="auto"/>
                <w:bottom w:val="none" w:sz="0" w:space="0" w:color="auto"/>
                <w:right w:val="none" w:sz="0" w:space="0" w:color="auto"/>
              </w:divBdr>
            </w:div>
            <w:div w:id="1952862436">
              <w:marLeft w:val="0"/>
              <w:marRight w:val="0"/>
              <w:marTop w:val="0"/>
              <w:marBottom w:val="0"/>
              <w:divBdr>
                <w:top w:val="none" w:sz="0" w:space="0" w:color="auto"/>
                <w:left w:val="none" w:sz="0" w:space="0" w:color="auto"/>
                <w:bottom w:val="none" w:sz="0" w:space="0" w:color="auto"/>
                <w:right w:val="none" w:sz="0" w:space="0" w:color="auto"/>
              </w:divBdr>
            </w:div>
            <w:div w:id="1635792461">
              <w:marLeft w:val="0"/>
              <w:marRight w:val="0"/>
              <w:marTop w:val="0"/>
              <w:marBottom w:val="0"/>
              <w:divBdr>
                <w:top w:val="none" w:sz="0" w:space="0" w:color="auto"/>
                <w:left w:val="none" w:sz="0" w:space="0" w:color="auto"/>
                <w:bottom w:val="none" w:sz="0" w:space="0" w:color="auto"/>
                <w:right w:val="none" w:sz="0" w:space="0" w:color="auto"/>
              </w:divBdr>
            </w:div>
            <w:div w:id="1207137471">
              <w:marLeft w:val="0"/>
              <w:marRight w:val="0"/>
              <w:marTop w:val="0"/>
              <w:marBottom w:val="0"/>
              <w:divBdr>
                <w:top w:val="none" w:sz="0" w:space="0" w:color="auto"/>
                <w:left w:val="none" w:sz="0" w:space="0" w:color="auto"/>
                <w:bottom w:val="none" w:sz="0" w:space="0" w:color="auto"/>
                <w:right w:val="none" w:sz="0" w:space="0" w:color="auto"/>
              </w:divBdr>
            </w:div>
            <w:div w:id="2063289686">
              <w:marLeft w:val="0"/>
              <w:marRight w:val="0"/>
              <w:marTop w:val="0"/>
              <w:marBottom w:val="0"/>
              <w:divBdr>
                <w:top w:val="none" w:sz="0" w:space="0" w:color="auto"/>
                <w:left w:val="none" w:sz="0" w:space="0" w:color="auto"/>
                <w:bottom w:val="none" w:sz="0" w:space="0" w:color="auto"/>
                <w:right w:val="none" w:sz="0" w:space="0" w:color="auto"/>
              </w:divBdr>
            </w:div>
            <w:div w:id="1838186033">
              <w:marLeft w:val="0"/>
              <w:marRight w:val="0"/>
              <w:marTop w:val="0"/>
              <w:marBottom w:val="0"/>
              <w:divBdr>
                <w:top w:val="none" w:sz="0" w:space="0" w:color="auto"/>
                <w:left w:val="none" w:sz="0" w:space="0" w:color="auto"/>
                <w:bottom w:val="none" w:sz="0" w:space="0" w:color="auto"/>
                <w:right w:val="none" w:sz="0" w:space="0" w:color="auto"/>
              </w:divBdr>
            </w:div>
            <w:div w:id="1369138493">
              <w:marLeft w:val="0"/>
              <w:marRight w:val="0"/>
              <w:marTop w:val="0"/>
              <w:marBottom w:val="0"/>
              <w:divBdr>
                <w:top w:val="none" w:sz="0" w:space="0" w:color="auto"/>
                <w:left w:val="none" w:sz="0" w:space="0" w:color="auto"/>
                <w:bottom w:val="none" w:sz="0" w:space="0" w:color="auto"/>
                <w:right w:val="none" w:sz="0" w:space="0" w:color="auto"/>
              </w:divBdr>
            </w:div>
            <w:div w:id="1825660132">
              <w:marLeft w:val="0"/>
              <w:marRight w:val="0"/>
              <w:marTop w:val="0"/>
              <w:marBottom w:val="0"/>
              <w:divBdr>
                <w:top w:val="none" w:sz="0" w:space="0" w:color="auto"/>
                <w:left w:val="none" w:sz="0" w:space="0" w:color="auto"/>
                <w:bottom w:val="none" w:sz="0" w:space="0" w:color="auto"/>
                <w:right w:val="none" w:sz="0" w:space="0" w:color="auto"/>
              </w:divBdr>
            </w:div>
            <w:div w:id="703024562">
              <w:marLeft w:val="0"/>
              <w:marRight w:val="0"/>
              <w:marTop w:val="0"/>
              <w:marBottom w:val="0"/>
              <w:divBdr>
                <w:top w:val="none" w:sz="0" w:space="0" w:color="auto"/>
                <w:left w:val="none" w:sz="0" w:space="0" w:color="auto"/>
                <w:bottom w:val="none" w:sz="0" w:space="0" w:color="auto"/>
                <w:right w:val="none" w:sz="0" w:space="0" w:color="auto"/>
              </w:divBdr>
            </w:div>
            <w:div w:id="1213152674">
              <w:marLeft w:val="0"/>
              <w:marRight w:val="0"/>
              <w:marTop w:val="0"/>
              <w:marBottom w:val="0"/>
              <w:divBdr>
                <w:top w:val="none" w:sz="0" w:space="0" w:color="auto"/>
                <w:left w:val="none" w:sz="0" w:space="0" w:color="auto"/>
                <w:bottom w:val="none" w:sz="0" w:space="0" w:color="auto"/>
                <w:right w:val="none" w:sz="0" w:space="0" w:color="auto"/>
              </w:divBdr>
            </w:div>
            <w:div w:id="2113821274">
              <w:marLeft w:val="0"/>
              <w:marRight w:val="0"/>
              <w:marTop w:val="0"/>
              <w:marBottom w:val="0"/>
              <w:divBdr>
                <w:top w:val="none" w:sz="0" w:space="0" w:color="auto"/>
                <w:left w:val="none" w:sz="0" w:space="0" w:color="auto"/>
                <w:bottom w:val="none" w:sz="0" w:space="0" w:color="auto"/>
                <w:right w:val="none" w:sz="0" w:space="0" w:color="auto"/>
              </w:divBdr>
            </w:div>
            <w:div w:id="1640570107">
              <w:marLeft w:val="0"/>
              <w:marRight w:val="0"/>
              <w:marTop w:val="0"/>
              <w:marBottom w:val="0"/>
              <w:divBdr>
                <w:top w:val="none" w:sz="0" w:space="0" w:color="auto"/>
                <w:left w:val="none" w:sz="0" w:space="0" w:color="auto"/>
                <w:bottom w:val="none" w:sz="0" w:space="0" w:color="auto"/>
                <w:right w:val="none" w:sz="0" w:space="0" w:color="auto"/>
              </w:divBdr>
            </w:div>
            <w:div w:id="1444812001">
              <w:marLeft w:val="0"/>
              <w:marRight w:val="0"/>
              <w:marTop w:val="0"/>
              <w:marBottom w:val="0"/>
              <w:divBdr>
                <w:top w:val="none" w:sz="0" w:space="0" w:color="auto"/>
                <w:left w:val="none" w:sz="0" w:space="0" w:color="auto"/>
                <w:bottom w:val="none" w:sz="0" w:space="0" w:color="auto"/>
                <w:right w:val="none" w:sz="0" w:space="0" w:color="auto"/>
              </w:divBdr>
            </w:div>
            <w:div w:id="297805398">
              <w:marLeft w:val="0"/>
              <w:marRight w:val="0"/>
              <w:marTop w:val="0"/>
              <w:marBottom w:val="0"/>
              <w:divBdr>
                <w:top w:val="none" w:sz="0" w:space="0" w:color="auto"/>
                <w:left w:val="none" w:sz="0" w:space="0" w:color="auto"/>
                <w:bottom w:val="none" w:sz="0" w:space="0" w:color="auto"/>
                <w:right w:val="none" w:sz="0" w:space="0" w:color="auto"/>
              </w:divBdr>
            </w:div>
            <w:div w:id="1307588808">
              <w:marLeft w:val="0"/>
              <w:marRight w:val="0"/>
              <w:marTop w:val="0"/>
              <w:marBottom w:val="0"/>
              <w:divBdr>
                <w:top w:val="none" w:sz="0" w:space="0" w:color="auto"/>
                <w:left w:val="none" w:sz="0" w:space="0" w:color="auto"/>
                <w:bottom w:val="none" w:sz="0" w:space="0" w:color="auto"/>
                <w:right w:val="none" w:sz="0" w:space="0" w:color="auto"/>
              </w:divBdr>
            </w:div>
            <w:div w:id="1594510050">
              <w:marLeft w:val="0"/>
              <w:marRight w:val="0"/>
              <w:marTop w:val="0"/>
              <w:marBottom w:val="0"/>
              <w:divBdr>
                <w:top w:val="none" w:sz="0" w:space="0" w:color="auto"/>
                <w:left w:val="none" w:sz="0" w:space="0" w:color="auto"/>
                <w:bottom w:val="none" w:sz="0" w:space="0" w:color="auto"/>
                <w:right w:val="none" w:sz="0" w:space="0" w:color="auto"/>
              </w:divBdr>
            </w:div>
            <w:div w:id="1839496672">
              <w:marLeft w:val="0"/>
              <w:marRight w:val="0"/>
              <w:marTop w:val="0"/>
              <w:marBottom w:val="0"/>
              <w:divBdr>
                <w:top w:val="none" w:sz="0" w:space="0" w:color="auto"/>
                <w:left w:val="none" w:sz="0" w:space="0" w:color="auto"/>
                <w:bottom w:val="none" w:sz="0" w:space="0" w:color="auto"/>
                <w:right w:val="none" w:sz="0" w:space="0" w:color="auto"/>
              </w:divBdr>
            </w:div>
            <w:div w:id="543760707">
              <w:marLeft w:val="0"/>
              <w:marRight w:val="0"/>
              <w:marTop w:val="0"/>
              <w:marBottom w:val="0"/>
              <w:divBdr>
                <w:top w:val="none" w:sz="0" w:space="0" w:color="auto"/>
                <w:left w:val="none" w:sz="0" w:space="0" w:color="auto"/>
                <w:bottom w:val="none" w:sz="0" w:space="0" w:color="auto"/>
                <w:right w:val="none" w:sz="0" w:space="0" w:color="auto"/>
              </w:divBdr>
            </w:div>
            <w:div w:id="719667433">
              <w:marLeft w:val="0"/>
              <w:marRight w:val="0"/>
              <w:marTop w:val="0"/>
              <w:marBottom w:val="0"/>
              <w:divBdr>
                <w:top w:val="none" w:sz="0" w:space="0" w:color="auto"/>
                <w:left w:val="none" w:sz="0" w:space="0" w:color="auto"/>
                <w:bottom w:val="none" w:sz="0" w:space="0" w:color="auto"/>
                <w:right w:val="none" w:sz="0" w:space="0" w:color="auto"/>
              </w:divBdr>
            </w:div>
            <w:div w:id="1430589865">
              <w:marLeft w:val="0"/>
              <w:marRight w:val="0"/>
              <w:marTop w:val="0"/>
              <w:marBottom w:val="0"/>
              <w:divBdr>
                <w:top w:val="none" w:sz="0" w:space="0" w:color="auto"/>
                <w:left w:val="none" w:sz="0" w:space="0" w:color="auto"/>
                <w:bottom w:val="none" w:sz="0" w:space="0" w:color="auto"/>
                <w:right w:val="none" w:sz="0" w:space="0" w:color="auto"/>
              </w:divBdr>
            </w:div>
            <w:div w:id="544560596">
              <w:marLeft w:val="0"/>
              <w:marRight w:val="0"/>
              <w:marTop w:val="0"/>
              <w:marBottom w:val="0"/>
              <w:divBdr>
                <w:top w:val="none" w:sz="0" w:space="0" w:color="auto"/>
                <w:left w:val="none" w:sz="0" w:space="0" w:color="auto"/>
                <w:bottom w:val="none" w:sz="0" w:space="0" w:color="auto"/>
                <w:right w:val="none" w:sz="0" w:space="0" w:color="auto"/>
              </w:divBdr>
            </w:div>
            <w:div w:id="1068266320">
              <w:marLeft w:val="0"/>
              <w:marRight w:val="0"/>
              <w:marTop w:val="0"/>
              <w:marBottom w:val="0"/>
              <w:divBdr>
                <w:top w:val="none" w:sz="0" w:space="0" w:color="auto"/>
                <w:left w:val="none" w:sz="0" w:space="0" w:color="auto"/>
                <w:bottom w:val="none" w:sz="0" w:space="0" w:color="auto"/>
                <w:right w:val="none" w:sz="0" w:space="0" w:color="auto"/>
              </w:divBdr>
            </w:div>
            <w:div w:id="1636640681">
              <w:marLeft w:val="0"/>
              <w:marRight w:val="0"/>
              <w:marTop w:val="0"/>
              <w:marBottom w:val="0"/>
              <w:divBdr>
                <w:top w:val="none" w:sz="0" w:space="0" w:color="auto"/>
                <w:left w:val="none" w:sz="0" w:space="0" w:color="auto"/>
                <w:bottom w:val="none" w:sz="0" w:space="0" w:color="auto"/>
                <w:right w:val="none" w:sz="0" w:space="0" w:color="auto"/>
              </w:divBdr>
            </w:div>
            <w:div w:id="189035334">
              <w:marLeft w:val="0"/>
              <w:marRight w:val="0"/>
              <w:marTop w:val="0"/>
              <w:marBottom w:val="0"/>
              <w:divBdr>
                <w:top w:val="none" w:sz="0" w:space="0" w:color="auto"/>
                <w:left w:val="none" w:sz="0" w:space="0" w:color="auto"/>
                <w:bottom w:val="none" w:sz="0" w:space="0" w:color="auto"/>
                <w:right w:val="none" w:sz="0" w:space="0" w:color="auto"/>
              </w:divBdr>
            </w:div>
            <w:div w:id="2102407648">
              <w:marLeft w:val="0"/>
              <w:marRight w:val="0"/>
              <w:marTop w:val="0"/>
              <w:marBottom w:val="0"/>
              <w:divBdr>
                <w:top w:val="none" w:sz="0" w:space="0" w:color="auto"/>
                <w:left w:val="none" w:sz="0" w:space="0" w:color="auto"/>
                <w:bottom w:val="none" w:sz="0" w:space="0" w:color="auto"/>
                <w:right w:val="none" w:sz="0" w:space="0" w:color="auto"/>
              </w:divBdr>
            </w:div>
            <w:div w:id="126363949">
              <w:marLeft w:val="0"/>
              <w:marRight w:val="0"/>
              <w:marTop w:val="0"/>
              <w:marBottom w:val="0"/>
              <w:divBdr>
                <w:top w:val="none" w:sz="0" w:space="0" w:color="auto"/>
                <w:left w:val="none" w:sz="0" w:space="0" w:color="auto"/>
                <w:bottom w:val="none" w:sz="0" w:space="0" w:color="auto"/>
                <w:right w:val="none" w:sz="0" w:space="0" w:color="auto"/>
              </w:divBdr>
            </w:div>
            <w:div w:id="742265351">
              <w:marLeft w:val="0"/>
              <w:marRight w:val="0"/>
              <w:marTop w:val="0"/>
              <w:marBottom w:val="0"/>
              <w:divBdr>
                <w:top w:val="none" w:sz="0" w:space="0" w:color="auto"/>
                <w:left w:val="none" w:sz="0" w:space="0" w:color="auto"/>
                <w:bottom w:val="none" w:sz="0" w:space="0" w:color="auto"/>
                <w:right w:val="none" w:sz="0" w:space="0" w:color="auto"/>
              </w:divBdr>
            </w:div>
            <w:div w:id="580524281">
              <w:marLeft w:val="0"/>
              <w:marRight w:val="0"/>
              <w:marTop w:val="0"/>
              <w:marBottom w:val="0"/>
              <w:divBdr>
                <w:top w:val="none" w:sz="0" w:space="0" w:color="auto"/>
                <w:left w:val="none" w:sz="0" w:space="0" w:color="auto"/>
                <w:bottom w:val="none" w:sz="0" w:space="0" w:color="auto"/>
                <w:right w:val="none" w:sz="0" w:space="0" w:color="auto"/>
              </w:divBdr>
            </w:div>
            <w:div w:id="443888940">
              <w:marLeft w:val="0"/>
              <w:marRight w:val="0"/>
              <w:marTop w:val="0"/>
              <w:marBottom w:val="0"/>
              <w:divBdr>
                <w:top w:val="none" w:sz="0" w:space="0" w:color="auto"/>
                <w:left w:val="none" w:sz="0" w:space="0" w:color="auto"/>
                <w:bottom w:val="none" w:sz="0" w:space="0" w:color="auto"/>
                <w:right w:val="none" w:sz="0" w:space="0" w:color="auto"/>
              </w:divBdr>
            </w:div>
            <w:div w:id="1670981327">
              <w:marLeft w:val="0"/>
              <w:marRight w:val="0"/>
              <w:marTop w:val="0"/>
              <w:marBottom w:val="0"/>
              <w:divBdr>
                <w:top w:val="none" w:sz="0" w:space="0" w:color="auto"/>
                <w:left w:val="none" w:sz="0" w:space="0" w:color="auto"/>
                <w:bottom w:val="none" w:sz="0" w:space="0" w:color="auto"/>
                <w:right w:val="none" w:sz="0" w:space="0" w:color="auto"/>
              </w:divBdr>
            </w:div>
            <w:div w:id="1745761802">
              <w:marLeft w:val="0"/>
              <w:marRight w:val="0"/>
              <w:marTop w:val="0"/>
              <w:marBottom w:val="0"/>
              <w:divBdr>
                <w:top w:val="none" w:sz="0" w:space="0" w:color="auto"/>
                <w:left w:val="none" w:sz="0" w:space="0" w:color="auto"/>
                <w:bottom w:val="none" w:sz="0" w:space="0" w:color="auto"/>
                <w:right w:val="none" w:sz="0" w:space="0" w:color="auto"/>
              </w:divBdr>
            </w:div>
            <w:div w:id="1070887564">
              <w:marLeft w:val="0"/>
              <w:marRight w:val="0"/>
              <w:marTop w:val="0"/>
              <w:marBottom w:val="0"/>
              <w:divBdr>
                <w:top w:val="none" w:sz="0" w:space="0" w:color="auto"/>
                <w:left w:val="none" w:sz="0" w:space="0" w:color="auto"/>
                <w:bottom w:val="none" w:sz="0" w:space="0" w:color="auto"/>
                <w:right w:val="none" w:sz="0" w:space="0" w:color="auto"/>
              </w:divBdr>
            </w:div>
            <w:div w:id="82924655">
              <w:marLeft w:val="0"/>
              <w:marRight w:val="0"/>
              <w:marTop w:val="0"/>
              <w:marBottom w:val="0"/>
              <w:divBdr>
                <w:top w:val="none" w:sz="0" w:space="0" w:color="auto"/>
                <w:left w:val="none" w:sz="0" w:space="0" w:color="auto"/>
                <w:bottom w:val="none" w:sz="0" w:space="0" w:color="auto"/>
                <w:right w:val="none" w:sz="0" w:space="0" w:color="auto"/>
              </w:divBdr>
            </w:div>
            <w:div w:id="1089741231">
              <w:marLeft w:val="0"/>
              <w:marRight w:val="0"/>
              <w:marTop w:val="0"/>
              <w:marBottom w:val="0"/>
              <w:divBdr>
                <w:top w:val="none" w:sz="0" w:space="0" w:color="auto"/>
                <w:left w:val="none" w:sz="0" w:space="0" w:color="auto"/>
                <w:bottom w:val="none" w:sz="0" w:space="0" w:color="auto"/>
                <w:right w:val="none" w:sz="0" w:space="0" w:color="auto"/>
              </w:divBdr>
            </w:div>
            <w:div w:id="1347638109">
              <w:marLeft w:val="0"/>
              <w:marRight w:val="0"/>
              <w:marTop w:val="0"/>
              <w:marBottom w:val="0"/>
              <w:divBdr>
                <w:top w:val="none" w:sz="0" w:space="0" w:color="auto"/>
                <w:left w:val="none" w:sz="0" w:space="0" w:color="auto"/>
                <w:bottom w:val="none" w:sz="0" w:space="0" w:color="auto"/>
                <w:right w:val="none" w:sz="0" w:space="0" w:color="auto"/>
              </w:divBdr>
            </w:div>
            <w:div w:id="815226155">
              <w:marLeft w:val="0"/>
              <w:marRight w:val="0"/>
              <w:marTop w:val="0"/>
              <w:marBottom w:val="0"/>
              <w:divBdr>
                <w:top w:val="none" w:sz="0" w:space="0" w:color="auto"/>
                <w:left w:val="none" w:sz="0" w:space="0" w:color="auto"/>
                <w:bottom w:val="none" w:sz="0" w:space="0" w:color="auto"/>
                <w:right w:val="none" w:sz="0" w:space="0" w:color="auto"/>
              </w:divBdr>
            </w:div>
            <w:div w:id="1349795802">
              <w:marLeft w:val="0"/>
              <w:marRight w:val="0"/>
              <w:marTop w:val="0"/>
              <w:marBottom w:val="0"/>
              <w:divBdr>
                <w:top w:val="none" w:sz="0" w:space="0" w:color="auto"/>
                <w:left w:val="none" w:sz="0" w:space="0" w:color="auto"/>
                <w:bottom w:val="none" w:sz="0" w:space="0" w:color="auto"/>
                <w:right w:val="none" w:sz="0" w:space="0" w:color="auto"/>
              </w:divBdr>
            </w:div>
            <w:div w:id="620115833">
              <w:marLeft w:val="0"/>
              <w:marRight w:val="0"/>
              <w:marTop w:val="0"/>
              <w:marBottom w:val="0"/>
              <w:divBdr>
                <w:top w:val="none" w:sz="0" w:space="0" w:color="auto"/>
                <w:left w:val="none" w:sz="0" w:space="0" w:color="auto"/>
                <w:bottom w:val="none" w:sz="0" w:space="0" w:color="auto"/>
                <w:right w:val="none" w:sz="0" w:space="0" w:color="auto"/>
              </w:divBdr>
            </w:div>
            <w:div w:id="597063467">
              <w:marLeft w:val="0"/>
              <w:marRight w:val="0"/>
              <w:marTop w:val="0"/>
              <w:marBottom w:val="0"/>
              <w:divBdr>
                <w:top w:val="none" w:sz="0" w:space="0" w:color="auto"/>
                <w:left w:val="none" w:sz="0" w:space="0" w:color="auto"/>
                <w:bottom w:val="none" w:sz="0" w:space="0" w:color="auto"/>
                <w:right w:val="none" w:sz="0" w:space="0" w:color="auto"/>
              </w:divBdr>
            </w:div>
            <w:div w:id="1410692193">
              <w:marLeft w:val="0"/>
              <w:marRight w:val="0"/>
              <w:marTop w:val="0"/>
              <w:marBottom w:val="0"/>
              <w:divBdr>
                <w:top w:val="none" w:sz="0" w:space="0" w:color="auto"/>
                <w:left w:val="none" w:sz="0" w:space="0" w:color="auto"/>
                <w:bottom w:val="none" w:sz="0" w:space="0" w:color="auto"/>
                <w:right w:val="none" w:sz="0" w:space="0" w:color="auto"/>
              </w:divBdr>
            </w:div>
            <w:div w:id="1762793805">
              <w:marLeft w:val="0"/>
              <w:marRight w:val="0"/>
              <w:marTop w:val="0"/>
              <w:marBottom w:val="0"/>
              <w:divBdr>
                <w:top w:val="none" w:sz="0" w:space="0" w:color="auto"/>
                <w:left w:val="none" w:sz="0" w:space="0" w:color="auto"/>
                <w:bottom w:val="none" w:sz="0" w:space="0" w:color="auto"/>
                <w:right w:val="none" w:sz="0" w:space="0" w:color="auto"/>
              </w:divBdr>
            </w:div>
            <w:div w:id="937518244">
              <w:marLeft w:val="0"/>
              <w:marRight w:val="0"/>
              <w:marTop w:val="0"/>
              <w:marBottom w:val="0"/>
              <w:divBdr>
                <w:top w:val="none" w:sz="0" w:space="0" w:color="auto"/>
                <w:left w:val="none" w:sz="0" w:space="0" w:color="auto"/>
                <w:bottom w:val="none" w:sz="0" w:space="0" w:color="auto"/>
                <w:right w:val="none" w:sz="0" w:space="0" w:color="auto"/>
              </w:divBdr>
            </w:div>
            <w:div w:id="225067586">
              <w:marLeft w:val="0"/>
              <w:marRight w:val="0"/>
              <w:marTop w:val="0"/>
              <w:marBottom w:val="0"/>
              <w:divBdr>
                <w:top w:val="none" w:sz="0" w:space="0" w:color="auto"/>
                <w:left w:val="none" w:sz="0" w:space="0" w:color="auto"/>
                <w:bottom w:val="none" w:sz="0" w:space="0" w:color="auto"/>
                <w:right w:val="none" w:sz="0" w:space="0" w:color="auto"/>
              </w:divBdr>
            </w:div>
            <w:div w:id="197354181">
              <w:marLeft w:val="0"/>
              <w:marRight w:val="0"/>
              <w:marTop w:val="0"/>
              <w:marBottom w:val="0"/>
              <w:divBdr>
                <w:top w:val="none" w:sz="0" w:space="0" w:color="auto"/>
                <w:left w:val="none" w:sz="0" w:space="0" w:color="auto"/>
                <w:bottom w:val="none" w:sz="0" w:space="0" w:color="auto"/>
                <w:right w:val="none" w:sz="0" w:space="0" w:color="auto"/>
              </w:divBdr>
            </w:div>
            <w:div w:id="1401634716">
              <w:marLeft w:val="0"/>
              <w:marRight w:val="0"/>
              <w:marTop w:val="0"/>
              <w:marBottom w:val="0"/>
              <w:divBdr>
                <w:top w:val="none" w:sz="0" w:space="0" w:color="auto"/>
                <w:left w:val="none" w:sz="0" w:space="0" w:color="auto"/>
                <w:bottom w:val="none" w:sz="0" w:space="0" w:color="auto"/>
                <w:right w:val="none" w:sz="0" w:space="0" w:color="auto"/>
              </w:divBdr>
            </w:div>
            <w:div w:id="1308781539">
              <w:marLeft w:val="0"/>
              <w:marRight w:val="0"/>
              <w:marTop w:val="0"/>
              <w:marBottom w:val="0"/>
              <w:divBdr>
                <w:top w:val="none" w:sz="0" w:space="0" w:color="auto"/>
                <w:left w:val="none" w:sz="0" w:space="0" w:color="auto"/>
                <w:bottom w:val="none" w:sz="0" w:space="0" w:color="auto"/>
                <w:right w:val="none" w:sz="0" w:space="0" w:color="auto"/>
              </w:divBdr>
            </w:div>
            <w:div w:id="1020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9429">
      <w:bodyDiv w:val="1"/>
      <w:marLeft w:val="0"/>
      <w:marRight w:val="0"/>
      <w:marTop w:val="0"/>
      <w:marBottom w:val="0"/>
      <w:divBdr>
        <w:top w:val="none" w:sz="0" w:space="0" w:color="auto"/>
        <w:left w:val="none" w:sz="0" w:space="0" w:color="auto"/>
        <w:bottom w:val="none" w:sz="0" w:space="0" w:color="auto"/>
        <w:right w:val="none" w:sz="0" w:space="0" w:color="auto"/>
      </w:divBdr>
    </w:div>
    <w:div w:id="1016466149">
      <w:bodyDiv w:val="1"/>
      <w:marLeft w:val="0"/>
      <w:marRight w:val="0"/>
      <w:marTop w:val="0"/>
      <w:marBottom w:val="0"/>
      <w:divBdr>
        <w:top w:val="none" w:sz="0" w:space="0" w:color="auto"/>
        <w:left w:val="none" w:sz="0" w:space="0" w:color="auto"/>
        <w:bottom w:val="none" w:sz="0" w:space="0" w:color="auto"/>
        <w:right w:val="none" w:sz="0" w:space="0" w:color="auto"/>
      </w:divBdr>
      <w:divsChild>
        <w:div w:id="1005328794">
          <w:marLeft w:val="0"/>
          <w:marRight w:val="0"/>
          <w:marTop w:val="0"/>
          <w:marBottom w:val="0"/>
          <w:divBdr>
            <w:top w:val="none" w:sz="0" w:space="0" w:color="auto"/>
            <w:left w:val="none" w:sz="0" w:space="0" w:color="auto"/>
            <w:bottom w:val="none" w:sz="0" w:space="0" w:color="auto"/>
            <w:right w:val="none" w:sz="0" w:space="0" w:color="auto"/>
          </w:divBdr>
          <w:divsChild>
            <w:div w:id="641738357">
              <w:marLeft w:val="0"/>
              <w:marRight w:val="0"/>
              <w:marTop w:val="0"/>
              <w:marBottom w:val="0"/>
              <w:divBdr>
                <w:top w:val="none" w:sz="0" w:space="0" w:color="auto"/>
                <w:left w:val="none" w:sz="0" w:space="0" w:color="auto"/>
                <w:bottom w:val="none" w:sz="0" w:space="0" w:color="auto"/>
                <w:right w:val="none" w:sz="0" w:space="0" w:color="auto"/>
              </w:divBdr>
            </w:div>
            <w:div w:id="2071686708">
              <w:marLeft w:val="0"/>
              <w:marRight w:val="0"/>
              <w:marTop w:val="0"/>
              <w:marBottom w:val="0"/>
              <w:divBdr>
                <w:top w:val="none" w:sz="0" w:space="0" w:color="auto"/>
                <w:left w:val="none" w:sz="0" w:space="0" w:color="auto"/>
                <w:bottom w:val="none" w:sz="0" w:space="0" w:color="auto"/>
                <w:right w:val="none" w:sz="0" w:space="0" w:color="auto"/>
              </w:divBdr>
            </w:div>
            <w:div w:id="2075423688">
              <w:marLeft w:val="0"/>
              <w:marRight w:val="0"/>
              <w:marTop w:val="0"/>
              <w:marBottom w:val="0"/>
              <w:divBdr>
                <w:top w:val="none" w:sz="0" w:space="0" w:color="auto"/>
                <w:left w:val="none" w:sz="0" w:space="0" w:color="auto"/>
                <w:bottom w:val="none" w:sz="0" w:space="0" w:color="auto"/>
                <w:right w:val="none" w:sz="0" w:space="0" w:color="auto"/>
              </w:divBdr>
            </w:div>
            <w:div w:id="1760132831">
              <w:marLeft w:val="0"/>
              <w:marRight w:val="0"/>
              <w:marTop w:val="0"/>
              <w:marBottom w:val="0"/>
              <w:divBdr>
                <w:top w:val="none" w:sz="0" w:space="0" w:color="auto"/>
                <w:left w:val="none" w:sz="0" w:space="0" w:color="auto"/>
                <w:bottom w:val="none" w:sz="0" w:space="0" w:color="auto"/>
                <w:right w:val="none" w:sz="0" w:space="0" w:color="auto"/>
              </w:divBdr>
            </w:div>
            <w:div w:id="17147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4312">
      <w:bodyDiv w:val="1"/>
      <w:marLeft w:val="0"/>
      <w:marRight w:val="0"/>
      <w:marTop w:val="0"/>
      <w:marBottom w:val="0"/>
      <w:divBdr>
        <w:top w:val="none" w:sz="0" w:space="0" w:color="auto"/>
        <w:left w:val="none" w:sz="0" w:space="0" w:color="auto"/>
        <w:bottom w:val="none" w:sz="0" w:space="0" w:color="auto"/>
        <w:right w:val="none" w:sz="0" w:space="0" w:color="auto"/>
      </w:divBdr>
      <w:divsChild>
        <w:div w:id="311107537">
          <w:marLeft w:val="0"/>
          <w:marRight w:val="0"/>
          <w:marTop w:val="0"/>
          <w:marBottom w:val="0"/>
          <w:divBdr>
            <w:top w:val="none" w:sz="0" w:space="0" w:color="auto"/>
            <w:left w:val="none" w:sz="0" w:space="0" w:color="auto"/>
            <w:bottom w:val="none" w:sz="0" w:space="0" w:color="auto"/>
            <w:right w:val="none" w:sz="0" w:space="0" w:color="auto"/>
          </w:divBdr>
        </w:div>
        <w:div w:id="895891949">
          <w:marLeft w:val="0"/>
          <w:marRight w:val="0"/>
          <w:marTop w:val="0"/>
          <w:marBottom w:val="0"/>
          <w:divBdr>
            <w:top w:val="none" w:sz="0" w:space="0" w:color="auto"/>
            <w:left w:val="none" w:sz="0" w:space="0" w:color="auto"/>
            <w:bottom w:val="none" w:sz="0" w:space="0" w:color="auto"/>
            <w:right w:val="none" w:sz="0" w:space="0" w:color="auto"/>
          </w:divBdr>
        </w:div>
        <w:div w:id="1649625214">
          <w:marLeft w:val="0"/>
          <w:marRight w:val="0"/>
          <w:marTop w:val="0"/>
          <w:marBottom w:val="0"/>
          <w:divBdr>
            <w:top w:val="none" w:sz="0" w:space="0" w:color="auto"/>
            <w:left w:val="none" w:sz="0" w:space="0" w:color="auto"/>
            <w:bottom w:val="none" w:sz="0" w:space="0" w:color="auto"/>
            <w:right w:val="none" w:sz="0" w:space="0" w:color="auto"/>
          </w:divBdr>
        </w:div>
        <w:div w:id="948009766">
          <w:marLeft w:val="0"/>
          <w:marRight w:val="0"/>
          <w:marTop w:val="0"/>
          <w:marBottom w:val="0"/>
          <w:divBdr>
            <w:top w:val="none" w:sz="0" w:space="0" w:color="auto"/>
            <w:left w:val="none" w:sz="0" w:space="0" w:color="auto"/>
            <w:bottom w:val="none" w:sz="0" w:space="0" w:color="auto"/>
            <w:right w:val="none" w:sz="0" w:space="0" w:color="auto"/>
          </w:divBdr>
        </w:div>
        <w:div w:id="328407158">
          <w:marLeft w:val="0"/>
          <w:marRight w:val="0"/>
          <w:marTop w:val="0"/>
          <w:marBottom w:val="0"/>
          <w:divBdr>
            <w:top w:val="none" w:sz="0" w:space="0" w:color="auto"/>
            <w:left w:val="none" w:sz="0" w:space="0" w:color="auto"/>
            <w:bottom w:val="none" w:sz="0" w:space="0" w:color="auto"/>
            <w:right w:val="none" w:sz="0" w:space="0" w:color="auto"/>
          </w:divBdr>
        </w:div>
        <w:div w:id="1741825331">
          <w:marLeft w:val="0"/>
          <w:marRight w:val="0"/>
          <w:marTop w:val="0"/>
          <w:marBottom w:val="0"/>
          <w:divBdr>
            <w:top w:val="none" w:sz="0" w:space="0" w:color="auto"/>
            <w:left w:val="none" w:sz="0" w:space="0" w:color="auto"/>
            <w:bottom w:val="none" w:sz="0" w:space="0" w:color="auto"/>
            <w:right w:val="none" w:sz="0" w:space="0" w:color="auto"/>
          </w:divBdr>
        </w:div>
        <w:div w:id="405882868">
          <w:marLeft w:val="0"/>
          <w:marRight w:val="0"/>
          <w:marTop w:val="0"/>
          <w:marBottom w:val="0"/>
          <w:divBdr>
            <w:top w:val="none" w:sz="0" w:space="0" w:color="auto"/>
            <w:left w:val="none" w:sz="0" w:space="0" w:color="auto"/>
            <w:bottom w:val="none" w:sz="0" w:space="0" w:color="auto"/>
            <w:right w:val="none" w:sz="0" w:space="0" w:color="auto"/>
          </w:divBdr>
        </w:div>
        <w:div w:id="1712807017">
          <w:marLeft w:val="0"/>
          <w:marRight w:val="0"/>
          <w:marTop w:val="0"/>
          <w:marBottom w:val="0"/>
          <w:divBdr>
            <w:top w:val="none" w:sz="0" w:space="0" w:color="auto"/>
            <w:left w:val="none" w:sz="0" w:space="0" w:color="auto"/>
            <w:bottom w:val="none" w:sz="0" w:space="0" w:color="auto"/>
            <w:right w:val="none" w:sz="0" w:space="0" w:color="auto"/>
          </w:divBdr>
        </w:div>
        <w:div w:id="994341290">
          <w:marLeft w:val="0"/>
          <w:marRight w:val="0"/>
          <w:marTop w:val="0"/>
          <w:marBottom w:val="0"/>
          <w:divBdr>
            <w:top w:val="none" w:sz="0" w:space="0" w:color="auto"/>
            <w:left w:val="none" w:sz="0" w:space="0" w:color="auto"/>
            <w:bottom w:val="none" w:sz="0" w:space="0" w:color="auto"/>
            <w:right w:val="none" w:sz="0" w:space="0" w:color="auto"/>
          </w:divBdr>
        </w:div>
        <w:div w:id="752438720">
          <w:marLeft w:val="0"/>
          <w:marRight w:val="0"/>
          <w:marTop w:val="0"/>
          <w:marBottom w:val="0"/>
          <w:divBdr>
            <w:top w:val="none" w:sz="0" w:space="0" w:color="auto"/>
            <w:left w:val="none" w:sz="0" w:space="0" w:color="auto"/>
            <w:bottom w:val="none" w:sz="0" w:space="0" w:color="auto"/>
            <w:right w:val="none" w:sz="0" w:space="0" w:color="auto"/>
          </w:divBdr>
        </w:div>
        <w:div w:id="1398549489">
          <w:marLeft w:val="0"/>
          <w:marRight w:val="0"/>
          <w:marTop w:val="0"/>
          <w:marBottom w:val="0"/>
          <w:divBdr>
            <w:top w:val="none" w:sz="0" w:space="0" w:color="auto"/>
            <w:left w:val="none" w:sz="0" w:space="0" w:color="auto"/>
            <w:bottom w:val="none" w:sz="0" w:space="0" w:color="auto"/>
            <w:right w:val="none" w:sz="0" w:space="0" w:color="auto"/>
          </w:divBdr>
        </w:div>
        <w:div w:id="1433237384">
          <w:marLeft w:val="0"/>
          <w:marRight w:val="0"/>
          <w:marTop w:val="0"/>
          <w:marBottom w:val="0"/>
          <w:divBdr>
            <w:top w:val="none" w:sz="0" w:space="0" w:color="auto"/>
            <w:left w:val="none" w:sz="0" w:space="0" w:color="auto"/>
            <w:bottom w:val="none" w:sz="0" w:space="0" w:color="auto"/>
            <w:right w:val="none" w:sz="0" w:space="0" w:color="auto"/>
          </w:divBdr>
        </w:div>
        <w:div w:id="1356927839">
          <w:marLeft w:val="0"/>
          <w:marRight w:val="0"/>
          <w:marTop w:val="0"/>
          <w:marBottom w:val="0"/>
          <w:divBdr>
            <w:top w:val="none" w:sz="0" w:space="0" w:color="auto"/>
            <w:left w:val="none" w:sz="0" w:space="0" w:color="auto"/>
            <w:bottom w:val="none" w:sz="0" w:space="0" w:color="auto"/>
            <w:right w:val="none" w:sz="0" w:space="0" w:color="auto"/>
          </w:divBdr>
        </w:div>
        <w:div w:id="904950224">
          <w:marLeft w:val="0"/>
          <w:marRight w:val="0"/>
          <w:marTop w:val="0"/>
          <w:marBottom w:val="0"/>
          <w:divBdr>
            <w:top w:val="none" w:sz="0" w:space="0" w:color="auto"/>
            <w:left w:val="none" w:sz="0" w:space="0" w:color="auto"/>
            <w:bottom w:val="none" w:sz="0" w:space="0" w:color="auto"/>
            <w:right w:val="none" w:sz="0" w:space="0" w:color="auto"/>
          </w:divBdr>
        </w:div>
        <w:div w:id="1956134997">
          <w:marLeft w:val="0"/>
          <w:marRight w:val="0"/>
          <w:marTop w:val="0"/>
          <w:marBottom w:val="0"/>
          <w:divBdr>
            <w:top w:val="none" w:sz="0" w:space="0" w:color="auto"/>
            <w:left w:val="none" w:sz="0" w:space="0" w:color="auto"/>
            <w:bottom w:val="none" w:sz="0" w:space="0" w:color="auto"/>
            <w:right w:val="none" w:sz="0" w:space="0" w:color="auto"/>
          </w:divBdr>
        </w:div>
        <w:div w:id="270935852">
          <w:marLeft w:val="0"/>
          <w:marRight w:val="0"/>
          <w:marTop w:val="0"/>
          <w:marBottom w:val="0"/>
          <w:divBdr>
            <w:top w:val="none" w:sz="0" w:space="0" w:color="auto"/>
            <w:left w:val="none" w:sz="0" w:space="0" w:color="auto"/>
            <w:bottom w:val="none" w:sz="0" w:space="0" w:color="auto"/>
            <w:right w:val="none" w:sz="0" w:space="0" w:color="auto"/>
          </w:divBdr>
        </w:div>
        <w:div w:id="1147358422">
          <w:marLeft w:val="0"/>
          <w:marRight w:val="0"/>
          <w:marTop w:val="0"/>
          <w:marBottom w:val="0"/>
          <w:divBdr>
            <w:top w:val="none" w:sz="0" w:space="0" w:color="auto"/>
            <w:left w:val="none" w:sz="0" w:space="0" w:color="auto"/>
            <w:bottom w:val="none" w:sz="0" w:space="0" w:color="auto"/>
            <w:right w:val="none" w:sz="0" w:space="0" w:color="auto"/>
          </w:divBdr>
        </w:div>
        <w:div w:id="1514999008">
          <w:marLeft w:val="0"/>
          <w:marRight w:val="0"/>
          <w:marTop w:val="0"/>
          <w:marBottom w:val="0"/>
          <w:divBdr>
            <w:top w:val="none" w:sz="0" w:space="0" w:color="auto"/>
            <w:left w:val="none" w:sz="0" w:space="0" w:color="auto"/>
            <w:bottom w:val="none" w:sz="0" w:space="0" w:color="auto"/>
            <w:right w:val="none" w:sz="0" w:space="0" w:color="auto"/>
          </w:divBdr>
        </w:div>
        <w:div w:id="2146581847">
          <w:marLeft w:val="0"/>
          <w:marRight w:val="0"/>
          <w:marTop w:val="0"/>
          <w:marBottom w:val="0"/>
          <w:divBdr>
            <w:top w:val="none" w:sz="0" w:space="0" w:color="auto"/>
            <w:left w:val="none" w:sz="0" w:space="0" w:color="auto"/>
            <w:bottom w:val="none" w:sz="0" w:space="0" w:color="auto"/>
            <w:right w:val="none" w:sz="0" w:space="0" w:color="auto"/>
          </w:divBdr>
        </w:div>
        <w:div w:id="1513489186">
          <w:marLeft w:val="0"/>
          <w:marRight w:val="0"/>
          <w:marTop w:val="0"/>
          <w:marBottom w:val="0"/>
          <w:divBdr>
            <w:top w:val="none" w:sz="0" w:space="0" w:color="auto"/>
            <w:left w:val="none" w:sz="0" w:space="0" w:color="auto"/>
            <w:bottom w:val="none" w:sz="0" w:space="0" w:color="auto"/>
            <w:right w:val="none" w:sz="0" w:space="0" w:color="auto"/>
          </w:divBdr>
        </w:div>
        <w:div w:id="1179545216">
          <w:marLeft w:val="0"/>
          <w:marRight w:val="0"/>
          <w:marTop w:val="0"/>
          <w:marBottom w:val="0"/>
          <w:divBdr>
            <w:top w:val="none" w:sz="0" w:space="0" w:color="auto"/>
            <w:left w:val="none" w:sz="0" w:space="0" w:color="auto"/>
            <w:bottom w:val="none" w:sz="0" w:space="0" w:color="auto"/>
            <w:right w:val="none" w:sz="0" w:space="0" w:color="auto"/>
          </w:divBdr>
        </w:div>
        <w:div w:id="1415199182">
          <w:marLeft w:val="0"/>
          <w:marRight w:val="0"/>
          <w:marTop w:val="0"/>
          <w:marBottom w:val="0"/>
          <w:divBdr>
            <w:top w:val="none" w:sz="0" w:space="0" w:color="auto"/>
            <w:left w:val="none" w:sz="0" w:space="0" w:color="auto"/>
            <w:bottom w:val="none" w:sz="0" w:space="0" w:color="auto"/>
            <w:right w:val="none" w:sz="0" w:space="0" w:color="auto"/>
          </w:divBdr>
        </w:div>
        <w:div w:id="439765856">
          <w:marLeft w:val="0"/>
          <w:marRight w:val="0"/>
          <w:marTop w:val="0"/>
          <w:marBottom w:val="0"/>
          <w:divBdr>
            <w:top w:val="none" w:sz="0" w:space="0" w:color="auto"/>
            <w:left w:val="none" w:sz="0" w:space="0" w:color="auto"/>
            <w:bottom w:val="none" w:sz="0" w:space="0" w:color="auto"/>
            <w:right w:val="none" w:sz="0" w:space="0" w:color="auto"/>
          </w:divBdr>
        </w:div>
        <w:div w:id="1144158529">
          <w:marLeft w:val="0"/>
          <w:marRight w:val="0"/>
          <w:marTop w:val="0"/>
          <w:marBottom w:val="0"/>
          <w:divBdr>
            <w:top w:val="none" w:sz="0" w:space="0" w:color="auto"/>
            <w:left w:val="none" w:sz="0" w:space="0" w:color="auto"/>
            <w:bottom w:val="none" w:sz="0" w:space="0" w:color="auto"/>
            <w:right w:val="none" w:sz="0" w:space="0" w:color="auto"/>
          </w:divBdr>
        </w:div>
        <w:div w:id="1900900573">
          <w:marLeft w:val="0"/>
          <w:marRight w:val="0"/>
          <w:marTop w:val="0"/>
          <w:marBottom w:val="0"/>
          <w:divBdr>
            <w:top w:val="none" w:sz="0" w:space="0" w:color="auto"/>
            <w:left w:val="none" w:sz="0" w:space="0" w:color="auto"/>
            <w:bottom w:val="none" w:sz="0" w:space="0" w:color="auto"/>
            <w:right w:val="none" w:sz="0" w:space="0" w:color="auto"/>
          </w:divBdr>
        </w:div>
        <w:div w:id="41905234">
          <w:marLeft w:val="0"/>
          <w:marRight w:val="0"/>
          <w:marTop w:val="0"/>
          <w:marBottom w:val="0"/>
          <w:divBdr>
            <w:top w:val="none" w:sz="0" w:space="0" w:color="auto"/>
            <w:left w:val="none" w:sz="0" w:space="0" w:color="auto"/>
            <w:bottom w:val="none" w:sz="0" w:space="0" w:color="auto"/>
            <w:right w:val="none" w:sz="0" w:space="0" w:color="auto"/>
          </w:divBdr>
        </w:div>
        <w:div w:id="741754242">
          <w:marLeft w:val="0"/>
          <w:marRight w:val="0"/>
          <w:marTop w:val="0"/>
          <w:marBottom w:val="0"/>
          <w:divBdr>
            <w:top w:val="none" w:sz="0" w:space="0" w:color="auto"/>
            <w:left w:val="none" w:sz="0" w:space="0" w:color="auto"/>
            <w:bottom w:val="none" w:sz="0" w:space="0" w:color="auto"/>
            <w:right w:val="none" w:sz="0" w:space="0" w:color="auto"/>
          </w:divBdr>
        </w:div>
        <w:div w:id="612638953">
          <w:marLeft w:val="0"/>
          <w:marRight w:val="0"/>
          <w:marTop w:val="0"/>
          <w:marBottom w:val="0"/>
          <w:divBdr>
            <w:top w:val="none" w:sz="0" w:space="0" w:color="auto"/>
            <w:left w:val="none" w:sz="0" w:space="0" w:color="auto"/>
            <w:bottom w:val="none" w:sz="0" w:space="0" w:color="auto"/>
            <w:right w:val="none" w:sz="0" w:space="0" w:color="auto"/>
          </w:divBdr>
        </w:div>
        <w:div w:id="555967441">
          <w:marLeft w:val="0"/>
          <w:marRight w:val="0"/>
          <w:marTop w:val="0"/>
          <w:marBottom w:val="0"/>
          <w:divBdr>
            <w:top w:val="none" w:sz="0" w:space="0" w:color="auto"/>
            <w:left w:val="none" w:sz="0" w:space="0" w:color="auto"/>
            <w:bottom w:val="none" w:sz="0" w:space="0" w:color="auto"/>
            <w:right w:val="none" w:sz="0" w:space="0" w:color="auto"/>
          </w:divBdr>
        </w:div>
        <w:div w:id="1604723966">
          <w:marLeft w:val="0"/>
          <w:marRight w:val="0"/>
          <w:marTop w:val="0"/>
          <w:marBottom w:val="0"/>
          <w:divBdr>
            <w:top w:val="none" w:sz="0" w:space="0" w:color="auto"/>
            <w:left w:val="none" w:sz="0" w:space="0" w:color="auto"/>
            <w:bottom w:val="none" w:sz="0" w:space="0" w:color="auto"/>
            <w:right w:val="none" w:sz="0" w:space="0" w:color="auto"/>
          </w:divBdr>
        </w:div>
        <w:div w:id="838693944">
          <w:marLeft w:val="0"/>
          <w:marRight w:val="0"/>
          <w:marTop w:val="0"/>
          <w:marBottom w:val="0"/>
          <w:divBdr>
            <w:top w:val="none" w:sz="0" w:space="0" w:color="auto"/>
            <w:left w:val="none" w:sz="0" w:space="0" w:color="auto"/>
            <w:bottom w:val="none" w:sz="0" w:space="0" w:color="auto"/>
            <w:right w:val="none" w:sz="0" w:space="0" w:color="auto"/>
          </w:divBdr>
        </w:div>
        <w:div w:id="1072965036">
          <w:marLeft w:val="0"/>
          <w:marRight w:val="0"/>
          <w:marTop w:val="0"/>
          <w:marBottom w:val="0"/>
          <w:divBdr>
            <w:top w:val="none" w:sz="0" w:space="0" w:color="auto"/>
            <w:left w:val="none" w:sz="0" w:space="0" w:color="auto"/>
            <w:bottom w:val="none" w:sz="0" w:space="0" w:color="auto"/>
            <w:right w:val="none" w:sz="0" w:space="0" w:color="auto"/>
          </w:divBdr>
        </w:div>
      </w:divsChild>
    </w:div>
    <w:div w:id="1220752839">
      <w:bodyDiv w:val="1"/>
      <w:marLeft w:val="0"/>
      <w:marRight w:val="0"/>
      <w:marTop w:val="0"/>
      <w:marBottom w:val="0"/>
      <w:divBdr>
        <w:top w:val="none" w:sz="0" w:space="0" w:color="auto"/>
        <w:left w:val="none" w:sz="0" w:space="0" w:color="auto"/>
        <w:bottom w:val="none" w:sz="0" w:space="0" w:color="auto"/>
        <w:right w:val="none" w:sz="0" w:space="0" w:color="auto"/>
      </w:divBdr>
      <w:divsChild>
        <w:div w:id="1168327078">
          <w:marLeft w:val="0"/>
          <w:marRight w:val="0"/>
          <w:marTop w:val="0"/>
          <w:marBottom w:val="0"/>
          <w:divBdr>
            <w:top w:val="none" w:sz="0" w:space="0" w:color="auto"/>
            <w:left w:val="none" w:sz="0" w:space="0" w:color="auto"/>
            <w:bottom w:val="none" w:sz="0" w:space="0" w:color="auto"/>
            <w:right w:val="none" w:sz="0" w:space="0" w:color="auto"/>
          </w:divBdr>
        </w:div>
        <w:div w:id="412974104">
          <w:marLeft w:val="0"/>
          <w:marRight w:val="0"/>
          <w:marTop w:val="0"/>
          <w:marBottom w:val="0"/>
          <w:divBdr>
            <w:top w:val="none" w:sz="0" w:space="0" w:color="auto"/>
            <w:left w:val="none" w:sz="0" w:space="0" w:color="auto"/>
            <w:bottom w:val="none" w:sz="0" w:space="0" w:color="auto"/>
            <w:right w:val="none" w:sz="0" w:space="0" w:color="auto"/>
          </w:divBdr>
        </w:div>
        <w:div w:id="1660033819">
          <w:marLeft w:val="0"/>
          <w:marRight w:val="0"/>
          <w:marTop w:val="0"/>
          <w:marBottom w:val="0"/>
          <w:divBdr>
            <w:top w:val="none" w:sz="0" w:space="0" w:color="auto"/>
            <w:left w:val="none" w:sz="0" w:space="0" w:color="auto"/>
            <w:bottom w:val="none" w:sz="0" w:space="0" w:color="auto"/>
            <w:right w:val="none" w:sz="0" w:space="0" w:color="auto"/>
          </w:divBdr>
        </w:div>
        <w:div w:id="1970432104">
          <w:marLeft w:val="0"/>
          <w:marRight w:val="0"/>
          <w:marTop w:val="0"/>
          <w:marBottom w:val="0"/>
          <w:divBdr>
            <w:top w:val="none" w:sz="0" w:space="0" w:color="auto"/>
            <w:left w:val="none" w:sz="0" w:space="0" w:color="auto"/>
            <w:bottom w:val="none" w:sz="0" w:space="0" w:color="auto"/>
            <w:right w:val="none" w:sz="0" w:space="0" w:color="auto"/>
          </w:divBdr>
        </w:div>
        <w:div w:id="344021515">
          <w:marLeft w:val="0"/>
          <w:marRight w:val="0"/>
          <w:marTop w:val="0"/>
          <w:marBottom w:val="0"/>
          <w:divBdr>
            <w:top w:val="none" w:sz="0" w:space="0" w:color="auto"/>
            <w:left w:val="none" w:sz="0" w:space="0" w:color="auto"/>
            <w:bottom w:val="none" w:sz="0" w:space="0" w:color="auto"/>
            <w:right w:val="none" w:sz="0" w:space="0" w:color="auto"/>
          </w:divBdr>
        </w:div>
        <w:div w:id="2056585912">
          <w:marLeft w:val="0"/>
          <w:marRight w:val="0"/>
          <w:marTop w:val="0"/>
          <w:marBottom w:val="0"/>
          <w:divBdr>
            <w:top w:val="none" w:sz="0" w:space="0" w:color="auto"/>
            <w:left w:val="none" w:sz="0" w:space="0" w:color="auto"/>
            <w:bottom w:val="none" w:sz="0" w:space="0" w:color="auto"/>
            <w:right w:val="none" w:sz="0" w:space="0" w:color="auto"/>
          </w:divBdr>
        </w:div>
        <w:div w:id="1240597517">
          <w:marLeft w:val="0"/>
          <w:marRight w:val="0"/>
          <w:marTop w:val="0"/>
          <w:marBottom w:val="0"/>
          <w:divBdr>
            <w:top w:val="none" w:sz="0" w:space="0" w:color="auto"/>
            <w:left w:val="none" w:sz="0" w:space="0" w:color="auto"/>
            <w:bottom w:val="none" w:sz="0" w:space="0" w:color="auto"/>
            <w:right w:val="none" w:sz="0" w:space="0" w:color="auto"/>
          </w:divBdr>
        </w:div>
        <w:div w:id="2096976599">
          <w:marLeft w:val="0"/>
          <w:marRight w:val="0"/>
          <w:marTop w:val="0"/>
          <w:marBottom w:val="0"/>
          <w:divBdr>
            <w:top w:val="none" w:sz="0" w:space="0" w:color="auto"/>
            <w:left w:val="none" w:sz="0" w:space="0" w:color="auto"/>
            <w:bottom w:val="none" w:sz="0" w:space="0" w:color="auto"/>
            <w:right w:val="none" w:sz="0" w:space="0" w:color="auto"/>
          </w:divBdr>
        </w:div>
        <w:div w:id="404305356">
          <w:marLeft w:val="0"/>
          <w:marRight w:val="0"/>
          <w:marTop w:val="0"/>
          <w:marBottom w:val="0"/>
          <w:divBdr>
            <w:top w:val="none" w:sz="0" w:space="0" w:color="auto"/>
            <w:left w:val="none" w:sz="0" w:space="0" w:color="auto"/>
            <w:bottom w:val="none" w:sz="0" w:space="0" w:color="auto"/>
            <w:right w:val="none" w:sz="0" w:space="0" w:color="auto"/>
          </w:divBdr>
        </w:div>
        <w:div w:id="1637250972">
          <w:marLeft w:val="0"/>
          <w:marRight w:val="0"/>
          <w:marTop w:val="0"/>
          <w:marBottom w:val="0"/>
          <w:divBdr>
            <w:top w:val="none" w:sz="0" w:space="0" w:color="auto"/>
            <w:left w:val="none" w:sz="0" w:space="0" w:color="auto"/>
            <w:bottom w:val="none" w:sz="0" w:space="0" w:color="auto"/>
            <w:right w:val="none" w:sz="0" w:space="0" w:color="auto"/>
          </w:divBdr>
        </w:div>
        <w:div w:id="1030110163">
          <w:marLeft w:val="0"/>
          <w:marRight w:val="0"/>
          <w:marTop w:val="0"/>
          <w:marBottom w:val="0"/>
          <w:divBdr>
            <w:top w:val="none" w:sz="0" w:space="0" w:color="auto"/>
            <w:left w:val="none" w:sz="0" w:space="0" w:color="auto"/>
            <w:bottom w:val="none" w:sz="0" w:space="0" w:color="auto"/>
            <w:right w:val="none" w:sz="0" w:space="0" w:color="auto"/>
          </w:divBdr>
        </w:div>
        <w:div w:id="544679555">
          <w:marLeft w:val="0"/>
          <w:marRight w:val="0"/>
          <w:marTop w:val="0"/>
          <w:marBottom w:val="0"/>
          <w:divBdr>
            <w:top w:val="none" w:sz="0" w:space="0" w:color="auto"/>
            <w:left w:val="none" w:sz="0" w:space="0" w:color="auto"/>
            <w:bottom w:val="none" w:sz="0" w:space="0" w:color="auto"/>
            <w:right w:val="none" w:sz="0" w:space="0" w:color="auto"/>
          </w:divBdr>
        </w:div>
        <w:div w:id="89589601">
          <w:marLeft w:val="0"/>
          <w:marRight w:val="0"/>
          <w:marTop w:val="0"/>
          <w:marBottom w:val="0"/>
          <w:divBdr>
            <w:top w:val="none" w:sz="0" w:space="0" w:color="auto"/>
            <w:left w:val="none" w:sz="0" w:space="0" w:color="auto"/>
            <w:bottom w:val="none" w:sz="0" w:space="0" w:color="auto"/>
            <w:right w:val="none" w:sz="0" w:space="0" w:color="auto"/>
          </w:divBdr>
        </w:div>
        <w:div w:id="707222451">
          <w:marLeft w:val="0"/>
          <w:marRight w:val="0"/>
          <w:marTop w:val="0"/>
          <w:marBottom w:val="0"/>
          <w:divBdr>
            <w:top w:val="none" w:sz="0" w:space="0" w:color="auto"/>
            <w:left w:val="none" w:sz="0" w:space="0" w:color="auto"/>
            <w:bottom w:val="none" w:sz="0" w:space="0" w:color="auto"/>
            <w:right w:val="none" w:sz="0" w:space="0" w:color="auto"/>
          </w:divBdr>
        </w:div>
        <w:div w:id="73549929">
          <w:marLeft w:val="0"/>
          <w:marRight w:val="0"/>
          <w:marTop w:val="0"/>
          <w:marBottom w:val="0"/>
          <w:divBdr>
            <w:top w:val="none" w:sz="0" w:space="0" w:color="auto"/>
            <w:left w:val="none" w:sz="0" w:space="0" w:color="auto"/>
            <w:bottom w:val="none" w:sz="0" w:space="0" w:color="auto"/>
            <w:right w:val="none" w:sz="0" w:space="0" w:color="auto"/>
          </w:divBdr>
        </w:div>
        <w:div w:id="2093775301">
          <w:marLeft w:val="0"/>
          <w:marRight w:val="0"/>
          <w:marTop w:val="0"/>
          <w:marBottom w:val="0"/>
          <w:divBdr>
            <w:top w:val="none" w:sz="0" w:space="0" w:color="auto"/>
            <w:left w:val="none" w:sz="0" w:space="0" w:color="auto"/>
            <w:bottom w:val="none" w:sz="0" w:space="0" w:color="auto"/>
            <w:right w:val="none" w:sz="0" w:space="0" w:color="auto"/>
          </w:divBdr>
        </w:div>
        <w:div w:id="743722823">
          <w:marLeft w:val="0"/>
          <w:marRight w:val="0"/>
          <w:marTop w:val="0"/>
          <w:marBottom w:val="0"/>
          <w:divBdr>
            <w:top w:val="none" w:sz="0" w:space="0" w:color="auto"/>
            <w:left w:val="none" w:sz="0" w:space="0" w:color="auto"/>
            <w:bottom w:val="none" w:sz="0" w:space="0" w:color="auto"/>
            <w:right w:val="none" w:sz="0" w:space="0" w:color="auto"/>
          </w:divBdr>
        </w:div>
        <w:div w:id="1851798615">
          <w:marLeft w:val="0"/>
          <w:marRight w:val="0"/>
          <w:marTop w:val="0"/>
          <w:marBottom w:val="0"/>
          <w:divBdr>
            <w:top w:val="none" w:sz="0" w:space="0" w:color="auto"/>
            <w:left w:val="none" w:sz="0" w:space="0" w:color="auto"/>
            <w:bottom w:val="none" w:sz="0" w:space="0" w:color="auto"/>
            <w:right w:val="none" w:sz="0" w:space="0" w:color="auto"/>
          </w:divBdr>
        </w:div>
        <w:div w:id="321350799">
          <w:marLeft w:val="0"/>
          <w:marRight w:val="0"/>
          <w:marTop w:val="0"/>
          <w:marBottom w:val="0"/>
          <w:divBdr>
            <w:top w:val="none" w:sz="0" w:space="0" w:color="auto"/>
            <w:left w:val="none" w:sz="0" w:space="0" w:color="auto"/>
            <w:bottom w:val="none" w:sz="0" w:space="0" w:color="auto"/>
            <w:right w:val="none" w:sz="0" w:space="0" w:color="auto"/>
          </w:divBdr>
        </w:div>
        <w:div w:id="1504008797">
          <w:marLeft w:val="0"/>
          <w:marRight w:val="0"/>
          <w:marTop w:val="0"/>
          <w:marBottom w:val="0"/>
          <w:divBdr>
            <w:top w:val="none" w:sz="0" w:space="0" w:color="auto"/>
            <w:left w:val="none" w:sz="0" w:space="0" w:color="auto"/>
            <w:bottom w:val="none" w:sz="0" w:space="0" w:color="auto"/>
            <w:right w:val="none" w:sz="0" w:space="0" w:color="auto"/>
          </w:divBdr>
        </w:div>
        <w:div w:id="893003820">
          <w:marLeft w:val="0"/>
          <w:marRight w:val="0"/>
          <w:marTop w:val="0"/>
          <w:marBottom w:val="0"/>
          <w:divBdr>
            <w:top w:val="none" w:sz="0" w:space="0" w:color="auto"/>
            <w:left w:val="none" w:sz="0" w:space="0" w:color="auto"/>
            <w:bottom w:val="none" w:sz="0" w:space="0" w:color="auto"/>
            <w:right w:val="none" w:sz="0" w:space="0" w:color="auto"/>
          </w:divBdr>
        </w:div>
        <w:div w:id="996685319">
          <w:marLeft w:val="0"/>
          <w:marRight w:val="0"/>
          <w:marTop w:val="0"/>
          <w:marBottom w:val="0"/>
          <w:divBdr>
            <w:top w:val="none" w:sz="0" w:space="0" w:color="auto"/>
            <w:left w:val="none" w:sz="0" w:space="0" w:color="auto"/>
            <w:bottom w:val="none" w:sz="0" w:space="0" w:color="auto"/>
            <w:right w:val="none" w:sz="0" w:space="0" w:color="auto"/>
          </w:divBdr>
        </w:div>
        <w:div w:id="1019356629">
          <w:marLeft w:val="0"/>
          <w:marRight w:val="0"/>
          <w:marTop w:val="0"/>
          <w:marBottom w:val="0"/>
          <w:divBdr>
            <w:top w:val="none" w:sz="0" w:space="0" w:color="auto"/>
            <w:left w:val="none" w:sz="0" w:space="0" w:color="auto"/>
            <w:bottom w:val="none" w:sz="0" w:space="0" w:color="auto"/>
            <w:right w:val="none" w:sz="0" w:space="0" w:color="auto"/>
          </w:divBdr>
        </w:div>
        <w:div w:id="1808038842">
          <w:marLeft w:val="0"/>
          <w:marRight w:val="0"/>
          <w:marTop w:val="0"/>
          <w:marBottom w:val="0"/>
          <w:divBdr>
            <w:top w:val="none" w:sz="0" w:space="0" w:color="auto"/>
            <w:left w:val="none" w:sz="0" w:space="0" w:color="auto"/>
            <w:bottom w:val="none" w:sz="0" w:space="0" w:color="auto"/>
            <w:right w:val="none" w:sz="0" w:space="0" w:color="auto"/>
          </w:divBdr>
        </w:div>
        <w:div w:id="1025785660">
          <w:marLeft w:val="0"/>
          <w:marRight w:val="0"/>
          <w:marTop w:val="0"/>
          <w:marBottom w:val="0"/>
          <w:divBdr>
            <w:top w:val="none" w:sz="0" w:space="0" w:color="auto"/>
            <w:left w:val="none" w:sz="0" w:space="0" w:color="auto"/>
            <w:bottom w:val="none" w:sz="0" w:space="0" w:color="auto"/>
            <w:right w:val="none" w:sz="0" w:space="0" w:color="auto"/>
          </w:divBdr>
        </w:div>
        <w:div w:id="2122801785">
          <w:marLeft w:val="0"/>
          <w:marRight w:val="0"/>
          <w:marTop w:val="0"/>
          <w:marBottom w:val="0"/>
          <w:divBdr>
            <w:top w:val="none" w:sz="0" w:space="0" w:color="auto"/>
            <w:left w:val="none" w:sz="0" w:space="0" w:color="auto"/>
            <w:bottom w:val="none" w:sz="0" w:space="0" w:color="auto"/>
            <w:right w:val="none" w:sz="0" w:space="0" w:color="auto"/>
          </w:divBdr>
        </w:div>
        <w:div w:id="1323702123">
          <w:marLeft w:val="0"/>
          <w:marRight w:val="0"/>
          <w:marTop w:val="0"/>
          <w:marBottom w:val="0"/>
          <w:divBdr>
            <w:top w:val="none" w:sz="0" w:space="0" w:color="auto"/>
            <w:left w:val="none" w:sz="0" w:space="0" w:color="auto"/>
            <w:bottom w:val="none" w:sz="0" w:space="0" w:color="auto"/>
            <w:right w:val="none" w:sz="0" w:space="0" w:color="auto"/>
          </w:divBdr>
        </w:div>
        <w:div w:id="1918902396">
          <w:marLeft w:val="0"/>
          <w:marRight w:val="0"/>
          <w:marTop w:val="0"/>
          <w:marBottom w:val="0"/>
          <w:divBdr>
            <w:top w:val="none" w:sz="0" w:space="0" w:color="auto"/>
            <w:left w:val="none" w:sz="0" w:space="0" w:color="auto"/>
            <w:bottom w:val="none" w:sz="0" w:space="0" w:color="auto"/>
            <w:right w:val="none" w:sz="0" w:space="0" w:color="auto"/>
          </w:divBdr>
        </w:div>
        <w:div w:id="1160536694">
          <w:marLeft w:val="0"/>
          <w:marRight w:val="0"/>
          <w:marTop w:val="0"/>
          <w:marBottom w:val="0"/>
          <w:divBdr>
            <w:top w:val="none" w:sz="0" w:space="0" w:color="auto"/>
            <w:left w:val="none" w:sz="0" w:space="0" w:color="auto"/>
            <w:bottom w:val="none" w:sz="0" w:space="0" w:color="auto"/>
            <w:right w:val="none" w:sz="0" w:space="0" w:color="auto"/>
          </w:divBdr>
        </w:div>
        <w:div w:id="1903368108">
          <w:marLeft w:val="0"/>
          <w:marRight w:val="0"/>
          <w:marTop w:val="0"/>
          <w:marBottom w:val="0"/>
          <w:divBdr>
            <w:top w:val="none" w:sz="0" w:space="0" w:color="auto"/>
            <w:left w:val="none" w:sz="0" w:space="0" w:color="auto"/>
            <w:bottom w:val="none" w:sz="0" w:space="0" w:color="auto"/>
            <w:right w:val="none" w:sz="0" w:space="0" w:color="auto"/>
          </w:divBdr>
        </w:div>
        <w:div w:id="811363450">
          <w:marLeft w:val="0"/>
          <w:marRight w:val="0"/>
          <w:marTop w:val="0"/>
          <w:marBottom w:val="0"/>
          <w:divBdr>
            <w:top w:val="none" w:sz="0" w:space="0" w:color="auto"/>
            <w:left w:val="none" w:sz="0" w:space="0" w:color="auto"/>
            <w:bottom w:val="none" w:sz="0" w:space="0" w:color="auto"/>
            <w:right w:val="none" w:sz="0" w:space="0" w:color="auto"/>
          </w:divBdr>
        </w:div>
        <w:div w:id="822508634">
          <w:marLeft w:val="0"/>
          <w:marRight w:val="0"/>
          <w:marTop w:val="0"/>
          <w:marBottom w:val="0"/>
          <w:divBdr>
            <w:top w:val="none" w:sz="0" w:space="0" w:color="auto"/>
            <w:left w:val="none" w:sz="0" w:space="0" w:color="auto"/>
            <w:bottom w:val="none" w:sz="0" w:space="0" w:color="auto"/>
            <w:right w:val="none" w:sz="0" w:space="0" w:color="auto"/>
          </w:divBdr>
        </w:div>
        <w:div w:id="931282247">
          <w:marLeft w:val="0"/>
          <w:marRight w:val="0"/>
          <w:marTop w:val="0"/>
          <w:marBottom w:val="0"/>
          <w:divBdr>
            <w:top w:val="none" w:sz="0" w:space="0" w:color="auto"/>
            <w:left w:val="none" w:sz="0" w:space="0" w:color="auto"/>
            <w:bottom w:val="none" w:sz="0" w:space="0" w:color="auto"/>
            <w:right w:val="none" w:sz="0" w:space="0" w:color="auto"/>
          </w:divBdr>
        </w:div>
        <w:div w:id="1547796245">
          <w:marLeft w:val="0"/>
          <w:marRight w:val="0"/>
          <w:marTop w:val="0"/>
          <w:marBottom w:val="0"/>
          <w:divBdr>
            <w:top w:val="none" w:sz="0" w:space="0" w:color="auto"/>
            <w:left w:val="none" w:sz="0" w:space="0" w:color="auto"/>
            <w:bottom w:val="none" w:sz="0" w:space="0" w:color="auto"/>
            <w:right w:val="none" w:sz="0" w:space="0" w:color="auto"/>
          </w:divBdr>
        </w:div>
        <w:div w:id="2082671673">
          <w:marLeft w:val="0"/>
          <w:marRight w:val="0"/>
          <w:marTop w:val="0"/>
          <w:marBottom w:val="0"/>
          <w:divBdr>
            <w:top w:val="none" w:sz="0" w:space="0" w:color="auto"/>
            <w:left w:val="none" w:sz="0" w:space="0" w:color="auto"/>
            <w:bottom w:val="none" w:sz="0" w:space="0" w:color="auto"/>
            <w:right w:val="none" w:sz="0" w:space="0" w:color="auto"/>
          </w:divBdr>
        </w:div>
        <w:div w:id="2048866798">
          <w:marLeft w:val="0"/>
          <w:marRight w:val="0"/>
          <w:marTop w:val="0"/>
          <w:marBottom w:val="0"/>
          <w:divBdr>
            <w:top w:val="none" w:sz="0" w:space="0" w:color="auto"/>
            <w:left w:val="none" w:sz="0" w:space="0" w:color="auto"/>
            <w:bottom w:val="none" w:sz="0" w:space="0" w:color="auto"/>
            <w:right w:val="none" w:sz="0" w:space="0" w:color="auto"/>
          </w:divBdr>
        </w:div>
        <w:div w:id="5258214">
          <w:marLeft w:val="0"/>
          <w:marRight w:val="0"/>
          <w:marTop w:val="0"/>
          <w:marBottom w:val="0"/>
          <w:divBdr>
            <w:top w:val="none" w:sz="0" w:space="0" w:color="auto"/>
            <w:left w:val="none" w:sz="0" w:space="0" w:color="auto"/>
            <w:bottom w:val="none" w:sz="0" w:space="0" w:color="auto"/>
            <w:right w:val="none" w:sz="0" w:space="0" w:color="auto"/>
          </w:divBdr>
        </w:div>
        <w:div w:id="284233846">
          <w:marLeft w:val="0"/>
          <w:marRight w:val="0"/>
          <w:marTop w:val="0"/>
          <w:marBottom w:val="0"/>
          <w:divBdr>
            <w:top w:val="none" w:sz="0" w:space="0" w:color="auto"/>
            <w:left w:val="none" w:sz="0" w:space="0" w:color="auto"/>
            <w:bottom w:val="none" w:sz="0" w:space="0" w:color="auto"/>
            <w:right w:val="none" w:sz="0" w:space="0" w:color="auto"/>
          </w:divBdr>
        </w:div>
        <w:div w:id="2136832456">
          <w:marLeft w:val="0"/>
          <w:marRight w:val="0"/>
          <w:marTop w:val="0"/>
          <w:marBottom w:val="0"/>
          <w:divBdr>
            <w:top w:val="none" w:sz="0" w:space="0" w:color="auto"/>
            <w:left w:val="none" w:sz="0" w:space="0" w:color="auto"/>
            <w:bottom w:val="none" w:sz="0" w:space="0" w:color="auto"/>
            <w:right w:val="none" w:sz="0" w:space="0" w:color="auto"/>
          </w:divBdr>
        </w:div>
        <w:div w:id="475683068">
          <w:marLeft w:val="0"/>
          <w:marRight w:val="0"/>
          <w:marTop w:val="0"/>
          <w:marBottom w:val="0"/>
          <w:divBdr>
            <w:top w:val="none" w:sz="0" w:space="0" w:color="auto"/>
            <w:left w:val="none" w:sz="0" w:space="0" w:color="auto"/>
            <w:bottom w:val="none" w:sz="0" w:space="0" w:color="auto"/>
            <w:right w:val="none" w:sz="0" w:space="0" w:color="auto"/>
          </w:divBdr>
        </w:div>
        <w:div w:id="1534687331">
          <w:marLeft w:val="0"/>
          <w:marRight w:val="0"/>
          <w:marTop w:val="0"/>
          <w:marBottom w:val="0"/>
          <w:divBdr>
            <w:top w:val="none" w:sz="0" w:space="0" w:color="auto"/>
            <w:left w:val="none" w:sz="0" w:space="0" w:color="auto"/>
            <w:bottom w:val="none" w:sz="0" w:space="0" w:color="auto"/>
            <w:right w:val="none" w:sz="0" w:space="0" w:color="auto"/>
          </w:divBdr>
        </w:div>
        <w:div w:id="279343411">
          <w:marLeft w:val="0"/>
          <w:marRight w:val="0"/>
          <w:marTop w:val="0"/>
          <w:marBottom w:val="0"/>
          <w:divBdr>
            <w:top w:val="none" w:sz="0" w:space="0" w:color="auto"/>
            <w:left w:val="none" w:sz="0" w:space="0" w:color="auto"/>
            <w:bottom w:val="none" w:sz="0" w:space="0" w:color="auto"/>
            <w:right w:val="none" w:sz="0" w:space="0" w:color="auto"/>
          </w:divBdr>
        </w:div>
        <w:div w:id="1728993246">
          <w:marLeft w:val="0"/>
          <w:marRight w:val="0"/>
          <w:marTop w:val="0"/>
          <w:marBottom w:val="0"/>
          <w:divBdr>
            <w:top w:val="none" w:sz="0" w:space="0" w:color="auto"/>
            <w:left w:val="none" w:sz="0" w:space="0" w:color="auto"/>
            <w:bottom w:val="none" w:sz="0" w:space="0" w:color="auto"/>
            <w:right w:val="none" w:sz="0" w:space="0" w:color="auto"/>
          </w:divBdr>
        </w:div>
        <w:div w:id="161968797">
          <w:marLeft w:val="0"/>
          <w:marRight w:val="0"/>
          <w:marTop w:val="0"/>
          <w:marBottom w:val="0"/>
          <w:divBdr>
            <w:top w:val="none" w:sz="0" w:space="0" w:color="auto"/>
            <w:left w:val="none" w:sz="0" w:space="0" w:color="auto"/>
            <w:bottom w:val="none" w:sz="0" w:space="0" w:color="auto"/>
            <w:right w:val="none" w:sz="0" w:space="0" w:color="auto"/>
          </w:divBdr>
        </w:div>
        <w:div w:id="584147259">
          <w:marLeft w:val="0"/>
          <w:marRight w:val="0"/>
          <w:marTop w:val="0"/>
          <w:marBottom w:val="0"/>
          <w:divBdr>
            <w:top w:val="none" w:sz="0" w:space="0" w:color="auto"/>
            <w:left w:val="none" w:sz="0" w:space="0" w:color="auto"/>
            <w:bottom w:val="none" w:sz="0" w:space="0" w:color="auto"/>
            <w:right w:val="none" w:sz="0" w:space="0" w:color="auto"/>
          </w:divBdr>
        </w:div>
        <w:div w:id="951016933">
          <w:marLeft w:val="0"/>
          <w:marRight w:val="0"/>
          <w:marTop w:val="0"/>
          <w:marBottom w:val="0"/>
          <w:divBdr>
            <w:top w:val="none" w:sz="0" w:space="0" w:color="auto"/>
            <w:left w:val="none" w:sz="0" w:space="0" w:color="auto"/>
            <w:bottom w:val="none" w:sz="0" w:space="0" w:color="auto"/>
            <w:right w:val="none" w:sz="0" w:space="0" w:color="auto"/>
          </w:divBdr>
        </w:div>
        <w:div w:id="765929913">
          <w:marLeft w:val="0"/>
          <w:marRight w:val="0"/>
          <w:marTop w:val="0"/>
          <w:marBottom w:val="0"/>
          <w:divBdr>
            <w:top w:val="none" w:sz="0" w:space="0" w:color="auto"/>
            <w:left w:val="none" w:sz="0" w:space="0" w:color="auto"/>
            <w:bottom w:val="none" w:sz="0" w:space="0" w:color="auto"/>
            <w:right w:val="none" w:sz="0" w:space="0" w:color="auto"/>
          </w:divBdr>
        </w:div>
        <w:div w:id="949045811">
          <w:marLeft w:val="0"/>
          <w:marRight w:val="0"/>
          <w:marTop w:val="0"/>
          <w:marBottom w:val="0"/>
          <w:divBdr>
            <w:top w:val="none" w:sz="0" w:space="0" w:color="auto"/>
            <w:left w:val="none" w:sz="0" w:space="0" w:color="auto"/>
            <w:bottom w:val="none" w:sz="0" w:space="0" w:color="auto"/>
            <w:right w:val="none" w:sz="0" w:space="0" w:color="auto"/>
          </w:divBdr>
        </w:div>
        <w:div w:id="858082278">
          <w:marLeft w:val="0"/>
          <w:marRight w:val="0"/>
          <w:marTop w:val="0"/>
          <w:marBottom w:val="0"/>
          <w:divBdr>
            <w:top w:val="none" w:sz="0" w:space="0" w:color="auto"/>
            <w:left w:val="none" w:sz="0" w:space="0" w:color="auto"/>
            <w:bottom w:val="none" w:sz="0" w:space="0" w:color="auto"/>
            <w:right w:val="none" w:sz="0" w:space="0" w:color="auto"/>
          </w:divBdr>
        </w:div>
        <w:div w:id="1252547354">
          <w:marLeft w:val="0"/>
          <w:marRight w:val="0"/>
          <w:marTop w:val="0"/>
          <w:marBottom w:val="0"/>
          <w:divBdr>
            <w:top w:val="none" w:sz="0" w:space="0" w:color="auto"/>
            <w:left w:val="none" w:sz="0" w:space="0" w:color="auto"/>
            <w:bottom w:val="none" w:sz="0" w:space="0" w:color="auto"/>
            <w:right w:val="none" w:sz="0" w:space="0" w:color="auto"/>
          </w:divBdr>
        </w:div>
        <w:div w:id="310251262">
          <w:marLeft w:val="0"/>
          <w:marRight w:val="0"/>
          <w:marTop w:val="0"/>
          <w:marBottom w:val="0"/>
          <w:divBdr>
            <w:top w:val="none" w:sz="0" w:space="0" w:color="auto"/>
            <w:left w:val="none" w:sz="0" w:space="0" w:color="auto"/>
            <w:bottom w:val="none" w:sz="0" w:space="0" w:color="auto"/>
            <w:right w:val="none" w:sz="0" w:space="0" w:color="auto"/>
          </w:divBdr>
        </w:div>
        <w:div w:id="633873212">
          <w:marLeft w:val="0"/>
          <w:marRight w:val="0"/>
          <w:marTop w:val="0"/>
          <w:marBottom w:val="0"/>
          <w:divBdr>
            <w:top w:val="none" w:sz="0" w:space="0" w:color="auto"/>
            <w:left w:val="none" w:sz="0" w:space="0" w:color="auto"/>
            <w:bottom w:val="none" w:sz="0" w:space="0" w:color="auto"/>
            <w:right w:val="none" w:sz="0" w:space="0" w:color="auto"/>
          </w:divBdr>
        </w:div>
        <w:div w:id="1247806614">
          <w:marLeft w:val="0"/>
          <w:marRight w:val="0"/>
          <w:marTop w:val="0"/>
          <w:marBottom w:val="0"/>
          <w:divBdr>
            <w:top w:val="none" w:sz="0" w:space="0" w:color="auto"/>
            <w:left w:val="none" w:sz="0" w:space="0" w:color="auto"/>
            <w:bottom w:val="none" w:sz="0" w:space="0" w:color="auto"/>
            <w:right w:val="none" w:sz="0" w:space="0" w:color="auto"/>
          </w:divBdr>
        </w:div>
        <w:div w:id="1958681379">
          <w:marLeft w:val="0"/>
          <w:marRight w:val="0"/>
          <w:marTop w:val="0"/>
          <w:marBottom w:val="0"/>
          <w:divBdr>
            <w:top w:val="none" w:sz="0" w:space="0" w:color="auto"/>
            <w:left w:val="none" w:sz="0" w:space="0" w:color="auto"/>
            <w:bottom w:val="none" w:sz="0" w:space="0" w:color="auto"/>
            <w:right w:val="none" w:sz="0" w:space="0" w:color="auto"/>
          </w:divBdr>
        </w:div>
        <w:div w:id="816461156">
          <w:marLeft w:val="0"/>
          <w:marRight w:val="0"/>
          <w:marTop w:val="0"/>
          <w:marBottom w:val="0"/>
          <w:divBdr>
            <w:top w:val="none" w:sz="0" w:space="0" w:color="auto"/>
            <w:left w:val="none" w:sz="0" w:space="0" w:color="auto"/>
            <w:bottom w:val="none" w:sz="0" w:space="0" w:color="auto"/>
            <w:right w:val="none" w:sz="0" w:space="0" w:color="auto"/>
          </w:divBdr>
        </w:div>
        <w:div w:id="1620798360">
          <w:marLeft w:val="0"/>
          <w:marRight w:val="0"/>
          <w:marTop w:val="0"/>
          <w:marBottom w:val="0"/>
          <w:divBdr>
            <w:top w:val="none" w:sz="0" w:space="0" w:color="auto"/>
            <w:left w:val="none" w:sz="0" w:space="0" w:color="auto"/>
            <w:bottom w:val="none" w:sz="0" w:space="0" w:color="auto"/>
            <w:right w:val="none" w:sz="0" w:space="0" w:color="auto"/>
          </w:divBdr>
        </w:div>
        <w:div w:id="1562666616">
          <w:marLeft w:val="0"/>
          <w:marRight w:val="0"/>
          <w:marTop w:val="0"/>
          <w:marBottom w:val="0"/>
          <w:divBdr>
            <w:top w:val="none" w:sz="0" w:space="0" w:color="auto"/>
            <w:left w:val="none" w:sz="0" w:space="0" w:color="auto"/>
            <w:bottom w:val="none" w:sz="0" w:space="0" w:color="auto"/>
            <w:right w:val="none" w:sz="0" w:space="0" w:color="auto"/>
          </w:divBdr>
        </w:div>
        <w:div w:id="979312791">
          <w:marLeft w:val="0"/>
          <w:marRight w:val="0"/>
          <w:marTop w:val="0"/>
          <w:marBottom w:val="0"/>
          <w:divBdr>
            <w:top w:val="none" w:sz="0" w:space="0" w:color="auto"/>
            <w:left w:val="none" w:sz="0" w:space="0" w:color="auto"/>
            <w:bottom w:val="none" w:sz="0" w:space="0" w:color="auto"/>
            <w:right w:val="none" w:sz="0" w:space="0" w:color="auto"/>
          </w:divBdr>
        </w:div>
        <w:div w:id="1237009919">
          <w:marLeft w:val="0"/>
          <w:marRight w:val="0"/>
          <w:marTop w:val="0"/>
          <w:marBottom w:val="0"/>
          <w:divBdr>
            <w:top w:val="none" w:sz="0" w:space="0" w:color="auto"/>
            <w:left w:val="none" w:sz="0" w:space="0" w:color="auto"/>
            <w:bottom w:val="none" w:sz="0" w:space="0" w:color="auto"/>
            <w:right w:val="none" w:sz="0" w:space="0" w:color="auto"/>
          </w:divBdr>
        </w:div>
        <w:div w:id="1883327148">
          <w:marLeft w:val="0"/>
          <w:marRight w:val="0"/>
          <w:marTop w:val="0"/>
          <w:marBottom w:val="0"/>
          <w:divBdr>
            <w:top w:val="none" w:sz="0" w:space="0" w:color="auto"/>
            <w:left w:val="none" w:sz="0" w:space="0" w:color="auto"/>
            <w:bottom w:val="none" w:sz="0" w:space="0" w:color="auto"/>
            <w:right w:val="none" w:sz="0" w:space="0" w:color="auto"/>
          </w:divBdr>
        </w:div>
      </w:divsChild>
    </w:div>
    <w:div w:id="1726373970">
      <w:bodyDiv w:val="1"/>
      <w:marLeft w:val="0"/>
      <w:marRight w:val="0"/>
      <w:marTop w:val="0"/>
      <w:marBottom w:val="0"/>
      <w:divBdr>
        <w:top w:val="none" w:sz="0" w:space="0" w:color="auto"/>
        <w:left w:val="none" w:sz="0" w:space="0" w:color="auto"/>
        <w:bottom w:val="none" w:sz="0" w:space="0" w:color="auto"/>
        <w:right w:val="none" w:sz="0" w:space="0" w:color="auto"/>
      </w:divBdr>
    </w:div>
    <w:div w:id="2033801967">
      <w:bodyDiv w:val="1"/>
      <w:marLeft w:val="0"/>
      <w:marRight w:val="0"/>
      <w:marTop w:val="0"/>
      <w:marBottom w:val="0"/>
      <w:divBdr>
        <w:top w:val="none" w:sz="0" w:space="0" w:color="auto"/>
        <w:left w:val="none" w:sz="0" w:space="0" w:color="auto"/>
        <w:bottom w:val="none" w:sz="0" w:space="0" w:color="auto"/>
        <w:right w:val="none" w:sz="0" w:space="0" w:color="auto"/>
      </w:divBdr>
    </w:div>
    <w:div w:id="2090346869">
      <w:bodyDiv w:val="1"/>
      <w:marLeft w:val="0"/>
      <w:marRight w:val="0"/>
      <w:marTop w:val="0"/>
      <w:marBottom w:val="0"/>
      <w:divBdr>
        <w:top w:val="none" w:sz="0" w:space="0" w:color="auto"/>
        <w:left w:val="none" w:sz="0" w:space="0" w:color="auto"/>
        <w:bottom w:val="none" w:sz="0" w:space="0" w:color="auto"/>
        <w:right w:val="none" w:sz="0" w:space="0" w:color="auto"/>
      </w:divBdr>
      <w:divsChild>
        <w:div w:id="87241394">
          <w:marLeft w:val="0"/>
          <w:marRight w:val="0"/>
          <w:marTop w:val="0"/>
          <w:marBottom w:val="0"/>
          <w:divBdr>
            <w:top w:val="none" w:sz="0" w:space="0" w:color="auto"/>
            <w:left w:val="none" w:sz="0" w:space="0" w:color="auto"/>
            <w:bottom w:val="none" w:sz="0" w:space="0" w:color="auto"/>
            <w:right w:val="none" w:sz="0" w:space="0" w:color="auto"/>
          </w:divBdr>
        </w:div>
        <w:div w:id="1755937682">
          <w:marLeft w:val="0"/>
          <w:marRight w:val="0"/>
          <w:marTop w:val="0"/>
          <w:marBottom w:val="0"/>
          <w:divBdr>
            <w:top w:val="none" w:sz="0" w:space="0" w:color="auto"/>
            <w:left w:val="none" w:sz="0" w:space="0" w:color="auto"/>
            <w:bottom w:val="none" w:sz="0" w:space="0" w:color="auto"/>
            <w:right w:val="none" w:sz="0" w:space="0" w:color="auto"/>
          </w:divBdr>
        </w:div>
        <w:div w:id="793713456">
          <w:marLeft w:val="0"/>
          <w:marRight w:val="0"/>
          <w:marTop w:val="0"/>
          <w:marBottom w:val="0"/>
          <w:divBdr>
            <w:top w:val="none" w:sz="0" w:space="0" w:color="auto"/>
            <w:left w:val="none" w:sz="0" w:space="0" w:color="auto"/>
            <w:bottom w:val="none" w:sz="0" w:space="0" w:color="auto"/>
            <w:right w:val="none" w:sz="0" w:space="0" w:color="auto"/>
          </w:divBdr>
        </w:div>
        <w:div w:id="479688965">
          <w:marLeft w:val="0"/>
          <w:marRight w:val="0"/>
          <w:marTop w:val="0"/>
          <w:marBottom w:val="0"/>
          <w:divBdr>
            <w:top w:val="none" w:sz="0" w:space="0" w:color="auto"/>
            <w:left w:val="none" w:sz="0" w:space="0" w:color="auto"/>
            <w:bottom w:val="none" w:sz="0" w:space="0" w:color="auto"/>
            <w:right w:val="none" w:sz="0" w:space="0" w:color="auto"/>
          </w:divBdr>
        </w:div>
        <w:div w:id="1814328798">
          <w:marLeft w:val="0"/>
          <w:marRight w:val="0"/>
          <w:marTop w:val="0"/>
          <w:marBottom w:val="0"/>
          <w:divBdr>
            <w:top w:val="none" w:sz="0" w:space="0" w:color="auto"/>
            <w:left w:val="none" w:sz="0" w:space="0" w:color="auto"/>
            <w:bottom w:val="none" w:sz="0" w:space="0" w:color="auto"/>
            <w:right w:val="none" w:sz="0" w:space="0" w:color="auto"/>
          </w:divBdr>
        </w:div>
        <w:div w:id="2031637031">
          <w:marLeft w:val="0"/>
          <w:marRight w:val="0"/>
          <w:marTop w:val="0"/>
          <w:marBottom w:val="0"/>
          <w:divBdr>
            <w:top w:val="none" w:sz="0" w:space="0" w:color="auto"/>
            <w:left w:val="none" w:sz="0" w:space="0" w:color="auto"/>
            <w:bottom w:val="none" w:sz="0" w:space="0" w:color="auto"/>
            <w:right w:val="none" w:sz="0" w:space="0" w:color="auto"/>
          </w:divBdr>
        </w:div>
        <w:div w:id="969480253">
          <w:marLeft w:val="0"/>
          <w:marRight w:val="0"/>
          <w:marTop w:val="0"/>
          <w:marBottom w:val="0"/>
          <w:divBdr>
            <w:top w:val="none" w:sz="0" w:space="0" w:color="auto"/>
            <w:left w:val="none" w:sz="0" w:space="0" w:color="auto"/>
            <w:bottom w:val="none" w:sz="0" w:space="0" w:color="auto"/>
            <w:right w:val="none" w:sz="0" w:space="0" w:color="auto"/>
          </w:divBdr>
        </w:div>
        <w:div w:id="1942445977">
          <w:marLeft w:val="0"/>
          <w:marRight w:val="0"/>
          <w:marTop w:val="0"/>
          <w:marBottom w:val="0"/>
          <w:divBdr>
            <w:top w:val="none" w:sz="0" w:space="0" w:color="auto"/>
            <w:left w:val="none" w:sz="0" w:space="0" w:color="auto"/>
            <w:bottom w:val="none" w:sz="0" w:space="0" w:color="auto"/>
            <w:right w:val="none" w:sz="0" w:space="0" w:color="auto"/>
          </w:divBdr>
        </w:div>
        <w:div w:id="559830786">
          <w:marLeft w:val="0"/>
          <w:marRight w:val="0"/>
          <w:marTop w:val="0"/>
          <w:marBottom w:val="0"/>
          <w:divBdr>
            <w:top w:val="none" w:sz="0" w:space="0" w:color="auto"/>
            <w:left w:val="none" w:sz="0" w:space="0" w:color="auto"/>
            <w:bottom w:val="none" w:sz="0" w:space="0" w:color="auto"/>
            <w:right w:val="none" w:sz="0" w:space="0" w:color="auto"/>
          </w:divBdr>
        </w:div>
      </w:divsChild>
    </w:div>
    <w:div w:id="2092307505">
      <w:bodyDiv w:val="1"/>
      <w:marLeft w:val="0"/>
      <w:marRight w:val="0"/>
      <w:marTop w:val="0"/>
      <w:marBottom w:val="0"/>
      <w:divBdr>
        <w:top w:val="none" w:sz="0" w:space="0" w:color="auto"/>
        <w:left w:val="none" w:sz="0" w:space="0" w:color="auto"/>
        <w:bottom w:val="none" w:sz="0" w:space="0" w:color="auto"/>
        <w:right w:val="none" w:sz="0" w:space="0" w:color="auto"/>
      </w:divBdr>
    </w:div>
    <w:div w:id="21259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imitar.tonev@cubist.com" TargetMode="External"/><Relationship Id="rId18" Type="http://schemas.openxmlformats.org/officeDocument/2006/relationships/hyperlink" Target="mailto:dimitar.tonev@cubist.com" TargetMode="External"/><Relationship Id="rId26" Type="http://schemas.openxmlformats.org/officeDocument/2006/relationships/chart" Target="charts/chart1.xml"/><Relationship Id="rId39" Type="http://schemas.openxmlformats.org/officeDocument/2006/relationships/hyperlink" Target="http://www.rateinflation.com/inflation-rate/uk-historical-inflation-rate" TargetMode="External"/><Relationship Id="rId21" Type="http://schemas.openxmlformats.org/officeDocument/2006/relationships/footer" Target="footer3.xml"/><Relationship Id="rId34" Type="http://schemas.openxmlformats.org/officeDocument/2006/relationships/chart" Target="charts/chart9.xml"/><Relationship Id="rId42" Type="http://schemas.openxmlformats.org/officeDocument/2006/relationships/hyperlink" Target="http://www.accessdata.fda.gov/drugsatfda_docs/nda/2010/200327Orig1s000CrossR.pdf" TargetMode="External"/><Relationship Id="rId47" Type="http://schemas.openxmlformats.org/officeDocument/2006/relationships/image" Target="media/image7.png"/><Relationship Id="rId50" Type="http://schemas.openxmlformats.org/officeDocument/2006/relationships/chart" Target="charts/chart12.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imitar.tonev@cubist.com" TargetMode="External"/><Relationship Id="rId20" Type="http://schemas.openxmlformats.org/officeDocument/2006/relationships/hyperlink" Target="mailto:catherine.tait@nhs.net" TargetMode="External"/><Relationship Id="rId29" Type="http://schemas.openxmlformats.org/officeDocument/2006/relationships/chart" Target="charts/chart4.xml"/><Relationship Id="rId41" Type="http://schemas.openxmlformats.org/officeDocument/2006/relationships/hyperlink" Target="http://www.hps.scot.nhs.uk/ewr/article.aspx" TargetMode="External"/><Relationship Id="rId54" Type="http://schemas.openxmlformats.org/officeDocument/2006/relationships/footer" Target="foot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chart" Target="charts/chart7.xml"/><Relationship Id="rId37" Type="http://schemas.openxmlformats.org/officeDocument/2006/relationships/hyperlink" Target="http://www.evidence.nhs.uk/formulary/bnf/current/13-skin/1311-skin-cleansers-antiseptics-and-desloughing-agents/13111-alcohols-and-saline/sodium-chloride" TargetMode="External"/><Relationship Id="rId40" Type="http://schemas.openxmlformats.org/officeDocument/2006/relationships/hyperlink" Target="http://www.scottishmedicines.org.uk/Submission_Process/Submission_Guidance_and_Templates_for_Industry/Templates-Guidance-for-Submission/Templates-Guidance-for-Submission" TargetMode="External"/><Relationship Id="rId45" Type="http://schemas.openxmlformats.org/officeDocument/2006/relationships/hyperlink" Target="http://www.icaaconline.com/php/icaac2013abstracts/data/papers/2012/late/2012_A-1295a.htm" TargetMode="External"/><Relationship Id="rId53" Type="http://schemas.openxmlformats.org/officeDocument/2006/relationships/image" Target="media/image9.png"/><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scottishmedicines.org/Submission_Process/Submission_Guidance_and_Templates_for_Industry/Templates-Guidance-for-Submission/Templates-Guidance-for-Submission" TargetMode="External"/><Relationship Id="rId23" Type="http://schemas.openxmlformats.org/officeDocument/2006/relationships/hyperlink" Target="http://dx.doi.org/10.1016/S1473-3099(14)70737-6" TargetMode="External"/><Relationship Id="rId28" Type="http://schemas.openxmlformats.org/officeDocument/2006/relationships/chart" Target="charts/chart3.xml"/><Relationship Id="rId36" Type="http://schemas.openxmlformats.org/officeDocument/2006/relationships/hyperlink" Target="http://www.evidence.nhs.uk/formulary/bnf/current/9-nutrition-and-blood/92-fluids-and-electrolytes/922-parenteral-preparations-for-fluid-and-electrolyte-imbalance/9221-electrolytes-and-water/water/water-for-injections" TargetMode="External"/><Relationship Id="rId49" Type="http://schemas.openxmlformats.org/officeDocument/2006/relationships/chart" Target="charts/chart11.xml"/><Relationship Id="rId57" Type="http://schemas.openxmlformats.org/officeDocument/2006/relationships/image" Target="media/image11.png"/><Relationship Id="rId61"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mailto:maureen.stark@nhs.net" TargetMode="External"/><Relationship Id="rId31" Type="http://schemas.openxmlformats.org/officeDocument/2006/relationships/chart" Target="charts/chart6.xml"/><Relationship Id="rId44" Type="http://schemas.openxmlformats.org/officeDocument/2006/relationships/hyperlink" Target="http://www.cdc.gov/mmwr/preview/mmwrhtml/mm5140a3.htm" TargetMode="External"/><Relationship Id="rId52" Type="http://schemas.openxmlformats.org/officeDocument/2006/relationships/image" Target="media/image8.png"/><Relationship Id="rId60"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cottishmedicines.org/Submission_Process/Submission_Guidance_and_Templates_for_Industry/Templates-Guidance-for-Submission/Templates-Guidance-for-Submission" TargetMode="Externa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5.png"/><Relationship Id="rId43" Type="http://schemas.openxmlformats.org/officeDocument/2006/relationships/hyperlink" Target="http://www.cdc.gov/mmwr/preview/mmwrhtml/mm5126a1.htm" TargetMode="External"/><Relationship Id="rId48" Type="http://schemas.openxmlformats.org/officeDocument/2006/relationships/chart" Target="charts/chart10.xml"/><Relationship Id="rId56"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scottishmedicines.org/Submission_Process/Patient_Interest_Groups/Templates_for_Submission" TargetMode="External"/><Relationship Id="rId25" Type="http://schemas.openxmlformats.org/officeDocument/2006/relationships/image" Target="media/image4.png"/><Relationship Id="rId33" Type="http://schemas.openxmlformats.org/officeDocument/2006/relationships/chart" Target="charts/chart8.xml"/><Relationship Id="rId38" Type="http://schemas.openxmlformats.org/officeDocument/2006/relationships/hyperlink" Target="http://www.isdscotland.org/Health-Topics/Finance/Costs/File-Listings-2014.asp" TargetMode="External"/><Relationship Id="rId46" Type="http://schemas.openxmlformats.org/officeDocument/2006/relationships/image" Target="media/image6.png"/><Relationship Id="rId59"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urS2\Desktop\CUBTED01\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nghGa\AppData\Local\Microsoft\Windows\Temporary%20Internet%20Files\Content.Outlook\RIOP196V\Figures%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nghGa\Desktop\Histograms\Copy%20of%20histograms%20(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3547990516101"/>
          <c:y val="5.1400554097404502E-2"/>
          <c:w val="0.814619715286519"/>
          <c:h val="0.83261956838728501"/>
        </c:manualLayout>
      </c:layout>
      <c:barChart>
        <c:barDir val="col"/>
        <c:grouping val="clustered"/>
        <c:varyColors val="0"/>
        <c:ser>
          <c:idx val="0"/>
          <c:order val="0"/>
          <c:tx>
            <c:strRef>
              <c:f>Sheet1!$B$37</c:f>
              <c:strCache>
                <c:ptCount val="1"/>
                <c:pt idx="0">
                  <c:v>Tedizolid phosphate (N=664)</c:v>
                </c:pt>
              </c:strCache>
            </c:strRef>
          </c:tx>
          <c:spPr>
            <a:solidFill>
              <a:srgbClr val="00539B"/>
            </a:solidFill>
          </c:spPr>
          <c:invertIfNegative val="0"/>
          <c:dLbls>
            <c:dLbl>
              <c:idx val="0"/>
              <c:tx>
                <c:rich>
                  <a:bodyPr/>
                  <a:lstStyle/>
                  <a:p>
                    <a:r>
                      <a:rPr lang="en-US"/>
                      <a:t>81.6%</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14.2%</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Sheet1!$A$38:$A$40</c:f>
              <c:strCache>
                <c:ptCount val="3"/>
                <c:pt idx="0">
                  <c:v>Responder</c:v>
                </c:pt>
                <c:pt idx="1">
                  <c:v>Non-responder</c:v>
                </c:pt>
                <c:pt idx="2">
                  <c:v>Indeterminate</c:v>
                </c:pt>
              </c:strCache>
            </c:strRef>
          </c:cat>
          <c:val>
            <c:numRef>
              <c:f>Sheet1!$B$38:$B$40</c:f>
              <c:numCache>
                <c:formatCode>0.00%</c:formatCode>
                <c:ptCount val="3"/>
                <c:pt idx="0">
                  <c:v>0.81599999999999995</c:v>
                </c:pt>
                <c:pt idx="1">
                  <c:v>0.14199999999999999</c:v>
                </c:pt>
                <c:pt idx="2">
                  <c:v>4.2000000000000003E-2</c:v>
                </c:pt>
              </c:numCache>
            </c:numRef>
          </c:val>
        </c:ser>
        <c:ser>
          <c:idx val="1"/>
          <c:order val="1"/>
          <c:tx>
            <c:strRef>
              <c:f>Sheet1!$C$37</c:f>
              <c:strCache>
                <c:ptCount val="1"/>
                <c:pt idx="0">
                  <c:v>Linezolid (N=669)</c:v>
                </c:pt>
              </c:strCache>
            </c:strRef>
          </c:tx>
          <c:spPr>
            <a:solidFill>
              <a:srgbClr val="87DC16"/>
            </a:solidFill>
          </c:spPr>
          <c:invertIfNegative val="0"/>
          <c:dLbls>
            <c:dLbl>
              <c:idx val="0"/>
              <c:tx>
                <c:rich>
                  <a:bodyPr/>
                  <a:lstStyle/>
                  <a:p>
                    <a:r>
                      <a:rPr lang="en-US"/>
                      <a:t>79.4%</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14.9%</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Sheet1!$A$38:$A$40</c:f>
              <c:strCache>
                <c:ptCount val="3"/>
                <c:pt idx="0">
                  <c:v>Responder</c:v>
                </c:pt>
                <c:pt idx="1">
                  <c:v>Non-responder</c:v>
                </c:pt>
                <c:pt idx="2">
                  <c:v>Indeterminate</c:v>
                </c:pt>
              </c:strCache>
            </c:strRef>
          </c:cat>
          <c:val>
            <c:numRef>
              <c:f>Sheet1!$C$38:$C$40</c:f>
              <c:numCache>
                <c:formatCode>0.00%</c:formatCode>
                <c:ptCount val="3"/>
                <c:pt idx="0">
                  <c:v>0.79400000000000004</c:v>
                </c:pt>
                <c:pt idx="1">
                  <c:v>0.14899999999999999</c:v>
                </c:pt>
                <c:pt idx="2">
                  <c:v>5.7000000000000002E-2</c:v>
                </c:pt>
              </c:numCache>
            </c:numRef>
          </c:val>
        </c:ser>
        <c:dLbls>
          <c:dLblPos val="outEnd"/>
          <c:showLegendKey val="0"/>
          <c:showVal val="1"/>
          <c:showCatName val="0"/>
          <c:showSerName val="0"/>
          <c:showPercent val="0"/>
          <c:showBubbleSize val="0"/>
        </c:dLbls>
        <c:gapWidth val="150"/>
        <c:axId val="351025968"/>
        <c:axId val="351026360"/>
      </c:barChart>
      <c:catAx>
        <c:axId val="351025968"/>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351026360"/>
        <c:crosses val="autoZero"/>
        <c:auto val="1"/>
        <c:lblAlgn val="ctr"/>
        <c:lblOffset val="100"/>
        <c:noMultiLvlLbl val="0"/>
      </c:catAx>
      <c:valAx>
        <c:axId val="351026360"/>
        <c:scaling>
          <c:orientation val="minMax"/>
          <c:max val="1"/>
        </c:scaling>
        <c:delete val="0"/>
        <c:axPos val="l"/>
        <c:title>
          <c:tx>
            <c:rich>
              <a:bodyPr rot="-5400000" vert="horz"/>
              <a:lstStyle/>
              <a:p>
                <a:pPr>
                  <a:defRPr>
                    <a:solidFill>
                      <a:sysClr val="windowText" lastClr="000000"/>
                    </a:solidFill>
                  </a:defRPr>
                </a:pPr>
                <a:r>
                  <a:rPr lang="en-US">
                    <a:solidFill>
                      <a:sysClr val="windowText" lastClr="000000"/>
                    </a:solidFill>
                  </a:rPr>
                  <a:t>Proportion of patients (%)</a:t>
                </a:r>
              </a:p>
            </c:rich>
          </c:tx>
          <c:overlay val="0"/>
        </c:title>
        <c:numFmt formatCode="0%" sourceLinked="0"/>
        <c:majorTickMark val="out"/>
        <c:minorTickMark val="none"/>
        <c:tickLblPos val="nextTo"/>
        <c:txPr>
          <a:bodyPr/>
          <a:lstStyle/>
          <a:p>
            <a:pPr>
              <a:defRPr>
                <a:solidFill>
                  <a:sysClr val="windowText" lastClr="000000"/>
                </a:solidFill>
              </a:defRPr>
            </a:pPr>
            <a:endParaRPr lang="en-US"/>
          </a:p>
        </c:txPr>
        <c:crossAx val="351025968"/>
        <c:crosses val="autoZero"/>
        <c:crossBetween val="between"/>
        <c:minorUnit val="0.2"/>
      </c:valAx>
    </c:plotArea>
    <c:legend>
      <c:legendPos val="r"/>
      <c:layout>
        <c:manualLayout>
          <c:xMode val="edge"/>
          <c:yMode val="edge"/>
          <c:x val="0.28624515801695799"/>
          <c:y val="3.2023549139690903E-2"/>
          <c:w val="0.55018606874884102"/>
          <c:h val="0.107249198016915"/>
        </c:manualLayout>
      </c:layout>
      <c:overlay val="0"/>
      <c:txPr>
        <a:bodyPr/>
        <a:lstStyle/>
        <a:p>
          <a:pPr>
            <a:defRPr>
              <a:solidFill>
                <a:sysClr val="windowText" lastClr="000000"/>
              </a:solidFill>
            </a:defRPr>
          </a:pPr>
          <a:endParaRPr lang="en-US"/>
        </a:p>
      </c:txPr>
    </c:legend>
    <c:plotVisOnly val="1"/>
    <c:dispBlanksAs val="gap"/>
    <c:showDLblsOverMax val="0"/>
  </c:chart>
  <c:spPr>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Tedizolid phosphate (N=331)</c:v>
                </c:pt>
              </c:strCache>
            </c:strRef>
          </c:tx>
          <c:invertIfNegative val="0"/>
          <c:dLbls>
            <c:dLbl>
              <c:idx val="0"/>
              <c:layout>
                <c:manualLayout>
                  <c:x val="-1.0937758641389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938135456146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938135456146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3752541824587802E-3"/>
                  <c:y val="-8.2947551022540793E-3"/>
                </c:manualLayout>
              </c:layout>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300546448087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c:v>
                </c:pt>
                <c:pt idx="1">
                  <c:v>TEAE</c:v>
                </c:pt>
                <c:pt idx="2">
                  <c:v>Drug-related* TEAE</c:v>
                </c:pt>
                <c:pt idx="3">
                  <c:v>Serious TEAE</c:v>
                </c:pt>
                <c:pt idx="4">
                  <c:v>Drug-related* serious TEAE</c:v>
                </c:pt>
              </c:strCache>
            </c:strRef>
          </c:cat>
          <c:val>
            <c:numRef>
              <c:f>Sheet1!$B$2:$B$6</c:f>
              <c:numCache>
                <c:formatCode>0.0%</c:formatCode>
                <c:ptCount val="5"/>
                <c:pt idx="0">
                  <c:v>0.41399999999999998</c:v>
                </c:pt>
                <c:pt idx="1">
                  <c:v>0.40799999999999997</c:v>
                </c:pt>
                <c:pt idx="2">
                  <c:v>0.24199999999999999</c:v>
                </c:pt>
                <c:pt idx="3">
                  <c:v>1.4999999999999999E-2</c:v>
                </c:pt>
                <c:pt idx="4">
                  <c:v>0</c:v>
                </c:pt>
              </c:numCache>
            </c:numRef>
          </c:val>
        </c:ser>
        <c:ser>
          <c:idx val="1"/>
          <c:order val="1"/>
          <c:tx>
            <c:strRef>
              <c:f>Sheet1!$C$1</c:f>
              <c:strCache>
                <c:ptCount val="1"/>
                <c:pt idx="0">
                  <c:v>Linezolid (N=335)</c:v>
                </c:pt>
              </c:strCache>
            </c:strRef>
          </c:tx>
          <c:invertIfNegative val="0"/>
          <c:dLbls>
            <c:dLbl>
              <c:idx val="3"/>
              <c:layout>
                <c:manualLayout>
                  <c:x val="1.53133896386057E-2"/>
                  <c:y val="-2.4884265306762202E-2"/>
                </c:manualLayout>
              </c:layout>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c:v>
                </c:pt>
                <c:pt idx="1">
                  <c:v>TEAE</c:v>
                </c:pt>
                <c:pt idx="2">
                  <c:v>Drug-related* TEAE</c:v>
                </c:pt>
                <c:pt idx="3">
                  <c:v>Serious TEAE</c:v>
                </c:pt>
                <c:pt idx="4">
                  <c:v>Drug-related* serious TEAE</c:v>
                </c:pt>
              </c:strCache>
            </c:strRef>
          </c:cat>
          <c:val>
            <c:numRef>
              <c:f>Sheet1!$C$2:$C$6</c:f>
              <c:numCache>
                <c:formatCode>0.0%</c:formatCode>
                <c:ptCount val="5"/>
                <c:pt idx="0">
                  <c:v>0.433</c:v>
                </c:pt>
                <c:pt idx="1">
                  <c:v>0.433</c:v>
                </c:pt>
                <c:pt idx="2">
                  <c:v>0.31</c:v>
                </c:pt>
                <c:pt idx="3">
                  <c:v>1.2E-2</c:v>
                </c:pt>
                <c:pt idx="4">
                  <c:v>3.0000000000000001E-3</c:v>
                </c:pt>
              </c:numCache>
            </c:numRef>
          </c:val>
        </c:ser>
        <c:dLbls>
          <c:dLblPos val="outEnd"/>
          <c:showLegendKey val="0"/>
          <c:showVal val="1"/>
          <c:showCatName val="0"/>
          <c:showSerName val="0"/>
          <c:showPercent val="0"/>
          <c:showBubbleSize val="0"/>
        </c:dLbls>
        <c:gapWidth val="150"/>
        <c:axId val="505395552"/>
        <c:axId val="505395944"/>
      </c:barChart>
      <c:catAx>
        <c:axId val="505395552"/>
        <c:scaling>
          <c:orientation val="minMax"/>
        </c:scaling>
        <c:delete val="0"/>
        <c:axPos val="b"/>
        <c:numFmt formatCode="General" sourceLinked="0"/>
        <c:majorTickMark val="out"/>
        <c:minorTickMark val="none"/>
        <c:tickLblPos val="nextTo"/>
        <c:txPr>
          <a:bodyPr/>
          <a:lstStyle/>
          <a:p>
            <a:pPr>
              <a:defRPr sz="800">
                <a:solidFill>
                  <a:sysClr val="windowText" lastClr="000000"/>
                </a:solidFill>
              </a:defRPr>
            </a:pPr>
            <a:endParaRPr lang="en-US"/>
          </a:p>
        </c:txPr>
        <c:crossAx val="505395944"/>
        <c:crosses val="autoZero"/>
        <c:auto val="1"/>
        <c:lblAlgn val="ctr"/>
        <c:lblOffset val="100"/>
        <c:noMultiLvlLbl val="0"/>
      </c:catAx>
      <c:valAx>
        <c:axId val="505395944"/>
        <c:scaling>
          <c:orientation val="minMax"/>
          <c:max val="0.5"/>
        </c:scaling>
        <c:delete val="0"/>
        <c:axPos val="l"/>
        <c:title>
          <c:tx>
            <c:rich>
              <a:bodyPr rot="-5400000" vert="horz"/>
              <a:lstStyle/>
              <a:p>
                <a:pPr>
                  <a:defRPr sz="800">
                    <a:solidFill>
                      <a:sysClr val="windowText" lastClr="000000"/>
                    </a:solidFill>
                  </a:defRPr>
                </a:pPr>
                <a:r>
                  <a:rPr lang="en-US" sz="800">
                    <a:solidFill>
                      <a:sysClr val="windowText" lastClr="000000"/>
                    </a:solidFill>
                  </a:rPr>
                  <a:t>Proportion</a:t>
                </a:r>
                <a:r>
                  <a:rPr lang="en-US" sz="800" baseline="0">
                    <a:solidFill>
                      <a:sysClr val="windowText" lastClr="000000"/>
                    </a:solidFill>
                  </a:rPr>
                  <a:t> of patients </a:t>
                </a:r>
              </a:p>
              <a:p>
                <a:pPr>
                  <a:defRPr sz="800">
                    <a:solidFill>
                      <a:sysClr val="windowText" lastClr="000000"/>
                    </a:solidFill>
                  </a:defRPr>
                </a:pPr>
                <a:r>
                  <a:rPr lang="en-US" sz="800" baseline="0">
                    <a:solidFill>
                      <a:sysClr val="windowText" lastClr="000000"/>
                    </a:solidFill>
                  </a:rPr>
                  <a:t>experiencing event (%)</a:t>
                </a:r>
                <a:endParaRPr lang="en-US" sz="800">
                  <a:solidFill>
                    <a:sysClr val="windowText" lastClr="000000"/>
                  </a:solidFill>
                </a:endParaRPr>
              </a:p>
            </c:rich>
          </c:tx>
          <c:overlay val="0"/>
        </c:title>
        <c:numFmt formatCode="0%" sourceLinked="0"/>
        <c:majorTickMark val="out"/>
        <c:minorTickMark val="none"/>
        <c:tickLblPos val="nextTo"/>
        <c:txPr>
          <a:bodyPr/>
          <a:lstStyle/>
          <a:p>
            <a:pPr>
              <a:defRPr sz="800">
                <a:solidFill>
                  <a:sysClr val="windowText" lastClr="000000"/>
                </a:solidFill>
              </a:defRPr>
            </a:pPr>
            <a:endParaRPr lang="en-US"/>
          </a:p>
        </c:txPr>
        <c:crossAx val="505395552"/>
        <c:crosses val="autoZero"/>
        <c:crossBetween val="between"/>
        <c:majorUnit val="0.1"/>
      </c:valAx>
      <c:spPr>
        <a:noFill/>
        <a:ln>
          <a:noFill/>
        </a:ln>
      </c:spPr>
    </c:plotArea>
    <c:legend>
      <c:legendPos val="t"/>
      <c:overlay val="0"/>
      <c:txPr>
        <a:bodyPr/>
        <a:lstStyle/>
        <a:p>
          <a:pPr>
            <a:defRPr sz="800">
              <a:solidFill>
                <a:sysClr val="windowText" lastClr="000000"/>
              </a:solidFill>
            </a:defRPr>
          </a:pPr>
          <a:endParaRPr lang="en-US"/>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Tedizolid phosphate (N=331)</c:v>
                </c:pt>
              </c:strCache>
            </c:strRef>
          </c:tx>
          <c:invertIfNegative val="0"/>
          <c:dLbls>
            <c:dLbl>
              <c:idx val="0"/>
              <c:layout>
                <c:manualLayout>
                  <c:x val="-6.648113602127679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10801893368795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10801893368795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3032119749857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10801893368795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Gastrointestinal disorder TEAEs</c:v>
                </c:pt>
                <c:pt idx="1">
                  <c:v>Nausea</c:v>
                </c:pt>
                <c:pt idx="2">
                  <c:v>Diarrhea</c:v>
                </c:pt>
                <c:pt idx="3">
                  <c:v>Vomiting</c:v>
                </c:pt>
                <c:pt idx="4">
                  <c:v>Constipation</c:v>
                </c:pt>
                <c:pt idx="5">
                  <c:v>Dyspepsia</c:v>
                </c:pt>
              </c:strCache>
            </c:strRef>
          </c:cat>
          <c:val>
            <c:numRef>
              <c:f>Sheet1!$B$2:$B$7</c:f>
              <c:numCache>
                <c:formatCode>0.0%</c:formatCode>
                <c:ptCount val="6"/>
                <c:pt idx="0">
                  <c:v>0.16300000000000001</c:v>
                </c:pt>
                <c:pt idx="1">
                  <c:v>8.5000000000000006E-2</c:v>
                </c:pt>
                <c:pt idx="2">
                  <c:v>4.4999999999999998E-2</c:v>
                </c:pt>
                <c:pt idx="3">
                  <c:v>2.7E-2</c:v>
                </c:pt>
                <c:pt idx="4">
                  <c:v>1.4999999999999999E-2</c:v>
                </c:pt>
                <c:pt idx="5">
                  <c:v>6.0000000000000001E-3</c:v>
                </c:pt>
              </c:numCache>
            </c:numRef>
          </c:val>
        </c:ser>
        <c:ser>
          <c:idx val="1"/>
          <c:order val="1"/>
          <c:tx>
            <c:strRef>
              <c:f>Sheet1!$C$1</c:f>
              <c:strCache>
                <c:ptCount val="1"/>
                <c:pt idx="0">
                  <c:v>Linezolid (N=335)</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Gastrointestinal disorder TEAEs</c:v>
                </c:pt>
                <c:pt idx="1">
                  <c:v>Nausea</c:v>
                </c:pt>
                <c:pt idx="2">
                  <c:v>Diarrhea</c:v>
                </c:pt>
                <c:pt idx="3">
                  <c:v>Vomiting</c:v>
                </c:pt>
                <c:pt idx="4">
                  <c:v>Constipation</c:v>
                </c:pt>
                <c:pt idx="5">
                  <c:v>Dyspepsia</c:v>
                </c:pt>
              </c:strCache>
            </c:strRef>
          </c:cat>
          <c:val>
            <c:numRef>
              <c:f>Sheet1!$C$2:$C$7</c:f>
              <c:numCache>
                <c:formatCode>0.0%</c:formatCode>
                <c:ptCount val="6"/>
                <c:pt idx="0">
                  <c:v>0.254</c:v>
                </c:pt>
                <c:pt idx="1">
                  <c:v>0.13400000000000001</c:v>
                </c:pt>
                <c:pt idx="2">
                  <c:v>5.3999999999999999E-2</c:v>
                </c:pt>
                <c:pt idx="3">
                  <c:v>0.06</c:v>
                </c:pt>
                <c:pt idx="4">
                  <c:v>1.4999999999999999E-2</c:v>
                </c:pt>
                <c:pt idx="5">
                  <c:v>2.1000000000000001E-2</c:v>
                </c:pt>
              </c:numCache>
            </c:numRef>
          </c:val>
        </c:ser>
        <c:dLbls>
          <c:dLblPos val="outEnd"/>
          <c:showLegendKey val="0"/>
          <c:showVal val="1"/>
          <c:showCatName val="0"/>
          <c:showSerName val="0"/>
          <c:showPercent val="0"/>
          <c:showBubbleSize val="0"/>
        </c:dLbls>
        <c:gapWidth val="150"/>
        <c:axId val="505396728"/>
        <c:axId val="505397120"/>
      </c:barChart>
      <c:catAx>
        <c:axId val="505396728"/>
        <c:scaling>
          <c:orientation val="minMax"/>
        </c:scaling>
        <c:delete val="0"/>
        <c:axPos val="b"/>
        <c:numFmt formatCode="General" sourceLinked="0"/>
        <c:majorTickMark val="out"/>
        <c:minorTickMark val="none"/>
        <c:tickLblPos val="nextTo"/>
        <c:crossAx val="505397120"/>
        <c:crosses val="autoZero"/>
        <c:auto val="1"/>
        <c:lblAlgn val="ctr"/>
        <c:lblOffset val="100"/>
        <c:noMultiLvlLbl val="0"/>
      </c:catAx>
      <c:valAx>
        <c:axId val="505397120"/>
        <c:scaling>
          <c:orientation val="minMax"/>
          <c:max val="0.3"/>
        </c:scaling>
        <c:delete val="0"/>
        <c:axPos val="l"/>
        <c:title>
          <c:tx>
            <c:rich>
              <a:bodyPr rot="-5400000" vert="horz"/>
              <a:lstStyle/>
              <a:p>
                <a:pPr>
                  <a:defRPr/>
                </a:pPr>
                <a:r>
                  <a:rPr lang="en-US"/>
                  <a:t>Proportion of patients </a:t>
                </a:r>
              </a:p>
              <a:p>
                <a:pPr>
                  <a:defRPr/>
                </a:pPr>
                <a:r>
                  <a:rPr lang="en-US"/>
                  <a:t>experiencing event (%)</a:t>
                </a:r>
              </a:p>
            </c:rich>
          </c:tx>
          <c:overlay val="0"/>
        </c:title>
        <c:numFmt formatCode="0%" sourceLinked="0"/>
        <c:majorTickMark val="out"/>
        <c:minorTickMark val="none"/>
        <c:tickLblPos val="nextTo"/>
        <c:crossAx val="505396728"/>
        <c:crosses val="autoZero"/>
        <c:crossBetween val="between"/>
        <c:majorUnit val="0.1"/>
      </c:valAx>
      <c:spPr>
        <a:noFill/>
        <a:ln>
          <a:noFill/>
        </a:ln>
      </c:spPr>
    </c:plotArea>
    <c:legend>
      <c:legendPos val="t"/>
      <c:overlay val="0"/>
    </c:legend>
    <c:plotVisOnly val="1"/>
    <c:dispBlanksAs val="gap"/>
    <c:showDLblsOverMax val="0"/>
  </c:chart>
  <c:spPr>
    <a:noFill/>
    <a:ln>
      <a:noFill/>
    </a:ln>
  </c:spPr>
  <c:txPr>
    <a:bodyPr/>
    <a:lstStyle/>
    <a:p>
      <a:pPr>
        <a:defRPr sz="800">
          <a:solidFill>
            <a:sysClr val="windowText" lastClr="00000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Tedizolid (N=331)</c:v>
                </c:pt>
              </c:strCache>
            </c:strRef>
          </c:tx>
          <c:invertIfNegative val="0"/>
          <c:dLbls>
            <c:dLbl>
              <c:idx val="1"/>
              <c:layout>
                <c:manualLayout>
                  <c:x val="-1.75010167298351E-2"/>
                  <c:y val="-8.294752393476930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938135456146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938135456146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c:v>
                </c:pt>
                <c:pt idx="1">
                  <c:v>TEAE</c:v>
                </c:pt>
                <c:pt idx="2">
                  <c:v>Drug-related* TEAE</c:v>
                </c:pt>
                <c:pt idx="3">
                  <c:v>Serious TEAE</c:v>
                </c:pt>
                <c:pt idx="4">
                  <c:v>Drug-related serious TEAE</c:v>
                </c:pt>
              </c:strCache>
            </c:strRef>
          </c:cat>
          <c:val>
            <c:numRef>
              <c:f>Sheet1!$B$2:$B$6</c:f>
              <c:numCache>
                <c:formatCode>0.0%</c:formatCode>
                <c:ptCount val="5"/>
                <c:pt idx="0">
                  <c:v>0.45900000000000002</c:v>
                </c:pt>
                <c:pt idx="1">
                  <c:v>0.44700000000000001</c:v>
                </c:pt>
                <c:pt idx="2">
                  <c:v>0.20499999999999999</c:v>
                </c:pt>
                <c:pt idx="3">
                  <c:v>2.1000000000000001E-2</c:v>
                </c:pt>
                <c:pt idx="4">
                  <c:v>0</c:v>
                </c:pt>
              </c:numCache>
            </c:numRef>
          </c:val>
        </c:ser>
        <c:ser>
          <c:idx val="1"/>
          <c:order val="1"/>
          <c:tx>
            <c:strRef>
              <c:f>Sheet1!$C$1</c:f>
              <c:strCache>
                <c:ptCount val="1"/>
                <c:pt idx="0">
                  <c:v>Linezolid (N=327)</c:v>
                </c:pt>
              </c:strCache>
            </c:strRef>
          </c:tx>
          <c:invertIfNegative val="0"/>
          <c:dLbls>
            <c:dLbl>
              <c:idx val="0"/>
              <c:layout>
                <c:manualLayout>
                  <c:x val="2.1875517282778301E-2"/>
                  <c:y val="-1.9007340345792501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501016729835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c:v>
                </c:pt>
                <c:pt idx="1">
                  <c:v>TEAE</c:v>
                </c:pt>
                <c:pt idx="2">
                  <c:v>Drug-related* TEAE</c:v>
                </c:pt>
                <c:pt idx="3">
                  <c:v>Serious TEAE</c:v>
                </c:pt>
                <c:pt idx="4">
                  <c:v>Drug-related serious TEAE</c:v>
                </c:pt>
              </c:strCache>
            </c:strRef>
          </c:cat>
          <c:val>
            <c:numRef>
              <c:f>Sheet1!$C$2:$C$6</c:f>
              <c:numCache>
                <c:formatCode>0.0%</c:formatCode>
                <c:ptCount val="5"/>
                <c:pt idx="0">
                  <c:v>0.437</c:v>
                </c:pt>
                <c:pt idx="1">
                  <c:v>0.43099999999999999</c:v>
                </c:pt>
                <c:pt idx="2">
                  <c:v>0.248</c:v>
                </c:pt>
                <c:pt idx="3">
                  <c:v>2.8000000000000001E-2</c:v>
                </c:pt>
                <c:pt idx="4">
                  <c:v>3.0000000000000001E-3</c:v>
                </c:pt>
              </c:numCache>
            </c:numRef>
          </c:val>
        </c:ser>
        <c:dLbls>
          <c:dLblPos val="outEnd"/>
          <c:showLegendKey val="0"/>
          <c:showVal val="1"/>
          <c:showCatName val="0"/>
          <c:showSerName val="0"/>
          <c:showPercent val="0"/>
          <c:showBubbleSize val="0"/>
        </c:dLbls>
        <c:gapWidth val="150"/>
        <c:axId val="429952736"/>
        <c:axId val="429953128"/>
      </c:barChart>
      <c:catAx>
        <c:axId val="429952736"/>
        <c:scaling>
          <c:orientation val="minMax"/>
        </c:scaling>
        <c:delete val="0"/>
        <c:axPos val="b"/>
        <c:numFmt formatCode="General" sourceLinked="0"/>
        <c:majorTickMark val="out"/>
        <c:minorTickMark val="none"/>
        <c:tickLblPos val="nextTo"/>
        <c:crossAx val="429953128"/>
        <c:crosses val="autoZero"/>
        <c:auto val="1"/>
        <c:lblAlgn val="ctr"/>
        <c:lblOffset val="100"/>
        <c:noMultiLvlLbl val="0"/>
      </c:catAx>
      <c:valAx>
        <c:axId val="429953128"/>
        <c:scaling>
          <c:orientation val="minMax"/>
          <c:max val="0.5"/>
        </c:scaling>
        <c:delete val="0"/>
        <c:axPos val="l"/>
        <c:title>
          <c:tx>
            <c:rich>
              <a:bodyPr rot="-5400000" vert="horz"/>
              <a:lstStyle/>
              <a:p>
                <a:pPr>
                  <a:defRPr/>
                </a:pPr>
                <a:r>
                  <a:rPr lang="en-US"/>
                  <a:t>Proportion of patients</a:t>
                </a:r>
              </a:p>
              <a:p>
                <a:pPr>
                  <a:defRPr/>
                </a:pPr>
                <a:r>
                  <a:rPr lang="en-US"/>
                  <a:t>experiencing event (%)</a:t>
                </a:r>
              </a:p>
            </c:rich>
          </c:tx>
          <c:overlay val="0"/>
        </c:title>
        <c:numFmt formatCode="0%" sourceLinked="0"/>
        <c:majorTickMark val="out"/>
        <c:minorTickMark val="none"/>
        <c:tickLblPos val="nextTo"/>
        <c:crossAx val="429952736"/>
        <c:crosses val="autoZero"/>
        <c:crossBetween val="between"/>
        <c:majorUnit val="0.1"/>
      </c:valAx>
      <c:spPr>
        <a:noFill/>
        <a:ln>
          <a:noFill/>
        </a:ln>
      </c:spPr>
    </c:plotArea>
    <c:legend>
      <c:legendPos val="t"/>
      <c:overlay val="0"/>
    </c:legend>
    <c:plotVisOnly val="1"/>
    <c:dispBlanksAs val="gap"/>
    <c:showDLblsOverMax val="0"/>
  </c:chart>
  <c:spPr>
    <a:noFill/>
    <a:ln>
      <a:noFill/>
    </a:ln>
  </c:spPr>
  <c:txPr>
    <a:bodyPr/>
    <a:lstStyle/>
    <a:p>
      <a:pPr>
        <a:defRPr sz="800">
          <a:solidFill>
            <a:sysClr val="windowText" lastClr="000000"/>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Tedizolid phosphate (N=331)</c:v>
                </c:pt>
              </c:strCache>
            </c:strRef>
          </c:tx>
          <c:invertIfNegative val="0"/>
          <c:dLbls>
            <c:numFmt formatCode="0.0%" sourceLinked="0"/>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Gastrointestinal disorder TEAEs</c:v>
                </c:pt>
                <c:pt idx="1">
                  <c:v>Nausea</c:v>
                </c:pt>
                <c:pt idx="2">
                  <c:v>Diarrhea</c:v>
                </c:pt>
                <c:pt idx="3">
                  <c:v>Vomiting</c:v>
                </c:pt>
              </c:strCache>
            </c:strRef>
          </c:cat>
          <c:val>
            <c:numRef>
              <c:f>Sheet1!$B$2:$B$5</c:f>
              <c:numCache>
                <c:formatCode>0.0%</c:formatCode>
                <c:ptCount val="4"/>
                <c:pt idx="0">
                  <c:v>0.157</c:v>
                </c:pt>
                <c:pt idx="1">
                  <c:v>7.9000000000000001E-2</c:v>
                </c:pt>
                <c:pt idx="2">
                  <c:v>3.3000000000000002E-2</c:v>
                </c:pt>
                <c:pt idx="3">
                  <c:v>0.03</c:v>
                </c:pt>
              </c:numCache>
            </c:numRef>
          </c:val>
        </c:ser>
        <c:ser>
          <c:idx val="1"/>
          <c:order val="1"/>
          <c:tx>
            <c:strRef>
              <c:f>Sheet1!$C$1</c:f>
              <c:strCache>
                <c:ptCount val="1"/>
                <c:pt idx="0">
                  <c:v>Linezolid (N=327)</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Gastrointestinal disorder TEAEs</c:v>
                </c:pt>
                <c:pt idx="1">
                  <c:v>Nausea</c:v>
                </c:pt>
                <c:pt idx="2">
                  <c:v>Diarrhea</c:v>
                </c:pt>
                <c:pt idx="3">
                  <c:v>Vomiting</c:v>
                </c:pt>
              </c:strCache>
            </c:strRef>
          </c:cat>
          <c:val>
            <c:numRef>
              <c:f>Sheet1!$C$2:$C$5</c:f>
              <c:numCache>
                <c:formatCode>0.0%</c:formatCode>
                <c:ptCount val="4"/>
                <c:pt idx="0">
                  <c:v>0.20499999999999999</c:v>
                </c:pt>
                <c:pt idx="1">
                  <c:v>0.11</c:v>
                </c:pt>
                <c:pt idx="2">
                  <c:v>5.1999999999999998E-2</c:v>
                </c:pt>
                <c:pt idx="3">
                  <c:v>5.1999999999999998E-2</c:v>
                </c:pt>
              </c:numCache>
            </c:numRef>
          </c:val>
        </c:ser>
        <c:dLbls>
          <c:dLblPos val="outEnd"/>
          <c:showLegendKey val="0"/>
          <c:showVal val="1"/>
          <c:showCatName val="0"/>
          <c:showSerName val="0"/>
          <c:showPercent val="0"/>
          <c:showBubbleSize val="0"/>
        </c:dLbls>
        <c:gapWidth val="150"/>
        <c:axId val="429953912"/>
        <c:axId val="429954304"/>
      </c:barChart>
      <c:catAx>
        <c:axId val="429953912"/>
        <c:scaling>
          <c:orientation val="minMax"/>
        </c:scaling>
        <c:delete val="0"/>
        <c:axPos val="b"/>
        <c:numFmt formatCode="General" sourceLinked="0"/>
        <c:majorTickMark val="out"/>
        <c:minorTickMark val="none"/>
        <c:tickLblPos val="nextTo"/>
        <c:crossAx val="429954304"/>
        <c:crosses val="autoZero"/>
        <c:auto val="1"/>
        <c:lblAlgn val="ctr"/>
        <c:lblOffset val="100"/>
        <c:noMultiLvlLbl val="0"/>
      </c:catAx>
      <c:valAx>
        <c:axId val="429954304"/>
        <c:scaling>
          <c:orientation val="minMax"/>
          <c:max val="0.3"/>
        </c:scaling>
        <c:delete val="0"/>
        <c:axPos val="l"/>
        <c:title>
          <c:tx>
            <c:rich>
              <a:bodyPr rot="-5400000" vert="horz"/>
              <a:lstStyle/>
              <a:p>
                <a:pPr>
                  <a:defRPr/>
                </a:pPr>
                <a:r>
                  <a:rPr lang="en-US"/>
                  <a:t>Proportion of patients</a:t>
                </a:r>
              </a:p>
              <a:p>
                <a:pPr>
                  <a:defRPr/>
                </a:pPr>
                <a:r>
                  <a:rPr lang="en-US"/>
                  <a:t>experiencing event (%)</a:t>
                </a:r>
              </a:p>
            </c:rich>
          </c:tx>
          <c:overlay val="0"/>
          <c:spPr>
            <a:noFill/>
          </c:spPr>
        </c:title>
        <c:numFmt formatCode="0%" sourceLinked="0"/>
        <c:majorTickMark val="out"/>
        <c:minorTickMark val="none"/>
        <c:tickLblPos val="nextTo"/>
        <c:crossAx val="429953912"/>
        <c:crosses val="autoZero"/>
        <c:crossBetween val="between"/>
        <c:majorUnit val="0.1"/>
      </c:valAx>
      <c:spPr>
        <a:noFill/>
        <a:ln>
          <a:noFill/>
        </a:ln>
      </c:spPr>
    </c:plotArea>
    <c:legend>
      <c:legendPos val="t"/>
      <c:overlay val="0"/>
    </c:legend>
    <c:plotVisOnly val="1"/>
    <c:dispBlanksAs val="gap"/>
    <c:showDLblsOverMax val="0"/>
  </c:chart>
  <c:spPr>
    <a:noFill/>
    <a:ln>
      <a:noFill/>
    </a:ln>
  </c:spPr>
  <c:txPr>
    <a:bodyPr/>
    <a:lstStyle/>
    <a:p>
      <a:pPr>
        <a:defRPr sz="800">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9641196535799"/>
          <c:y val="0.134259259259259"/>
          <c:w val="0.82492946808615197"/>
          <c:h val="0.67684346748323099"/>
        </c:manualLayout>
      </c:layout>
      <c:barChart>
        <c:barDir val="col"/>
        <c:grouping val="clustered"/>
        <c:varyColors val="0"/>
        <c:ser>
          <c:idx val="0"/>
          <c:order val="0"/>
          <c:tx>
            <c:strRef>
              <c:f>'EOT 1'!$D$19</c:f>
              <c:strCache>
                <c:ptCount val="1"/>
                <c:pt idx="0">
                  <c:v>Tedizolid phosphate</c:v>
                </c:pt>
              </c:strCache>
            </c:strRef>
          </c:tx>
          <c:spPr>
            <a:solidFill>
              <a:srgbClr val="00539B"/>
            </a:solidFill>
          </c:spPr>
          <c:invertIfNegative val="0"/>
          <c:dLbls>
            <c:dLbl>
              <c:idx val="0"/>
              <c:layout>
                <c:manualLayout>
                  <c:x val="-1.2484394506866401E-2"/>
                  <c:y val="0"/>
                </c:manualLayout>
              </c:layout>
              <c:tx>
                <c:rich>
                  <a:bodyPr/>
                  <a:lstStyle/>
                  <a:p>
                    <a:r>
                      <a:rPr lang="en-US"/>
                      <a:t>87.0%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9.4899169632265707E-3"/>
                  <c:y val="-8.4875562720138004E-17"/>
                </c:manualLayout>
              </c:layout>
              <c:tx>
                <c:rich>
                  <a:bodyPr/>
                  <a:lstStyle/>
                  <a:p>
                    <a:r>
                      <a:rPr lang="en-US"/>
                      <a:t>13.0%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91.6%</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8.4%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'EOT 1'!$C$20:$C$24</c:f>
              <c:strCache>
                <c:ptCount val="5"/>
                <c:pt idx="0">
                  <c:v>Clinical success</c:v>
                </c:pt>
                <c:pt idx="1">
                  <c:v>Clinical failure or indeterminate</c:v>
                </c:pt>
                <c:pt idx="3">
                  <c:v>Clinical success</c:v>
                </c:pt>
                <c:pt idx="4">
                  <c:v>Clinical failure</c:v>
                </c:pt>
              </c:strCache>
            </c:strRef>
          </c:cat>
          <c:val>
            <c:numRef>
              <c:f>'EOT 1'!$D$20:$D$24</c:f>
              <c:numCache>
                <c:formatCode>0.00%</c:formatCode>
                <c:ptCount val="5"/>
                <c:pt idx="0">
                  <c:v>0.87</c:v>
                </c:pt>
                <c:pt idx="1">
                  <c:v>0.13</c:v>
                </c:pt>
                <c:pt idx="3">
                  <c:v>0.91600000000000004</c:v>
                </c:pt>
                <c:pt idx="4">
                  <c:v>8.4000000000000005E-2</c:v>
                </c:pt>
              </c:numCache>
            </c:numRef>
          </c:val>
        </c:ser>
        <c:ser>
          <c:idx val="1"/>
          <c:order val="1"/>
          <c:tx>
            <c:strRef>
              <c:f>'EOT 1'!$E$19</c:f>
              <c:strCache>
                <c:ptCount val="1"/>
                <c:pt idx="0">
                  <c:v>Linezolid </c:v>
                </c:pt>
              </c:strCache>
            </c:strRef>
          </c:tx>
          <c:spPr>
            <a:solidFill>
              <a:srgbClr val="87DC16"/>
            </a:solidFill>
          </c:spPr>
          <c:invertIfNegative val="0"/>
          <c:dLbls>
            <c:dLbl>
              <c:idx val="0"/>
              <c:layout>
                <c:manualLayout>
                  <c:x val="2.7465667915106101E-2"/>
                  <c:y val="0"/>
                </c:manualLayout>
              </c:layout>
              <c:tx>
                <c:rich>
                  <a:bodyPr/>
                  <a:lstStyle/>
                  <a:p>
                    <a:r>
                      <a:rPr lang="en-US"/>
                      <a:t>87.9%</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465667915106198E-2"/>
                  <c:y val="0"/>
                </c:manualLayout>
              </c:layout>
              <c:tx>
                <c:rich>
                  <a:bodyPr/>
                  <a:lstStyle/>
                  <a:p>
                    <a:r>
                      <a:rPr lang="en-US"/>
                      <a:t>12.1%</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465667915106101E-2"/>
                  <c:y val="0"/>
                </c:manualLayout>
              </c:layout>
              <c:tx>
                <c:rich>
                  <a:bodyPr/>
                  <a:lstStyle/>
                  <a:p>
                    <a:r>
                      <a:rPr lang="en-US"/>
                      <a:t>94.0%</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2471910112359599E-2"/>
                  <c:y val="8.4875562720138004E-17"/>
                </c:manualLayout>
              </c:layout>
              <c:tx>
                <c:rich>
                  <a:bodyPr/>
                  <a:lstStyle/>
                  <a:p>
                    <a:r>
                      <a:rPr lang="en-US"/>
                      <a:t>5.9%</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'EOT 1'!$C$20:$C$24</c:f>
              <c:strCache>
                <c:ptCount val="5"/>
                <c:pt idx="0">
                  <c:v>Clinical success</c:v>
                </c:pt>
                <c:pt idx="1">
                  <c:v>Clinical failure or indeterminate</c:v>
                </c:pt>
                <c:pt idx="3">
                  <c:v>Clinical success</c:v>
                </c:pt>
                <c:pt idx="4">
                  <c:v>Clinical failure</c:v>
                </c:pt>
              </c:strCache>
            </c:strRef>
          </c:cat>
          <c:val>
            <c:numRef>
              <c:f>'EOT 1'!$E$20:$E$24</c:f>
              <c:numCache>
                <c:formatCode>0.00%</c:formatCode>
                <c:ptCount val="5"/>
                <c:pt idx="0">
                  <c:v>0.879</c:v>
                </c:pt>
                <c:pt idx="1">
                  <c:v>0.121</c:v>
                </c:pt>
                <c:pt idx="3">
                  <c:v>0.94</c:v>
                </c:pt>
                <c:pt idx="4">
                  <c:v>5.8999999999999997E-2</c:v>
                </c:pt>
              </c:numCache>
            </c:numRef>
          </c:val>
        </c:ser>
        <c:dLbls>
          <c:dLblPos val="outEnd"/>
          <c:showLegendKey val="0"/>
          <c:showVal val="1"/>
          <c:showCatName val="0"/>
          <c:showSerName val="0"/>
          <c:showPercent val="0"/>
          <c:showBubbleSize val="0"/>
        </c:dLbls>
        <c:gapWidth val="150"/>
        <c:axId val="351027144"/>
        <c:axId val="425086936"/>
      </c:barChart>
      <c:catAx>
        <c:axId val="351027144"/>
        <c:scaling>
          <c:orientation val="minMax"/>
        </c:scaling>
        <c:delete val="0"/>
        <c:axPos val="b"/>
        <c:title>
          <c:tx>
            <c:rich>
              <a:bodyPr/>
              <a:lstStyle/>
              <a:p>
                <a:pPr>
                  <a:defRPr/>
                </a:pPr>
                <a:r>
                  <a:rPr lang="en-US"/>
                  <a:t>ITT</a:t>
                </a:r>
                <a:r>
                  <a:rPr lang="en-US" baseline="0"/>
                  <a:t> population			CE-EOT population</a:t>
                </a:r>
                <a:endParaRPr lang="en-US"/>
              </a:p>
            </c:rich>
          </c:tx>
          <c:overlay val="0"/>
        </c:title>
        <c:numFmt formatCode="General" sourceLinked="0"/>
        <c:majorTickMark val="out"/>
        <c:minorTickMark val="none"/>
        <c:tickLblPos val="nextTo"/>
        <c:crossAx val="425086936"/>
        <c:crosses val="autoZero"/>
        <c:auto val="1"/>
        <c:lblAlgn val="ctr"/>
        <c:lblOffset val="100"/>
        <c:noMultiLvlLbl val="0"/>
      </c:catAx>
      <c:valAx>
        <c:axId val="425086936"/>
        <c:scaling>
          <c:orientation val="minMax"/>
        </c:scaling>
        <c:delete val="0"/>
        <c:axPos val="l"/>
        <c:title>
          <c:tx>
            <c:rich>
              <a:bodyPr rot="-5400000" vert="horz"/>
              <a:lstStyle/>
              <a:p>
                <a:pPr>
                  <a:defRPr/>
                </a:pPr>
                <a:r>
                  <a:rPr lang="en-US"/>
                  <a:t>Proportion of patients (%)</a:t>
                </a:r>
              </a:p>
            </c:rich>
          </c:tx>
          <c:overlay val="0"/>
        </c:title>
        <c:numFmt formatCode="0%" sourceLinked="0"/>
        <c:majorTickMark val="out"/>
        <c:minorTickMark val="none"/>
        <c:tickLblPos val="nextTo"/>
        <c:crossAx val="351027144"/>
        <c:crosses val="autoZero"/>
        <c:crossBetween val="between"/>
        <c:minorUnit val="0.2"/>
      </c:valAx>
    </c:plotArea>
    <c:legend>
      <c:legendPos val="r"/>
      <c:layout>
        <c:manualLayout>
          <c:xMode val="edge"/>
          <c:yMode val="edge"/>
          <c:x val="0.23502045650321601"/>
          <c:y val="2.0562846310877798E-2"/>
          <c:w val="0.59020128711669095"/>
          <c:h val="7.9244677748614795E-2"/>
        </c:manualLayout>
      </c:layout>
      <c:overlay val="0"/>
    </c:legend>
    <c:plotVisOnly val="1"/>
    <c:dispBlanksAs val="gap"/>
    <c:showDLblsOverMax val="0"/>
  </c:chart>
  <c:spPr>
    <a:ln>
      <a:noFill/>
    </a:ln>
  </c:spPr>
  <c:txPr>
    <a:bodyPr/>
    <a:lstStyle/>
    <a:p>
      <a:pPr>
        <a:defRPr sz="8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44679991924"/>
          <c:y val="0.14357101641116601"/>
          <c:w val="0.86313648293963197"/>
          <c:h val="0.69570753863466805"/>
        </c:manualLayout>
      </c:layout>
      <c:barChart>
        <c:barDir val="col"/>
        <c:grouping val="clustered"/>
        <c:varyColors val="0"/>
        <c:ser>
          <c:idx val="0"/>
          <c:order val="0"/>
          <c:tx>
            <c:strRef>
              <c:f>'PTE 1'!$D$1</c:f>
              <c:strCache>
                <c:ptCount val="1"/>
                <c:pt idx="0">
                  <c:v>Tedizolid phosphate</c:v>
                </c:pt>
              </c:strCache>
            </c:strRef>
          </c:tx>
          <c:spPr>
            <a:solidFill>
              <a:srgbClr val="00539B"/>
            </a:solidFill>
          </c:spPr>
          <c:invertIfNegative val="0"/>
          <c:dLbls>
            <c:dLbl>
              <c:idx val="0"/>
              <c:layout>
                <c:manualLayout>
                  <c:x val="-1.025641025641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20512820512799E-2"/>
                  <c:y val="-4.0962601789646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30769230769230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92307692307690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'PTE 1'!$C$2:$C$6</c:f>
              <c:strCache>
                <c:ptCount val="5"/>
                <c:pt idx="0">
                  <c:v>Clinical success</c:v>
                </c:pt>
                <c:pt idx="1">
                  <c:v>Clinical failure or indeterminate</c:v>
                </c:pt>
                <c:pt idx="3">
                  <c:v>Clinical success</c:v>
                </c:pt>
                <c:pt idx="4">
                  <c:v>Clinical failure</c:v>
                </c:pt>
              </c:strCache>
            </c:strRef>
          </c:cat>
          <c:val>
            <c:numRef>
              <c:f>'PTE 1'!$D$2:$D$6</c:f>
              <c:numCache>
                <c:formatCode>0.00%</c:formatCode>
                <c:ptCount val="5"/>
                <c:pt idx="0">
                  <c:v>0.86699999999999999</c:v>
                </c:pt>
                <c:pt idx="1">
                  <c:v>0.13300000000000001</c:v>
                </c:pt>
                <c:pt idx="3">
                  <c:v>0.93500000000000005</c:v>
                </c:pt>
                <c:pt idx="4">
                  <c:v>6.5000000000000002E-2</c:v>
                </c:pt>
              </c:numCache>
            </c:numRef>
          </c:val>
        </c:ser>
        <c:ser>
          <c:idx val="1"/>
          <c:order val="1"/>
          <c:tx>
            <c:strRef>
              <c:f>'PTE 1'!$E$1</c:f>
              <c:strCache>
                <c:ptCount val="1"/>
                <c:pt idx="0">
                  <c:v>Linezolid </c:v>
                </c:pt>
              </c:strCache>
            </c:strRef>
          </c:tx>
          <c:spPr>
            <a:solidFill>
              <a:srgbClr val="87DC16"/>
            </a:solidFill>
          </c:spPr>
          <c:invertIfNegative val="0"/>
          <c:dLbls>
            <c:dLbl>
              <c:idx val="0"/>
              <c:layout>
                <c:manualLayout>
                  <c:x val="3.589743589743590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07692307692307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05128205128204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30769230769230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'PTE 1'!$C$2:$C$6</c:f>
              <c:strCache>
                <c:ptCount val="5"/>
                <c:pt idx="0">
                  <c:v>Clinical success</c:v>
                </c:pt>
                <c:pt idx="1">
                  <c:v>Clinical failure or indeterminate</c:v>
                </c:pt>
                <c:pt idx="3">
                  <c:v>Clinical success</c:v>
                </c:pt>
                <c:pt idx="4">
                  <c:v>Clinical failure</c:v>
                </c:pt>
              </c:strCache>
            </c:strRef>
          </c:cat>
          <c:val>
            <c:numRef>
              <c:f>'PTE 1'!$E$2:$E$6</c:f>
              <c:numCache>
                <c:formatCode>0.00%</c:formatCode>
                <c:ptCount val="5"/>
                <c:pt idx="0">
                  <c:v>0.86799999999999999</c:v>
                </c:pt>
                <c:pt idx="1">
                  <c:v>0.13200000000000001</c:v>
                </c:pt>
                <c:pt idx="3">
                  <c:v>0.95699999999999996</c:v>
                </c:pt>
                <c:pt idx="4">
                  <c:v>4.2999999999999997E-2</c:v>
                </c:pt>
              </c:numCache>
            </c:numRef>
          </c:val>
        </c:ser>
        <c:dLbls>
          <c:dLblPos val="outEnd"/>
          <c:showLegendKey val="0"/>
          <c:showVal val="1"/>
          <c:showCatName val="0"/>
          <c:showSerName val="0"/>
          <c:showPercent val="0"/>
          <c:showBubbleSize val="0"/>
        </c:dLbls>
        <c:gapWidth val="150"/>
        <c:axId val="425087720"/>
        <c:axId val="425088112"/>
      </c:barChart>
      <c:catAx>
        <c:axId val="425087720"/>
        <c:scaling>
          <c:orientation val="minMax"/>
        </c:scaling>
        <c:delete val="0"/>
        <c:axPos val="b"/>
        <c:title>
          <c:tx>
            <c:rich>
              <a:bodyPr/>
              <a:lstStyle/>
              <a:p>
                <a:pPr>
                  <a:defRPr/>
                </a:pPr>
                <a:r>
                  <a:rPr lang="en-US"/>
                  <a:t>ITT </a:t>
                </a:r>
                <a:r>
                  <a:rPr lang="en-US" sz="800" b="1" i="0" u="none" strike="noStrike" baseline="0">
                    <a:effectLst/>
                  </a:rPr>
                  <a:t>population</a:t>
                </a:r>
                <a:r>
                  <a:rPr lang="en-US"/>
                  <a:t>                                                   CE-PTE </a:t>
                </a:r>
                <a:r>
                  <a:rPr lang="en-US" sz="800" b="1" i="0" u="none" strike="noStrike" baseline="0">
                    <a:effectLst/>
                  </a:rPr>
                  <a:t>population</a:t>
                </a:r>
                <a:endParaRPr lang="en-US"/>
              </a:p>
            </c:rich>
          </c:tx>
          <c:layout>
            <c:manualLayout>
              <c:xMode val="edge"/>
              <c:yMode val="edge"/>
              <c:x val="0.20605128205128201"/>
              <c:y val="0.93819001422079595"/>
            </c:manualLayout>
          </c:layout>
          <c:overlay val="0"/>
        </c:title>
        <c:numFmt formatCode="General" sourceLinked="0"/>
        <c:majorTickMark val="out"/>
        <c:minorTickMark val="none"/>
        <c:tickLblPos val="nextTo"/>
        <c:crossAx val="425088112"/>
        <c:crosses val="autoZero"/>
        <c:auto val="1"/>
        <c:lblAlgn val="ctr"/>
        <c:lblOffset val="100"/>
        <c:noMultiLvlLbl val="0"/>
      </c:catAx>
      <c:valAx>
        <c:axId val="425088112"/>
        <c:scaling>
          <c:orientation val="minMax"/>
          <c:max val="1"/>
        </c:scaling>
        <c:delete val="0"/>
        <c:axPos val="l"/>
        <c:title>
          <c:tx>
            <c:rich>
              <a:bodyPr rot="-5400000" vert="horz"/>
              <a:lstStyle/>
              <a:p>
                <a:pPr>
                  <a:defRPr/>
                </a:pPr>
                <a:r>
                  <a:rPr lang="en-US"/>
                  <a:t>Proportion of patients (%)</a:t>
                </a:r>
              </a:p>
            </c:rich>
          </c:tx>
          <c:overlay val="0"/>
        </c:title>
        <c:numFmt formatCode="0%" sourceLinked="0"/>
        <c:majorTickMark val="out"/>
        <c:minorTickMark val="none"/>
        <c:tickLblPos val="nextTo"/>
        <c:crossAx val="425087720"/>
        <c:crosses val="autoZero"/>
        <c:crossBetween val="between"/>
        <c:minorUnit val="0.2"/>
      </c:valAx>
    </c:plotArea>
    <c:legend>
      <c:legendPos val="r"/>
      <c:layout>
        <c:manualLayout>
          <c:xMode val="edge"/>
          <c:yMode val="edge"/>
          <c:x val="0.27227749561446002"/>
          <c:y val="2.26564910155461E-2"/>
          <c:w val="0.45943811868123402"/>
          <c:h val="7.6806984079719295E-2"/>
        </c:manualLayout>
      </c:layout>
      <c:overlay val="0"/>
    </c:legend>
    <c:plotVisOnly val="1"/>
    <c:dispBlanksAs val="gap"/>
    <c:showDLblsOverMax val="0"/>
  </c:chart>
  <c:spPr>
    <a:ln>
      <a:noFill/>
    </a:ln>
  </c:spPr>
  <c:txPr>
    <a:bodyPr/>
    <a:lstStyle/>
    <a:p>
      <a:pPr>
        <a:defRPr sz="8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Sheet4!$D$196</c:f>
              <c:strCache>
                <c:ptCount val="1"/>
                <c:pt idx="0">
                  <c:v>Tedizolid phosphate</c:v>
                </c:pt>
              </c:strCache>
            </c:strRef>
          </c:tx>
          <c:invertIfNegative val="0"/>
          <c:dLbls>
            <c:dLbl>
              <c:idx val="0"/>
              <c:layout>
                <c:manualLayout>
                  <c:x val="-1.53183553695644E-2"/>
                  <c:y val="5.65470982793815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199E-2"/>
                  <c:y val="4.89355497229513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94444444444444E-2"/>
                  <c:y val="-9.85673665791774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001E-2"/>
                  <c:y val="6.8587780694078998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Sheet4!$C$197:$C$201</c:f>
              <c:strCache>
                <c:ptCount val="5"/>
                <c:pt idx="0">
                  <c:v>Favorable</c:v>
                </c:pt>
                <c:pt idx="1">
                  <c:v>Unfavorable or indeterminate</c:v>
                </c:pt>
                <c:pt idx="3">
                  <c:v>Favorable</c:v>
                </c:pt>
                <c:pt idx="4">
                  <c:v>Unfavorable or indeterminate</c:v>
                </c:pt>
              </c:strCache>
            </c:strRef>
          </c:cat>
          <c:val>
            <c:numRef>
              <c:f>Sheet4!$D$197:$D$201</c:f>
              <c:numCache>
                <c:formatCode>0.00%</c:formatCode>
                <c:ptCount val="5"/>
                <c:pt idx="0">
                  <c:v>0.88800000000000001</c:v>
                </c:pt>
                <c:pt idx="1">
                  <c:v>0.112</c:v>
                </c:pt>
                <c:pt idx="2" formatCode="General">
                  <c:v>0</c:v>
                </c:pt>
                <c:pt idx="3">
                  <c:v>0.84399999999999997</c:v>
                </c:pt>
                <c:pt idx="4">
                  <c:v>0.156</c:v>
                </c:pt>
              </c:numCache>
            </c:numRef>
          </c:val>
        </c:ser>
        <c:ser>
          <c:idx val="1"/>
          <c:order val="1"/>
          <c:tx>
            <c:strRef>
              <c:f>Sheet4!$E$196</c:f>
              <c:strCache>
                <c:ptCount val="1"/>
                <c:pt idx="0">
                  <c:v>Linezolid</c:v>
                </c:pt>
              </c:strCache>
            </c:strRef>
          </c:tx>
          <c:invertIfNegative val="0"/>
          <c:dLbls>
            <c:dLbl>
              <c:idx val="0"/>
              <c:layout>
                <c:manualLayout>
                  <c:x val="2.85939944654892E-2"/>
                  <c:y val="-6.223871923213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1.344779819189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1691622809928399E-2"/>
                  <c:y val="9.0587634878973398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001E-2"/>
                  <c:y val="7.2579469233012496E-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Sheet4!$C$197:$C$201</c:f>
              <c:strCache>
                <c:ptCount val="5"/>
                <c:pt idx="0">
                  <c:v>Favorable</c:v>
                </c:pt>
                <c:pt idx="1">
                  <c:v>Unfavorable or indeterminate</c:v>
                </c:pt>
                <c:pt idx="3">
                  <c:v>Favorable</c:v>
                </c:pt>
                <c:pt idx="4">
                  <c:v>Unfavorable or indeterminate</c:v>
                </c:pt>
              </c:strCache>
            </c:strRef>
          </c:cat>
          <c:val>
            <c:numRef>
              <c:f>Sheet4!$E$197:$E$201</c:f>
              <c:numCache>
                <c:formatCode>0.00%</c:formatCode>
                <c:ptCount val="5"/>
                <c:pt idx="0">
                  <c:v>0.88900000000000001</c:v>
                </c:pt>
                <c:pt idx="1">
                  <c:v>0.111</c:v>
                </c:pt>
                <c:pt idx="2" formatCode="General">
                  <c:v>0</c:v>
                </c:pt>
                <c:pt idx="3">
                  <c:v>0.82199999999999995</c:v>
                </c:pt>
                <c:pt idx="4">
                  <c:v>0.17799999999999999</c:v>
                </c:pt>
              </c:numCache>
            </c:numRef>
          </c:val>
        </c:ser>
        <c:dLbls>
          <c:dLblPos val="ctr"/>
          <c:showLegendKey val="0"/>
          <c:showVal val="1"/>
          <c:showCatName val="0"/>
          <c:showSerName val="0"/>
          <c:showPercent val="0"/>
          <c:showBubbleSize val="0"/>
        </c:dLbls>
        <c:gapWidth val="150"/>
        <c:axId val="425088896"/>
        <c:axId val="425089288"/>
      </c:barChart>
      <c:catAx>
        <c:axId val="425088896"/>
        <c:scaling>
          <c:orientation val="minMax"/>
        </c:scaling>
        <c:delete val="0"/>
        <c:axPos val="b"/>
        <c:title>
          <c:tx>
            <c:rich>
              <a:bodyPr/>
              <a:lstStyle/>
              <a:p>
                <a:pPr>
                  <a:defRPr/>
                </a:pPr>
                <a:r>
                  <a:rPr lang="en-US" i="1"/>
                  <a:t>S. aureus</a:t>
                </a:r>
                <a:r>
                  <a:rPr lang="en-US"/>
                  <a:t>                                                                                        MRSA</a:t>
                </a:r>
              </a:p>
            </c:rich>
          </c:tx>
          <c:overlay val="0"/>
        </c:title>
        <c:numFmt formatCode="General" sourceLinked="0"/>
        <c:majorTickMark val="out"/>
        <c:minorTickMark val="none"/>
        <c:tickLblPos val="nextTo"/>
        <c:crossAx val="425089288"/>
        <c:crosses val="autoZero"/>
        <c:auto val="1"/>
        <c:lblAlgn val="ctr"/>
        <c:lblOffset val="100"/>
        <c:noMultiLvlLbl val="0"/>
      </c:catAx>
      <c:valAx>
        <c:axId val="425089288"/>
        <c:scaling>
          <c:orientation val="minMax"/>
          <c:max val="1"/>
        </c:scaling>
        <c:delete val="0"/>
        <c:axPos val="l"/>
        <c:title>
          <c:tx>
            <c:rich>
              <a:bodyPr rot="-5400000" vert="horz"/>
              <a:lstStyle/>
              <a:p>
                <a:pPr>
                  <a:defRPr/>
                </a:pPr>
                <a:r>
                  <a:rPr lang="en-US"/>
                  <a:t>Proportion of patients (%)</a:t>
                </a:r>
              </a:p>
            </c:rich>
          </c:tx>
          <c:overlay val="0"/>
        </c:title>
        <c:numFmt formatCode="0%" sourceLinked="0"/>
        <c:majorTickMark val="out"/>
        <c:minorTickMark val="none"/>
        <c:tickLblPos val="nextTo"/>
        <c:crossAx val="425088896"/>
        <c:crosses val="autoZero"/>
        <c:crossBetween val="between"/>
        <c:minorUnit val="0.2"/>
      </c:valAx>
    </c:plotArea>
    <c:legend>
      <c:legendPos val="t"/>
      <c:layout>
        <c:manualLayout>
          <c:xMode val="edge"/>
          <c:yMode val="edge"/>
          <c:x val="0.22308471057486101"/>
          <c:y val="2.4213075060532701E-2"/>
          <c:w val="0.55388993246259899"/>
          <c:h val="6.2786219519170294E-2"/>
        </c:manualLayout>
      </c:layout>
      <c:overlay val="0"/>
    </c:legend>
    <c:plotVisOnly val="1"/>
    <c:dispBlanksAs val="gap"/>
    <c:showDLblsOverMax val="0"/>
  </c:chart>
  <c:spPr>
    <a:ln>
      <a:noFill/>
    </a:ln>
  </c:spPr>
  <c:txPr>
    <a:bodyPr/>
    <a:lstStyle/>
    <a:p>
      <a:pPr>
        <a:defRPr sz="800">
          <a:solidFill>
            <a:schemeClr val="accent5"/>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08286267694"/>
          <c:y val="2.77159105111861E-2"/>
          <c:w val="0.85928335670370004"/>
          <c:h val="0.87212535933008395"/>
        </c:manualLayout>
      </c:layout>
      <c:barChart>
        <c:barDir val="col"/>
        <c:grouping val="clustered"/>
        <c:varyColors val="0"/>
        <c:ser>
          <c:idx val="0"/>
          <c:order val="0"/>
          <c:tx>
            <c:strRef>
              <c:f>Sheet1!$B$1</c:f>
              <c:strCache>
                <c:ptCount val="1"/>
                <c:pt idx="0">
                  <c:v>Tedizolid phosphate (N=141)</c:v>
                </c:pt>
              </c:strCache>
            </c:strRef>
          </c:tx>
          <c:invertIfNegative val="0"/>
          <c:dLbls>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Responder</c:v>
                </c:pt>
                <c:pt idx="1">
                  <c:v>Non-responder</c:v>
                </c:pt>
                <c:pt idx="2">
                  <c:v>Indeterminate</c:v>
                </c:pt>
              </c:strCache>
            </c:strRef>
          </c:cat>
          <c:val>
            <c:numRef>
              <c:f>Sheet1!$B$2:$B$4</c:f>
              <c:numCache>
                <c:formatCode>0.00%</c:formatCode>
                <c:ptCount val="3"/>
                <c:pt idx="0" formatCode="0.0%">
                  <c:v>0.80900000000000005</c:v>
                </c:pt>
                <c:pt idx="1">
                  <c:v>0.113</c:v>
                </c:pt>
                <c:pt idx="2" formatCode="0.0%">
                  <c:v>7.8E-2</c:v>
                </c:pt>
              </c:numCache>
            </c:numRef>
          </c:val>
        </c:ser>
        <c:ser>
          <c:idx val="1"/>
          <c:order val="1"/>
          <c:tx>
            <c:strRef>
              <c:f>Sheet1!$C$1</c:f>
              <c:strCache>
                <c:ptCount val="1"/>
                <c:pt idx="0">
                  <c:v>Linezolid (N=146)</c:v>
                </c:pt>
              </c:strCache>
            </c:strRef>
          </c:tx>
          <c:invertIfNegative val="0"/>
          <c:dLbls>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Responder</c:v>
                </c:pt>
                <c:pt idx="1">
                  <c:v>Non-responder</c:v>
                </c:pt>
                <c:pt idx="2">
                  <c:v>Indeterminate</c:v>
                </c:pt>
              </c:strCache>
            </c:strRef>
          </c:cat>
          <c:val>
            <c:numRef>
              <c:f>Sheet1!$C$2:$C$4</c:f>
              <c:numCache>
                <c:formatCode>0.0%</c:formatCode>
                <c:ptCount val="3"/>
                <c:pt idx="0">
                  <c:v>0.76</c:v>
                </c:pt>
                <c:pt idx="1">
                  <c:v>0.14399999999999999</c:v>
                </c:pt>
                <c:pt idx="2">
                  <c:v>9.6000000000000002E-2</c:v>
                </c:pt>
              </c:numCache>
            </c:numRef>
          </c:val>
        </c:ser>
        <c:dLbls>
          <c:dLblPos val="outEnd"/>
          <c:showLegendKey val="0"/>
          <c:showVal val="1"/>
          <c:showCatName val="0"/>
          <c:showSerName val="0"/>
          <c:showPercent val="0"/>
          <c:showBubbleSize val="0"/>
        </c:dLbls>
        <c:gapWidth val="150"/>
        <c:axId val="425090072"/>
        <c:axId val="425090464"/>
      </c:barChart>
      <c:catAx>
        <c:axId val="425090072"/>
        <c:scaling>
          <c:orientation val="minMax"/>
        </c:scaling>
        <c:delete val="0"/>
        <c:axPos val="b"/>
        <c:numFmt formatCode="General" sourceLinked="0"/>
        <c:majorTickMark val="out"/>
        <c:minorTickMark val="none"/>
        <c:tickLblPos val="nextTo"/>
        <c:txPr>
          <a:bodyPr/>
          <a:lstStyle/>
          <a:p>
            <a:pPr>
              <a:defRPr sz="800">
                <a:solidFill>
                  <a:sysClr val="windowText" lastClr="000000"/>
                </a:solidFill>
              </a:defRPr>
            </a:pPr>
            <a:endParaRPr lang="en-US"/>
          </a:p>
        </c:txPr>
        <c:crossAx val="425090464"/>
        <c:crosses val="autoZero"/>
        <c:auto val="1"/>
        <c:lblAlgn val="ctr"/>
        <c:lblOffset val="100"/>
        <c:noMultiLvlLbl val="0"/>
      </c:catAx>
      <c:valAx>
        <c:axId val="425090464"/>
        <c:scaling>
          <c:orientation val="minMax"/>
          <c:max val="1"/>
        </c:scaling>
        <c:delete val="0"/>
        <c:axPos val="l"/>
        <c:title>
          <c:tx>
            <c:rich>
              <a:bodyPr rot="-5400000" vert="horz"/>
              <a:lstStyle/>
              <a:p>
                <a:pPr>
                  <a:defRPr sz="800">
                    <a:solidFill>
                      <a:sysClr val="windowText" lastClr="000000"/>
                    </a:solidFill>
                  </a:defRPr>
                </a:pPr>
                <a:r>
                  <a:rPr lang="en-US" sz="800">
                    <a:solidFill>
                      <a:sysClr val="windowText" lastClr="000000"/>
                    </a:solidFill>
                  </a:rPr>
                  <a:t>Proportion of</a:t>
                </a:r>
                <a:r>
                  <a:rPr lang="en-US" sz="800" baseline="0">
                    <a:solidFill>
                      <a:sysClr val="windowText" lastClr="000000"/>
                    </a:solidFill>
                  </a:rPr>
                  <a:t> patients (%)</a:t>
                </a:r>
                <a:endParaRPr lang="en-US" sz="800">
                  <a:solidFill>
                    <a:sysClr val="windowText" lastClr="000000"/>
                  </a:solidFill>
                </a:endParaRPr>
              </a:p>
            </c:rich>
          </c:tx>
          <c:layout>
            <c:manualLayout>
              <c:xMode val="edge"/>
              <c:yMode val="edge"/>
              <c:x val="2.4214529580599199E-2"/>
              <c:y val="0.23821303587051601"/>
            </c:manualLayout>
          </c:layout>
          <c:overlay val="0"/>
        </c:title>
        <c:numFmt formatCode="0%" sourceLinked="0"/>
        <c:majorTickMark val="out"/>
        <c:minorTickMark val="none"/>
        <c:tickLblPos val="nextTo"/>
        <c:txPr>
          <a:bodyPr/>
          <a:lstStyle/>
          <a:p>
            <a:pPr>
              <a:defRPr sz="800">
                <a:solidFill>
                  <a:sysClr val="windowText" lastClr="000000"/>
                </a:solidFill>
              </a:defRPr>
            </a:pPr>
            <a:endParaRPr lang="en-US"/>
          </a:p>
        </c:txPr>
        <c:crossAx val="425090072"/>
        <c:crosses val="autoZero"/>
        <c:crossBetween val="between"/>
        <c:majorUnit val="0.2"/>
      </c:valAx>
    </c:plotArea>
    <c:legend>
      <c:legendPos val="t"/>
      <c:layout>
        <c:manualLayout>
          <c:xMode val="edge"/>
          <c:yMode val="edge"/>
          <c:x val="0.26987310969690398"/>
          <c:y val="2.3809523809523801E-2"/>
          <c:w val="0.48386089187028802"/>
          <c:h val="6.1739782527184102E-2"/>
        </c:manualLayout>
      </c:layout>
      <c:overlay val="0"/>
      <c:txPr>
        <a:bodyPr/>
        <a:lstStyle/>
        <a:p>
          <a:pPr>
            <a:defRPr sz="800">
              <a:solidFill>
                <a:sysClr val="windowText" lastClr="000000"/>
              </a:solidFill>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08286267694"/>
          <c:y val="8.7896445241235494E-2"/>
          <c:w val="0.85928335670370004"/>
          <c:h val="0.72853557821401405"/>
        </c:manualLayout>
      </c:layout>
      <c:barChart>
        <c:barDir val="col"/>
        <c:grouping val="clustered"/>
        <c:varyColors val="0"/>
        <c:ser>
          <c:idx val="0"/>
          <c:order val="0"/>
          <c:tx>
            <c:strRef>
              <c:f>Sheet1!$B$1</c:f>
              <c:strCache>
                <c:ptCount val="1"/>
                <c:pt idx="0">
                  <c:v>Tedizolid phosphate </c:v>
                </c:pt>
              </c:strCache>
            </c:strRef>
          </c:tx>
          <c:invertIfNegative val="0"/>
          <c:dLbls>
            <c:dLbl>
              <c:idx val="1"/>
              <c:layout>
                <c:manualLayout>
                  <c:x val="-2.21603786737590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5122650716313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Clinical success</c:v>
                </c:pt>
                <c:pt idx="1">
                  <c:v>Clinical failure/indeterminate</c:v>
                </c:pt>
                <c:pt idx="3">
                  <c:v>Clinical success</c:v>
                </c:pt>
                <c:pt idx="4">
                  <c:v>Clinical failure/indeterminate</c:v>
                </c:pt>
              </c:strCache>
            </c:strRef>
          </c:cat>
          <c:val>
            <c:numRef>
              <c:f>Sheet1!$B$2:$B$6</c:f>
              <c:numCache>
                <c:formatCode>0.0%</c:formatCode>
                <c:ptCount val="5"/>
                <c:pt idx="0">
                  <c:v>0.84399999999999997</c:v>
                </c:pt>
                <c:pt idx="1">
                  <c:v>0.156</c:v>
                </c:pt>
                <c:pt idx="3">
                  <c:v>0.90100000000000002</c:v>
                </c:pt>
                <c:pt idx="4">
                  <c:v>9.9000000000000005E-2</c:v>
                </c:pt>
              </c:numCache>
            </c:numRef>
          </c:val>
        </c:ser>
        <c:ser>
          <c:idx val="1"/>
          <c:order val="1"/>
          <c:tx>
            <c:strRef>
              <c:f>Sheet1!$C$1</c:f>
              <c:strCache>
                <c:ptCount val="1"/>
                <c:pt idx="0">
                  <c:v>Linezolid </c:v>
                </c:pt>
              </c:strCache>
            </c:strRef>
          </c:tx>
          <c:invertIfNegative val="0"/>
          <c:dLbls>
            <c:dLbl>
              <c:idx val="0"/>
              <c:layout>
                <c:manualLayout>
                  <c:x val="2.4352548196952699E-2"/>
                  <c:y val="-3.680555595806600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29622720425529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Clinical success</c:v>
                </c:pt>
                <c:pt idx="1">
                  <c:v>Clinical failure/indeterminate</c:v>
                </c:pt>
                <c:pt idx="3">
                  <c:v>Clinical success</c:v>
                </c:pt>
                <c:pt idx="4">
                  <c:v>Clinical failure/indeterminate</c:v>
                </c:pt>
              </c:strCache>
            </c:strRef>
          </c:cat>
          <c:val>
            <c:numRef>
              <c:f>Sheet1!$C$2:$C$6</c:f>
              <c:numCache>
                <c:formatCode>0.0%</c:formatCode>
                <c:ptCount val="5"/>
                <c:pt idx="0">
                  <c:v>0.84199999999999997</c:v>
                </c:pt>
                <c:pt idx="1">
                  <c:v>0.158</c:v>
                </c:pt>
                <c:pt idx="3">
                  <c:v>0.95199999999999996</c:v>
                </c:pt>
                <c:pt idx="4">
                  <c:v>4.8000000000000001E-2</c:v>
                </c:pt>
              </c:numCache>
            </c:numRef>
          </c:val>
        </c:ser>
        <c:dLbls>
          <c:dLblPos val="outEnd"/>
          <c:showLegendKey val="0"/>
          <c:showVal val="1"/>
          <c:showCatName val="0"/>
          <c:showSerName val="0"/>
          <c:showPercent val="0"/>
          <c:showBubbleSize val="0"/>
        </c:dLbls>
        <c:gapWidth val="150"/>
        <c:axId val="511976448"/>
        <c:axId val="511976840"/>
      </c:barChart>
      <c:catAx>
        <c:axId val="511976448"/>
        <c:scaling>
          <c:orientation val="minMax"/>
        </c:scaling>
        <c:delete val="0"/>
        <c:axPos val="b"/>
        <c:title>
          <c:tx>
            <c:rich>
              <a:bodyPr/>
              <a:lstStyle/>
              <a:p>
                <a:pPr>
                  <a:defRPr sz="800">
                    <a:solidFill>
                      <a:sysClr val="windowText" lastClr="000000"/>
                    </a:solidFill>
                  </a:defRPr>
                </a:pPr>
                <a:r>
                  <a:rPr lang="en-US" sz="800" b="1" i="0" u="none" strike="noStrike" kern="1200" baseline="0">
                    <a:solidFill>
                      <a:sysClr val="windowText" lastClr="000000"/>
                    </a:solidFill>
                    <a:latin typeface="+mn-lt"/>
                    <a:ea typeface="+mn-ea"/>
                    <a:cs typeface="+mn-cs"/>
                  </a:rPr>
                  <a:t>MicroITT</a:t>
                </a:r>
                <a:r>
                  <a:rPr lang="en-US" sz="800">
                    <a:solidFill>
                      <a:sysClr val="windowText" lastClr="000000"/>
                    </a:solidFill>
                  </a:rPr>
                  <a:t> </a:t>
                </a:r>
                <a:r>
                  <a:rPr lang="en-US" sz="800" b="1" i="0" u="none" strike="noStrike" baseline="0">
                    <a:effectLst/>
                  </a:rPr>
                  <a:t>population</a:t>
                </a:r>
                <a:r>
                  <a:rPr lang="en-US" sz="800">
                    <a:solidFill>
                      <a:sysClr val="windowText" lastClr="000000"/>
                    </a:solidFill>
                  </a:rPr>
                  <a:t> 		CE-EOT </a:t>
                </a:r>
                <a:r>
                  <a:rPr lang="en-US" sz="800" b="1" i="0" u="none" strike="noStrike" baseline="0">
                    <a:effectLst/>
                  </a:rPr>
                  <a:t>population</a:t>
                </a:r>
                <a:endParaRPr lang="en-US" sz="800">
                  <a:solidFill>
                    <a:sysClr val="windowText" lastClr="000000"/>
                  </a:solidFill>
                </a:endParaRPr>
              </a:p>
            </c:rich>
          </c:tx>
          <c:layout>
            <c:manualLayout>
              <c:xMode val="edge"/>
              <c:yMode val="edge"/>
              <c:x val="0.21150825107674101"/>
              <c:y val="0.92390318952066397"/>
            </c:manualLayout>
          </c:layout>
          <c:overlay val="0"/>
        </c:title>
        <c:numFmt formatCode="General" sourceLinked="0"/>
        <c:majorTickMark val="out"/>
        <c:minorTickMark val="none"/>
        <c:tickLblPos val="nextTo"/>
        <c:txPr>
          <a:bodyPr/>
          <a:lstStyle/>
          <a:p>
            <a:pPr>
              <a:defRPr sz="800">
                <a:solidFill>
                  <a:sysClr val="windowText" lastClr="000000"/>
                </a:solidFill>
              </a:defRPr>
            </a:pPr>
            <a:endParaRPr lang="en-US"/>
          </a:p>
        </c:txPr>
        <c:crossAx val="511976840"/>
        <c:crosses val="autoZero"/>
        <c:auto val="1"/>
        <c:lblAlgn val="ctr"/>
        <c:lblOffset val="100"/>
        <c:noMultiLvlLbl val="0"/>
      </c:catAx>
      <c:valAx>
        <c:axId val="511976840"/>
        <c:scaling>
          <c:orientation val="minMax"/>
          <c:max val="1"/>
        </c:scaling>
        <c:delete val="0"/>
        <c:axPos val="l"/>
        <c:title>
          <c:tx>
            <c:rich>
              <a:bodyPr rot="-5400000" vert="horz"/>
              <a:lstStyle/>
              <a:p>
                <a:pPr>
                  <a:defRPr sz="800">
                    <a:solidFill>
                      <a:sysClr val="windowText" lastClr="000000"/>
                    </a:solidFill>
                  </a:defRPr>
                </a:pPr>
                <a:r>
                  <a:rPr lang="en-US" sz="800">
                    <a:solidFill>
                      <a:sysClr val="windowText" lastClr="000000"/>
                    </a:solidFill>
                  </a:rPr>
                  <a:t>Proportion of</a:t>
                </a:r>
                <a:r>
                  <a:rPr lang="en-US" sz="800" baseline="0">
                    <a:solidFill>
                      <a:sysClr val="windowText" lastClr="000000"/>
                    </a:solidFill>
                  </a:rPr>
                  <a:t> patients (%)</a:t>
                </a:r>
                <a:endParaRPr lang="en-US" sz="800">
                  <a:solidFill>
                    <a:sysClr val="windowText" lastClr="000000"/>
                  </a:solidFill>
                </a:endParaRPr>
              </a:p>
            </c:rich>
          </c:tx>
          <c:layout>
            <c:manualLayout>
              <c:xMode val="edge"/>
              <c:yMode val="edge"/>
              <c:x val="2.4214529580599199E-2"/>
              <c:y val="0.23821303587051601"/>
            </c:manualLayout>
          </c:layout>
          <c:overlay val="0"/>
        </c:title>
        <c:numFmt formatCode="0%" sourceLinked="0"/>
        <c:majorTickMark val="out"/>
        <c:minorTickMark val="none"/>
        <c:tickLblPos val="nextTo"/>
        <c:txPr>
          <a:bodyPr/>
          <a:lstStyle/>
          <a:p>
            <a:pPr>
              <a:defRPr sz="800">
                <a:solidFill>
                  <a:sysClr val="windowText" lastClr="000000"/>
                </a:solidFill>
              </a:defRPr>
            </a:pPr>
            <a:endParaRPr lang="en-US"/>
          </a:p>
        </c:txPr>
        <c:crossAx val="511976448"/>
        <c:crosses val="autoZero"/>
        <c:crossBetween val="between"/>
        <c:majorUnit val="0.2"/>
      </c:valAx>
    </c:plotArea>
    <c:legend>
      <c:legendPos val="t"/>
      <c:layout>
        <c:manualLayout>
          <c:xMode val="edge"/>
          <c:yMode val="edge"/>
          <c:x val="0.26987310969690398"/>
          <c:y val="2.3809523809523801E-2"/>
          <c:w val="0.48386089187028802"/>
          <c:h val="6.1739782527184102E-2"/>
        </c:manualLayout>
      </c:layout>
      <c:overlay val="0"/>
      <c:txPr>
        <a:bodyPr/>
        <a:lstStyle/>
        <a:p>
          <a:pPr>
            <a:defRPr sz="800">
              <a:solidFill>
                <a:sysClr val="windowText" lastClr="000000"/>
              </a:solidFill>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08286267694"/>
          <c:y val="2.77159105111861E-2"/>
          <c:w val="0.85928335670370004"/>
          <c:h val="0.87212535933008395"/>
        </c:manualLayout>
      </c:layout>
      <c:barChart>
        <c:barDir val="col"/>
        <c:grouping val="clustered"/>
        <c:varyColors val="0"/>
        <c:ser>
          <c:idx val="0"/>
          <c:order val="0"/>
          <c:tx>
            <c:strRef>
              <c:f>Sheet1!$B$1</c:f>
              <c:strCache>
                <c:ptCount val="1"/>
                <c:pt idx="0">
                  <c:v>Tedizolid phosphate (N=141)</c:v>
                </c:pt>
              </c:strCache>
            </c:strRef>
          </c:tx>
          <c:invertIfNegative val="0"/>
          <c:dLbls>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Clinical success</c:v>
                </c:pt>
                <c:pt idx="1">
                  <c:v>Clinical failure or indeterminate</c:v>
                </c:pt>
              </c:strCache>
            </c:strRef>
          </c:cat>
          <c:val>
            <c:numRef>
              <c:f>Sheet1!$B$2:$B$3</c:f>
              <c:numCache>
                <c:formatCode>0.0%</c:formatCode>
                <c:ptCount val="2"/>
                <c:pt idx="0">
                  <c:v>0.83699999999999997</c:v>
                </c:pt>
                <c:pt idx="1">
                  <c:v>0.16300000000000001</c:v>
                </c:pt>
              </c:numCache>
            </c:numRef>
          </c:val>
        </c:ser>
        <c:ser>
          <c:idx val="1"/>
          <c:order val="1"/>
          <c:tx>
            <c:strRef>
              <c:f>Sheet1!$C$1</c:f>
              <c:strCache>
                <c:ptCount val="1"/>
                <c:pt idx="0">
                  <c:v>Linezolid (N=146)</c:v>
                </c:pt>
              </c:strCache>
            </c:strRef>
          </c:tx>
          <c:invertIfNegative val="0"/>
          <c:dLbls>
            <c:spPr>
              <a:noFill/>
              <a:ln>
                <a:noFill/>
              </a:ln>
              <a:effectLst/>
            </c:spPr>
            <c:txPr>
              <a:bodyPr/>
              <a:lstStyle/>
              <a:p>
                <a:pPr>
                  <a:defRPr sz="8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Clinical success</c:v>
                </c:pt>
                <c:pt idx="1">
                  <c:v>Clinical failure or indeterminate</c:v>
                </c:pt>
              </c:strCache>
            </c:strRef>
          </c:cat>
          <c:val>
            <c:numRef>
              <c:f>Sheet1!$C$2:$C$3</c:f>
              <c:numCache>
                <c:formatCode>0.0%</c:formatCode>
                <c:ptCount val="2"/>
                <c:pt idx="0">
                  <c:v>0.81499999999999995</c:v>
                </c:pt>
                <c:pt idx="1">
                  <c:v>0.185</c:v>
                </c:pt>
              </c:numCache>
            </c:numRef>
          </c:val>
        </c:ser>
        <c:dLbls>
          <c:dLblPos val="outEnd"/>
          <c:showLegendKey val="0"/>
          <c:showVal val="1"/>
          <c:showCatName val="0"/>
          <c:showSerName val="0"/>
          <c:showPercent val="0"/>
          <c:showBubbleSize val="0"/>
        </c:dLbls>
        <c:gapWidth val="150"/>
        <c:axId val="511977624"/>
        <c:axId val="511978016"/>
      </c:barChart>
      <c:catAx>
        <c:axId val="511977624"/>
        <c:scaling>
          <c:orientation val="minMax"/>
        </c:scaling>
        <c:delete val="0"/>
        <c:axPos val="b"/>
        <c:numFmt formatCode="General" sourceLinked="0"/>
        <c:majorTickMark val="out"/>
        <c:minorTickMark val="none"/>
        <c:tickLblPos val="nextTo"/>
        <c:txPr>
          <a:bodyPr/>
          <a:lstStyle/>
          <a:p>
            <a:pPr>
              <a:defRPr sz="800">
                <a:solidFill>
                  <a:sysClr val="windowText" lastClr="000000"/>
                </a:solidFill>
              </a:defRPr>
            </a:pPr>
            <a:endParaRPr lang="en-US"/>
          </a:p>
        </c:txPr>
        <c:crossAx val="511978016"/>
        <c:crosses val="autoZero"/>
        <c:auto val="1"/>
        <c:lblAlgn val="ctr"/>
        <c:lblOffset val="100"/>
        <c:noMultiLvlLbl val="0"/>
      </c:catAx>
      <c:valAx>
        <c:axId val="511978016"/>
        <c:scaling>
          <c:orientation val="minMax"/>
          <c:max val="1"/>
        </c:scaling>
        <c:delete val="0"/>
        <c:axPos val="l"/>
        <c:title>
          <c:tx>
            <c:rich>
              <a:bodyPr rot="-5400000" vert="horz"/>
              <a:lstStyle/>
              <a:p>
                <a:pPr>
                  <a:defRPr sz="800">
                    <a:solidFill>
                      <a:sysClr val="windowText" lastClr="000000"/>
                    </a:solidFill>
                  </a:defRPr>
                </a:pPr>
                <a:r>
                  <a:rPr lang="en-US" sz="800">
                    <a:solidFill>
                      <a:sysClr val="windowText" lastClr="000000"/>
                    </a:solidFill>
                  </a:rPr>
                  <a:t>Proportion of</a:t>
                </a:r>
                <a:r>
                  <a:rPr lang="en-US" sz="800" baseline="0">
                    <a:solidFill>
                      <a:sysClr val="windowText" lastClr="000000"/>
                    </a:solidFill>
                  </a:rPr>
                  <a:t> patients (%)</a:t>
                </a:r>
                <a:endParaRPr lang="en-US" sz="800">
                  <a:solidFill>
                    <a:sysClr val="windowText" lastClr="000000"/>
                  </a:solidFill>
                </a:endParaRPr>
              </a:p>
            </c:rich>
          </c:tx>
          <c:layout>
            <c:manualLayout>
              <c:xMode val="edge"/>
              <c:yMode val="edge"/>
              <c:x val="2.4214529580599199E-2"/>
              <c:y val="0.23821303587051601"/>
            </c:manualLayout>
          </c:layout>
          <c:overlay val="0"/>
        </c:title>
        <c:numFmt formatCode="0%" sourceLinked="0"/>
        <c:majorTickMark val="out"/>
        <c:minorTickMark val="none"/>
        <c:tickLblPos val="nextTo"/>
        <c:txPr>
          <a:bodyPr/>
          <a:lstStyle/>
          <a:p>
            <a:pPr>
              <a:defRPr sz="800">
                <a:solidFill>
                  <a:sysClr val="windowText" lastClr="000000"/>
                </a:solidFill>
              </a:defRPr>
            </a:pPr>
            <a:endParaRPr lang="en-US"/>
          </a:p>
        </c:txPr>
        <c:crossAx val="511977624"/>
        <c:crosses val="autoZero"/>
        <c:crossBetween val="between"/>
        <c:majorUnit val="0.2"/>
      </c:valAx>
    </c:plotArea>
    <c:legend>
      <c:legendPos val="t"/>
      <c:layout>
        <c:manualLayout>
          <c:xMode val="edge"/>
          <c:yMode val="edge"/>
          <c:x val="0.26987310969690398"/>
          <c:y val="2.3809523809523801E-2"/>
          <c:w val="0.48386089187028802"/>
          <c:h val="6.1739782527184102E-2"/>
        </c:manualLayout>
      </c:layout>
      <c:overlay val="0"/>
      <c:txPr>
        <a:bodyPr/>
        <a:lstStyle/>
        <a:p>
          <a:pPr>
            <a:defRPr sz="800">
              <a:solidFill>
                <a:sysClr val="windowText" lastClr="000000"/>
              </a:solidFill>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31670868941699"/>
          <c:y val="0.11372000178142599"/>
          <c:w val="0.84568323999358397"/>
          <c:h val="0.76181202619016397"/>
        </c:manualLayout>
      </c:layout>
      <c:barChart>
        <c:barDir val="col"/>
        <c:grouping val="clustered"/>
        <c:varyColors val="0"/>
        <c:ser>
          <c:idx val="0"/>
          <c:order val="0"/>
          <c:tx>
            <c:strRef>
              <c:f>Sheet1!$B$1</c:f>
              <c:strCache>
                <c:ptCount val="1"/>
                <c:pt idx="0">
                  <c:v>Tedizolid phosphate (N=662)</c:v>
                </c:pt>
              </c:strCache>
            </c:strRef>
          </c:tx>
          <c:invertIfNegative val="0"/>
          <c:dLbls>
            <c:dLbl>
              <c:idx val="0"/>
              <c:layout>
                <c:manualLayout>
                  <c:x val="-8.643976229065349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965964343598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965964343598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AEs </c:v>
                </c:pt>
                <c:pt idx="1">
                  <c:v>TEAEs </c:v>
                </c:pt>
                <c:pt idx="2">
                  <c:v>Severe TEAE</c:v>
                </c:pt>
                <c:pt idx="3">
                  <c:v>Serious AE</c:v>
                </c:pt>
                <c:pt idx="4">
                  <c:v>Serious TEAE</c:v>
                </c:pt>
              </c:strCache>
            </c:strRef>
          </c:cat>
          <c:val>
            <c:numRef>
              <c:f>Sheet1!$B$2:$B$6</c:f>
              <c:numCache>
                <c:formatCode>0.0%</c:formatCode>
                <c:ptCount val="5"/>
                <c:pt idx="0">
                  <c:v>0.22700000000000001</c:v>
                </c:pt>
                <c:pt idx="1">
                  <c:v>0.224</c:v>
                </c:pt>
                <c:pt idx="2">
                  <c:v>3.0000000000000001E-3</c:v>
                </c:pt>
                <c:pt idx="3">
                  <c:v>0</c:v>
                </c:pt>
                <c:pt idx="4">
                  <c:v>0</c:v>
                </c:pt>
              </c:numCache>
            </c:numRef>
          </c:val>
        </c:ser>
        <c:ser>
          <c:idx val="1"/>
          <c:order val="1"/>
          <c:tx>
            <c:strRef>
              <c:f>Sheet1!$C$1</c:f>
              <c:strCache>
                <c:ptCount val="1"/>
                <c:pt idx="0">
                  <c:v>Linezolid (N=662)</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AEs </c:v>
                </c:pt>
                <c:pt idx="1">
                  <c:v>TEAEs </c:v>
                </c:pt>
                <c:pt idx="2">
                  <c:v>Severe TEAE</c:v>
                </c:pt>
                <c:pt idx="3">
                  <c:v>Serious AE</c:v>
                </c:pt>
                <c:pt idx="4">
                  <c:v>Serious TEAE</c:v>
                </c:pt>
              </c:strCache>
            </c:strRef>
          </c:cat>
          <c:val>
            <c:numRef>
              <c:f>Sheet1!$C$2:$C$6</c:f>
              <c:numCache>
                <c:formatCode>0.0%</c:formatCode>
                <c:ptCount val="5"/>
                <c:pt idx="0">
                  <c:v>0.27900000000000003</c:v>
                </c:pt>
                <c:pt idx="1">
                  <c:v>0.27900000000000003</c:v>
                </c:pt>
                <c:pt idx="2">
                  <c:v>6.0000000000000001E-3</c:v>
                </c:pt>
                <c:pt idx="3">
                  <c:v>3.0000000000000001E-3</c:v>
                </c:pt>
                <c:pt idx="4">
                  <c:v>3.0000000000000001E-3</c:v>
                </c:pt>
              </c:numCache>
            </c:numRef>
          </c:val>
        </c:ser>
        <c:dLbls>
          <c:dLblPos val="outEnd"/>
          <c:showLegendKey val="0"/>
          <c:showVal val="1"/>
          <c:showCatName val="0"/>
          <c:showSerName val="0"/>
          <c:showPercent val="0"/>
          <c:showBubbleSize val="0"/>
        </c:dLbls>
        <c:gapWidth val="150"/>
        <c:axId val="511978800"/>
        <c:axId val="511979192"/>
      </c:barChart>
      <c:catAx>
        <c:axId val="511978800"/>
        <c:scaling>
          <c:orientation val="minMax"/>
        </c:scaling>
        <c:delete val="0"/>
        <c:axPos val="b"/>
        <c:numFmt formatCode="General" sourceLinked="0"/>
        <c:majorTickMark val="out"/>
        <c:minorTickMark val="none"/>
        <c:tickLblPos val="nextTo"/>
        <c:crossAx val="511979192"/>
        <c:crosses val="autoZero"/>
        <c:auto val="1"/>
        <c:lblAlgn val="ctr"/>
        <c:lblOffset val="100"/>
        <c:noMultiLvlLbl val="0"/>
      </c:catAx>
      <c:valAx>
        <c:axId val="511979192"/>
        <c:scaling>
          <c:orientation val="minMax"/>
          <c:max val="0.3"/>
        </c:scaling>
        <c:delete val="0"/>
        <c:axPos val="l"/>
        <c:title>
          <c:tx>
            <c:rich>
              <a:bodyPr rot="-5400000" vert="horz"/>
              <a:lstStyle/>
              <a:p>
                <a:pPr>
                  <a:defRPr/>
                </a:pPr>
                <a:r>
                  <a:rPr lang="en-US"/>
                  <a:t>Proportion of patients </a:t>
                </a:r>
              </a:p>
              <a:p>
                <a:pPr>
                  <a:defRPr/>
                </a:pPr>
                <a:r>
                  <a:rPr lang="en-US"/>
                  <a:t>experiencing event (%)</a:t>
                </a:r>
              </a:p>
            </c:rich>
          </c:tx>
          <c:overlay val="0"/>
        </c:title>
        <c:numFmt formatCode="0%" sourceLinked="0"/>
        <c:majorTickMark val="out"/>
        <c:minorTickMark val="none"/>
        <c:tickLblPos val="nextTo"/>
        <c:crossAx val="511978800"/>
        <c:crosses val="autoZero"/>
        <c:crossBetween val="between"/>
        <c:majorUnit val="0.1"/>
      </c:valAx>
      <c:spPr>
        <a:noFill/>
        <a:ln>
          <a:noFill/>
        </a:ln>
      </c:spPr>
    </c:plotArea>
    <c:legend>
      <c:legendPos val="t"/>
      <c:overlay val="0"/>
    </c:legend>
    <c:plotVisOnly val="1"/>
    <c:dispBlanksAs val="gap"/>
    <c:showDLblsOverMax val="0"/>
  </c:chart>
  <c:spPr>
    <a:noFill/>
    <a:ln>
      <a:noFill/>
    </a:ln>
  </c:spPr>
  <c:txPr>
    <a:bodyPr/>
    <a:lstStyle/>
    <a:p>
      <a:pPr>
        <a:defRPr sz="800">
          <a:solidFill>
            <a:sysClr val="windowText" lastClr="000000"/>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31670868941699"/>
          <c:y val="0.11372000178142599"/>
          <c:w val="0.84568323999358397"/>
          <c:h val="0.75494223910704805"/>
        </c:manualLayout>
      </c:layout>
      <c:barChart>
        <c:barDir val="col"/>
        <c:grouping val="clustered"/>
        <c:varyColors val="0"/>
        <c:ser>
          <c:idx val="0"/>
          <c:order val="0"/>
          <c:tx>
            <c:strRef>
              <c:f>Sheet1!$B$1</c:f>
              <c:strCache>
                <c:ptCount val="1"/>
                <c:pt idx="0">
                  <c:v>Tedizolid phosphate (N=662)</c:v>
                </c:pt>
              </c:strCache>
            </c:strRef>
          </c:tx>
          <c:invertIfNegative val="0"/>
          <c:dLbls>
            <c:dLbl>
              <c:idx val="0"/>
              <c:layout>
                <c:manualLayout>
                  <c:x val="-8.855472071619180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10801893368795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5122650716312E-2"/>
                  <c:y val="-3.432310910073180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Gastrointestinal TEAEs</c:v>
                </c:pt>
                <c:pt idx="1">
                  <c:v>Nausea</c:v>
                </c:pt>
                <c:pt idx="2">
                  <c:v>Diarrhea</c:v>
                </c:pt>
                <c:pt idx="3">
                  <c:v>Vomiting</c:v>
                </c:pt>
                <c:pt idx="4">
                  <c:v>Constipation</c:v>
                </c:pt>
                <c:pt idx="5">
                  <c:v>Dyspepsia</c:v>
                </c:pt>
              </c:strCache>
            </c:strRef>
          </c:cat>
          <c:val>
            <c:numRef>
              <c:f>Sheet1!$B$2:$B$7</c:f>
              <c:numCache>
                <c:formatCode>0.0%</c:formatCode>
                <c:ptCount val="6"/>
                <c:pt idx="0">
                  <c:v>0.16</c:v>
                </c:pt>
                <c:pt idx="1">
                  <c:v>8.2000000000000003E-2</c:v>
                </c:pt>
                <c:pt idx="2">
                  <c:v>3.9E-2</c:v>
                </c:pt>
                <c:pt idx="3">
                  <c:v>2.9000000000000001E-2</c:v>
                </c:pt>
                <c:pt idx="4">
                  <c:v>1.4E-2</c:v>
                </c:pt>
                <c:pt idx="5">
                  <c:v>6.0000000000000001E-3</c:v>
                </c:pt>
              </c:numCache>
            </c:numRef>
          </c:val>
        </c:ser>
        <c:ser>
          <c:idx val="1"/>
          <c:order val="1"/>
          <c:tx>
            <c:strRef>
              <c:f>Sheet1!$C$1</c:f>
              <c:strCache>
                <c:ptCount val="1"/>
                <c:pt idx="0">
                  <c:v>Linezolid (N=662)</c:v>
                </c:pt>
              </c:strCache>
            </c:strRef>
          </c:tx>
          <c:invertIfNegative val="0"/>
          <c:dLbls>
            <c:dLbl>
              <c:idx val="4"/>
              <c:layout>
                <c:manualLayout>
                  <c:x val="6.648113602127679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Gastrointestinal TEAEs</c:v>
                </c:pt>
                <c:pt idx="1">
                  <c:v>Nausea</c:v>
                </c:pt>
                <c:pt idx="2">
                  <c:v>Diarrhea</c:v>
                </c:pt>
                <c:pt idx="3">
                  <c:v>Vomiting</c:v>
                </c:pt>
                <c:pt idx="4">
                  <c:v>Constipation</c:v>
                </c:pt>
                <c:pt idx="5">
                  <c:v>Dyspepsia</c:v>
                </c:pt>
              </c:strCache>
            </c:strRef>
          </c:cat>
          <c:val>
            <c:numRef>
              <c:f>Sheet1!$C$2:$C$7</c:f>
              <c:numCache>
                <c:formatCode>0.0%</c:formatCode>
                <c:ptCount val="6"/>
                <c:pt idx="0">
                  <c:v>0.23</c:v>
                </c:pt>
                <c:pt idx="1">
                  <c:v>0.122</c:v>
                </c:pt>
                <c:pt idx="2">
                  <c:v>5.2999999999999999E-2</c:v>
                </c:pt>
                <c:pt idx="3">
                  <c:v>5.6000000000000001E-2</c:v>
                </c:pt>
                <c:pt idx="4">
                  <c:v>8.9999999999999993E-3</c:v>
                </c:pt>
                <c:pt idx="5">
                  <c:v>1.2E-2</c:v>
                </c:pt>
              </c:numCache>
            </c:numRef>
          </c:val>
        </c:ser>
        <c:dLbls>
          <c:dLblPos val="outEnd"/>
          <c:showLegendKey val="0"/>
          <c:showVal val="1"/>
          <c:showCatName val="0"/>
          <c:showSerName val="0"/>
          <c:showPercent val="0"/>
          <c:showBubbleSize val="0"/>
        </c:dLbls>
        <c:gapWidth val="150"/>
        <c:axId val="505394376"/>
        <c:axId val="505394768"/>
      </c:barChart>
      <c:catAx>
        <c:axId val="505394376"/>
        <c:scaling>
          <c:orientation val="minMax"/>
        </c:scaling>
        <c:delete val="0"/>
        <c:axPos val="b"/>
        <c:numFmt formatCode="General" sourceLinked="0"/>
        <c:majorTickMark val="out"/>
        <c:minorTickMark val="none"/>
        <c:tickLblPos val="nextTo"/>
        <c:crossAx val="505394768"/>
        <c:crosses val="autoZero"/>
        <c:auto val="1"/>
        <c:lblAlgn val="ctr"/>
        <c:lblOffset val="100"/>
        <c:noMultiLvlLbl val="0"/>
      </c:catAx>
      <c:valAx>
        <c:axId val="505394768"/>
        <c:scaling>
          <c:orientation val="minMax"/>
          <c:max val="0.3"/>
        </c:scaling>
        <c:delete val="0"/>
        <c:axPos val="l"/>
        <c:title>
          <c:tx>
            <c:rich>
              <a:bodyPr rot="-5400000" vert="horz"/>
              <a:lstStyle/>
              <a:p>
                <a:pPr>
                  <a:defRPr/>
                </a:pPr>
                <a:r>
                  <a:rPr lang="en-US"/>
                  <a:t>Proportion of patients </a:t>
                </a:r>
              </a:p>
              <a:p>
                <a:pPr>
                  <a:defRPr/>
                </a:pPr>
                <a:r>
                  <a:rPr lang="en-US"/>
                  <a:t>experiencing event (%)</a:t>
                </a:r>
              </a:p>
            </c:rich>
          </c:tx>
          <c:overlay val="0"/>
        </c:title>
        <c:numFmt formatCode="0%" sourceLinked="0"/>
        <c:majorTickMark val="out"/>
        <c:minorTickMark val="none"/>
        <c:tickLblPos val="nextTo"/>
        <c:crossAx val="505394376"/>
        <c:crosses val="autoZero"/>
        <c:crossBetween val="between"/>
        <c:majorUnit val="0.1"/>
      </c:valAx>
      <c:spPr>
        <a:noFill/>
        <a:ln>
          <a:noFill/>
        </a:ln>
      </c:spPr>
    </c:plotArea>
    <c:legend>
      <c:legendPos val="t"/>
      <c:overlay val="0"/>
    </c:legend>
    <c:plotVisOnly val="1"/>
    <c:dispBlanksAs val="gap"/>
    <c:showDLblsOverMax val="0"/>
  </c:chart>
  <c:spPr>
    <a:noFill/>
    <a:ln>
      <a:noFill/>
    </a:ln>
  </c:spPr>
  <c:txPr>
    <a:bodyPr/>
    <a:lstStyle/>
    <a:p>
      <a:pPr>
        <a:defRPr sz="800">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ERON THEME">
    <a:dk1>
      <a:srgbClr val="00539B"/>
    </a:dk1>
    <a:lt1>
      <a:sysClr val="window" lastClr="FFFFFF"/>
    </a:lt1>
    <a:dk2>
      <a:srgbClr val="00539B"/>
    </a:dk2>
    <a:lt2>
      <a:srgbClr val="FFFFFF"/>
    </a:lt2>
    <a:accent1>
      <a:srgbClr val="00539B"/>
    </a:accent1>
    <a:accent2>
      <a:srgbClr val="87DC16"/>
    </a:accent2>
    <a:accent3>
      <a:srgbClr val="D2D7EB"/>
    </a:accent3>
    <a:accent4>
      <a:srgbClr val="C8E61E"/>
    </a:accent4>
    <a:accent5>
      <a:srgbClr val="000000"/>
    </a:accent5>
    <a:accent6>
      <a:srgbClr val="A5A5A5"/>
    </a:accent6>
    <a:hlink>
      <a:srgbClr val="C8E61E"/>
    </a:hlink>
    <a:folHlink>
      <a:srgbClr val="A5A5A5"/>
    </a:folHlink>
  </a:clrScheme>
  <a:fontScheme name="HERO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ERON THEME">
    <a:dk1>
      <a:srgbClr val="00539B"/>
    </a:dk1>
    <a:lt1>
      <a:sysClr val="window" lastClr="FFFFFF"/>
    </a:lt1>
    <a:dk2>
      <a:srgbClr val="00539B"/>
    </a:dk2>
    <a:lt2>
      <a:srgbClr val="FFFFFF"/>
    </a:lt2>
    <a:accent1>
      <a:srgbClr val="00539B"/>
    </a:accent1>
    <a:accent2>
      <a:srgbClr val="87DC16"/>
    </a:accent2>
    <a:accent3>
      <a:srgbClr val="D2D7EB"/>
    </a:accent3>
    <a:accent4>
      <a:srgbClr val="C8E61E"/>
    </a:accent4>
    <a:accent5>
      <a:srgbClr val="000000"/>
    </a:accent5>
    <a:accent6>
      <a:srgbClr val="A5A5A5"/>
    </a:accent6>
    <a:hlink>
      <a:srgbClr val="C8E61E"/>
    </a:hlink>
    <a:folHlink>
      <a:srgbClr val="A5A5A5"/>
    </a:folHlink>
  </a:clrScheme>
  <a:fontScheme name="HERO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ERON THEME">
    <a:dk1>
      <a:srgbClr val="00539B"/>
    </a:dk1>
    <a:lt1>
      <a:sysClr val="window" lastClr="FFFFFF"/>
    </a:lt1>
    <a:dk2>
      <a:srgbClr val="00539B"/>
    </a:dk2>
    <a:lt2>
      <a:srgbClr val="FFFFFF"/>
    </a:lt2>
    <a:accent1>
      <a:srgbClr val="00539B"/>
    </a:accent1>
    <a:accent2>
      <a:srgbClr val="87DC16"/>
    </a:accent2>
    <a:accent3>
      <a:srgbClr val="D2D7EB"/>
    </a:accent3>
    <a:accent4>
      <a:srgbClr val="C8E61E"/>
    </a:accent4>
    <a:accent5>
      <a:srgbClr val="000000"/>
    </a:accent5>
    <a:accent6>
      <a:srgbClr val="A5A5A5"/>
    </a:accent6>
    <a:hlink>
      <a:srgbClr val="C8E61E"/>
    </a:hlink>
    <a:folHlink>
      <a:srgbClr val="A5A5A5"/>
    </a:folHlink>
  </a:clrScheme>
  <a:fontScheme name="HERO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HERON THEME">
    <a:dk1>
      <a:srgbClr val="00539B"/>
    </a:dk1>
    <a:lt1>
      <a:sysClr val="window" lastClr="FFFFFF"/>
    </a:lt1>
    <a:dk2>
      <a:srgbClr val="00539B"/>
    </a:dk2>
    <a:lt2>
      <a:srgbClr val="FFFFFF"/>
    </a:lt2>
    <a:accent1>
      <a:srgbClr val="00539B"/>
    </a:accent1>
    <a:accent2>
      <a:srgbClr val="87DC16"/>
    </a:accent2>
    <a:accent3>
      <a:srgbClr val="D2D7EB"/>
    </a:accent3>
    <a:accent4>
      <a:srgbClr val="C8E61E"/>
    </a:accent4>
    <a:accent5>
      <a:srgbClr val="000000"/>
    </a:accent5>
    <a:accent6>
      <a:srgbClr val="A5A5A5"/>
    </a:accent6>
    <a:hlink>
      <a:srgbClr val="C8E61E"/>
    </a:hlink>
    <a:folHlink>
      <a:srgbClr val="A5A5A5"/>
    </a:folHlink>
  </a:clrScheme>
  <a:fontScheme name="HERO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HERON THEME">
    <a:dk1>
      <a:srgbClr val="00539B"/>
    </a:dk1>
    <a:lt1>
      <a:sysClr val="window" lastClr="FFFFFF"/>
    </a:lt1>
    <a:dk2>
      <a:srgbClr val="00539B"/>
    </a:dk2>
    <a:lt2>
      <a:srgbClr val="FFFFFF"/>
    </a:lt2>
    <a:accent1>
      <a:srgbClr val="00539B"/>
    </a:accent1>
    <a:accent2>
      <a:srgbClr val="87DC16"/>
    </a:accent2>
    <a:accent3>
      <a:srgbClr val="D2D7EB"/>
    </a:accent3>
    <a:accent4>
      <a:srgbClr val="C8E61E"/>
    </a:accent4>
    <a:accent5>
      <a:srgbClr val="000000"/>
    </a:accent5>
    <a:accent6>
      <a:srgbClr val="A5A5A5"/>
    </a:accent6>
    <a:hlink>
      <a:srgbClr val="C8E61E"/>
    </a:hlink>
    <a:folHlink>
      <a:srgbClr val="A5A5A5"/>
    </a:folHlink>
  </a:clrScheme>
  <a:fontScheme name="HERO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A8EF0-CCC7-4BBF-9BCA-512C804C6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54563</Words>
  <Characters>311011</Characters>
  <Application>Microsoft Office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
    </vt:vector>
  </TitlesOfParts>
  <Manager/>
  <Company>TOSHIBA</Company>
  <LinksUpToDate>false</LinksUpToDate>
  <CharactersWithSpaces>364845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HJCL</dc:creator>
  <cp:keywords/>
  <dc:description/>
  <cp:lastModifiedBy>Dimitar Tonev</cp:lastModifiedBy>
  <cp:revision>2</cp:revision>
  <cp:lastPrinted>2015-02-02T09:31:00Z</cp:lastPrinted>
  <dcterms:created xsi:type="dcterms:W3CDTF">2015-03-26T10:55:00Z</dcterms:created>
  <dcterms:modified xsi:type="dcterms:W3CDTF">2015-03-26T10:55:00Z</dcterms:modified>
  <cp:category/>
</cp:coreProperties>
</file>