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30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jc w:val="center"/>
        <w:rPr/>
      </w:pPr>
      <w:r w:rsidDel="00000000" w:rsidR="00000000" w:rsidRPr="00000000">
        <w:rPr/>
        <w:drawing>
          <wp:inline distB="0" distT="0" distL="0" distR="0">
            <wp:extent cx="2114988" cy="841679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14988" cy="8416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18edc" w:space="8" w:sz="6" w:val="single"/>
        </w:pBdr>
        <w:spacing w:after="20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e2459"/>
          <w:sz w:val="40"/>
          <w:szCs w:val="40"/>
          <w:rtl w:val="0"/>
        </w:rPr>
        <w:t xml:space="preserve">AI Model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400" w:lineRule="auto"/>
        <w:jc w:val="center"/>
        <w:rPr/>
      </w:pPr>
      <w:r w:rsidDel="00000000" w:rsidR="00000000" w:rsidRPr="00000000">
        <w:rPr>
          <w:rFonts w:ascii="Arial" w:cs="Arial" w:eastAsia="Arial" w:hAnsi="Arial"/>
          <w:color w:val="018edc"/>
          <w:sz w:val="24"/>
          <w:szCs w:val="24"/>
          <w:rtl w:val="0"/>
        </w:rPr>
        <w:t xml:space="preserve">Purpose, Data Sources, Testing Results, and Limitations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Fonts w:ascii="Arial" w:cs="Arial" w:eastAsia="Arial" w:hAnsi="Arial"/>
          <w:color w:val="0e2459"/>
          <w:sz w:val="22"/>
          <w:szCs w:val="22"/>
          <w:rtl w:val="0"/>
        </w:rPr>
        <w:t xml:space="preserve">Template for Internal Audit Teams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6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color w:val="0e2459"/>
          <w:sz w:val="20"/>
          <w:szCs w:val="20"/>
          <w:rtl w:val="0"/>
        </w:rPr>
        <w:t xml:space="preserve">Organization: </w:t>
      </w:r>
      <w:r w:rsidDel="00000000" w:rsidR="00000000" w:rsidRPr="00000000">
        <w:rPr>
          <w:i w:val="1"/>
          <w:iCs w:val="1"/>
          <w:color w:val="888888"/>
          <w:sz w:val="20"/>
          <w:szCs w:val="20"/>
          <w:rtl w:val="0"/>
        </w:rPr>
        <w:t xml:space="preserve">[Organization 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color w:val="0e2459"/>
          <w:sz w:val="20"/>
          <w:szCs w:val="20"/>
          <w:rtl w:val="0"/>
        </w:rPr>
        <w:t xml:space="preserve">Prepared by: </w:t>
      </w:r>
      <w:r w:rsidDel="00000000" w:rsidR="00000000" w:rsidRPr="00000000">
        <w:rPr>
          <w:i w:val="1"/>
          <w:iCs w:val="1"/>
          <w:color w:val="888888"/>
          <w:sz w:val="20"/>
          <w:szCs w:val="20"/>
          <w:rtl w:val="0"/>
        </w:rPr>
        <w:t xml:space="preserve">[Name / Title]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color w:val="0e2459"/>
          <w:sz w:val="20"/>
          <w:szCs w:val="20"/>
          <w:rtl w:val="0"/>
        </w:rPr>
        <w:t xml:space="preserve">Date: </w:t>
      </w:r>
      <w:r w:rsidDel="00000000" w:rsidR="00000000" w:rsidRPr="00000000">
        <w:rPr>
          <w:i w:val="1"/>
          <w:iCs w:val="1"/>
          <w:color w:val="888888"/>
          <w:sz w:val="20"/>
          <w:szCs w:val="20"/>
          <w:rtl w:val="0"/>
        </w:rPr>
        <w:t xml:space="preserve">[Date]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color w:val="0e2459"/>
          <w:sz w:val="20"/>
          <w:szCs w:val="20"/>
          <w:rtl w:val="0"/>
        </w:rPr>
        <w:t xml:space="preserve">Version: </w:t>
      </w:r>
      <w:r w:rsidDel="00000000" w:rsidR="00000000" w:rsidRPr="00000000">
        <w:rPr>
          <w:i w:val="1"/>
          <w:iCs w:val="1"/>
          <w:color w:val="888888"/>
          <w:sz w:val="20"/>
          <w:szCs w:val="20"/>
          <w:rtl w:val="0"/>
        </w:rPr>
        <w:t xml:space="preserve">[1.0]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rPr/>
      </w:pPr>
      <w:r w:rsidDel="00000000" w:rsidR="00000000" w:rsidRPr="00000000">
        <w:rPr>
          <w:rtl w:val="0"/>
        </w:rPr>
        <w:t xml:space="preserve">1. Purpose</w:t>
      </w:r>
    </w:p>
    <w:p w:rsidR="00000000" w:rsidDel="00000000" w:rsidP="00000000" w:rsidRDefault="00000000" w:rsidRPr="00000000" w14:paraId="0000000E">
      <w:pPr>
        <w:spacing w:after="120" w:lineRule="auto"/>
        <w:jc w:val="both"/>
        <w:rPr/>
      </w:pPr>
      <w:r w:rsidDel="00000000" w:rsidR="00000000" w:rsidRPr="00000000">
        <w:rPr>
          <w:rtl w:val="0"/>
        </w:rPr>
        <w:t xml:space="preserve">This template standardizes AI model documentation. Each AI system in the AI Inventory / Registry must have a corresponding record. Complete documentation is required for governance compliance, audit testing, and regulatory review.</w:t>
      </w:r>
    </w:p>
    <w:p w:rsidR="00000000" w:rsidDel="00000000" w:rsidP="00000000" w:rsidRDefault="00000000" w:rsidRPr="00000000" w14:paraId="0000000F">
      <w:pPr>
        <w:spacing w:after="8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Reference: IIA AI Auditing Framework, Part 3, Documentation and Evidence Standards. NIST AI RMF 1.0, Map Function.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2. Model Overview</w:t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6240"/>
        <w:tblGridChange w:id="0">
          <w:tblGrid>
            <w:gridCol w:w="3120"/>
            <w:gridCol w:w="62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AI System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[AI-001 (must match the AI Inventory / Registry)]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Model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[Enter model name]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Model Version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[v1.0]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Model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[Classification / Regression / Generative / NLP / Computer Vision / Other]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Business Purpose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[Describe what business problem this model solves]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Decision Authority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[Autonomous / Human-in-the-loop / Advisory only]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Affected Populations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[Who is affected by this model's outputs]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Deployment 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[MM/DD/YYYY]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8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Reference: Cherry Hill Advisory AI Internal Audit Encyclopedia (Dec 2025), pp. 3-4, Key Distinctions for Auditors.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rPr/>
      </w:pPr>
      <w:r w:rsidDel="00000000" w:rsidR="00000000" w:rsidRPr="00000000">
        <w:rPr>
          <w:rtl w:val="0"/>
        </w:rPr>
        <w:t xml:space="preserve">3. Data Sources and Inputs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60"/>
        <w:gridCol w:w="2000"/>
        <w:gridCol w:w="1800"/>
        <w:gridCol w:w="2000"/>
        <w:gridCol w:w="2000"/>
        <w:tblGridChange w:id="0">
          <w:tblGrid>
            <w:gridCol w:w="1560"/>
            <w:gridCol w:w="2000"/>
            <w:gridCol w:w="1800"/>
            <w:gridCol w:w="2000"/>
            <w:gridCol w:w="2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Data Source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Sensitivity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Refresh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Quality Controls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[Source 1]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[Description]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[PII/PHI/Public]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[Frequency]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[Validation steps]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[Source 2]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[Description]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[Classification]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[Frequency]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[Controls]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3"/>
        <w:rPr/>
      </w:pPr>
      <w:r w:rsidDel="00000000" w:rsidR="00000000" w:rsidRPr="00000000">
        <w:rPr>
          <w:rtl w:val="0"/>
        </w:rPr>
        <w:t xml:space="preserve">Data Governance Attestation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Training data representativeness confirmed: [Yes / No / N/A]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Data lineage documented: [Yes / No]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Privacy impact assessment completed: [Yes / No / N/A]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Data retention policy applied: [Yes / No]</w:t>
      </w:r>
    </w:p>
    <w:p w:rsidR="00000000" w:rsidDel="00000000" w:rsidP="00000000" w:rsidRDefault="00000000" w:rsidRPr="00000000" w14:paraId="00000038">
      <w:pPr>
        <w:spacing w:after="8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Reference: Cherry Hill Advisory AI Internal Audit Encyclopedia (Dec 2025), p. 14, Data Foundations for AI. NIST AI RMF 1.0, Map 1.1.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rPr/>
      </w:pPr>
      <w:r w:rsidDel="00000000" w:rsidR="00000000" w:rsidRPr="00000000">
        <w:rPr>
          <w:rtl w:val="0"/>
        </w:rPr>
        <w:t xml:space="preserve">4. Model Architecture and Design</w:t>
      </w:r>
    </w:p>
    <w:p w:rsidR="00000000" w:rsidDel="00000000" w:rsidP="00000000" w:rsidRDefault="00000000" w:rsidRPr="00000000" w14:paraId="0000003C">
      <w:pPr>
        <w:spacing w:after="120" w:lineRule="auto"/>
        <w:rPr/>
      </w:pPr>
      <w:r w:rsidDel="00000000" w:rsidR="00000000" w:rsidRPr="00000000">
        <w:rPr>
          <w:i w:val="1"/>
          <w:iCs w:val="1"/>
          <w:color w:val="666666"/>
          <w:rtl w:val="0"/>
        </w:rPr>
        <w:t xml:space="preserve">[Describe the model architecture, algorithm selection rationale, key features/variables, and preprocessing steps.]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6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6240"/>
        <w:tblGridChange w:id="0">
          <w:tblGrid>
            <w:gridCol w:w="3120"/>
            <w:gridCol w:w="62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Algorithm Selected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[e.g., Random Forest, GPT-4, Logistic Regression]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Selection Rationale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[Why this algorithm was chosen]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Key Features / Variables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[List the primary input features]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Explainability Method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[SHAP, LIME, attention weights, N/A (NIST: Explainable and Interpretable)]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Known Constraints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[Technical limitations of the chosen approach]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pStyle w:val="Heading1"/>
        <w:rPr/>
      </w:pPr>
      <w:r w:rsidDel="00000000" w:rsidR="00000000" w:rsidRPr="00000000">
        <w:rPr>
          <w:rtl w:val="0"/>
        </w:rPr>
        <w:t xml:space="preserve">5. Testing and Validation Results</w:t>
      </w:r>
    </w:p>
    <w:p w:rsidR="00000000" w:rsidDel="00000000" w:rsidP="00000000" w:rsidRDefault="00000000" w:rsidRPr="00000000" w14:paraId="00000049">
      <w:pPr>
        <w:pStyle w:val="Heading2"/>
        <w:rPr/>
      </w:pPr>
      <w:r w:rsidDel="00000000" w:rsidR="00000000" w:rsidRPr="00000000">
        <w:rPr>
          <w:rtl w:val="0"/>
        </w:rPr>
        <w:t xml:space="preserve">5.1 Performance Metrics</w:t>
      </w:r>
    </w:p>
    <w:tbl>
      <w:tblPr>
        <w:tblStyle w:val="Table4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Metric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Target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Pass / Fail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[Accuracy]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[Target %]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[Actual %]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[Pass/Fail]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[Precision]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[Target]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[Actual]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[Pass/Fail]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[Recall]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[Target]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[Actual]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[Pass/Fail]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[F1 Score]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[Target]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[Actual]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[Pass/Fail]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spacing w:after="8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Reference: NIST AI RMF 1.0, Measure Function, Measure 1.1 through 2.6.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rPr/>
      </w:pPr>
      <w:r w:rsidDel="00000000" w:rsidR="00000000" w:rsidRPr="00000000">
        <w:rPr>
          <w:rtl w:val="0"/>
        </w:rPr>
        <w:t xml:space="preserve">5.2 Bias and Fairness Testing</w:t>
      </w:r>
    </w:p>
    <w:tbl>
      <w:tblPr>
        <w:tblStyle w:val="Table5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Protected Class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Test Performed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Result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Remediation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[e.g., Gender]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[Disparate impact analysis]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[Pass / Fail]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[Actions taken]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[e.g., Race/Ethnicity]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[Test method]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[Result]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[Actions]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spacing w:after="8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Reference: Cherry Hill Advisory AI Internal Audit Encyclopedia (Dec 2025), pp. 52-53, AI Bias in Decision-Making. Cherry Hill Advisory AI Auditing Guide (Dec 2025), pp. 14-15, Case Study.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rPr/>
      </w:pPr>
      <w:r w:rsidDel="00000000" w:rsidR="00000000" w:rsidRPr="00000000">
        <w:rPr>
          <w:rtl w:val="0"/>
        </w:rPr>
        <w:t xml:space="preserve">6. Known Limitations and Risks</w:t>
      </w:r>
    </w:p>
    <w:p w:rsidR="00000000" w:rsidDel="00000000" w:rsidP="00000000" w:rsidRDefault="00000000" w:rsidRPr="00000000" w14:paraId="0000006E">
      <w:pPr>
        <w:spacing w:after="120" w:lineRule="auto"/>
        <w:rPr/>
      </w:pPr>
      <w:r w:rsidDel="00000000" w:rsidR="00000000" w:rsidRPr="00000000">
        <w:rPr>
          <w:i w:val="1"/>
          <w:iCs w:val="1"/>
          <w:color w:val="666666"/>
          <w:rtl w:val="0"/>
        </w:rPr>
        <w:t xml:space="preserve">[Document all known model limitations, failure modes, and residual risks.]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6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00"/>
        <w:gridCol w:w="3200"/>
        <w:gridCol w:w="2480"/>
        <w:gridCol w:w="2480"/>
        <w:tblGridChange w:id="0">
          <w:tblGrid>
            <w:gridCol w:w="1200"/>
            <w:gridCol w:w="3200"/>
            <w:gridCol w:w="2480"/>
            <w:gridCol w:w="24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Limitation / Risk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Impact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Mitigation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[Describe limitation]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[Potential impact]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[Control or workaround]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[Describe limitation]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[Impact]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[Mitigation]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after="8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Reference: Cherry Hill Advisory AI Internal Audit Encyclopedia (Dec 2025), p. 9, AI Capabilities and Limitations. NIST AI 600-1 (2024), GenAI risks.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Style w:val="Heading1"/>
        <w:rPr/>
      </w:pPr>
      <w:r w:rsidDel="00000000" w:rsidR="00000000" w:rsidRPr="00000000">
        <w:rPr>
          <w:rtl w:val="0"/>
        </w:rPr>
        <w:t xml:space="preserve">7. Monitoring Plan</w:t>
      </w:r>
    </w:p>
    <w:tbl>
      <w:tblPr>
        <w:tblStyle w:val="Table7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6240"/>
        <w:tblGridChange w:id="0">
          <w:tblGrid>
            <w:gridCol w:w="3120"/>
            <w:gridCol w:w="62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Performance Review Frequency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[Monthly / Quarterly]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Data Drift Monitoring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[Method and frequency]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Retraining Schedule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[Trigger-based / Calendar-based / Both]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Incident Response Plan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[Reference to IR procedure document]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Responsible Monitor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[Name / Title]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spacing w:after="80" w:lineRule="auto"/>
        <w:rPr/>
      </w:pPr>
      <w:r w:rsidDel="00000000" w:rsidR="00000000" w:rsidRPr="00000000">
        <w:rPr>
          <w:i w:val="1"/>
          <w:iCs w:val="1"/>
          <w:color w:val="555555"/>
          <w:sz w:val="18"/>
          <w:szCs w:val="18"/>
          <w:rtl w:val="0"/>
        </w:rPr>
        <w:t xml:space="preserve">Reference: Cherry Hill Advisory AI Internal Audit Encyclopedia (Dec 2025), pp. 33-34, Continuous Auditing and Monitoring. NIST AI RMF 1.0, Manage Function.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1"/>
        <w:rPr/>
      </w:pPr>
      <w:r w:rsidDel="00000000" w:rsidR="00000000" w:rsidRPr="00000000">
        <w:rPr>
          <w:rtl w:val="0"/>
        </w:rPr>
        <w:t xml:space="preserve">8. Version History</w:t>
      </w:r>
    </w:p>
    <w:tbl>
      <w:tblPr>
        <w:tblStyle w:val="Table8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00"/>
        <w:gridCol w:w="1560"/>
        <w:gridCol w:w="3600"/>
        <w:gridCol w:w="3000"/>
        <w:tblGridChange w:id="0">
          <w:tblGrid>
            <w:gridCol w:w="1200"/>
            <w:gridCol w:w="1560"/>
            <w:gridCol w:w="3600"/>
            <w:gridCol w:w="3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Version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Changes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e2459" w:val="clear"/>
            <w:tcMar>
              <w:top w:w="60.0" w:type="dxa"/>
              <w:left w:w="100.0" w:type="dxa"/>
              <w:bottom w:w="6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Author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e2459"/>
                <w:sz w:val="20"/>
                <w:szCs w:val="20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[MM/DD/YYYY]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[Initial documentation]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6f3fb" w:val="clear"/>
            <w:tcMar>
              <w:top w:w="60.0" w:type="dxa"/>
              <w:left w:w="100.0" w:type="dxa"/>
              <w:bottom w:w="6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888888"/>
                <w:sz w:val="20"/>
                <w:szCs w:val="20"/>
                <w:rtl w:val="0"/>
              </w:rPr>
              <w:t xml:space="preserve">[Name]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before="6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200" w:lineRule="auto"/>
        <w:jc w:val="center"/>
        <w:rPr/>
      </w:pPr>
      <w:r w:rsidDel="00000000" w:rsidR="00000000" w:rsidRPr="00000000">
        <w:rPr/>
        <w:drawing>
          <wp:inline distB="0" distT="0" distL="0" distR="0">
            <wp:extent cx="1992353" cy="794054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92353" cy="7940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bottom w:color="018edc" w:space="6" w:sz="4" w:val="single"/>
        </w:pBdr>
        <w:spacing w:after="300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e2459"/>
          <w:sz w:val="32"/>
          <w:szCs w:val="32"/>
          <w:rtl w:val="0"/>
        </w:rPr>
        <w:t xml:space="preserve">About Cherry Hill Advisory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lineRule="auto"/>
        <w:rPr/>
      </w:pPr>
      <w:r w:rsidDel="00000000" w:rsidR="00000000" w:rsidRPr="00000000">
        <w:rPr>
          <w:rtl w:val="0"/>
        </w:rPr>
        <w:t xml:space="preserve">Cherry Hill Advisory delivers internal audit, risk advisory, and AI governance services to high-growth technology and commercial organizations. We combine Big 4 expertise with boutique delivery, acting as a direct extension of your internal audit function.</w:t>
      </w:r>
    </w:p>
    <w:p w:rsidR="00000000" w:rsidDel="00000000" w:rsidP="00000000" w:rsidRDefault="00000000" w:rsidRPr="00000000" w14:paraId="00000097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2"/>
        <w:rPr/>
      </w:pPr>
      <w:r w:rsidDel="00000000" w:rsidR="00000000" w:rsidRPr="00000000">
        <w:rPr>
          <w:rtl w:val="0"/>
        </w:rPr>
        <w:t xml:space="preserve">How We Can Help With AI Governance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AI Governance Framework Design: Build or assess your AI governance policy, risk appetite, and oversight structure.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AI Audit Program Development: Establish AI-specific audit procedures, testing protocols, and continuous monitoring.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AI Risk Assessment: Identify, score, and prioritize AI risks using the IIA AI Framework and NIST AI RMF.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AI Inventory and Registry Setup: Catalog all AI systems, assign ownership, and define risk tiers.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Regulatory Compliance: Align AI operations with the EU AI Act, state-level AI laws, and sector-specific requirements.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Training and Enablement: Upskill your audit team on AI auditing, prompt engineering, and AI risk evaluation.</w:t>
      </w:r>
    </w:p>
    <w:p w:rsidR="00000000" w:rsidDel="00000000" w:rsidP="00000000" w:rsidRDefault="00000000" w:rsidRPr="00000000" w14:paraId="0000009F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Style w:val="Heading2"/>
        <w:rPr/>
      </w:pPr>
      <w:r w:rsidDel="00000000" w:rsidR="00000000" w:rsidRPr="00000000">
        <w:rPr>
          <w:rtl w:val="0"/>
        </w:rPr>
        <w:t xml:space="preserve">Related Cherry Hill Advisory Resources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Ethical AI in Internal Audit (December 2025)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AI Internal Audit Encyclopedia (December 2025)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e2459"/>
          <w:sz w:val="22"/>
          <w:szCs w:val="22"/>
          <w:u w:val="none"/>
          <w:shd w:fill="auto" w:val="clear"/>
          <w:vertAlign w:val="baseline"/>
          <w:rtl w:val="0"/>
        </w:rPr>
        <w:t xml:space="preserve">AI Auditing Guide (December 2025)</w:t>
      </w:r>
    </w:p>
    <w:p w:rsidR="00000000" w:rsidDel="00000000" w:rsidP="00000000" w:rsidRDefault="00000000" w:rsidRPr="00000000" w14:paraId="000000A4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2"/>
        <w:rPr/>
      </w:pPr>
      <w:r w:rsidDel="00000000" w:rsidR="00000000" w:rsidRPr="00000000">
        <w:rPr>
          <w:rtl w:val="0"/>
        </w:rPr>
        <w:t xml:space="preserve">Get Started</w:t>
      </w:r>
    </w:p>
    <w:p w:rsidR="00000000" w:rsidDel="00000000" w:rsidP="00000000" w:rsidRDefault="00000000" w:rsidRPr="00000000" w14:paraId="000000A6">
      <w:pPr>
        <w:spacing w:after="120" w:lineRule="auto"/>
        <w:rPr/>
      </w:pPr>
      <w:r w:rsidDel="00000000" w:rsidR="00000000" w:rsidRPr="00000000">
        <w:rPr>
          <w:rtl w:val="0"/>
        </w:rPr>
        <w:t xml:space="preserve">Contact us to discuss your AI governance and audit needs.</w:t>
      </w:r>
    </w:p>
    <w:p w:rsidR="00000000" w:rsidDel="00000000" w:rsidP="00000000" w:rsidRDefault="00000000" w:rsidRPr="00000000" w14:paraId="000000A7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12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Email: </w:t>
      </w:r>
      <w:r w:rsidDel="00000000" w:rsidR="00000000" w:rsidRPr="00000000">
        <w:rPr>
          <w:color w:val="018edc"/>
          <w:sz w:val="22"/>
          <w:szCs w:val="22"/>
          <w:rtl w:val="0"/>
        </w:rPr>
        <w:t xml:space="preserve">info@cherryhilladvisory.com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12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Web: </w:t>
      </w:r>
      <w:r w:rsidDel="00000000" w:rsidR="00000000" w:rsidRPr="00000000">
        <w:rPr>
          <w:color w:val="018edc"/>
          <w:sz w:val="22"/>
          <w:szCs w:val="22"/>
          <w:rtl w:val="0"/>
        </w:rPr>
        <w:t xml:space="preserve">cherryhilladvisory.com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before="300" w:lineRule="auto"/>
        <w:jc w:val="center"/>
        <w:rPr/>
      </w:pPr>
      <w:r w:rsidDel="00000000" w:rsidR="00000000" w:rsidRPr="00000000">
        <w:rPr>
          <w:color w:val="888888"/>
          <w:sz w:val="18"/>
          <w:szCs w:val="18"/>
          <w:rtl w:val="0"/>
        </w:rPr>
        <w:t xml:space="preserve">2026 Cherry Hill Advisory. All rights reserved.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color w:val="0e2459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18edc" w:space="4" w:sz="4" w:val="single"/>
        <w:right w:space="0" w:sz="0" w:val="nil"/>
        <w:between w:space="0" w:sz="0" w:val="nil"/>
      </w:pBdr>
      <w:shd w:fill="auto" w:val="clear"/>
      <w:spacing w:after="20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e2459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e2459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0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18edc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e2459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q4Njo1HUK3uTqXZM1oqx+8i1bw==">CgMxLjA4AHIhMUtSaGlyRDJ1Mi02U1g0SFBEMHA5Z0wzaXFhQXpPTTdn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2026-03-17T03:35:19.172Z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