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pPr>
      <w:r>
        <w:rPr>
          <w:rtl w:val="0"/>
        </w:rPr>
        <w:t>Four</w:t>
      </w:r>
      <w:r>
        <w:rPr>
          <w:rtl w:val="0"/>
        </w:rPr>
        <w:t>: Teaching</w:t>
      </w:r>
    </w:p>
    <w:p>
      <w:pPr>
        <w:pStyle w:val="Body A"/>
      </w:pPr>
    </w:p>
    <w:p>
      <w:pPr>
        <w:pStyle w:val="Body A"/>
        <w:rPr>
          <w:b w:val="1"/>
          <w:bCs w:val="1"/>
        </w:rPr>
      </w:pPr>
      <w:r>
        <w:rPr>
          <w:b w:val="1"/>
          <w:bCs w:val="1"/>
          <w:rtl w:val="0"/>
          <w:lang w:val="en-US"/>
        </w:rPr>
        <w:t>The movement for pupils between Year 6 and Year 7 brings with it a huge number of changes in both pedagogy and curriculum which are exciting and engaging. Research tells us that children look forward to learning new things, in new ways and in new environments; this is one of the main draws of secondary school for pupils. For this to be most effective for pupils there needs to be a mix of both continuity and discontinuity, leading to sustained engagement in lifelong learning and a greater awareness of themselves. As Ofsted</w:t>
      </w:r>
      <w:r>
        <w:rPr>
          <w:b w:val="1"/>
          <w:bCs w:val="1"/>
          <w:rtl w:val="0"/>
          <w:lang w:val="en-US"/>
        </w:rPr>
        <w:t>’</w:t>
      </w:r>
      <w:r>
        <w:rPr>
          <w:b w:val="1"/>
          <w:bCs w:val="1"/>
          <w:rtl w:val="0"/>
          <w:lang w:val="en-US"/>
        </w:rPr>
        <w:t>s The Wasted Years Report highlighted there are too many children experiencing a repeated curriculum in Year 7 and 8:</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i w:val="1"/>
          <w:iCs w:val="1"/>
          <w:sz w:val="22"/>
          <w:szCs w:val="22"/>
        </w:rPr>
      </w:pPr>
      <w:r>
        <w:rPr>
          <w:i w:val="1"/>
          <w:iCs w:val="1"/>
          <w:sz w:val="22"/>
          <w:szCs w:val="22"/>
          <w:rtl w:val="0"/>
          <w:lang w:val="en-US"/>
        </w:rPr>
        <w:t>Only about half said that their Year 7 teachers built on what they had learnt in primary school most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i w:val="1"/>
          <w:iCs w:val="1"/>
          <w:sz w:val="22"/>
          <w:szCs w:val="22"/>
        </w:rPr>
      </w:pPr>
      <w:r>
        <w:rPr>
          <w:i w:val="1"/>
          <w:iCs w:val="1"/>
          <w:sz w:val="22"/>
          <w:szCs w:val="22"/>
          <w:rtl w:val="0"/>
          <w:lang w:val="en-US"/>
        </w:rPr>
        <w:t>or all of the time. For example, one Year 9 pupil said,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i w:val="1"/>
          <w:iCs w:val="1"/>
          <w:sz w:val="22"/>
          <w:szCs w:val="22"/>
        </w:rPr>
      </w:pPr>
      <w:r>
        <w:rPr>
          <w:rFonts w:ascii="Arial Unicode MS" w:hAnsi="Arial Unicode MS" w:hint="default"/>
          <w:sz w:val="22"/>
          <w:szCs w:val="22"/>
          <w:rtl w:val="0"/>
          <w:lang w:val="en-US"/>
        </w:rPr>
        <w:t>‘</w:t>
      </w:r>
      <w:r>
        <w:rPr>
          <w:i w:val="1"/>
          <w:iCs w:val="1"/>
          <w:sz w:val="22"/>
          <w:szCs w:val="22"/>
          <w:rtl w:val="0"/>
          <w:lang w:val="en-US"/>
        </w:rPr>
        <w:t>When I began Year 7, it was as if I had started my education again;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i w:val="1"/>
          <w:iCs w:val="1"/>
          <w:sz w:val="22"/>
          <w:szCs w:val="22"/>
        </w:rPr>
      </w:pPr>
      <w:r>
        <w:rPr>
          <w:i w:val="1"/>
          <w:iCs w:val="1"/>
          <w:sz w:val="22"/>
          <w:szCs w:val="22"/>
          <w:rtl w:val="0"/>
          <w:lang w:val="en-US"/>
        </w:rPr>
        <w:t>nothing from primary school continued. (Ofsted, 2015)</w:t>
      </w: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rPr>
          <w:b w:val="1"/>
          <w:bCs w:val="1"/>
        </w:rPr>
      </w:pPr>
    </w:p>
    <w:p>
      <w:pPr>
        <w:pStyle w:val="Body A"/>
      </w:pPr>
      <w:r>
        <w:rPr>
          <w:rtl w:val="0"/>
        </w:rPr>
        <w:t>As the table above demonstrates there are a number of differences for pupils to come to terms with throughout thei</w:t>
      </w:r>
      <w:r>
        <mc:AlternateContent>
          <mc:Choice Requires="wps">
            <w:drawing>
              <wp:anchor distT="57150" distB="57150" distL="57150" distR="57150" simplePos="0" relativeHeight="251659264" behindDoc="0" locked="0" layoutInCell="1" allowOverlap="1">
                <wp:simplePos x="0" y="0"/>
                <wp:positionH relativeFrom="page">
                  <wp:posOffset>1592787</wp:posOffset>
                </wp:positionH>
                <wp:positionV relativeFrom="page">
                  <wp:posOffset>3437291</wp:posOffset>
                </wp:positionV>
                <wp:extent cx="4862161" cy="2956924"/>
                <wp:effectExtent l="0" t="0" r="0" b="0"/>
                <wp:wrapSquare wrapText="bothSides" distL="57150" distR="57150" distT="57150" distB="57150"/>
                <wp:docPr id="1073741825" name="officeArt object" descr="AutoShape 14"/>
                <wp:cNvGraphicFramePr/>
                <a:graphic xmlns:a="http://schemas.openxmlformats.org/drawingml/2006/main">
                  <a:graphicData uri="http://schemas.microsoft.com/office/word/2010/wordprocessingShape">
                    <wps:wsp>
                      <wps:cNvSpPr/>
                      <wps:spPr>
                        <a:xfrm>
                          <a:off x="0" y="0"/>
                          <a:ext cx="4862161" cy="2956924"/>
                        </a:xfrm>
                        <a:prstGeom prst="rect">
                          <a:avLst/>
                        </a:prstGeom>
                        <a:solidFill>
                          <a:srgbClr val="FFFFFF"/>
                        </a:solidFill>
                        <a:ln w="15875" cap="flat">
                          <a:solidFill>
                            <a:srgbClr val="767171"/>
                          </a:solidFill>
                          <a:prstDash val="solid"/>
                          <a:round/>
                        </a:ln>
                        <a:effectLst/>
                      </wps:spPr>
                      <wps:txbx>
                        <w:txbxContent>
                          <w:p>
                            <w:pPr>
                              <w:pStyle w:val="Body A"/>
                              <w:spacing w:after="240"/>
                            </w:pPr>
                            <w:r/>
                          </w:p>
                        </w:txbxContent>
                      </wps:txbx>
                      <wps:bodyPr wrap="square" lIns="73152" tIns="73152" rIns="73152" bIns="73152" numCol="1" anchor="t">
                        <a:noAutofit/>
                      </wps:bodyPr>
                    </wps:wsp>
                  </a:graphicData>
                </a:graphic>
              </wp:anchor>
            </w:drawing>
          </mc:Choice>
          <mc:Fallback>
            <w:pict>
              <v:rect id="_x0000_s1026" style="visibility:visible;position:absolute;margin-left:125.4pt;margin-top:270.7pt;width:382.8pt;height:232.8pt;z-index:251659264;mso-position-horizontal:absolute;mso-position-horizontal-relative:page;mso-position-vertical:absolute;mso-position-vertical-relative:page;mso-wrap-distance-left:4.5pt;mso-wrap-distance-top:4.5pt;mso-wrap-distance-right:4.5pt;mso-wrap-distance-bottom:4.5pt;">
                <v:fill color="#FFFFFF" opacity="100.0%" type="solid"/>
                <v:stroke filltype="solid" color="#767171" opacity="100.0%" weight="1.2pt" dashstyle="solid" endcap="flat" joinstyle="round" linestyle="single" startarrow="none" startarrowwidth="medium" startarrowlength="medium" endarrow="none" endarrowwidth="medium" endarrowlength="medium"/>
                <v:textbox>
                  <w:txbxContent>
                    <w:p>
                      <w:pPr>
                        <w:pStyle w:val="Body A"/>
                        <w:spacing w:after="240"/>
                      </w:pPr>
                      <w:r/>
                    </w:p>
                  </w:txbxContent>
                </v:textbox>
                <w10:wrap type="square" side="bothSides" anchorx="page" anchory="page"/>
              </v:rect>
            </w:pict>
          </mc:Fallback>
        </mc:AlternateContent>
      </w:r>
      <w:r>
        <w:rPr>
          <w:rtl w:val="0"/>
        </w:rPr>
        <w:t>r school transitions. Pupils in a bronze setting will be supported by staff who have a strong understanding of these differences from training and cross-phase visits. They will visit their high school for an open evening, and a cross-phase event like a musical production or a athletics day. Their school will understand the academic level they are working at and seek to use information from their partner Primary school to have the right expectations on the quality of work they can produce.</w:t>
      </w:r>
    </w:p>
    <w:p>
      <w:pPr>
        <w:pStyle w:val="Body A"/>
      </w:pPr>
    </w:p>
    <w:p>
      <w:pPr>
        <w:pStyle w:val="Body A"/>
      </w:pPr>
      <w:r>
        <w:rPr>
          <w:rtl w:val="0"/>
        </w:rPr>
        <w:t>This awareness is further established in Silver award schools by the sharing of teaching policies and methodologies between Primary schools and Secondaries. Teachers are given opportunities by Senior Leaders to team teach in a partnering school, to experience the differences and share these with colleagues on their return. A common language is identified to use eg. learning objective, plenary, response partner, between partners and joint curriculum decisions or bridging units are evidenced. There is a common understanding of expected progress for pupils between Year 5 and 8.</w:t>
      </w:r>
    </w:p>
    <w:p>
      <w:pPr>
        <w:pStyle w:val="Body A"/>
      </w:pPr>
    </w:p>
    <w:p>
      <w:pPr>
        <w:pStyle w:val="Body A"/>
      </w:pPr>
      <w:r>
        <w:rPr>
          <w:rtl w:val="0"/>
        </w:rPr>
        <w:t>In Gold award schools children are engaged in new areas of learning from Year 6 that are linked to the curriculum and pedagogical style of Year 7, they arrive in Year 7 confident of the exciting differences and expectations they are likely to see. They have met staff from their new school regularly and been to their new school for lessons or extracurricular activities. There is a strong balance between continuity and discontinuity which is discussed and transparent, through which pupils become lifelong engaged learners.</w:t>
      </w:r>
    </w:p>
    <w:p>
      <w:pPr>
        <w:pStyle w:val="Body A"/>
      </w:pPr>
    </w:p>
    <w:p>
      <w:pPr>
        <w:pStyle w:val="Body A"/>
      </w:pPr>
      <w:r>
        <w:rPr>
          <w:rtl w:val="0"/>
        </w:rPr>
        <w:t>This Gold standard is evidenced by cross-phase teaching visits taking place within common agreed curriculum areas. Discussions take place between partners, in which curriculum maps are shared and agreed, to create continuity and discontinuity in Year 7. Partners evidence shared teacher training days on mutually beneficial areas, and form professional networks across phases. Schools in both phases discuss and consider practical changes to routines, classroom layouts and assessment processes to agree approaches.</w:t>
      </w:r>
    </w:p>
    <w:p>
      <w:pPr>
        <w:pStyle w:val="Body A"/>
      </w:pPr>
    </w:p>
    <w:p>
      <w:pPr>
        <w:pStyle w:val="Body A"/>
        <w:rPr>
          <w:b w:val="1"/>
          <w:bCs w:val="1"/>
        </w:rPr>
      </w:pPr>
      <w:r>
        <w:rPr>
          <w:b w:val="1"/>
          <w:bCs w:val="1"/>
          <w:rtl w:val="0"/>
          <w:lang w:val="en-US"/>
        </w:rPr>
        <w:t>Best Practice Examples</w:t>
      </w:r>
    </w:p>
    <w:p>
      <w:pPr>
        <w:pStyle w:val="Body A"/>
        <w:rPr>
          <w:b w:val="1"/>
          <w:bCs w:val="1"/>
        </w:rPr>
      </w:pPr>
    </w:p>
    <w:p>
      <w:pPr>
        <w:pStyle w:val="Body A"/>
        <w:rPr>
          <w:i w:val="1"/>
          <w:iCs w:val="1"/>
        </w:rPr>
      </w:pPr>
      <w:r>
        <w:rPr>
          <w:i w:val="1"/>
          <w:iCs w:val="1"/>
          <w:rtl w:val="0"/>
          <w:lang w:val="en-US"/>
        </w:rPr>
        <w:t>In the borough of Hackney all 52 Primary schools and 11 Secondary schools agreed to deliver Spanish as their first language choice, with pupils having four years of Spanish before they arrived at Secondary school. Secondary schools provided Spanish teachers to support teaching staff and training to native speaking teaching assistants in Primary settings. Using a common agreed curriculum children experience less frustration, higher familiarity and their learning progresses further.</w:t>
      </w:r>
    </w:p>
    <w:p>
      <w:pPr>
        <w:pStyle w:val="Body A"/>
        <w:rPr>
          <w:i w:val="1"/>
          <w:iCs w:val="1"/>
        </w:rPr>
      </w:pPr>
    </w:p>
    <w:p>
      <w:pPr>
        <w:pStyle w:val="Body A"/>
        <w:rPr>
          <w:i w:val="1"/>
          <w:iCs w:val="1"/>
        </w:rPr>
      </w:pPr>
      <w:r>
        <w:rPr>
          <w:i w:val="1"/>
          <w:iCs w:val="1"/>
          <w:rtl w:val="0"/>
          <w:lang w:val="en-US"/>
        </w:rPr>
        <w:t xml:space="preserve">Willow Tree Community Primary School and Buile Hill Academy (Secondary) in Salford began lesson observations and book reviews cross phase to improve writing outcomes for Key Stage 3 pupils. It was quickly identified by Primary staff that expectations on the length of writing and standard were too low and changes could be made to improve consistency of standards for Year 7s. </w:t>
      </w:r>
    </w:p>
    <w:p>
      <w:pPr>
        <w:pStyle w:val="Body A"/>
        <w:rPr>
          <w:i w:val="1"/>
          <w:iCs w:val="1"/>
        </w:rPr>
      </w:pPr>
    </w:p>
    <w:p>
      <w:pPr>
        <w:pStyle w:val="Body A"/>
        <w:rPr>
          <w:i w:val="1"/>
          <w:iCs w:val="1"/>
        </w:rPr>
      </w:pPr>
      <w:r>
        <w:rPr>
          <w:i w:val="1"/>
          <w:iCs w:val="1"/>
          <w:rtl w:val="0"/>
          <w:lang w:val="en-US"/>
        </w:rPr>
        <w:t>The Education Learning Trust in Stockport provide a member of Secondary teaching staff to go into their feeder Primaries to provide Maths lessons, lessons to prepare for High School, and offer a sports enrichment activity to the Year 5 and 6 pupils at the Secondary school. These cross-phase lessons enable pupils to adjust to the learning style and begin to build relationships with Secondary teaching staff. The trust have ongoing conversations regarding curriculum with their feeder Primary schools and look for areas where cross-phase support can have maximum impact.</w:t>
      </w:r>
    </w:p>
    <w:p>
      <w:pPr>
        <w:pStyle w:val="Body A"/>
        <w:rPr>
          <w:i w:val="1"/>
          <w:iCs w:val="1"/>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hint="default"/>
          <w:i w:val="1"/>
          <w:iCs w:val="1"/>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During the visit, I was able to observe a Year 7 maths lesson, and also join in a maths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departmental team meeting to see how planning takes place. I learnt that I should try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 xml:space="preserve">make the children in primary school more independent in their work </w:t>
      </w:r>
      <w:r>
        <w:rPr>
          <w:rFonts w:ascii="Helvetica" w:hAnsi="Helvetica" w:hint="default"/>
          <w:i w:val="1"/>
          <w:iCs w:val="1"/>
          <w:outline w:val="0"/>
          <w:color w:val="1a1919"/>
          <w:sz w:val="20"/>
          <w:szCs w:val="20"/>
          <w:u w:color="1a1919"/>
          <w:rtl w:val="0"/>
          <w:lang w:val="en-US"/>
        </w:rPr>
        <w:t xml:space="preserve">– </w:t>
      </w:r>
      <w:r>
        <w:rPr>
          <w:rFonts w:ascii="Helvetica" w:hAnsi="Helvetica"/>
          <w:i w:val="1"/>
          <w:iCs w:val="1"/>
          <w:outline w:val="0"/>
          <w:color w:val="1a1919"/>
          <w:sz w:val="20"/>
          <w:szCs w:val="20"/>
          <w:u w:color="1a1919"/>
          <w:rtl w:val="0"/>
          <w:lang w:val="en-US"/>
        </w:rPr>
        <w:t>they need to be more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in charge of organising themselves and should be less reliant on me as the teacher. I need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to develop their confidence so that they don</w:t>
      </w:r>
      <w:r>
        <w:rPr>
          <w:rFonts w:ascii="Arial Unicode MS" w:hAnsi="Arial Unicode MS" w:hint="default"/>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t feel they have to check every decision with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 xml:space="preserve">teacher. I think we also need to make maths more </w:t>
      </w:r>
      <w:r>
        <w:rPr>
          <w:rFonts w:ascii="Arial Unicode MS" w:hAnsi="Arial Unicode MS" w:hint="default"/>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use and apply</w:t>
      </w:r>
      <w:r>
        <w:rPr>
          <w:rFonts w:ascii="Arial Unicode MS" w:hAnsi="Arial Unicode MS" w:hint="default"/>
          <w:outline w:val="0"/>
          <w:color w:val="1a1919"/>
          <w:sz w:val="20"/>
          <w:szCs w:val="20"/>
          <w:u w:color="1a1919"/>
          <w:rtl w:val="0"/>
          <w:lang w:val="en-US"/>
        </w:rPr>
        <w:t xml:space="preserve">’ </w:t>
      </w:r>
      <w:r>
        <w:rPr>
          <w:rFonts w:ascii="Helvetica" w:hAnsi="Helvetica"/>
          <w:i w:val="1"/>
          <w:iCs w:val="1"/>
          <w:outline w:val="0"/>
          <w:color w:val="1a1919"/>
          <w:sz w:val="20"/>
          <w:szCs w:val="20"/>
          <w:u w:color="1a1919"/>
          <w:rtl w:val="0"/>
          <w:lang w:val="en-US"/>
        </w:rPr>
        <w:t>based, and try and relate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questions to real life situations where possible since this is a key aspect of the secondary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maths curriculum.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By the end of the visit. I felt like I had a far better understanding of the structure of a maths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lesson in Year 7 and how the teacher might go about planning the lesson. I learnt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independent work should take up the vast majority of the lesson - less teacher talk is more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effective. We also need to build in more opportunities for children to apply learnt methods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in maths to real life context questions.</w:t>
      </w:r>
      <w:r>
        <w:rPr>
          <w:rFonts w:ascii="Helvetica" w:hAnsi="Helvetica" w:hint="default"/>
          <w:i w:val="1"/>
          <w:iCs w:val="1"/>
          <w:outline w:val="0"/>
          <w:color w:val="1a1919"/>
          <w:sz w:val="20"/>
          <w:szCs w:val="20"/>
          <w:u w:color="1a1919"/>
          <w:rtl w:val="0"/>
          <w:lang w:val="en-US"/>
        </w:rPr>
        <w:t xml:space="preserve">’  </w:t>
      </w:r>
      <w:r>
        <w:rPr>
          <w:rFonts w:ascii="Helvetica" w:hAnsi="Helvetica"/>
          <w:i w:val="1"/>
          <w:iCs w:val="1"/>
          <w:outline w:val="0"/>
          <w:color w:val="1a1919"/>
          <w:sz w:val="20"/>
          <w:szCs w:val="20"/>
          <w:u w:color="1a1919"/>
          <w:rtl w:val="0"/>
          <w:lang w:val="en-US"/>
        </w:rPr>
        <w:t>Emma Goddard, Teacher</w:t>
      </w:r>
      <w:r>
        <w:rPr>
          <w:rFonts w:ascii="Helvetica" w:hAnsi="Helvetica" w:hint="default"/>
          <w:i w:val="1"/>
          <w:iCs w:val="1"/>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s perspective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'The most significant thing I learnt was that our Year 7s require further stretch and</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challenge when they arrive at secondary school. During the visit, it became apparent that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the level of maths the learners were engaging with was higher than I had expected; they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were learning about percentage increase and decrease, a topic my Year 9s were struggling</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with at the time! I was also able to see how nrich activities were effectively employed as a</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way of differentiating through problem solving. Over the next year I would like to increase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the frequency with which I use nrich as a basis for lesson plans. The experience has shown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that the department and I need to develop the stretch and challenge within our Year 7</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r>
        <w:rPr>
          <w:rFonts w:ascii="Helvetica" w:hAnsi="Helvetica"/>
          <w:i w:val="1"/>
          <w:iCs w:val="1"/>
          <w:outline w:val="0"/>
          <w:color w:val="1a1919"/>
          <w:sz w:val="20"/>
          <w:szCs w:val="20"/>
          <w:u w:color="1a1919"/>
          <w:rtl w:val="0"/>
          <w:lang w:val="en-US"/>
        </w:rPr>
        <w:t>Schemes of Work.</w:t>
      </w:r>
      <w:r>
        <w:rPr>
          <w:rFonts w:ascii="Helvetica" w:hAnsi="Helvetica" w:hint="default"/>
          <w:i w:val="1"/>
          <w:iCs w:val="1"/>
          <w:outline w:val="0"/>
          <w:color w:val="1a1919"/>
          <w:sz w:val="20"/>
          <w:szCs w:val="20"/>
          <w:u w:color="1a1919"/>
          <w:rtl w:val="0"/>
          <w:lang w:val="en-US"/>
        </w:rPr>
        <w:t xml:space="preserve">’ </w:t>
      </w:r>
      <w:r>
        <w:rPr>
          <w:rFonts w:ascii="Helvetica" w:hAnsi="Helvetica"/>
          <w:i w:val="1"/>
          <w:iCs w:val="1"/>
          <w:outline w:val="0"/>
          <w:color w:val="1a1919"/>
          <w:sz w:val="20"/>
          <w:szCs w:val="20"/>
          <w:u w:color="1a1919"/>
          <w:rtl w:val="0"/>
          <w:lang w:val="en-US"/>
        </w:rPr>
        <w:t>Becca Mitchell, Secondary Teacher</w:t>
      </w:r>
      <w:r>
        <w:rPr>
          <w:rFonts w:ascii="Helvetica" w:hAnsi="Helvetica" w:hint="default"/>
          <w:i w:val="1"/>
          <w:iCs w:val="1"/>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s Perspective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Helvetica" w:cs="Helvetica" w:hAnsi="Helvetica" w:eastAsia="Helvetica"/>
          <w:i w:val="1"/>
          <w:iCs w:val="1"/>
          <w:outline w:val="0"/>
          <w:color w:val="1a1919"/>
          <w:sz w:val="20"/>
          <w:szCs w:val="20"/>
          <w:u w:color="1a1919"/>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pPr>
      <w:r>
        <w:rPr>
          <w:rFonts w:ascii="Helvetica" w:hAnsi="Helvetica"/>
          <w:i w:val="1"/>
          <w:iCs w:val="1"/>
          <w:outline w:val="0"/>
          <w:color w:val="1a1919"/>
          <w:sz w:val="20"/>
          <w:szCs w:val="20"/>
          <w:u w:color="1a1919"/>
          <w:rtl w:val="0"/>
          <w:lang w:val="en-US"/>
        </w:rPr>
        <w:t xml:space="preserve">Local authority initiatives to schedule Primary and Secondary teacher development days on different dates has enabled teaching staff to visit a school in a different phase from their own and observe. As the quotes above demonstrate this has been a very eye-opening process and supported the development of units of work which </w:t>
      </w:r>
      <w:r>
        <w:rPr>
          <w:rFonts w:ascii="Helvetica" w:hAnsi="Helvetica" w:hint="default"/>
          <w:i w:val="1"/>
          <w:iCs w:val="1"/>
          <w:outline w:val="0"/>
          <w:color w:val="1a1919"/>
          <w:sz w:val="20"/>
          <w:szCs w:val="20"/>
          <w:u w:color="1a1919"/>
          <w:rtl w:val="0"/>
          <w:lang w:val="en-US"/>
        </w:rPr>
        <w:t>‘</w:t>
      </w:r>
      <w:r>
        <w:rPr>
          <w:rFonts w:ascii="Helvetica" w:hAnsi="Helvetica"/>
          <w:i w:val="1"/>
          <w:iCs w:val="1"/>
          <w:outline w:val="0"/>
          <w:color w:val="1a1919"/>
          <w:sz w:val="20"/>
          <w:szCs w:val="20"/>
          <w:u w:color="1a1919"/>
          <w:rtl w:val="0"/>
          <w:lang w:val="en-US"/>
        </w:rPr>
        <w:t>bridge</w:t>
      </w:r>
      <w:r>
        <w:rPr>
          <w:rFonts w:ascii="Helvetica" w:hAnsi="Helvetica" w:hint="default"/>
          <w:i w:val="1"/>
          <w:iCs w:val="1"/>
          <w:outline w:val="0"/>
          <w:color w:val="1a1919"/>
          <w:sz w:val="20"/>
          <w:szCs w:val="20"/>
          <w:u w:color="1a1919"/>
          <w:rtl w:val="0"/>
          <w:lang w:val="en-US"/>
        </w:rPr>
        <w:t xml:space="preserve">’ </w:t>
      </w:r>
      <w:r>
        <w:rPr>
          <w:rFonts w:ascii="Helvetica" w:hAnsi="Helvetica"/>
          <w:i w:val="1"/>
          <w:iCs w:val="1"/>
          <w:outline w:val="0"/>
          <w:color w:val="1a1919"/>
          <w:sz w:val="20"/>
          <w:szCs w:val="20"/>
          <w:u w:color="1a1919"/>
          <w:rtl w:val="0"/>
          <w:lang w:val="en-US"/>
        </w:rPr>
        <w:t>across the two phases.</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Title">
    <w:name w:val="Title"/>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