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4683" w14:textId="77777777" w:rsidR="008B7B2A" w:rsidRPr="003747E4" w:rsidRDefault="008B7B2A" w:rsidP="008B7B2A">
      <w:pPr>
        <w:ind w:left="-270" w:right="-270"/>
        <w:jc w:val="center"/>
        <w:rPr>
          <w:rFonts w:ascii="Arial" w:hAnsi="Arial"/>
          <w:b/>
          <w:sz w:val="28"/>
        </w:rPr>
      </w:pPr>
      <w:r w:rsidRPr="003747E4">
        <w:rPr>
          <w:rFonts w:ascii="Arial" w:hAnsi="Arial"/>
          <w:b/>
          <w:sz w:val="28"/>
          <w:lang w:val="fr-CA" w:eastAsia="fr-CA"/>
        </w:rPr>
        <w:t>ANALYSE DES RISQUES</w:t>
      </w:r>
    </w:p>
    <w:p w14:paraId="36ABF38C" w14:textId="77777777" w:rsidR="008B7B2A" w:rsidRPr="003747E4" w:rsidRDefault="008B7B2A" w:rsidP="008B7B2A">
      <w:pPr>
        <w:jc w:val="center"/>
        <w:rPr>
          <w:rFonts w:ascii="Arial" w:hAnsi="Arial"/>
          <w:b/>
          <w:sz w:val="22"/>
        </w:rPr>
      </w:pPr>
    </w:p>
    <w:p w14:paraId="7DAB012C" w14:textId="77777777" w:rsidR="008B7B2A" w:rsidRPr="003747E4" w:rsidRDefault="008B7B2A" w:rsidP="008B7B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3747E4">
        <w:rPr>
          <w:rFonts w:ascii="Arial" w:hAnsi="Arial"/>
          <w:b/>
          <w:sz w:val="22"/>
          <w:szCs w:val="22"/>
        </w:rPr>
        <w:t>Nom de l’entreprise :</w:t>
      </w:r>
      <w:r w:rsidRPr="003747E4">
        <w:rPr>
          <w:rFonts w:ascii="Arial" w:hAnsi="Arial"/>
          <w:sz w:val="22"/>
          <w:szCs w:val="22"/>
        </w:rPr>
        <w:t xml:space="preserve"> </w:t>
      </w:r>
    </w:p>
    <w:p w14:paraId="2458E17C" w14:textId="77777777" w:rsidR="008B7B2A" w:rsidRPr="003747E4" w:rsidRDefault="008B7B2A" w:rsidP="008B7B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3747E4">
        <w:rPr>
          <w:rFonts w:ascii="Arial" w:hAnsi="Arial"/>
          <w:b/>
          <w:sz w:val="22"/>
          <w:szCs w:val="22"/>
        </w:rPr>
        <w:t xml:space="preserve">Poste : </w:t>
      </w:r>
      <w:r w:rsidRPr="003747E4">
        <w:rPr>
          <w:rFonts w:ascii="Arial" w:hAnsi="Arial"/>
          <w:sz w:val="22"/>
          <w:szCs w:val="22"/>
        </w:rPr>
        <w:t>Opérateur de chargeur sur roues</w:t>
      </w:r>
    </w:p>
    <w:p w14:paraId="00CF0620" w14:textId="77777777" w:rsidR="008B7B2A" w:rsidRPr="003747E4" w:rsidRDefault="008B7B2A" w:rsidP="008B7B2A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212AB652" w14:textId="77777777" w:rsidR="008B7B2A" w:rsidRPr="003747E4" w:rsidRDefault="008B7B2A" w:rsidP="008B7B2A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3747E4">
        <w:rPr>
          <w:rFonts w:ascii="Arial" w:hAnsi="Arial"/>
          <w:b/>
          <w:i/>
          <w:sz w:val="16"/>
        </w:rPr>
        <w:t>Mises en garde :</w:t>
      </w:r>
      <w:r w:rsidRPr="003747E4">
        <w:rPr>
          <w:rFonts w:ascii="Arial" w:hAnsi="Arial"/>
          <w:i/>
          <w:sz w:val="16"/>
        </w:rPr>
        <w:t xml:space="preserve"> </w:t>
      </w:r>
      <w:r w:rsidRPr="003747E4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8B7B2A" w:rsidRPr="003747E4" w14:paraId="2DD11C6D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A12035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065D9458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>Risques ou</w:t>
            </w:r>
          </w:p>
          <w:p w14:paraId="4F10B23C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>phénomènes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4E927F76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 xml:space="preserve">Situations </w:t>
            </w:r>
            <w:r w:rsidRPr="003747E4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6530BFA3" w14:textId="77777777" w:rsidR="008B7B2A" w:rsidRPr="003747E4" w:rsidRDefault="008B7B2A" w:rsidP="008B7B2A">
            <w:pPr>
              <w:jc w:val="center"/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34AE07" w14:textId="77777777" w:rsidR="008B7B2A" w:rsidRPr="003747E4" w:rsidRDefault="008B7B2A" w:rsidP="008B7B2A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0505E7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3747E4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45C05412" w14:textId="77777777" w:rsidR="008B7B2A" w:rsidRPr="003747E4" w:rsidRDefault="008B7B2A" w:rsidP="008B7B2A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6618C4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  <w:r w:rsidRPr="003747E4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8B7B2A" w:rsidRPr="003747E4" w14:paraId="64AD27CD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3C59F0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08532BF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79C9C1FF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4C2440BB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D431C2" w14:textId="77777777" w:rsidR="008B7B2A" w:rsidRPr="003747E4" w:rsidRDefault="008B7B2A" w:rsidP="008B7B2A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3747E4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885A190" w14:textId="77777777" w:rsidR="008B7B2A" w:rsidRPr="003747E4" w:rsidRDefault="008B7B2A" w:rsidP="008B7B2A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3747E4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993F319" w14:textId="77777777" w:rsidR="008B7B2A" w:rsidRPr="003747E4" w:rsidRDefault="008B7B2A" w:rsidP="008B7B2A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3747E4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E1BB21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7DD4D1E7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8580DA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B7B2A" w:rsidRPr="003747E4" w14:paraId="02A0D521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61DCBFEF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Charger du matériel granulaire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</w:tcPr>
          <w:p w14:paraId="6CBC1335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d’être frappé par un objet lors de la chute de débris ou de roches sur ou dans la cabine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</w:tcPr>
          <w:p w14:paraId="0639BADD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du levage du matériel granulaire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</w:tcPr>
          <w:p w14:paraId="6FC26542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Écran de protection « FOPS »</w:t>
            </w:r>
          </w:p>
          <w:p w14:paraId="0FB37EEE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Ajouter un grillage avant</w:t>
            </w:r>
          </w:p>
          <w:p w14:paraId="74191DF1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Opérer les portes fermées</w:t>
            </w:r>
          </w:p>
          <w:p w14:paraId="029E8A3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Déboiser le banc d’emprunt au préalable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28DD36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BB1ED0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99D2E6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63CAA62" w14:textId="77777777" w:rsidR="008B7B2A" w:rsidRPr="003747E4" w:rsidRDefault="008B7B2A" w:rsidP="008B7B2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0612980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A81DA4F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73B5A6D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6F1D10F4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492042CC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75AF7B13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d’un éboulis de la partie supérieure du banc d’emprunt ou de la chute d’un surplomb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14:paraId="6811887A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Écran de protection « FOPS »</w:t>
            </w:r>
          </w:p>
          <w:p w14:paraId="03ADA4D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Ajouter un grillage avant</w:t>
            </w:r>
          </w:p>
          <w:p w14:paraId="37996A8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Opérer les portes fermées</w:t>
            </w:r>
          </w:p>
          <w:p w14:paraId="13988D2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 xml:space="preserve">Déboiser le banc d’emprunt au préalable </w:t>
            </w:r>
          </w:p>
          <w:p w14:paraId="5E6B7E9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Vérifier les risques d’éboulement et en discuter avec le superviseur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1888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8E03A8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2F0D3D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C1BA265" w14:textId="77777777" w:rsidR="008B7B2A" w:rsidRPr="003747E4" w:rsidRDefault="008B7B2A" w:rsidP="008B7B2A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B31D03D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10E7BF2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1496143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ACE5B3A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98E80BB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de déraper sur une surface glissante</w:t>
            </w:r>
          </w:p>
        </w:tc>
        <w:tc>
          <w:tcPr>
            <w:tcW w:w="1773" w:type="dxa"/>
          </w:tcPr>
          <w:p w14:paraId="6AED7CC5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Lorsque les chemins sont boueux, enneigés ou glacés</w:t>
            </w:r>
          </w:p>
        </w:tc>
        <w:tc>
          <w:tcPr>
            <w:tcW w:w="3025" w:type="dxa"/>
          </w:tcPr>
          <w:p w14:paraId="33D86EB4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Installer des chaînes aux quatre roues</w:t>
            </w:r>
          </w:p>
          <w:p w14:paraId="111BC0D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</w:tc>
        <w:tc>
          <w:tcPr>
            <w:tcW w:w="634" w:type="dxa"/>
            <w:vAlign w:val="center"/>
          </w:tcPr>
          <w:p w14:paraId="70C1BC96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6CC771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2C2B1F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C7EFB69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E7FB8FF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4E8DDEA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297050D4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C92D414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7DEE966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DAC9146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En circulant à des vitesses inappropriées</w:t>
            </w:r>
          </w:p>
        </w:tc>
        <w:tc>
          <w:tcPr>
            <w:tcW w:w="3025" w:type="dxa"/>
          </w:tcPr>
          <w:p w14:paraId="304DEC2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</w:tc>
        <w:tc>
          <w:tcPr>
            <w:tcW w:w="634" w:type="dxa"/>
            <w:vAlign w:val="center"/>
          </w:tcPr>
          <w:p w14:paraId="38690662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26A742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EB57A8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08EA93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BFE6D03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AA8D140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1B8E7EE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4D9A0EB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BFF3149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48129629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la descente de pentes abruptes</w:t>
            </w:r>
          </w:p>
        </w:tc>
        <w:tc>
          <w:tcPr>
            <w:tcW w:w="3025" w:type="dxa"/>
          </w:tcPr>
          <w:p w14:paraId="0C17782B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Installer des chaînes aux quatre roues</w:t>
            </w:r>
          </w:p>
          <w:p w14:paraId="7B69B1DB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</w:tc>
        <w:tc>
          <w:tcPr>
            <w:tcW w:w="634" w:type="dxa"/>
            <w:vAlign w:val="center"/>
          </w:tcPr>
          <w:p w14:paraId="20D90D28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DA6EE7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DD76AC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21E8DC3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9312D42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EA21864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43638FD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4A673AD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0B089F1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</w:tcPr>
          <w:p w14:paraId="4FA8B113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</w:tcPr>
          <w:p w14:paraId="159E0D88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Appliquer les normes minimales de la SOPFEU</w:t>
            </w:r>
          </w:p>
          <w:p w14:paraId="6B79D5E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Faire le nettoyage préventif</w:t>
            </w:r>
          </w:p>
          <w:p w14:paraId="3C0FBAF0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Système d’extinction automatique</w:t>
            </w:r>
          </w:p>
        </w:tc>
        <w:tc>
          <w:tcPr>
            <w:tcW w:w="634" w:type="dxa"/>
            <w:vAlign w:val="center"/>
          </w:tcPr>
          <w:p w14:paraId="42834FB2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953695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5BC09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7F7CE6C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8B6EB5D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C70185E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10B5D58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D92D039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44B0AB9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2DE74A41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</w:tcPr>
          <w:p w14:paraId="1D185A6F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Éviter les débordements</w:t>
            </w:r>
          </w:p>
          <w:p w14:paraId="4A521E5A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4B634E38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vAlign w:val="center"/>
          </w:tcPr>
          <w:p w14:paraId="3BBC86EC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90D7A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AD6221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39A64A0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51349C2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0016614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020B9DB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ACC46E0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9C7BBC4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de chuter du chargeur sur roues</w:t>
            </w:r>
          </w:p>
        </w:tc>
        <w:tc>
          <w:tcPr>
            <w:tcW w:w="1773" w:type="dxa"/>
          </w:tcPr>
          <w:p w14:paraId="7E7B3779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25" w:type="dxa"/>
          </w:tcPr>
          <w:p w14:paraId="580C251A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64F831EE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</w:tc>
        <w:tc>
          <w:tcPr>
            <w:tcW w:w="634" w:type="dxa"/>
            <w:vAlign w:val="center"/>
          </w:tcPr>
          <w:p w14:paraId="20A06F59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DC74C9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79197D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1D39B6B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DFE0488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50092C7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67D4DD3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2ADF230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630CF37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98A4F2B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En circulant avec les portes ouvertes ou lors d’un renversement</w:t>
            </w:r>
          </w:p>
        </w:tc>
        <w:tc>
          <w:tcPr>
            <w:tcW w:w="3025" w:type="dxa"/>
          </w:tcPr>
          <w:p w14:paraId="1A0BE47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Opérer les portes fermées</w:t>
            </w:r>
          </w:p>
          <w:p w14:paraId="5548536A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vAlign w:val="center"/>
          </w:tcPr>
          <w:p w14:paraId="52B4ED76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06AD8D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3C99FE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0EC7FB8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BEC632D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6A58B12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797C59A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C37A993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E714C63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d’écraser ou de frapper un travailleur avec le chargeur sur roues ou son godet</w:t>
            </w:r>
          </w:p>
        </w:tc>
        <w:tc>
          <w:tcPr>
            <w:tcW w:w="1773" w:type="dxa"/>
          </w:tcPr>
          <w:p w14:paraId="4B8C3FAA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</w:tcPr>
          <w:p w14:paraId="5E73447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Respecter la zone de danger (30 m)</w:t>
            </w:r>
          </w:p>
          <w:p w14:paraId="0716255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Suivre la procédure d’approche du chargeur sur roues</w:t>
            </w:r>
          </w:p>
          <w:p w14:paraId="77A2E5C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Avoir un système de communication radio</w:t>
            </w:r>
          </w:p>
          <w:p w14:paraId="3F55CA1A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Avoir un avertisseur de recul fonctionnel (bonne pratique)</w:t>
            </w:r>
          </w:p>
          <w:p w14:paraId="593713F2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Toujours avoir le signaleur à la vue</w:t>
            </w:r>
          </w:p>
          <w:p w14:paraId="3105163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Le signaleur porte un dossard à bandes réfléchissantes</w:t>
            </w:r>
          </w:p>
          <w:p w14:paraId="2B31F3A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Le camionneur demeure dans la cabine lors du chargement</w:t>
            </w:r>
          </w:p>
          <w:p w14:paraId="365D25EF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Déposer le godet au sol avant de descendre</w:t>
            </w:r>
          </w:p>
        </w:tc>
        <w:tc>
          <w:tcPr>
            <w:tcW w:w="634" w:type="dxa"/>
            <w:vAlign w:val="center"/>
          </w:tcPr>
          <w:p w14:paraId="2E851A9E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5ADC3E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BFFCE2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355331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6958353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0DBC0B3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143F712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289736E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E1E0951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de collision ou de contact avec un véhicule ou un obstacle, possibilité de faire une embardée</w:t>
            </w:r>
          </w:p>
        </w:tc>
        <w:tc>
          <w:tcPr>
            <w:tcW w:w="1773" w:type="dxa"/>
          </w:tcPr>
          <w:p w14:paraId="415857C5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la circulation à des vitesses inappropriées ou en descendant une pente abrupte</w:t>
            </w:r>
          </w:p>
        </w:tc>
        <w:tc>
          <w:tcPr>
            <w:tcW w:w="3025" w:type="dxa"/>
          </w:tcPr>
          <w:p w14:paraId="752BF741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</w:t>
            </w:r>
          </w:p>
        </w:tc>
        <w:tc>
          <w:tcPr>
            <w:tcW w:w="634" w:type="dxa"/>
            <w:vAlign w:val="center"/>
          </w:tcPr>
          <w:p w14:paraId="32B97EE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459120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DD371E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598401C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CE02D37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F3375EB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369E388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0E54C52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7ADCD7D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d’être enseveli par un éboulis</w:t>
            </w:r>
          </w:p>
        </w:tc>
        <w:tc>
          <w:tcPr>
            <w:tcW w:w="1773" w:type="dxa"/>
          </w:tcPr>
          <w:p w14:paraId="41B11D3C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Lorsque l’opérateur ou le chargeur sur roues circule à proximité de matériaux en surplomb ou de remblais hauts</w:t>
            </w:r>
          </w:p>
        </w:tc>
        <w:tc>
          <w:tcPr>
            <w:tcW w:w="3025" w:type="dxa"/>
          </w:tcPr>
          <w:p w14:paraId="42BB650F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Faire tomber le matériel en surplomb</w:t>
            </w:r>
          </w:p>
          <w:p w14:paraId="2A20B742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Aviser le superviseur</w:t>
            </w:r>
          </w:p>
          <w:p w14:paraId="44232B6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Diminuer la hauteur des remblais avec un bélier mécanique ou une pelle hydraulique</w:t>
            </w:r>
          </w:p>
        </w:tc>
        <w:tc>
          <w:tcPr>
            <w:tcW w:w="634" w:type="dxa"/>
            <w:vAlign w:val="center"/>
          </w:tcPr>
          <w:p w14:paraId="1444F2C0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216B8B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278B64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51B314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F3E423D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2801478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530C321D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EEB7379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9B9E064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de renversement du chargeur sur roues</w:t>
            </w:r>
          </w:p>
        </w:tc>
        <w:tc>
          <w:tcPr>
            <w:tcW w:w="1773" w:type="dxa"/>
          </w:tcPr>
          <w:p w14:paraId="4AE24AD9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En maintenant la charge trop élevée lors du déplacement</w:t>
            </w:r>
          </w:p>
        </w:tc>
        <w:tc>
          <w:tcPr>
            <w:tcW w:w="3025" w:type="dxa"/>
          </w:tcPr>
          <w:p w14:paraId="665E3D99" w14:textId="77777777" w:rsidR="008B7B2A" w:rsidRPr="003747E4" w:rsidRDefault="008B7B2A" w:rsidP="008B7B2A">
            <w:pPr>
              <w:numPr>
                <w:ilvl w:val="0"/>
                <w:numId w:val="18"/>
              </w:numPr>
              <w:ind w:right="-100"/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Structure de protection «ROPS»</w:t>
            </w:r>
          </w:p>
          <w:p w14:paraId="486DFD7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Circuler en maintenant le godet à la hauteur du châssis, près du sol</w:t>
            </w:r>
          </w:p>
          <w:p w14:paraId="3EA15A6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Charger sur le premier rapport</w:t>
            </w:r>
          </w:p>
          <w:p w14:paraId="4F1606A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Éliminer les roches</w:t>
            </w:r>
          </w:p>
          <w:p w14:paraId="1B09D0FE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Prévoir l’égouttement de l’aire de travail</w:t>
            </w:r>
          </w:p>
          <w:p w14:paraId="62A36D13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Niveler le terrain</w:t>
            </w:r>
          </w:p>
          <w:p w14:paraId="329C52B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Circuler à des vitesses adaptées</w:t>
            </w:r>
          </w:p>
          <w:p w14:paraId="321DDDAB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Éviter les accotements mous</w:t>
            </w:r>
          </w:p>
        </w:tc>
        <w:tc>
          <w:tcPr>
            <w:tcW w:w="634" w:type="dxa"/>
            <w:vAlign w:val="center"/>
          </w:tcPr>
          <w:p w14:paraId="3ECDC2E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BA492A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95D421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5F7EA35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2E09C2B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DD3D7D7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69B2019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5EB68AA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31B0B57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d’entrer en contact avec des lignes électriques</w:t>
            </w:r>
          </w:p>
        </w:tc>
        <w:tc>
          <w:tcPr>
            <w:tcW w:w="1773" w:type="dxa"/>
          </w:tcPr>
          <w:p w14:paraId="3F8ECA51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travaux à proximité des lignes électriques</w:t>
            </w:r>
          </w:p>
        </w:tc>
        <w:tc>
          <w:tcPr>
            <w:tcW w:w="3025" w:type="dxa"/>
          </w:tcPr>
          <w:p w14:paraId="63F46ABB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Mettre la ligne hors tension</w:t>
            </w:r>
          </w:p>
          <w:p w14:paraId="32AF6898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Respecter les distances d’approche minimales</w:t>
            </w:r>
          </w:p>
          <w:p w14:paraId="0E4C4ED6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Utiliser le dispositif de blocage des manoeuvres</w:t>
            </w:r>
          </w:p>
        </w:tc>
        <w:tc>
          <w:tcPr>
            <w:tcW w:w="634" w:type="dxa"/>
            <w:vAlign w:val="center"/>
          </w:tcPr>
          <w:p w14:paraId="2079236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4F56EB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C659ED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C74A9CD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2A2C2A2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911C4A6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34E70D2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CF5317C" w14:textId="77777777" w:rsidR="008B7B2A" w:rsidRPr="003747E4" w:rsidRDefault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lastRenderedPageBreak/>
              <w:t>Travaux mécaniques</w:t>
            </w:r>
          </w:p>
        </w:tc>
        <w:tc>
          <w:tcPr>
            <w:tcW w:w="1540" w:type="dxa"/>
          </w:tcPr>
          <w:p w14:paraId="15786480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d’être coincé, coupé, heurté ou écrasé par le chargeur ou une partie de l’équipement</w:t>
            </w:r>
          </w:p>
        </w:tc>
        <w:tc>
          <w:tcPr>
            <w:tcW w:w="1773" w:type="dxa"/>
          </w:tcPr>
          <w:p w14:paraId="46B43F1E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25" w:type="dxa"/>
          </w:tcPr>
          <w:p w14:paraId="0BE639B8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1A40F6D4" w14:textId="6FA3B2BD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Se conformer au guide de la C</w:t>
            </w:r>
            <w:r w:rsidR="003747E4" w:rsidRPr="003747E4">
              <w:rPr>
                <w:rFonts w:ascii="Arial" w:hAnsi="Arial"/>
                <w:sz w:val="18"/>
              </w:rPr>
              <w:t>NE</w:t>
            </w:r>
            <w:r w:rsidRPr="003747E4">
              <w:rPr>
                <w:rFonts w:ascii="Arial" w:hAnsi="Arial"/>
                <w:sz w:val="18"/>
              </w:rPr>
              <w:t xml:space="preserve">SST, </w:t>
            </w:r>
            <w:r w:rsidRPr="003747E4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4949D238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Bloquer le godet en position levée</w:t>
            </w:r>
          </w:p>
          <w:p w14:paraId="301298D1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Arrêter le moteur</w:t>
            </w:r>
          </w:p>
          <w:p w14:paraId="547D6809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Installer les cales de roues</w:t>
            </w:r>
          </w:p>
          <w:p w14:paraId="6A0D0080" w14:textId="77777777" w:rsidR="008B7B2A" w:rsidRPr="003747E4" w:rsidRDefault="00C80CC8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Arrêter le moteur, a</w:t>
            </w:r>
            <w:r w:rsidR="008B7B2A" w:rsidRPr="003747E4">
              <w:rPr>
                <w:rFonts w:ascii="Arial" w:hAnsi="Arial"/>
                <w:sz w:val="18"/>
              </w:rPr>
              <w:t>ppliquer les instructions de travail et les procédures de cadenassage</w:t>
            </w:r>
          </w:p>
        </w:tc>
        <w:tc>
          <w:tcPr>
            <w:tcW w:w="634" w:type="dxa"/>
            <w:vAlign w:val="center"/>
          </w:tcPr>
          <w:p w14:paraId="0FD92989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1B29FD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691BF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CB22720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993CF31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6805919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6E24050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EF0F27B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Pousser ou tirer des camions</w:t>
            </w:r>
          </w:p>
        </w:tc>
        <w:tc>
          <w:tcPr>
            <w:tcW w:w="1540" w:type="dxa"/>
          </w:tcPr>
          <w:p w14:paraId="1C931394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de ne pas retenir la charge du camion lors du poussage et de se faire écraser si le camion recule</w:t>
            </w:r>
          </w:p>
        </w:tc>
        <w:tc>
          <w:tcPr>
            <w:tcW w:w="1773" w:type="dxa"/>
          </w:tcPr>
          <w:p w14:paraId="5162E5C3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Par un manque de capacité du chargeur sur roues</w:t>
            </w:r>
          </w:p>
          <w:p w14:paraId="5A15513D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3025" w:type="dxa"/>
          </w:tcPr>
          <w:p w14:paraId="7EDA8479" w14:textId="77777777" w:rsidR="008B7B2A" w:rsidRPr="003747E4" w:rsidRDefault="008B7B2A" w:rsidP="008B7B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Choisir un chargeur sur roues de capacité suffisante</w:t>
            </w:r>
          </w:p>
          <w:p w14:paraId="7AD632D9" w14:textId="76179ECA" w:rsidR="008B7B2A" w:rsidRPr="003747E4" w:rsidRDefault="008B7B2A" w:rsidP="003747E4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Se conformer au manuel de l’opérateur du fabricant</w:t>
            </w:r>
          </w:p>
        </w:tc>
        <w:tc>
          <w:tcPr>
            <w:tcW w:w="634" w:type="dxa"/>
            <w:vAlign w:val="center"/>
          </w:tcPr>
          <w:p w14:paraId="06699749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1BDD8717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Align w:val="center"/>
          </w:tcPr>
          <w:p w14:paraId="1C944058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53247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7116C47A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117C71BC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3747E4" w14:paraId="6A2077C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6E28FB2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CAFA70F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d’être coincé dans la cabine, heurté ou écrasé par la charge du camion</w:t>
            </w:r>
          </w:p>
        </w:tc>
        <w:tc>
          <w:tcPr>
            <w:tcW w:w="1773" w:type="dxa"/>
          </w:tcPr>
          <w:p w14:paraId="29A8CCFB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 xml:space="preserve">Lors d’une glissade du chargeur sur roues sur une surface glacée en pente </w:t>
            </w:r>
          </w:p>
        </w:tc>
        <w:tc>
          <w:tcPr>
            <w:tcW w:w="3025" w:type="dxa"/>
          </w:tcPr>
          <w:p w14:paraId="4BCC8DA1" w14:textId="77777777" w:rsidR="008B7B2A" w:rsidRPr="003747E4" w:rsidRDefault="008B7B2A" w:rsidP="008B7B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Sabler la partie glissante avant de commencer à pousser</w:t>
            </w:r>
          </w:p>
          <w:p w14:paraId="0162282B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 xml:space="preserve">Installer des chaînes aux quatre roues du chargeur </w:t>
            </w:r>
          </w:p>
          <w:p w14:paraId="2DABA275" w14:textId="77777777" w:rsidR="008B7B2A" w:rsidRPr="003747E4" w:rsidRDefault="008B7B2A" w:rsidP="008B7B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 xml:space="preserve">Avoir une communication radio avec le conducteur du camion pour synchroniser la manœuvre </w:t>
            </w:r>
          </w:p>
          <w:p w14:paraId="2C843C1F" w14:textId="77777777" w:rsidR="008B7B2A" w:rsidRPr="003747E4" w:rsidRDefault="008B7B2A" w:rsidP="008B7B2A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Se donner de la charge directement sur l’arrière de la remorque (modification requise) ou sur le dernier empilement</w:t>
            </w:r>
          </w:p>
        </w:tc>
        <w:tc>
          <w:tcPr>
            <w:tcW w:w="634" w:type="dxa"/>
            <w:vAlign w:val="center"/>
          </w:tcPr>
          <w:p w14:paraId="68033987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5EC2E471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5C2B6E3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9EF1BA0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5039806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5EC0249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  <w:tr w:rsidR="008B7B2A" w:rsidRPr="00F128D6" w14:paraId="1ABC009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A9FA4D1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982E77A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Possibilité d’écraser ou de frapper un travailleur avec le chargeur sur roues ou son godet</w:t>
            </w:r>
          </w:p>
        </w:tc>
        <w:tc>
          <w:tcPr>
            <w:tcW w:w="1773" w:type="dxa"/>
          </w:tcPr>
          <w:p w14:paraId="0DF70F69" w14:textId="77777777" w:rsidR="008B7B2A" w:rsidRPr="003747E4" w:rsidRDefault="008B7B2A" w:rsidP="008B7B2A">
            <w:p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</w:tcPr>
          <w:p w14:paraId="5A16EBAF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Suivre la procédure d’approche du chargeur sur roues</w:t>
            </w:r>
          </w:p>
          <w:p w14:paraId="3C5C8FC9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Avoir un système de communication radio</w:t>
            </w:r>
          </w:p>
          <w:p w14:paraId="4604EB7C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Avoir un avertisseur de recul fonctionnel (bonne pratique)</w:t>
            </w:r>
          </w:p>
          <w:p w14:paraId="45CAC93E" w14:textId="77777777" w:rsidR="008B7B2A" w:rsidRPr="003747E4" w:rsidRDefault="008B7B2A" w:rsidP="008B7B2A">
            <w:pPr>
              <w:numPr>
                <w:ilvl w:val="0"/>
                <w:numId w:val="18"/>
              </w:numPr>
              <w:ind w:right="-100"/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Toujours avoir le signaleur à vue</w:t>
            </w:r>
          </w:p>
          <w:p w14:paraId="0F971728" w14:textId="77777777" w:rsidR="008B7B2A" w:rsidRPr="003747E4" w:rsidRDefault="008B7B2A" w:rsidP="008B7B2A">
            <w:pPr>
              <w:numPr>
                <w:ilvl w:val="0"/>
                <w:numId w:val="18"/>
              </w:numPr>
              <w:ind w:right="-100"/>
              <w:rPr>
                <w:rFonts w:ascii="Arial" w:hAnsi="Arial"/>
                <w:sz w:val="18"/>
              </w:rPr>
            </w:pPr>
            <w:r w:rsidRPr="003747E4">
              <w:rPr>
                <w:rFonts w:ascii="Arial" w:hAnsi="Arial"/>
                <w:sz w:val="18"/>
              </w:rPr>
              <w:t>Le signaleur porte un dossard à bandes réfléchissantes</w:t>
            </w:r>
          </w:p>
        </w:tc>
        <w:tc>
          <w:tcPr>
            <w:tcW w:w="634" w:type="dxa"/>
            <w:vAlign w:val="center"/>
          </w:tcPr>
          <w:p w14:paraId="326025E2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9A2C77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A89126" w14:textId="77777777" w:rsidR="008B7B2A" w:rsidRPr="003747E4" w:rsidRDefault="008B7B2A" w:rsidP="008B7B2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3D50FF4" w14:textId="77777777" w:rsidR="008B7B2A" w:rsidRPr="003747E4" w:rsidRDefault="008B7B2A" w:rsidP="008B7B2A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FD209D6" w14:textId="77777777" w:rsidR="008B7B2A" w:rsidRPr="008D1A0F" w:rsidRDefault="008B7B2A" w:rsidP="008B7B2A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7D03CDF" w14:textId="77777777" w:rsidR="008B7B2A" w:rsidRPr="008D1A0F" w:rsidRDefault="008B7B2A" w:rsidP="008B7B2A">
            <w:pPr>
              <w:rPr>
                <w:rFonts w:ascii="Arial" w:hAnsi="Arial"/>
                <w:sz w:val="18"/>
              </w:rPr>
            </w:pPr>
          </w:p>
        </w:tc>
      </w:tr>
    </w:tbl>
    <w:p w14:paraId="396F88EE" w14:textId="77777777" w:rsidR="008B7B2A" w:rsidRPr="0040084E" w:rsidRDefault="008B7B2A">
      <w:pPr>
        <w:rPr>
          <w:rFonts w:ascii="Arial" w:hAnsi="Arial"/>
          <w:sz w:val="22"/>
        </w:rPr>
      </w:pPr>
    </w:p>
    <w:sectPr w:rsidR="008B7B2A" w:rsidRPr="0040084E" w:rsidSect="008B7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EC18" w14:textId="77777777" w:rsidR="00384988" w:rsidRDefault="00384988">
      <w:r>
        <w:separator/>
      </w:r>
    </w:p>
  </w:endnote>
  <w:endnote w:type="continuationSeparator" w:id="0">
    <w:p w14:paraId="75DAED49" w14:textId="77777777" w:rsidR="00384988" w:rsidRDefault="0038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99443" w14:textId="77777777" w:rsidR="003747E4" w:rsidRDefault="003747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F876F" w14:textId="77777777" w:rsidR="008B7B2A" w:rsidRPr="006A3D03" w:rsidRDefault="008B7B2A" w:rsidP="008B7B2A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6A3D03">
      <w:rPr>
        <w:rFonts w:ascii="Arial" w:hAnsi="Arial"/>
        <w:sz w:val="12"/>
        <w:lang w:val="fr-FR"/>
      </w:rPr>
      <w:t xml:space="preserve">* </w:t>
    </w:r>
    <w:r w:rsidRPr="006A3D03">
      <w:rPr>
        <w:rFonts w:ascii="Arial" w:hAnsi="Arial"/>
        <w:i/>
        <w:sz w:val="12"/>
        <w:lang w:val="fr-FR"/>
      </w:rPr>
      <w:t>Part. : partiellement</w:t>
    </w:r>
  </w:p>
  <w:p w14:paraId="350BA5BC" w14:textId="77777777" w:rsidR="008B7B2A" w:rsidRPr="006A3D03" w:rsidRDefault="008B7B2A" w:rsidP="008B7B2A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1AE1F33E" w14:textId="0E0A3127" w:rsidR="008B7B2A" w:rsidRPr="006A3D03" w:rsidRDefault="008B7B2A" w:rsidP="008B7B2A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6A3D03">
      <w:rPr>
        <w:rFonts w:ascii="Arial" w:hAnsi="Arial"/>
        <w:sz w:val="12"/>
        <w:lang w:val="fr-FR"/>
      </w:rPr>
      <w:fldChar w:fldCharType="begin"/>
    </w:r>
    <w:r w:rsidRPr="006A3D03">
      <w:rPr>
        <w:rFonts w:ascii="Arial" w:hAnsi="Arial"/>
        <w:sz w:val="12"/>
        <w:lang w:val="fr-FR"/>
      </w:rPr>
      <w:instrText xml:space="preserve"> </w:instrText>
    </w:r>
    <w:r w:rsidR="00384988">
      <w:rPr>
        <w:rFonts w:ascii="Arial" w:hAnsi="Arial"/>
        <w:sz w:val="12"/>
        <w:lang w:val="fr-FR"/>
      </w:rPr>
      <w:instrText>FILENAME</w:instrText>
    </w:r>
    <w:r w:rsidRPr="006A3D03">
      <w:rPr>
        <w:rFonts w:ascii="Arial" w:hAnsi="Arial"/>
        <w:sz w:val="12"/>
        <w:lang w:val="fr-FR"/>
      </w:rPr>
      <w:instrText xml:space="preserve"> </w:instrText>
    </w:r>
    <w:r w:rsidRPr="006A3D03">
      <w:rPr>
        <w:rFonts w:ascii="Arial" w:hAnsi="Arial"/>
        <w:sz w:val="12"/>
        <w:lang w:val="fr-FR"/>
      </w:rPr>
      <w:fldChar w:fldCharType="separate"/>
    </w:r>
    <w:r w:rsidR="003747E4">
      <w:rPr>
        <w:rFonts w:ascii="Arial" w:hAnsi="Arial"/>
        <w:noProof/>
        <w:sz w:val="12"/>
        <w:lang w:val="fr-FR"/>
      </w:rPr>
      <w:t>ARP-17-chargeurRoues</w:t>
    </w:r>
    <w:r w:rsidRPr="006A3D03">
      <w:rPr>
        <w:rFonts w:ascii="Arial" w:hAnsi="Arial"/>
        <w:sz w:val="12"/>
        <w:lang w:val="fr-FR"/>
      </w:rPr>
      <w:fldChar w:fldCharType="end"/>
    </w:r>
    <w:r w:rsidRPr="006A3D03">
      <w:rPr>
        <w:rFonts w:ascii="Arial" w:hAnsi="Arial"/>
        <w:sz w:val="12"/>
        <w:lang w:val="fr-FR"/>
      </w:rPr>
      <w:t xml:space="preserve">   MAJ :</w:t>
    </w:r>
    <w:r w:rsidR="003747E4">
      <w:rPr>
        <w:rFonts w:ascii="Arial" w:hAnsi="Arial"/>
        <w:sz w:val="12"/>
        <w:lang w:val="fr-FR"/>
      </w:rPr>
      <w:t xml:space="preserve"> Février 2021</w:t>
    </w:r>
    <w:r w:rsidRPr="006A3D03">
      <w:rPr>
        <w:rFonts w:ascii="Arial" w:hAnsi="Arial"/>
        <w:sz w:val="12"/>
        <w:lang w:val="fr-FR"/>
      </w:rPr>
      <w:tab/>
      <w:t xml:space="preserve">Page </w:t>
    </w:r>
    <w:r w:rsidRPr="006A3D03">
      <w:rPr>
        <w:rFonts w:ascii="Arial" w:hAnsi="Arial"/>
        <w:sz w:val="12"/>
        <w:lang w:val="fr-FR"/>
      </w:rPr>
      <w:fldChar w:fldCharType="begin"/>
    </w:r>
    <w:r w:rsidRPr="006A3D03">
      <w:rPr>
        <w:rFonts w:ascii="Arial" w:hAnsi="Arial"/>
        <w:sz w:val="12"/>
        <w:lang w:val="fr-FR"/>
      </w:rPr>
      <w:instrText xml:space="preserve"> </w:instrText>
    </w:r>
    <w:r w:rsidR="00384988">
      <w:rPr>
        <w:rFonts w:ascii="Arial" w:hAnsi="Arial"/>
        <w:sz w:val="12"/>
        <w:lang w:val="fr-FR"/>
      </w:rPr>
      <w:instrText>PAGE</w:instrText>
    </w:r>
    <w:r w:rsidRPr="006A3D03">
      <w:rPr>
        <w:rFonts w:ascii="Arial" w:hAnsi="Arial"/>
        <w:sz w:val="12"/>
        <w:lang w:val="fr-FR"/>
      </w:rPr>
      <w:instrText xml:space="preserve"> </w:instrText>
    </w:r>
    <w:r w:rsidRPr="006A3D0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6A3D03">
      <w:rPr>
        <w:rFonts w:ascii="Arial" w:hAnsi="Arial"/>
        <w:sz w:val="12"/>
        <w:lang w:val="fr-FR"/>
      </w:rPr>
      <w:fldChar w:fldCharType="end"/>
    </w:r>
    <w:r w:rsidRPr="006A3D03">
      <w:rPr>
        <w:rFonts w:ascii="Arial" w:hAnsi="Arial"/>
        <w:sz w:val="12"/>
        <w:lang w:val="fr-FR"/>
      </w:rPr>
      <w:t xml:space="preserve"> de </w:t>
    </w:r>
    <w:r w:rsidRPr="006A3D03">
      <w:rPr>
        <w:rFonts w:ascii="Arial" w:hAnsi="Arial"/>
        <w:sz w:val="12"/>
        <w:lang w:val="fr-FR"/>
      </w:rPr>
      <w:fldChar w:fldCharType="begin"/>
    </w:r>
    <w:r w:rsidRPr="006A3D03">
      <w:rPr>
        <w:rFonts w:ascii="Arial" w:hAnsi="Arial"/>
        <w:sz w:val="12"/>
        <w:lang w:val="fr-FR"/>
      </w:rPr>
      <w:instrText xml:space="preserve"> </w:instrText>
    </w:r>
    <w:r w:rsidR="00384988">
      <w:rPr>
        <w:rFonts w:ascii="Arial" w:hAnsi="Arial"/>
        <w:sz w:val="12"/>
        <w:lang w:val="fr-FR"/>
      </w:rPr>
      <w:instrText>NUMPAGES</w:instrText>
    </w:r>
    <w:r w:rsidRPr="006A3D03">
      <w:rPr>
        <w:rFonts w:ascii="Arial" w:hAnsi="Arial"/>
        <w:sz w:val="12"/>
        <w:lang w:val="fr-FR"/>
      </w:rPr>
      <w:instrText xml:space="preserve"> </w:instrText>
    </w:r>
    <w:r w:rsidRPr="006A3D0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6A3D03">
      <w:rPr>
        <w:rFonts w:ascii="Arial" w:hAnsi="Arial"/>
        <w:sz w:val="12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E4ACE" w14:textId="77777777" w:rsidR="003747E4" w:rsidRDefault="003747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4F7C5" w14:textId="77777777" w:rsidR="00384988" w:rsidRDefault="00384988">
      <w:r>
        <w:separator/>
      </w:r>
    </w:p>
  </w:footnote>
  <w:footnote w:type="continuationSeparator" w:id="0">
    <w:p w14:paraId="788F3799" w14:textId="77777777" w:rsidR="00384988" w:rsidRDefault="0038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319F" w14:textId="77777777" w:rsidR="003747E4" w:rsidRDefault="003747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5F54A" w14:textId="77777777" w:rsidR="003747E4" w:rsidRDefault="003747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F01A2" w14:textId="77777777" w:rsidR="003747E4" w:rsidRDefault="00374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3747E4"/>
    <w:rsid w:val="00384988"/>
    <w:rsid w:val="008B7B2A"/>
    <w:rsid w:val="00C80CC8"/>
    <w:rsid w:val="00D4658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2726815"/>
  <w15:chartTrackingRefBased/>
  <w15:docId w15:val="{E66D03E2-C3E0-4E12-9DFA-875F16D7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chargeur sur roues</vt:lpstr>
      <vt:lpstr>Opérateur de chargeur sur roues</vt:lpstr>
    </vt:vector>
  </TitlesOfParts>
  <Manager/>
  <Company>ASSIFQ</Company>
  <LinksUpToDate>false</LinksUpToDate>
  <CharactersWithSpaces>5801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chargeur sur roues</dc:title>
  <dc:subject/>
  <dc:creator>Gino Madon</dc:creator>
  <cp:keywords/>
  <dc:description/>
  <cp:lastModifiedBy>Suzanne Lavoie</cp:lastModifiedBy>
  <cp:revision>3</cp:revision>
  <cp:lastPrinted>2013-11-28T16:25:00Z</cp:lastPrinted>
  <dcterms:created xsi:type="dcterms:W3CDTF">2021-02-02T18:10:00Z</dcterms:created>
  <dcterms:modified xsi:type="dcterms:W3CDTF">2021-02-02T18:11:00Z</dcterms:modified>
  <cp:category/>
</cp:coreProperties>
</file>