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852E6" w14:textId="4E958959" w:rsidR="00275D8E" w:rsidRPr="008F1691" w:rsidRDefault="00275D8E" w:rsidP="00076999">
      <w:pPr>
        <w:spacing w:line="288" w:lineRule="auto"/>
        <w:ind w:left="272"/>
        <w:rPr>
          <w:rFonts w:ascii="Calibri" w:hAnsi="Calibri" w:cs="Calibri"/>
          <w:sz w:val="22"/>
          <w:szCs w:val="22"/>
        </w:rPr>
      </w:pPr>
    </w:p>
    <w:p w14:paraId="799DAA6E" w14:textId="2F4B5952" w:rsidR="008F1691" w:rsidRPr="008F1691" w:rsidRDefault="008F1691" w:rsidP="008F1691">
      <w:pPr>
        <w:jc w:val="center"/>
        <w:rPr>
          <w:rFonts w:ascii="Calibri" w:hAnsi="Calibri" w:cs="Calibri"/>
          <w:sz w:val="22"/>
          <w:szCs w:val="22"/>
        </w:rPr>
      </w:pPr>
    </w:p>
    <w:p w14:paraId="30A033AD" w14:textId="33DBFE47" w:rsidR="008F1691" w:rsidRPr="008F1691" w:rsidRDefault="008F1691" w:rsidP="008F1691">
      <w:pPr>
        <w:jc w:val="center"/>
        <w:rPr>
          <w:rFonts w:ascii="Calibri" w:hAnsi="Calibri" w:cs="Calibri"/>
          <w:b/>
          <w:bCs/>
          <w:sz w:val="22"/>
          <w:szCs w:val="22"/>
          <w:u w:val="single"/>
        </w:rPr>
      </w:pPr>
      <w:r w:rsidRPr="008F1691">
        <w:rPr>
          <w:rFonts w:ascii="Calibri" w:hAnsi="Calibri" w:cs="Calibri"/>
          <w:b/>
          <w:bCs/>
          <w:sz w:val="22"/>
          <w:szCs w:val="22"/>
          <w:u w:val="single"/>
        </w:rPr>
        <w:t>Politique encadrant les absences pour les visites médicales et les traitements dans le cadre d’un dossier de lésion professionnelle</w:t>
      </w:r>
    </w:p>
    <w:p w14:paraId="0CEB351D" w14:textId="5AB449E6" w:rsidR="008F1691" w:rsidRPr="008F1691" w:rsidRDefault="008F1691" w:rsidP="008F1691">
      <w:pPr>
        <w:rPr>
          <w:rFonts w:ascii="Calibri" w:hAnsi="Calibri" w:cs="Calibri"/>
          <w:i/>
          <w:iCs/>
          <w:sz w:val="18"/>
          <w:szCs w:val="18"/>
        </w:rPr>
      </w:pPr>
      <w:r w:rsidRPr="008F1691">
        <w:rPr>
          <w:rFonts w:ascii="Calibri" w:hAnsi="Calibri" w:cs="Calibri"/>
          <w:i/>
          <w:iCs/>
          <w:sz w:val="18"/>
          <w:szCs w:val="18"/>
        </w:rPr>
        <w:t>N.B. Le masculin est utilisé dans le but d’alléger le texte et sans préjudice à la forme féminine</w:t>
      </w:r>
    </w:p>
    <w:p w14:paraId="36615507" w14:textId="434C85E6" w:rsidR="008F1691" w:rsidRPr="008F1691" w:rsidRDefault="008F1691" w:rsidP="008F1691">
      <w:pPr>
        <w:jc w:val="both"/>
        <w:rPr>
          <w:rFonts w:ascii="Calibri" w:hAnsi="Calibri" w:cs="Calibri"/>
          <w:b/>
          <w:bCs/>
          <w:sz w:val="22"/>
          <w:szCs w:val="22"/>
          <w:u w:val="single"/>
        </w:rPr>
      </w:pPr>
    </w:p>
    <w:p w14:paraId="4F07CFEC" w14:textId="5E3AE729" w:rsidR="008F1691" w:rsidRPr="008F1691" w:rsidRDefault="008F1691" w:rsidP="008F1691">
      <w:pPr>
        <w:pStyle w:val="Paragraphedeliste"/>
        <w:numPr>
          <w:ilvl w:val="0"/>
          <w:numId w:val="1"/>
        </w:numPr>
        <w:jc w:val="both"/>
        <w:rPr>
          <w:rFonts w:ascii="Calibri" w:hAnsi="Calibri" w:cs="Calibri"/>
          <w:b/>
          <w:bCs/>
          <w:sz w:val="22"/>
          <w:szCs w:val="22"/>
        </w:rPr>
      </w:pPr>
      <w:r w:rsidRPr="008F1691">
        <w:rPr>
          <w:rFonts w:ascii="Calibri" w:hAnsi="Calibri" w:cs="Calibri"/>
          <w:b/>
          <w:bCs/>
          <w:sz w:val="22"/>
          <w:szCs w:val="22"/>
        </w:rPr>
        <w:t>Objectif</w:t>
      </w:r>
    </w:p>
    <w:p w14:paraId="79C07D87" w14:textId="2F90AC14" w:rsidR="008F1691" w:rsidRPr="008F1691" w:rsidRDefault="008F1691" w:rsidP="008F1691">
      <w:pPr>
        <w:jc w:val="both"/>
        <w:rPr>
          <w:rFonts w:ascii="Calibri" w:hAnsi="Calibri" w:cs="Calibri"/>
          <w:sz w:val="22"/>
          <w:szCs w:val="22"/>
        </w:rPr>
      </w:pPr>
      <w:r w:rsidRPr="008F1691">
        <w:rPr>
          <w:rFonts w:ascii="Calibri" w:hAnsi="Calibri" w:cs="Calibri"/>
          <w:sz w:val="22"/>
          <w:szCs w:val="22"/>
        </w:rPr>
        <w:t>Encadrer les absences pour rendez-vous médicaux et traitements par un employé relativement à une lésion professionnelle.</w:t>
      </w:r>
    </w:p>
    <w:p w14:paraId="689C9A5A" w14:textId="123D17C0" w:rsidR="008F1691" w:rsidRPr="008F1691" w:rsidRDefault="008F1691" w:rsidP="008F1691">
      <w:pPr>
        <w:jc w:val="both"/>
        <w:rPr>
          <w:rFonts w:ascii="Calibri" w:hAnsi="Calibri" w:cs="Calibri"/>
          <w:b/>
          <w:bCs/>
          <w:sz w:val="22"/>
          <w:szCs w:val="22"/>
        </w:rPr>
      </w:pPr>
    </w:p>
    <w:p w14:paraId="5ADA67B4" w14:textId="77777777" w:rsidR="008F1691" w:rsidRPr="008F1691" w:rsidRDefault="008F1691" w:rsidP="008F1691">
      <w:pPr>
        <w:pStyle w:val="Paragraphedeliste"/>
        <w:numPr>
          <w:ilvl w:val="0"/>
          <w:numId w:val="1"/>
        </w:numPr>
        <w:jc w:val="both"/>
        <w:rPr>
          <w:rFonts w:ascii="Calibri" w:hAnsi="Calibri" w:cs="Calibri"/>
          <w:b/>
          <w:bCs/>
          <w:sz w:val="22"/>
          <w:szCs w:val="22"/>
        </w:rPr>
      </w:pPr>
      <w:r w:rsidRPr="008F1691">
        <w:rPr>
          <w:rFonts w:ascii="Calibri" w:hAnsi="Calibri" w:cs="Calibri"/>
          <w:b/>
          <w:bCs/>
          <w:sz w:val="22"/>
          <w:szCs w:val="22"/>
        </w:rPr>
        <w:t>Cadre juridique</w:t>
      </w:r>
    </w:p>
    <w:p w14:paraId="07C94BA5" w14:textId="77777777" w:rsidR="008F1691" w:rsidRPr="008F1691" w:rsidRDefault="008F1691" w:rsidP="008F1691">
      <w:pPr>
        <w:jc w:val="both"/>
        <w:rPr>
          <w:rFonts w:ascii="Calibri" w:hAnsi="Calibri" w:cs="Calibri"/>
          <w:sz w:val="22"/>
          <w:szCs w:val="22"/>
        </w:rPr>
      </w:pPr>
      <w:r w:rsidRPr="008F1691">
        <w:rPr>
          <w:rFonts w:ascii="Calibri" w:hAnsi="Calibri" w:cs="Calibri"/>
          <w:sz w:val="22"/>
          <w:szCs w:val="22"/>
        </w:rPr>
        <w:t>L’article 61 de la Loi sur les accidents du travail et les maladies professionnelles (LATMP) agit à titre de référence.</w:t>
      </w:r>
    </w:p>
    <w:p w14:paraId="5067B7F5" w14:textId="1C191017" w:rsidR="008F1691" w:rsidRPr="008F1691" w:rsidRDefault="008F1691" w:rsidP="008F1691">
      <w:pPr>
        <w:jc w:val="both"/>
        <w:rPr>
          <w:rFonts w:ascii="Calibri" w:hAnsi="Calibri" w:cs="Calibri"/>
          <w:sz w:val="22"/>
          <w:szCs w:val="22"/>
        </w:rPr>
      </w:pPr>
    </w:p>
    <w:p w14:paraId="360902A1" w14:textId="440CEDA6" w:rsidR="008F1691" w:rsidRPr="008F1691" w:rsidRDefault="008F1691" w:rsidP="008F1691">
      <w:pPr>
        <w:jc w:val="both"/>
        <w:rPr>
          <w:rFonts w:ascii="Calibri" w:hAnsi="Calibri" w:cs="Calibri"/>
          <w:sz w:val="22"/>
          <w:szCs w:val="22"/>
        </w:rPr>
      </w:pPr>
      <w:r w:rsidRPr="008F1691">
        <w:rPr>
          <w:rFonts w:ascii="Calibri" w:hAnsi="Calibri" w:cs="Calibri"/>
          <w:sz w:val="22"/>
          <w:szCs w:val="22"/>
        </w:rPr>
        <w:t>Art. 61</w:t>
      </w:r>
    </w:p>
    <w:p w14:paraId="12B69F0D" w14:textId="331B4123" w:rsidR="008F1691" w:rsidRPr="008F1691" w:rsidRDefault="008F1691" w:rsidP="008F1691">
      <w:pPr>
        <w:jc w:val="both"/>
        <w:rPr>
          <w:rFonts w:ascii="Calibri" w:hAnsi="Calibri" w:cs="Calibri"/>
          <w:sz w:val="22"/>
          <w:szCs w:val="22"/>
        </w:rPr>
      </w:pPr>
      <w:r w:rsidRPr="008F1691">
        <w:rPr>
          <w:rFonts w:ascii="Calibri" w:hAnsi="Calibri" w:cs="Calibri"/>
          <w:sz w:val="22"/>
          <w:szCs w:val="22"/>
        </w:rPr>
        <w:t xml:space="preserve">« Lorsqu’un travailleur victime d’une lésion professionnelle est de retour au travail, son employeur lui verse son salaire net pour chaque jour ou partie de jour où ce travailleur doit s’absenter de son travail pour recevoir des soins ou subir des examens médicaux relativement à sa lésion ou pour accomplir une activité dans le cadre de son plan individualisé de réadaptation. » </w:t>
      </w:r>
    </w:p>
    <w:p w14:paraId="030070EC" w14:textId="2DCBA890" w:rsidR="008F1691" w:rsidRPr="008F1691" w:rsidRDefault="008F1691" w:rsidP="008F1691">
      <w:pPr>
        <w:jc w:val="both"/>
        <w:rPr>
          <w:rFonts w:ascii="Calibri" w:hAnsi="Calibri" w:cs="Calibri"/>
          <w:b/>
          <w:bCs/>
          <w:sz w:val="22"/>
          <w:szCs w:val="22"/>
        </w:rPr>
      </w:pPr>
    </w:p>
    <w:p w14:paraId="42F8ADE1" w14:textId="0DE9F3D2" w:rsidR="008F1691" w:rsidRPr="008F1691" w:rsidRDefault="008F1691" w:rsidP="008F1691">
      <w:pPr>
        <w:pStyle w:val="Paragraphedeliste"/>
        <w:numPr>
          <w:ilvl w:val="0"/>
          <w:numId w:val="1"/>
        </w:numPr>
        <w:jc w:val="both"/>
        <w:rPr>
          <w:rFonts w:ascii="Calibri" w:hAnsi="Calibri" w:cs="Calibri"/>
          <w:b/>
          <w:bCs/>
          <w:sz w:val="22"/>
          <w:szCs w:val="22"/>
        </w:rPr>
      </w:pPr>
      <w:r w:rsidRPr="008F1691">
        <w:rPr>
          <w:rFonts w:ascii="Calibri" w:hAnsi="Calibri" w:cs="Calibri"/>
          <w:b/>
          <w:bCs/>
          <w:sz w:val="22"/>
          <w:szCs w:val="22"/>
        </w:rPr>
        <w:t xml:space="preserve">Champs d’application </w:t>
      </w:r>
    </w:p>
    <w:p w14:paraId="593367A8" w14:textId="7D720FC5" w:rsidR="008F1691" w:rsidRPr="008F1691" w:rsidRDefault="008F1691" w:rsidP="008F1691">
      <w:pPr>
        <w:jc w:val="both"/>
        <w:rPr>
          <w:rFonts w:ascii="Calibri" w:hAnsi="Calibri" w:cs="Calibri"/>
          <w:sz w:val="22"/>
          <w:szCs w:val="22"/>
        </w:rPr>
      </w:pPr>
      <w:r w:rsidRPr="008F1691">
        <w:rPr>
          <w:rFonts w:ascii="Calibri" w:hAnsi="Calibri" w:cs="Calibri"/>
          <w:sz w:val="22"/>
          <w:szCs w:val="22"/>
        </w:rPr>
        <w:t>Cette procédure s’applique à (nom de l’entreprise) et à l’ensemble de ses employés</w:t>
      </w:r>
      <w:r>
        <w:rPr>
          <w:rFonts w:ascii="Calibri" w:hAnsi="Calibri" w:cs="Calibri"/>
          <w:sz w:val="22"/>
          <w:szCs w:val="22"/>
        </w:rPr>
        <w:t>.</w:t>
      </w:r>
      <w:r w:rsidRPr="008F1691">
        <w:rPr>
          <w:rFonts w:ascii="Calibri" w:hAnsi="Calibri" w:cs="Calibri"/>
          <w:sz w:val="22"/>
          <w:szCs w:val="22"/>
        </w:rPr>
        <w:t xml:space="preserve"> </w:t>
      </w:r>
    </w:p>
    <w:p w14:paraId="241C7D7C" w14:textId="411A3D71" w:rsidR="008F1691" w:rsidRPr="008F1691" w:rsidRDefault="008F1691" w:rsidP="008F1691">
      <w:pPr>
        <w:jc w:val="both"/>
        <w:rPr>
          <w:rFonts w:ascii="Calibri" w:hAnsi="Calibri" w:cs="Calibri"/>
          <w:b/>
          <w:bCs/>
          <w:sz w:val="22"/>
          <w:szCs w:val="22"/>
        </w:rPr>
      </w:pPr>
    </w:p>
    <w:p w14:paraId="7406D5A3" w14:textId="57AD453C" w:rsidR="008F1691" w:rsidRPr="008F1691" w:rsidRDefault="008F1691" w:rsidP="008F1691">
      <w:pPr>
        <w:pStyle w:val="Paragraphedeliste"/>
        <w:numPr>
          <w:ilvl w:val="0"/>
          <w:numId w:val="1"/>
        </w:numPr>
        <w:jc w:val="both"/>
        <w:rPr>
          <w:rFonts w:ascii="Calibri" w:hAnsi="Calibri" w:cs="Calibri"/>
          <w:b/>
          <w:bCs/>
          <w:sz w:val="22"/>
          <w:szCs w:val="22"/>
        </w:rPr>
      </w:pPr>
      <w:r w:rsidRPr="008F1691">
        <w:rPr>
          <w:rFonts w:ascii="Calibri" w:hAnsi="Calibri" w:cs="Calibri"/>
          <w:b/>
          <w:bCs/>
          <w:sz w:val="22"/>
          <w:szCs w:val="22"/>
        </w:rPr>
        <w:t xml:space="preserve">Responsabilités des parties </w:t>
      </w:r>
    </w:p>
    <w:p w14:paraId="453EB504" w14:textId="5CB60755" w:rsidR="008F1691" w:rsidRPr="008F1691" w:rsidRDefault="008F1691" w:rsidP="008F1691">
      <w:pPr>
        <w:jc w:val="both"/>
        <w:rPr>
          <w:rFonts w:ascii="Calibri" w:hAnsi="Calibri" w:cs="Calibri"/>
          <w:sz w:val="22"/>
          <w:szCs w:val="22"/>
        </w:rPr>
      </w:pPr>
      <w:r w:rsidRPr="008F1691">
        <w:rPr>
          <w:rFonts w:ascii="Calibri" w:hAnsi="Calibri" w:cs="Calibri"/>
          <w:sz w:val="22"/>
          <w:szCs w:val="22"/>
        </w:rPr>
        <w:t xml:space="preserve">La haute direction et la direction des ressources humaines sont responsables de la diffusion et de l’application de la présente politique. Pour leur part, les travailleurs doivent s’y conformer. Le non-respect de cette politique pourra entraîner des sanctions disciplinaires, le tout, conformément aux procédures internes en la matière. </w:t>
      </w:r>
    </w:p>
    <w:p w14:paraId="11B33C63" w14:textId="011B75EA" w:rsidR="008F1691" w:rsidRPr="008F1691" w:rsidRDefault="008F1691" w:rsidP="008F1691">
      <w:pPr>
        <w:jc w:val="both"/>
        <w:rPr>
          <w:rFonts w:ascii="Calibri" w:hAnsi="Calibri" w:cs="Calibri"/>
          <w:sz w:val="22"/>
          <w:szCs w:val="22"/>
        </w:rPr>
      </w:pPr>
    </w:p>
    <w:p w14:paraId="242064F4" w14:textId="21DCB255" w:rsidR="008F1691" w:rsidRPr="008F1691" w:rsidRDefault="008F1691" w:rsidP="008F1691">
      <w:pPr>
        <w:pStyle w:val="Paragraphedeliste"/>
        <w:numPr>
          <w:ilvl w:val="0"/>
          <w:numId w:val="1"/>
        </w:numPr>
        <w:jc w:val="both"/>
        <w:rPr>
          <w:rFonts w:ascii="Calibri" w:hAnsi="Calibri" w:cs="Calibri"/>
          <w:b/>
          <w:bCs/>
          <w:sz w:val="22"/>
          <w:szCs w:val="22"/>
        </w:rPr>
      </w:pPr>
      <w:r w:rsidRPr="008F1691">
        <w:rPr>
          <w:rFonts w:ascii="Calibri" w:hAnsi="Calibri" w:cs="Calibri"/>
          <w:b/>
          <w:bCs/>
          <w:sz w:val="22"/>
          <w:szCs w:val="22"/>
        </w:rPr>
        <w:t>Procédure</w:t>
      </w:r>
    </w:p>
    <w:p w14:paraId="09CDA6F5" w14:textId="7D6E7665"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Le travailleur qui doit s’absenter pour des rendez-vous médicaux ou des traitements à la suite d’une lésion professionnelle déclarée à la CNESST doit, si possible, prendre ses rendez-vous de façon à minimiser ses absences donc, soit au début de son quart de travail, soit à la fin de son quart de travail.</w:t>
      </w:r>
    </w:p>
    <w:p w14:paraId="318AAEF7" w14:textId="38C10819"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Le travailleur doit aviser son employeur/supérieur de ses absences pour rendez-vous médicaux ou traitements avant la production des horaires de travail.</w:t>
      </w:r>
    </w:p>
    <w:p w14:paraId="306708C8" w14:textId="49609183"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Une preuve de la présence au rendez-vous médicaux ou au traitement doit être remise au responsable de l’administration/ressources humaines.</w:t>
      </w:r>
    </w:p>
    <w:p w14:paraId="7BC8AC55" w14:textId="7972766C"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 xml:space="preserve">L’employeur paie au travailleur le temps nécessaire pour son rendez-vous et le temps de déplacement, jusqu’à concurrence de deux heures. </w:t>
      </w:r>
    </w:p>
    <w:p w14:paraId="5C882440" w14:textId="77777777"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Le cas échéant où une situation particulière exigerait un temps supplémentaire, une pièce justificative confirmant l’heure de départ de la clinique sera exigée.</w:t>
      </w:r>
    </w:p>
    <w:p w14:paraId="6DE39053" w14:textId="43C60719"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Au besoin, une douche est accessible sur les lieux du travail. L’employeur s’attend à ce que l’employé utilise celle-ci, en cas de besoin, avant son rendez-vous médical ou son traitement.</w:t>
      </w:r>
    </w:p>
    <w:p w14:paraId="1F0B268C" w14:textId="77777777" w:rsidR="008F1691" w:rsidRPr="008F1691" w:rsidRDefault="008F1691" w:rsidP="008F1691">
      <w:pPr>
        <w:pStyle w:val="Paragraphedeliste"/>
        <w:ind w:left="1128"/>
        <w:jc w:val="both"/>
        <w:rPr>
          <w:rFonts w:ascii="Calibri" w:hAnsi="Calibri" w:cs="Calibri"/>
          <w:b/>
          <w:bCs/>
          <w:sz w:val="22"/>
          <w:szCs w:val="22"/>
        </w:rPr>
      </w:pPr>
    </w:p>
    <w:p w14:paraId="4E24C1A1" w14:textId="77777777"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 xml:space="preserve"> Le travailleur doit se présenter à l’heure prévue de son quart de travail. Le cas échéant où le rendez-vous médical ou son traitement est prévu moins d’une (1) heure suivant le début du quart de travail, le travailleur pourra accomplir des tâches d’assignation temporaire dans les bureaux.</w:t>
      </w:r>
    </w:p>
    <w:p w14:paraId="73251287" w14:textId="77777777"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Le travailleur doit se présenter à l’heure prévue de son quart de travail. Si le rendez-vous médical ou le traitement a lieu plus d’une (1) heure suivant le début du quart de travail, le travailleur doit accomplir les tâches de son assignation temporaire, autorisée par son médecin, dans les lieux habituels.</w:t>
      </w:r>
    </w:p>
    <w:p w14:paraId="7044CB76" w14:textId="77777777" w:rsidR="008F1691" w:rsidRPr="008F1691" w:rsidRDefault="008F1691" w:rsidP="008F1691">
      <w:pPr>
        <w:pStyle w:val="Paragraphedeliste"/>
        <w:numPr>
          <w:ilvl w:val="1"/>
          <w:numId w:val="1"/>
        </w:numPr>
        <w:jc w:val="both"/>
        <w:rPr>
          <w:rFonts w:ascii="Calibri" w:hAnsi="Calibri" w:cs="Calibri"/>
          <w:b/>
          <w:bCs/>
          <w:sz w:val="22"/>
          <w:szCs w:val="22"/>
        </w:rPr>
      </w:pPr>
      <w:r w:rsidRPr="008F1691">
        <w:rPr>
          <w:rFonts w:ascii="Calibri" w:hAnsi="Calibri" w:cs="Calibri"/>
          <w:sz w:val="22"/>
          <w:szCs w:val="22"/>
        </w:rPr>
        <w:t>Le cas échéant où il resterait moins d’une (1) heure au quart de travail, le travailleur doit tout de même se présenter au travail, après son rendez-vous médical ou son traitement, pour accomplir des tâches d’assignation temporaire dans les bureaux.</w:t>
      </w:r>
    </w:p>
    <w:p w14:paraId="1A3E68FA" w14:textId="77777777" w:rsidR="008F1691" w:rsidRPr="008F1691" w:rsidRDefault="008F1691" w:rsidP="008F1691">
      <w:pPr>
        <w:pStyle w:val="Paragraphedeliste"/>
        <w:numPr>
          <w:ilvl w:val="1"/>
          <w:numId w:val="1"/>
        </w:numPr>
        <w:ind w:left="1134" w:hanging="567"/>
        <w:jc w:val="both"/>
        <w:rPr>
          <w:rFonts w:ascii="Calibri" w:hAnsi="Calibri" w:cs="Calibri"/>
          <w:b/>
          <w:bCs/>
          <w:sz w:val="22"/>
          <w:szCs w:val="22"/>
        </w:rPr>
      </w:pPr>
      <w:r w:rsidRPr="008F1691">
        <w:rPr>
          <w:rFonts w:ascii="Calibri" w:hAnsi="Calibri" w:cs="Calibri"/>
          <w:sz w:val="22"/>
          <w:szCs w:val="22"/>
        </w:rPr>
        <w:t xml:space="preserve">S’il reste une (1) heure et plus au quart de travail, le travailleur doit retourner, à ses tâches d’assignation temporaire, autorisée par son médecin dans les lieux habituels après son rendez-vous médical ou son traitement. </w:t>
      </w:r>
    </w:p>
    <w:p w14:paraId="674E0314" w14:textId="77777777" w:rsidR="008F1691" w:rsidRPr="008F1691" w:rsidRDefault="008F1691" w:rsidP="008F1691">
      <w:pPr>
        <w:pStyle w:val="Paragraphedeliste"/>
        <w:numPr>
          <w:ilvl w:val="1"/>
          <w:numId w:val="1"/>
        </w:numPr>
        <w:ind w:left="1134" w:hanging="567"/>
        <w:jc w:val="both"/>
        <w:rPr>
          <w:rFonts w:ascii="Calibri" w:hAnsi="Calibri" w:cs="Calibri"/>
          <w:b/>
          <w:bCs/>
          <w:sz w:val="22"/>
          <w:szCs w:val="22"/>
        </w:rPr>
      </w:pPr>
      <w:r w:rsidRPr="008F1691">
        <w:rPr>
          <w:rFonts w:ascii="Calibri" w:hAnsi="Calibri" w:cs="Calibri"/>
          <w:sz w:val="22"/>
          <w:szCs w:val="22"/>
        </w:rPr>
        <w:t xml:space="preserve">Tout cas particulier doit être préalablement autorisé par la haute direction et la direction des ressources humaines. </w:t>
      </w:r>
    </w:p>
    <w:p w14:paraId="36D90250" w14:textId="70E29B6F" w:rsidR="008F1691" w:rsidRPr="008F1691" w:rsidRDefault="008F1691" w:rsidP="008F1691">
      <w:pPr>
        <w:jc w:val="both"/>
        <w:rPr>
          <w:rFonts w:ascii="Calibri" w:hAnsi="Calibri" w:cs="Calibri"/>
          <w:b/>
          <w:bCs/>
          <w:sz w:val="22"/>
          <w:szCs w:val="22"/>
        </w:rPr>
      </w:pPr>
    </w:p>
    <w:p w14:paraId="3E3A8E0E" w14:textId="1A08DCEA" w:rsidR="008F1691" w:rsidRPr="008F1691" w:rsidRDefault="008F1691" w:rsidP="008F1691">
      <w:pPr>
        <w:pStyle w:val="Paragraphedeliste"/>
        <w:numPr>
          <w:ilvl w:val="0"/>
          <w:numId w:val="1"/>
        </w:numPr>
        <w:jc w:val="both"/>
        <w:rPr>
          <w:rFonts w:ascii="Calibri" w:hAnsi="Calibri" w:cs="Calibri"/>
          <w:b/>
          <w:bCs/>
          <w:sz w:val="22"/>
          <w:szCs w:val="22"/>
        </w:rPr>
      </w:pPr>
    </w:p>
    <w:p w14:paraId="67688481" w14:textId="6CB9BB14" w:rsidR="008F1691" w:rsidRPr="008F1691" w:rsidRDefault="008F1691" w:rsidP="008F1691">
      <w:pPr>
        <w:jc w:val="both"/>
        <w:rPr>
          <w:rFonts w:ascii="Calibri" w:hAnsi="Calibri" w:cs="Calibri"/>
          <w:sz w:val="22"/>
          <w:szCs w:val="22"/>
        </w:rPr>
      </w:pPr>
      <w:r w:rsidRPr="008F1691">
        <w:rPr>
          <w:rFonts w:ascii="Calibri" w:hAnsi="Calibri" w:cs="Calibri"/>
          <w:sz w:val="22"/>
          <w:szCs w:val="22"/>
        </w:rPr>
        <w:t xml:space="preserve">La présente politique a été approuvée le ____ (date) ____par _____________(signature). </w:t>
      </w:r>
    </w:p>
    <w:p w14:paraId="2FB02567" w14:textId="77777777" w:rsidR="008F1691" w:rsidRPr="008F1691" w:rsidRDefault="008F1691" w:rsidP="008F1691">
      <w:pPr>
        <w:jc w:val="both"/>
        <w:rPr>
          <w:rFonts w:ascii="Calibri" w:hAnsi="Calibri" w:cs="Calibri"/>
          <w:b/>
          <w:bCs/>
          <w:sz w:val="22"/>
          <w:szCs w:val="22"/>
        </w:rPr>
      </w:pPr>
    </w:p>
    <w:p w14:paraId="1397A069" w14:textId="77777777" w:rsidR="008F1691" w:rsidRPr="008F1691" w:rsidRDefault="008F1691" w:rsidP="008F1691">
      <w:pPr>
        <w:pStyle w:val="Paragraphedeliste"/>
        <w:numPr>
          <w:ilvl w:val="0"/>
          <w:numId w:val="1"/>
        </w:numPr>
        <w:jc w:val="both"/>
        <w:rPr>
          <w:rFonts w:ascii="Calibri" w:hAnsi="Calibri" w:cs="Calibri"/>
          <w:b/>
          <w:bCs/>
          <w:sz w:val="22"/>
          <w:szCs w:val="22"/>
        </w:rPr>
      </w:pPr>
      <w:r w:rsidRPr="008F1691">
        <w:rPr>
          <w:rFonts w:ascii="Calibri" w:hAnsi="Calibri" w:cs="Calibri"/>
          <w:b/>
          <w:bCs/>
          <w:sz w:val="22"/>
          <w:szCs w:val="22"/>
        </w:rPr>
        <w:t xml:space="preserve">Engagement du travailleur </w:t>
      </w:r>
    </w:p>
    <w:p w14:paraId="3AF19444" w14:textId="0CC54C23" w:rsidR="008F1691" w:rsidRPr="008F1691" w:rsidRDefault="008F1691" w:rsidP="008F1691">
      <w:pPr>
        <w:jc w:val="both"/>
        <w:rPr>
          <w:rFonts w:ascii="Calibri" w:hAnsi="Calibri" w:cs="Calibri"/>
          <w:caps/>
          <w:sz w:val="22"/>
          <w:szCs w:val="22"/>
        </w:rPr>
      </w:pPr>
      <w:r w:rsidRPr="008F1691">
        <w:rPr>
          <w:rFonts w:ascii="Calibri" w:hAnsi="Calibri" w:cs="Calibri"/>
          <w:sz w:val="22"/>
          <w:szCs w:val="22"/>
        </w:rPr>
        <w:t xml:space="preserve">J’affirme, en apposant ma signature, avoir pris connaissance de la politique de l’entreprise en matière d’absence pour rendez-vous médicaux et traitements liés à une lésion professionnelle. </w:t>
      </w:r>
    </w:p>
    <w:p w14:paraId="49E12378" w14:textId="74EFB92A" w:rsidR="008F1691" w:rsidRDefault="008F1691" w:rsidP="008F1691">
      <w:pPr>
        <w:jc w:val="both"/>
        <w:rPr>
          <w:rFonts w:ascii="Calibri" w:hAnsi="Calibri" w:cs="Calibri"/>
          <w:sz w:val="22"/>
          <w:szCs w:val="22"/>
        </w:rPr>
      </w:pPr>
      <w:bookmarkStart w:id="0" w:name="_GoBack"/>
      <w:bookmarkEnd w:id="0"/>
    </w:p>
    <w:p w14:paraId="60D1D06A" w14:textId="35295CA8" w:rsidR="008F1691" w:rsidRPr="008F1691" w:rsidRDefault="008F1691" w:rsidP="008F1691">
      <w:pPr>
        <w:jc w:val="both"/>
        <w:rPr>
          <w:rFonts w:ascii="Calibri" w:hAnsi="Calibri" w:cs="Calibri"/>
          <w:sz w:val="22"/>
          <w:szCs w:val="22"/>
        </w:rPr>
      </w:pPr>
    </w:p>
    <w:p w14:paraId="6C3558EF" w14:textId="5AC9BED0" w:rsidR="008F1691" w:rsidRPr="008F1691" w:rsidRDefault="008F1691" w:rsidP="008F1691">
      <w:pPr>
        <w:ind w:left="0"/>
        <w:jc w:val="both"/>
        <w:rPr>
          <w:rFonts w:ascii="Calibri" w:hAnsi="Calibri" w:cs="Calibri"/>
          <w:sz w:val="22"/>
          <w:szCs w:val="22"/>
        </w:rPr>
      </w:pPr>
      <w:r>
        <w:rPr>
          <w:rFonts w:ascii="Calibri" w:hAnsi="Calibri" w:cs="Calibri"/>
          <w:sz w:val="22"/>
          <w:szCs w:val="22"/>
        </w:rPr>
        <w:t xml:space="preserve">     </w:t>
      </w:r>
      <w:r w:rsidRPr="008F1691">
        <w:rPr>
          <w:rFonts w:ascii="Calibri" w:hAnsi="Calibri" w:cs="Calibri"/>
          <w:sz w:val="22"/>
          <w:szCs w:val="22"/>
        </w:rPr>
        <w:t>Signature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Date </w:t>
      </w:r>
    </w:p>
    <w:p w14:paraId="602EAC87" w14:textId="77777777" w:rsidR="008F1691" w:rsidRPr="00A67C54" w:rsidRDefault="008F1691" w:rsidP="00076999">
      <w:pPr>
        <w:spacing w:line="288" w:lineRule="auto"/>
        <w:ind w:left="272"/>
        <w:rPr>
          <w:rFonts w:asciiTheme="majorHAnsi" w:hAnsiTheme="majorHAnsi"/>
          <w:sz w:val="22"/>
          <w:szCs w:val="22"/>
        </w:rPr>
      </w:pPr>
    </w:p>
    <w:sectPr w:rsidR="008F1691" w:rsidRPr="00A67C54" w:rsidSect="00A1736E">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1730F" w14:textId="77777777" w:rsidR="00275D8E" w:rsidRDefault="00275D8E" w:rsidP="00492FC8">
      <w:r>
        <w:separator/>
      </w:r>
    </w:p>
  </w:endnote>
  <w:endnote w:type="continuationSeparator" w:id="0">
    <w:p w14:paraId="6F6D6AB2" w14:textId="77777777" w:rsidR="00275D8E" w:rsidRDefault="00275D8E" w:rsidP="004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Regular">
    <w:altName w:val="Montserrat Regular"/>
    <w:panose1 w:val="02000505000000020004"/>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ED25" w14:textId="77777777" w:rsidR="00275D8E" w:rsidRDefault="00275D8E" w:rsidP="00492F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AB75" w14:textId="77777777" w:rsidR="00275D8E" w:rsidRDefault="00275D8E" w:rsidP="00492F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F47B" w14:textId="77777777" w:rsidR="00275D8E" w:rsidRDefault="00275D8E" w:rsidP="00492F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10E94" w14:textId="77777777" w:rsidR="00275D8E" w:rsidRDefault="00275D8E" w:rsidP="00492FC8">
      <w:r>
        <w:separator/>
      </w:r>
    </w:p>
  </w:footnote>
  <w:footnote w:type="continuationSeparator" w:id="0">
    <w:p w14:paraId="42DEE4DF" w14:textId="77777777" w:rsidR="00275D8E" w:rsidRDefault="00275D8E" w:rsidP="0049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B797" w14:textId="1185ADB1" w:rsidR="00275D8E" w:rsidRDefault="009819E0" w:rsidP="00492FC8">
    <w:pPr>
      <w:pStyle w:val="En-tte"/>
    </w:pPr>
    <w:r>
      <w:rPr>
        <w:noProof/>
        <w:lang w:val="fr-FR"/>
      </w:rPr>
      <w:pict w14:anchorId="50650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left:0;text-align:left;margin-left:0;margin-top:0;width:612pt;height:11in;z-index:-251657216;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5C1B" w14:textId="3DC29F6C" w:rsidR="00275D8E" w:rsidRDefault="009819E0" w:rsidP="00492FC8">
    <w:pPr>
      <w:pStyle w:val="En-tte"/>
    </w:pPr>
    <w:r>
      <w:rPr>
        <w:noProof/>
        <w:lang w:val="fr-FR"/>
      </w:rPr>
      <w:pict w14:anchorId="6E6AC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9" type="#_x0000_t75" style="position:absolute;left:0;text-align:left;margin-left:0;margin-top:0;width:612pt;height:11in;z-index:-251658240;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2616" w14:textId="4FF8B4B0" w:rsidR="00275D8E" w:rsidRDefault="009819E0" w:rsidP="00492FC8">
    <w:pPr>
      <w:pStyle w:val="En-tte"/>
    </w:pPr>
    <w:r>
      <w:rPr>
        <w:noProof/>
        <w:lang w:val="fr-FR"/>
      </w:rPr>
      <w:pict w14:anchorId="1338B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left:0;text-align:left;margin-left:0;margin-top:0;width:612pt;height:11in;z-index:-251656192;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B1319"/>
    <w:multiLevelType w:val="multilevel"/>
    <w:tmpl w:val="A5AA0EBA"/>
    <w:lvl w:ilvl="0">
      <w:start w:val="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8E"/>
    <w:rsid w:val="00076999"/>
    <w:rsid w:val="001C58ED"/>
    <w:rsid w:val="00275D8E"/>
    <w:rsid w:val="0027635D"/>
    <w:rsid w:val="00340B30"/>
    <w:rsid w:val="00347A1E"/>
    <w:rsid w:val="00492FC8"/>
    <w:rsid w:val="00584F7B"/>
    <w:rsid w:val="005B1E08"/>
    <w:rsid w:val="006B5138"/>
    <w:rsid w:val="008F1691"/>
    <w:rsid w:val="009819E0"/>
    <w:rsid w:val="00A1736E"/>
    <w:rsid w:val="00A67C54"/>
    <w:rsid w:val="00D24E67"/>
    <w:rsid w:val="00DB2394"/>
    <w:rsid w:val="00F33CB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794CD"/>
  <w14:defaultImageDpi w14:val="300"/>
  <w15:docId w15:val="{434F3803-6986-4B2B-BCAF-FB282F6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2FC8"/>
    <w:pPr>
      <w:spacing w:line="276" w:lineRule="auto"/>
      <w:ind w:left="270"/>
    </w:pPr>
    <w:rPr>
      <w:rFonts w:ascii="Montserrat-Regular" w:hAnsi="Montserrat-Regular"/>
      <w:sz w:val="20"/>
      <w:szCs w:val="20"/>
    </w:rPr>
  </w:style>
  <w:style w:type="paragraph" w:styleId="Titre1">
    <w:name w:val="heading 1"/>
    <w:basedOn w:val="Normal"/>
    <w:next w:val="Normal"/>
    <w:link w:val="Titre1Car"/>
    <w:uiPriority w:val="9"/>
    <w:qFormat/>
    <w:rsid w:val="00492FC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5D8E"/>
    <w:pPr>
      <w:tabs>
        <w:tab w:val="center" w:pos="4703"/>
        <w:tab w:val="right" w:pos="9406"/>
      </w:tabs>
    </w:pPr>
  </w:style>
  <w:style w:type="character" w:customStyle="1" w:styleId="En-tteCar">
    <w:name w:val="En-tête Car"/>
    <w:basedOn w:val="Policepardfaut"/>
    <w:link w:val="En-tte"/>
    <w:uiPriority w:val="99"/>
    <w:rsid w:val="00275D8E"/>
  </w:style>
  <w:style w:type="paragraph" w:styleId="Pieddepage">
    <w:name w:val="footer"/>
    <w:basedOn w:val="Normal"/>
    <w:link w:val="PieddepageCar"/>
    <w:uiPriority w:val="99"/>
    <w:unhideWhenUsed/>
    <w:rsid w:val="00275D8E"/>
    <w:pPr>
      <w:tabs>
        <w:tab w:val="center" w:pos="4703"/>
        <w:tab w:val="right" w:pos="9406"/>
      </w:tabs>
    </w:pPr>
  </w:style>
  <w:style w:type="character" w:customStyle="1" w:styleId="PieddepageCar">
    <w:name w:val="Pied de page Car"/>
    <w:basedOn w:val="Policepardfaut"/>
    <w:link w:val="Pieddepage"/>
    <w:uiPriority w:val="99"/>
    <w:rsid w:val="00275D8E"/>
  </w:style>
  <w:style w:type="paragraph" w:styleId="Sansinterligne">
    <w:name w:val="No Spacing"/>
    <w:uiPriority w:val="1"/>
    <w:qFormat/>
    <w:rsid w:val="00492FC8"/>
  </w:style>
  <w:style w:type="character" w:customStyle="1" w:styleId="Titre1Car">
    <w:name w:val="Titre 1 Car"/>
    <w:basedOn w:val="Policepardfaut"/>
    <w:link w:val="Titre1"/>
    <w:uiPriority w:val="9"/>
    <w:rsid w:val="00492FC8"/>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8F1691"/>
    <w:pPr>
      <w:spacing w:line="240" w:lineRule="auto"/>
      <w:ind w:left="720"/>
      <w:contextualSpacing/>
    </w:pPr>
    <w:rPr>
      <w:rFonts w:asciiTheme="minorHAnsi" w:eastAsiaTheme="minorHAnsi" w:hAnsi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6439">
      <w:bodyDiv w:val="1"/>
      <w:marLeft w:val="0"/>
      <w:marRight w:val="0"/>
      <w:marTop w:val="0"/>
      <w:marBottom w:val="0"/>
      <w:divBdr>
        <w:top w:val="none" w:sz="0" w:space="0" w:color="auto"/>
        <w:left w:val="none" w:sz="0" w:space="0" w:color="auto"/>
        <w:bottom w:val="none" w:sz="0" w:space="0" w:color="auto"/>
        <w:right w:val="none" w:sz="0" w:space="0" w:color="auto"/>
      </w:divBdr>
    </w:div>
    <w:div w:id="573514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3383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 triomphe</dc:creator>
  <cp:keywords/>
  <dc:description/>
  <cp:lastModifiedBy>Christine Magnan</cp:lastModifiedBy>
  <cp:revision>2</cp:revision>
  <cp:lastPrinted>2017-03-02T18:51:00Z</cp:lastPrinted>
  <dcterms:created xsi:type="dcterms:W3CDTF">2020-06-11T17:49:00Z</dcterms:created>
  <dcterms:modified xsi:type="dcterms:W3CDTF">2020-06-11T17:49:00Z</dcterms:modified>
</cp:coreProperties>
</file>