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1B87" w14:textId="09FD9CB9" w:rsidR="0098443C" w:rsidRPr="0098443C" w:rsidRDefault="0098443C" w:rsidP="0098443C">
      <w:pPr>
        <w:rPr>
          <w:b/>
          <w:bCs/>
          <w:color w:val="000000" w:themeColor="text1"/>
          <w:sz w:val="24"/>
          <w:szCs w:val="24"/>
        </w:rPr>
      </w:pPr>
      <w:r w:rsidRPr="0098443C">
        <w:rPr>
          <w:b/>
          <w:bCs/>
          <w:color w:val="000000" w:themeColor="text1"/>
          <w:sz w:val="24"/>
          <w:szCs w:val="24"/>
        </w:rPr>
        <w:t>FOR IMMEDIATE RELEASE</w:t>
      </w:r>
      <w:r w:rsidR="000E0135">
        <w:rPr>
          <w:b/>
          <w:bCs/>
          <w:color w:val="000000" w:themeColor="text1"/>
          <w:sz w:val="24"/>
          <w:szCs w:val="24"/>
        </w:rPr>
        <w:t xml:space="preserve"> </w:t>
      </w:r>
      <w:r w:rsidRPr="0098443C">
        <w:rPr>
          <w:b/>
          <w:bCs/>
          <w:color w:val="000000" w:themeColor="text1"/>
          <w:sz w:val="24"/>
          <w:szCs w:val="24"/>
        </w:rPr>
        <w:br/>
        <w:t>October 21, 2025</w:t>
      </w:r>
    </w:p>
    <w:p w14:paraId="2627F185" w14:textId="6050FADF" w:rsidR="0098443C" w:rsidRPr="0098443C" w:rsidRDefault="00EB7EC7" w:rsidP="0098443C">
      <w:pPr>
        <w:rPr>
          <w:b/>
          <w:bCs/>
          <w:color w:val="000000" w:themeColor="text1"/>
          <w:sz w:val="24"/>
          <w:szCs w:val="24"/>
        </w:rPr>
      </w:pPr>
      <w:r>
        <w:rPr>
          <w:b/>
          <w:bCs/>
          <w:color w:val="000000" w:themeColor="text1"/>
          <w:sz w:val="24"/>
          <w:szCs w:val="24"/>
        </w:rPr>
        <w:t xml:space="preserve">While </w:t>
      </w:r>
      <w:r w:rsidR="0098443C" w:rsidRPr="0098443C">
        <w:rPr>
          <w:b/>
          <w:bCs/>
          <w:color w:val="000000" w:themeColor="text1"/>
          <w:sz w:val="24"/>
          <w:szCs w:val="24"/>
        </w:rPr>
        <w:t>Toronto Residents Split on Mayor Chow’s Performance Rating, Majority Believe City is on the Wrong Track, Mayor and Council Seen as Out of Touch</w:t>
      </w:r>
    </w:p>
    <w:p w14:paraId="65694F3C" w14:textId="77777777" w:rsidR="0098443C" w:rsidRPr="0098443C" w:rsidRDefault="0098443C" w:rsidP="0098443C">
      <w:pPr>
        <w:rPr>
          <w:color w:val="000000" w:themeColor="text1"/>
          <w:sz w:val="24"/>
          <w:szCs w:val="24"/>
        </w:rPr>
      </w:pPr>
      <w:r w:rsidRPr="0098443C">
        <w:rPr>
          <w:color w:val="000000" w:themeColor="text1"/>
          <w:sz w:val="24"/>
          <w:szCs w:val="24"/>
        </w:rPr>
        <w:t>A year out from the next municipal election, Toronto residents are evenly divided on Mayor Olivia Chow’s performance, even as two-thirds believe the city is headed in the wrong direction, according to a new </w:t>
      </w:r>
      <w:r w:rsidRPr="0098443C">
        <w:rPr>
          <w:i/>
          <w:iCs/>
          <w:color w:val="000000" w:themeColor="text1"/>
          <w:sz w:val="24"/>
          <w:szCs w:val="24"/>
        </w:rPr>
        <w:t>Toronto/GTA Civic Politics 2025</w:t>
      </w:r>
      <w:r w:rsidRPr="0098443C">
        <w:rPr>
          <w:color w:val="000000" w:themeColor="text1"/>
          <w:sz w:val="24"/>
          <w:szCs w:val="24"/>
        </w:rPr>
        <w:t> survey conducted for Rogers CityNews by Canada Pulse Insights.</w:t>
      </w:r>
    </w:p>
    <w:p w14:paraId="14119B6C" w14:textId="0E7BC6A7" w:rsidR="0098443C" w:rsidRPr="0098443C" w:rsidRDefault="0098443C" w:rsidP="0098443C">
      <w:pPr>
        <w:rPr>
          <w:color w:val="000000" w:themeColor="text1"/>
          <w:sz w:val="24"/>
          <w:szCs w:val="24"/>
        </w:rPr>
      </w:pPr>
      <w:r w:rsidRPr="0098443C">
        <w:rPr>
          <w:color w:val="000000" w:themeColor="text1"/>
          <w:sz w:val="24"/>
          <w:szCs w:val="24"/>
        </w:rPr>
        <w:t>The poll</w:t>
      </w:r>
      <w:r w:rsidR="00AE4D17">
        <w:rPr>
          <w:color w:val="000000" w:themeColor="text1"/>
          <w:sz w:val="24"/>
          <w:szCs w:val="24"/>
        </w:rPr>
        <w:t xml:space="preserve"> </w:t>
      </w:r>
      <w:r w:rsidRPr="0098443C">
        <w:rPr>
          <w:color w:val="000000" w:themeColor="text1"/>
          <w:sz w:val="24"/>
          <w:szCs w:val="24"/>
        </w:rPr>
        <w:t xml:space="preserve">finds 49 percent of Toronto respondents </w:t>
      </w:r>
      <w:r w:rsidR="00AE4D17">
        <w:rPr>
          <w:color w:val="000000" w:themeColor="text1"/>
          <w:sz w:val="24"/>
          <w:szCs w:val="24"/>
        </w:rPr>
        <w:t xml:space="preserve">believing </w:t>
      </w:r>
      <w:r w:rsidRPr="0098443C">
        <w:rPr>
          <w:color w:val="000000" w:themeColor="text1"/>
          <w:sz w:val="24"/>
          <w:szCs w:val="24"/>
        </w:rPr>
        <w:t>Mayor Chow is doing a good job, compared with 51 percent who say she is doing a bad job. Despite generally positive views on basic performance, two-thirds (65%) believe it is “time for a change” at City Hall, while 35 percent say she deserves re-election. In the 2023 municipal election, Chow received 37.2 percent of the vote.</w:t>
      </w:r>
    </w:p>
    <w:p w14:paraId="028443EC" w14:textId="717703D1" w:rsidR="0098443C" w:rsidRPr="0098443C" w:rsidRDefault="0098443C" w:rsidP="0098443C">
      <w:pPr>
        <w:rPr>
          <w:color w:val="000000" w:themeColor="text1"/>
          <w:sz w:val="24"/>
          <w:szCs w:val="24"/>
        </w:rPr>
      </w:pPr>
      <w:r w:rsidRPr="0098443C">
        <w:rPr>
          <w:color w:val="000000" w:themeColor="text1"/>
          <w:sz w:val="24"/>
          <w:szCs w:val="24"/>
        </w:rPr>
        <w:t xml:space="preserve">A closer look at the data </w:t>
      </w:r>
      <w:r w:rsidR="009D0935">
        <w:rPr>
          <w:color w:val="000000" w:themeColor="text1"/>
          <w:sz w:val="24"/>
          <w:szCs w:val="24"/>
        </w:rPr>
        <w:t>reveals that</w:t>
      </w:r>
      <w:r w:rsidRPr="0098443C">
        <w:rPr>
          <w:color w:val="000000" w:themeColor="text1"/>
          <w:sz w:val="24"/>
          <w:szCs w:val="24"/>
        </w:rPr>
        <w:t xml:space="preserve"> Chow’s appeal is wide but not deep: only 13 percent of Toronto residents say she is doing a </w:t>
      </w:r>
      <w:r w:rsidRPr="0098443C">
        <w:rPr>
          <w:i/>
          <w:iCs/>
          <w:color w:val="000000" w:themeColor="text1"/>
          <w:sz w:val="24"/>
          <w:szCs w:val="24"/>
        </w:rPr>
        <w:t>very</w:t>
      </w:r>
      <w:r w:rsidRPr="0098443C">
        <w:rPr>
          <w:color w:val="000000" w:themeColor="text1"/>
          <w:sz w:val="24"/>
          <w:szCs w:val="24"/>
        </w:rPr>
        <w:t xml:space="preserve"> good job. This reflects a perception of adequacy rather than inspiration. Reinforcing that sentiment, one-third (33%) of </w:t>
      </w:r>
      <w:r w:rsidR="00DC603A">
        <w:rPr>
          <w:color w:val="000000" w:themeColor="text1"/>
          <w:sz w:val="24"/>
          <w:szCs w:val="24"/>
        </w:rPr>
        <w:t>potential</w:t>
      </w:r>
      <w:r w:rsidRPr="0098443C">
        <w:rPr>
          <w:color w:val="000000" w:themeColor="text1"/>
          <w:sz w:val="24"/>
          <w:szCs w:val="24"/>
        </w:rPr>
        <w:t xml:space="preserve"> voters for the 2026 municipal election say they are postponing any commitment to </w:t>
      </w:r>
      <w:r w:rsidR="00FD7538">
        <w:rPr>
          <w:color w:val="000000" w:themeColor="text1"/>
          <w:sz w:val="24"/>
          <w:szCs w:val="24"/>
        </w:rPr>
        <w:t xml:space="preserve">any current </w:t>
      </w:r>
      <w:r w:rsidRPr="0098443C">
        <w:rPr>
          <w:color w:val="000000" w:themeColor="text1"/>
          <w:sz w:val="24"/>
          <w:szCs w:val="24"/>
        </w:rPr>
        <w:t>candidates in their choice for mayor.</w:t>
      </w:r>
    </w:p>
    <w:p w14:paraId="272E655D" w14:textId="77777777" w:rsidR="0098443C" w:rsidRPr="0098443C" w:rsidRDefault="0098443C" w:rsidP="0098443C">
      <w:pPr>
        <w:rPr>
          <w:color w:val="000000" w:themeColor="text1"/>
          <w:sz w:val="24"/>
          <w:szCs w:val="24"/>
        </w:rPr>
      </w:pPr>
      <w:r w:rsidRPr="0098443C">
        <w:rPr>
          <w:color w:val="000000" w:themeColor="text1"/>
          <w:sz w:val="24"/>
          <w:szCs w:val="24"/>
        </w:rPr>
        <w:t>In a hypothetical Toronto election matchup, Chow leads with 29 percent support, followed by former Mayor John Tory at 24 percent, Councillor Brad Bradford at 8 percent, and journalist Anthony Furey at 2 percent, while one-third (33%) prefer “someone else.”</w:t>
      </w:r>
    </w:p>
    <w:p w14:paraId="39F37635" w14:textId="77777777" w:rsidR="0098443C" w:rsidRPr="0098443C" w:rsidRDefault="0098443C" w:rsidP="0098443C">
      <w:pPr>
        <w:rPr>
          <w:b/>
          <w:bCs/>
          <w:color w:val="000000" w:themeColor="text1"/>
          <w:sz w:val="24"/>
          <w:szCs w:val="24"/>
        </w:rPr>
      </w:pPr>
      <w:r w:rsidRPr="0098443C">
        <w:rPr>
          <w:b/>
          <w:bCs/>
          <w:color w:val="000000" w:themeColor="text1"/>
          <w:sz w:val="24"/>
          <w:szCs w:val="24"/>
        </w:rPr>
        <w:t>City Direction and Council Evaluations</w:t>
      </w:r>
    </w:p>
    <w:p w14:paraId="4C0A9C6E" w14:textId="77777777" w:rsidR="0098443C" w:rsidRPr="0098443C" w:rsidRDefault="0098443C" w:rsidP="0098443C">
      <w:pPr>
        <w:rPr>
          <w:color w:val="000000" w:themeColor="text1"/>
          <w:sz w:val="24"/>
          <w:szCs w:val="24"/>
        </w:rPr>
      </w:pPr>
      <w:r w:rsidRPr="0098443C">
        <w:rPr>
          <w:color w:val="000000" w:themeColor="text1"/>
          <w:sz w:val="24"/>
          <w:szCs w:val="24"/>
        </w:rPr>
        <w:t>Only one in three Toronto residents (36%) believe the city is heading in the right direction, while 64 percent say it is on the wrong track. In the GTA outside the city, sentiment is nearly identical (35% right direction, 65% wrong track).</w:t>
      </w:r>
    </w:p>
    <w:p w14:paraId="4E20053F" w14:textId="31F3EAB2" w:rsidR="0098443C" w:rsidRPr="0098443C" w:rsidRDefault="0098443C" w:rsidP="0098443C">
      <w:pPr>
        <w:rPr>
          <w:color w:val="000000" w:themeColor="text1"/>
          <w:sz w:val="24"/>
          <w:szCs w:val="24"/>
        </w:rPr>
      </w:pPr>
      <w:r w:rsidRPr="0098443C">
        <w:rPr>
          <w:color w:val="000000" w:themeColor="text1"/>
          <w:sz w:val="24"/>
          <w:szCs w:val="24"/>
        </w:rPr>
        <w:t xml:space="preserve">Both inside and outside Toronto, </w:t>
      </w:r>
      <w:r w:rsidR="00DD744D">
        <w:rPr>
          <w:color w:val="000000" w:themeColor="text1"/>
          <w:sz w:val="24"/>
          <w:szCs w:val="24"/>
        </w:rPr>
        <w:t xml:space="preserve">more than </w:t>
      </w:r>
      <w:r w:rsidRPr="0098443C">
        <w:rPr>
          <w:color w:val="000000" w:themeColor="text1"/>
          <w:sz w:val="24"/>
          <w:szCs w:val="24"/>
        </w:rPr>
        <w:t>two-thirds of residents (Toronto 68%, GTA 67%) say their mayor and council are out of touch with what residents need. Toronto City Council earns a split review overall (47% good job, 53% bad job), though local councillors receive stronger marks—six in ten Toronto residents (61%) give their local councillor positive ratings.</w:t>
      </w:r>
    </w:p>
    <w:p w14:paraId="3D762132" w14:textId="5D759426" w:rsidR="0098443C" w:rsidRPr="0098443C" w:rsidRDefault="0098443C" w:rsidP="0098443C">
      <w:pPr>
        <w:rPr>
          <w:color w:val="000000" w:themeColor="text1"/>
          <w:sz w:val="24"/>
          <w:szCs w:val="24"/>
        </w:rPr>
      </w:pPr>
      <w:r w:rsidRPr="0098443C">
        <w:rPr>
          <w:color w:val="000000" w:themeColor="text1"/>
          <w:sz w:val="24"/>
          <w:szCs w:val="24"/>
        </w:rPr>
        <w:t xml:space="preserve">In short, while voters appear to be leaning toward change in both Toronto and the GTA, that sentiment remains a year away from being tested, when a more defined and compelling </w:t>
      </w:r>
      <w:r w:rsidR="00200D6D">
        <w:rPr>
          <w:color w:val="000000" w:themeColor="text1"/>
          <w:sz w:val="24"/>
          <w:szCs w:val="24"/>
        </w:rPr>
        <w:t>group</w:t>
      </w:r>
      <w:r w:rsidRPr="0098443C">
        <w:rPr>
          <w:color w:val="000000" w:themeColor="text1"/>
          <w:sz w:val="24"/>
          <w:szCs w:val="24"/>
        </w:rPr>
        <w:t xml:space="preserve"> of candidates </w:t>
      </w:r>
      <w:r w:rsidR="00B3357F">
        <w:rPr>
          <w:color w:val="000000" w:themeColor="text1"/>
          <w:sz w:val="24"/>
          <w:szCs w:val="24"/>
        </w:rPr>
        <w:t xml:space="preserve">and their campaigns </w:t>
      </w:r>
      <w:r w:rsidRPr="0098443C">
        <w:rPr>
          <w:color w:val="000000" w:themeColor="text1"/>
          <w:sz w:val="24"/>
          <w:szCs w:val="24"/>
        </w:rPr>
        <w:t>will emerge.</w:t>
      </w:r>
    </w:p>
    <w:p w14:paraId="3965F377" w14:textId="77777777" w:rsidR="0012353B" w:rsidRDefault="0012353B" w:rsidP="0098443C">
      <w:pPr>
        <w:rPr>
          <w:b/>
          <w:bCs/>
          <w:color w:val="000000" w:themeColor="text1"/>
          <w:sz w:val="24"/>
          <w:szCs w:val="24"/>
        </w:rPr>
      </w:pPr>
    </w:p>
    <w:p w14:paraId="77E456CC" w14:textId="1159B448" w:rsidR="0098443C" w:rsidRPr="0098443C" w:rsidRDefault="0098443C" w:rsidP="0098443C">
      <w:pPr>
        <w:rPr>
          <w:b/>
          <w:bCs/>
          <w:color w:val="000000" w:themeColor="text1"/>
          <w:sz w:val="24"/>
          <w:szCs w:val="24"/>
        </w:rPr>
      </w:pPr>
      <w:r w:rsidRPr="0098443C">
        <w:rPr>
          <w:b/>
          <w:bCs/>
          <w:color w:val="000000" w:themeColor="text1"/>
          <w:sz w:val="24"/>
          <w:szCs w:val="24"/>
        </w:rPr>
        <w:lastRenderedPageBreak/>
        <w:t>Top Issues Facing Toronto and the GTA</w:t>
      </w:r>
    </w:p>
    <w:p w14:paraId="0DE2D5EF" w14:textId="77777777" w:rsidR="0098443C" w:rsidRPr="0098443C" w:rsidRDefault="0098443C" w:rsidP="0098443C">
      <w:pPr>
        <w:rPr>
          <w:color w:val="000000" w:themeColor="text1"/>
          <w:sz w:val="24"/>
          <w:szCs w:val="24"/>
        </w:rPr>
      </w:pPr>
      <w:r w:rsidRPr="0098443C">
        <w:rPr>
          <w:color w:val="000000" w:themeColor="text1"/>
          <w:sz w:val="24"/>
          <w:szCs w:val="24"/>
        </w:rPr>
        <w:t>Affordability continues to dominate as the leading concern for residents across the region:</w:t>
      </w:r>
    </w:p>
    <w:p w14:paraId="5235F52F" w14:textId="77777777" w:rsidR="0098443C" w:rsidRPr="0098443C" w:rsidRDefault="0098443C" w:rsidP="00F55BC6">
      <w:pPr>
        <w:numPr>
          <w:ilvl w:val="0"/>
          <w:numId w:val="10"/>
        </w:numPr>
        <w:spacing w:after="0"/>
        <w:rPr>
          <w:color w:val="000000" w:themeColor="text1"/>
          <w:sz w:val="24"/>
          <w:szCs w:val="24"/>
        </w:rPr>
      </w:pPr>
      <w:r w:rsidRPr="0098443C">
        <w:rPr>
          <w:color w:val="000000" w:themeColor="text1"/>
          <w:sz w:val="24"/>
          <w:szCs w:val="24"/>
        </w:rPr>
        <w:t>Affordability / cost of living: 49% (Toronto), 51% (GTA)</w:t>
      </w:r>
    </w:p>
    <w:p w14:paraId="7B0BF139" w14:textId="77777777" w:rsidR="0098443C" w:rsidRPr="0098443C" w:rsidRDefault="0098443C" w:rsidP="00F55BC6">
      <w:pPr>
        <w:numPr>
          <w:ilvl w:val="0"/>
          <w:numId w:val="10"/>
        </w:numPr>
        <w:spacing w:after="0"/>
        <w:rPr>
          <w:color w:val="000000" w:themeColor="text1"/>
          <w:sz w:val="24"/>
          <w:szCs w:val="24"/>
        </w:rPr>
      </w:pPr>
      <w:r w:rsidRPr="0098443C">
        <w:rPr>
          <w:color w:val="000000" w:themeColor="text1"/>
          <w:sz w:val="24"/>
          <w:szCs w:val="24"/>
        </w:rPr>
        <w:t>Affordable rent / home ownership: 34% (Toronto), 29% (GTA)</w:t>
      </w:r>
    </w:p>
    <w:p w14:paraId="14322028" w14:textId="77777777" w:rsidR="0098443C" w:rsidRPr="0098443C" w:rsidRDefault="0098443C" w:rsidP="00F55BC6">
      <w:pPr>
        <w:numPr>
          <w:ilvl w:val="0"/>
          <w:numId w:val="10"/>
        </w:numPr>
        <w:spacing w:after="0"/>
        <w:rPr>
          <w:color w:val="000000" w:themeColor="text1"/>
          <w:sz w:val="24"/>
          <w:szCs w:val="24"/>
        </w:rPr>
      </w:pPr>
      <w:r w:rsidRPr="0098443C">
        <w:rPr>
          <w:color w:val="000000" w:themeColor="text1"/>
          <w:sz w:val="24"/>
          <w:szCs w:val="24"/>
        </w:rPr>
        <w:t>Crime and policing: 29% (Toronto), 34% (GTA)</w:t>
      </w:r>
    </w:p>
    <w:p w14:paraId="6208492A" w14:textId="77777777" w:rsidR="0098443C" w:rsidRPr="0098443C" w:rsidRDefault="0098443C" w:rsidP="00F55BC6">
      <w:pPr>
        <w:numPr>
          <w:ilvl w:val="0"/>
          <w:numId w:val="10"/>
        </w:numPr>
        <w:spacing w:after="0"/>
        <w:rPr>
          <w:color w:val="000000" w:themeColor="text1"/>
          <w:sz w:val="24"/>
          <w:szCs w:val="24"/>
        </w:rPr>
      </w:pPr>
      <w:r w:rsidRPr="0098443C">
        <w:rPr>
          <w:color w:val="000000" w:themeColor="text1"/>
          <w:sz w:val="24"/>
          <w:szCs w:val="24"/>
        </w:rPr>
        <w:t>Traffic congestion / gridlock: 29% (Toronto), 30% (GTA)</w:t>
      </w:r>
    </w:p>
    <w:p w14:paraId="1D31EDCC" w14:textId="25207113" w:rsidR="00F55BC6" w:rsidRDefault="0098443C" w:rsidP="0098443C">
      <w:pPr>
        <w:numPr>
          <w:ilvl w:val="0"/>
          <w:numId w:val="10"/>
        </w:numPr>
        <w:spacing w:after="0"/>
        <w:rPr>
          <w:color w:val="000000" w:themeColor="text1"/>
          <w:sz w:val="24"/>
          <w:szCs w:val="24"/>
        </w:rPr>
      </w:pPr>
      <w:r w:rsidRPr="0098443C">
        <w:rPr>
          <w:color w:val="000000" w:themeColor="text1"/>
          <w:sz w:val="24"/>
          <w:szCs w:val="24"/>
        </w:rPr>
        <w:t>Homelessness: 21% (Toronto), 15% (GTA)</w:t>
      </w:r>
    </w:p>
    <w:p w14:paraId="27F609D5" w14:textId="77777777" w:rsidR="00F55BC6" w:rsidRPr="00F55BC6" w:rsidRDefault="00F55BC6" w:rsidP="00F55BC6">
      <w:pPr>
        <w:spacing w:after="0"/>
        <w:ind w:left="720"/>
        <w:rPr>
          <w:color w:val="000000" w:themeColor="text1"/>
          <w:sz w:val="24"/>
          <w:szCs w:val="24"/>
        </w:rPr>
      </w:pPr>
    </w:p>
    <w:p w14:paraId="57F19B58" w14:textId="0AC4064A" w:rsidR="0098443C" w:rsidRPr="0098443C" w:rsidRDefault="0098443C" w:rsidP="0098443C">
      <w:pPr>
        <w:rPr>
          <w:color w:val="000000" w:themeColor="text1"/>
          <w:sz w:val="24"/>
          <w:szCs w:val="24"/>
        </w:rPr>
      </w:pPr>
      <w:r w:rsidRPr="0098443C">
        <w:rPr>
          <w:color w:val="000000" w:themeColor="text1"/>
          <w:sz w:val="24"/>
          <w:szCs w:val="24"/>
        </w:rPr>
        <w:t>Healthcare, immigration, and job availability also rank among the top-tier issues in both regions.</w:t>
      </w:r>
    </w:p>
    <w:p w14:paraId="6AE16DC9" w14:textId="77777777" w:rsidR="0098443C" w:rsidRPr="0098443C" w:rsidRDefault="0098443C" w:rsidP="0098443C">
      <w:pPr>
        <w:rPr>
          <w:b/>
          <w:bCs/>
          <w:color w:val="000000" w:themeColor="text1"/>
          <w:sz w:val="24"/>
          <w:szCs w:val="24"/>
        </w:rPr>
      </w:pPr>
      <w:r w:rsidRPr="0098443C">
        <w:rPr>
          <w:b/>
          <w:bCs/>
          <w:color w:val="000000" w:themeColor="text1"/>
          <w:sz w:val="24"/>
          <w:szCs w:val="24"/>
        </w:rPr>
        <w:t>Voters Still Favour Independent Candidates at the Local Level</w:t>
      </w:r>
    </w:p>
    <w:p w14:paraId="653DAAA8" w14:textId="77777777" w:rsidR="0098443C" w:rsidRPr="0098443C" w:rsidRDefault="0098443C" w:rsidP="0098443C">
      <w:pPr>
        <w:rPr>
          <w:color w:val="000000" w:themeColor="text1"/>
          <w:sz w:val="24"/>
          <w:szCs w:val="24"/>
        </w:rPr>
      </w:pPr>
      <w:r w:rsidRPr="0098443C">
        <w:rPr>
          <w:color w:val="000000" w:themeColor="text1"/>
          <w:sz w:val="24"/>
          <w:szCs w:val="24"/>
        </w:rPr>
        <w:t>When asked about “municipal political parties” in which mayoral and council candidates could run as teams under shared platforms, large majorities prefer to keep the current independent approach. Eight in ten Toronto residents (80%) and 82 percent in the GTA say they would rather continue electing individual candidates based on their own policies and views.</w:t>
      </w:r>
    </w:p>
    <w:p w14:paraId="09C8EBF1" w14:textId="77777777" w:rsidR="0098443C" w:rsidRPr="0098443C" w:rsidRDefault="0098443C" w:rsidP="0098443C">
      <w:pPr>
        <w:rPr>
          <w:b/>
          <w:bCs/>
          <w:color w:val="000000" w:themeColor="text1"/>
          <w:sz w:val="24"/>
          <w:szCs w:val="24"/>
        </w:rPr>
      </w:pPr>
      <w:r w:rsidRPr="0098443C">
        <w:rPr>
          <w:b/>
          <w:bCs/>
          <w:color w:val="000000" w:themeColor="text1"/>
          <w:sz w:val="24"/>
          <w:szCs w:val="24"/>
        </w:rPr>
        <w:t>About the Survey</w:t>
      </w:r>
    </w:p>
    <w:p w14:paraId="7DAAECD6" w14:textId="77777777" w:rsidR="00D342C4" w:rsidRPr="00037E0D" w:rsidRDefault="00D342C4" w:rsidP="00D342C4">
      <w:pPr>
        <w:spacing w:line="254" w:lineRule="auto"/>
        <w:rPr>
          <w:rFonts w:ascii="Aptos" w:eastAsia="Aptos" w:hAnsi="Aptos" w:cs="Times New Roman"/>
          <w:color w:val="000000" w:themeColor="text1"/>
          <w:kern w:val="0"/>
          <w:sz w:val="24"/>
          <w:szCs w:val="24"/>
          <w14:ligatures w14:val="none"/>
        </w:rPr>
      </w:pPr>
      <w:r w:rsidRPr="00037E0D">
        <w:rPr>
          <w:rFonts w:ascii="Aptos" w:eastAsia="Aptos" w:hAnsi="Aptos" w:cs="Times New Roman"/>
          <w:color w:val="000000" w:themeColor="text1"/>
          <w:sz w:val="24"/>
          <w:szCs w:val="24"/>
        </w:rPr>
        <w:t xml:space="preserve">This </w:t>
      </w:r>
      <w:r>
        <w:rPr>
          <w:rFonts w:ascii="Aptos" w:eastAsia="Aptos" w:hAnsi="Aptos" w:cs="Times New Roman"/>
          <w:color w:val="000000" w:themeColor="text1"/>
          <w:sz w:val="24"/>
          <w:szCs w:val="24"/>
        </w:rPr>
        <w:t>public opinion poll</w:t>
      </w:r>
      <w:r w:rsidRPr="00037E0D">
        <w:rPr>
          <w:rFonts w:ascii="Aptos" w:eastAsia="Aptos" w:hAnsi="Aptos" w:cs="Times New Roman"/>
          <w:color w:val="000000" w:themeColor="text1"/>
          <w:sz w:val="24"/>
          <w:szCs w:val="24"/>
        </w:rPr>
        <w:t xml:space="preserve"> was </w:t>
      </w:r>
      <w:r>
        <w:rPr>
          <w:rFonts w:ascii="Aptos" w:eastAsia="Aptos" w:hAnsi="Aptos" w:cs="Times New Roman"/>
          <w:color w:val="000000" w:themeColor="text1"/>
          <w:sz w:val="24"/>
          <w:szCs w:val="24"/>
        </w:rPr>
        <w:t>undertaken</w:t>
      </w:r>
      <w:r w:rsidRPr="00037E0D">
        <w:rPr>
          <w:rFonts w:ascii="Aptos" w:eastAsia="Aptos" w:hAnsi="Aptos" w:cs="Times New Roman"/>
          <w:color w:val="000000" w:themeColor="text1"/>
          <w:sz w:val="24"/>
          <w:szCs w:val="24"/>
        </w:rPr>
        <w:t xml:space="preserve"> for Rogers CityNews by Canada Pulse Insights</w:t>
      </w:r>
      <w:r>
        <w:rPr>
          <w:rFonts w:ascii="Aptos" w:eastAsia="Aptos" w:hAnsi="Aptos" w:cs="Times New Roman"/>
          <w:color w:val="000000" w:themeColor="text1"/>
          <w:sz w:val="24"/>
          <w:szCs w:val="24"/>
        </w:rPr>
        <w:t xml:space="preserve">. </w:t>
      </w:r>
      <w:r w:rsidRPr="00037E0D">
        <w:rPr>
          <w:rFonts w:ascii="Aptos" w:eastAsia="Aptos" w:hAnsi="Aptos" w:cs="Times New Roman"/>
          <w:color w:val="000000" w:themeColor="text1"/>
          <w:sz w:val="24"/>
          <w:szCs w:val="24"/>
        </w:rPr>
        <w:t xml:space="preserve">The online </w:t>
      </w:r>
      <w:r>
        <w:rPr>
          <w:rFonts w:ascii="Aptos" w:eastAsia="Aptos" w:hAnsi="Aptos" w:cs="Times New Roman"/>
          <w:color w:val="000000" w:themeColor="text1"/>
          <w:sz w:val="24"/>
          <w:szCs w:val="24"/>
        </w:rPr>
        <w:t>survey</w:t>
      </w:r>
      <w:r w:rsidRPr="00037E0D">
        <w:rPr>
          <w:rFonts w:ascii="Aptos" w:eastAsia="Aptos" w:hAnsi="Aptos" w:cs="Times New Roman"/>
          <w:color w:val="000000" w:themeColor="text1"/>
          <w:sz w:val="24"/>
          <w:szCs w:val="24"/>
        </w:rPr>
        <w:t xml:space="preserve"> was </w:t>
      </w:r>
      <w:r>
        <w:rPr>
          <w:rFonts w:ascii="Aptos" w:eastAsia="Aptos" w:hAnsi="Aptos" w:cs="Times New Roman"/>
          <w:color w:val="000000" w:themeColor="text1"/>
          <w:sz w:val="24"/>
          <w:szCs w:val="24"/>
        </w:rPr>
        <w:t>administered</w:t>
      </w:r>
      <w:r w:rsidRPr="00F43A87">
        <w:rPr>
          <w:rFonts w:ascii="Aptos" w:eastAsia="Aptos" w:hAnsi="Aptos" w:cs="Times New Roman"/>
          <w:color w:val="000000" w:themeColor="text1"/>
          <w:sz w:val="24"/>
          <w:szCs w:val="24"/>
        </w:rPr>
        <w:t xml:space="preserve"> </w:t>
      </w:r>
      <w:r>
        <w:rPr>
          <w:rFonts w:ascii="Aptos" w:eastAsia="Aptos" w:hAnsi="Aptos" w:cs="Times New Roman"/>
          <w:color w:val="000000" w:themeColor="text1"/>
          <w:sz w:val="24"/>
          <w:szCs w:val="24"/>
        </w:rPr>
        <w:t xml:space="preserve">by </w:t>
      </w:r>
      <w:r w:rsidRPr="00037E0D">
        <w:rPr>
          <w:rFonts w:ascii="Aptos" w:eastAsia="Aptos" w:hAnsi="Aptos" w:cs="Times New Roman"/>
          <w:color w:val="000000" w:themeColor="text1"/>
          <w:sz w:val="24"/>
          <w:szCs w:val="24"/>
        </w:rPr>
        <w:t xml:space="preserve">the sample and data collection experts at Sago from September 30 to October 6, 2025, among adult (aged 18+) residents of Toronto </w:t>
      </w:r>
      <w:r>
        <w:rPr>
          <w:rFonts w:ascii="Aptos" w:eastAsia="Aptos" w:hAnsi="Aptos" w:cs="Times New Roman"/>
          <w:color w:val="000000" w:themeColor="text1"/>
          <w:sz w:val="24"/>
          <w:szCs w:val="24"/>
        </w:rPr>
        <w:t>(</w:t>
      </w:r>
      <w:r w:rsidRPr="00037E0D">
        <w:rPr>
          <w:rFonts w:ascii="Aptos" w:eastAsia="Aptos" w:hAnsi="Aptos" w:cs="Times New Roman"/>
          <w:color w:val="000000" w:themeColor="text1"/>
          <w:sz w:val="24"/>
          <w:szCs w:val="24"/>
        </w:rPr>
        <w:t>n=406</w:t>
      </w:r>
      <w:r>
        <w:rPr>
          <w:rFonts w:ascii="Aptos" w:eastAsia="Aptos" w:hAnsi="Aptos" w:cs="Times New Roman"/>
          <w:color w:val="000000" w:themeColor="text1"/>
          <w:sz w:val="24"/>
          <w:szCs w:val="24"/>
        </w:rPr>
        <w:t xml:space="preserve">) </w:t>
      </w:r>
      <w:r w:rsidRPr="00037E0D">
        <w:rPr>
          <w:rFonts w:ascii="Aptos" w:eastAsia="Aptos" w:hAnsi="Aptos" w:cs="Times New Roman"/>
          <w:color w:val="000000" w:themeColor="text1"/>
          <w:sz w:val="24"/>
          <w:szCs w:val="24"/>
        </w:rPr>
        <w:t xml:space="preserve">and </w:t>
      </w:r>
      <w:r>
        <w:rPr>
          <w:rFonts w:ascii="Aptos" w:eastAsia="Aptos" w:hAnsi="Aptos" w:cs="Times New Roman"/>
          <w:color w:val="000000" w:themeColor="text1"/>
          <w:sz w:val="24"/>
          <w:szCs w:val="24"/>
        </w:rPr>
        <w:t>throughout</w:t>
      </w:r>
      <w:r w:rsidRPr="00037E0D">
        <w:rPr>
          <w:rFonts w:ascii="Aptos" w:eastAsia="Aptos" w:hAnsi="Aptos" w:cs="Times New Roman"/>
          <w:color w:val="000000" w:themeColor="text1"/>
          <w:sz w:val="24"/>
          <w:szCs w:val="24"/>
        </w:rPr>
        <w:t xml:space="preserve"> the Greater Toronto Area (GTA </w:t>
      </w:r>
      <w:r w:rsidRPr="003A37D1">
        <w:rPr>
          <w:rFonts w:ascii="Aptos" w:eastAsia="Aptos" w:hAnsi="Aptos" w:cs="Times New Roman"/>
          <w:color w:val="000000" w:themeColor="text1"/>
          <w:sz w:val="24"/>
          <w:szCs w:val="24"/>
        </w:rPr>
        <w:t>n=403</w:t>
      </w:r>
      <w:r w:rsidRPr="00037E0D">
        <w:rPr>
          <w:rFonts w:ascii="Aptos" w:eastAsia="Aptos" w:hAnsi="Aptos" w:cs="Times New Roman"/>
          <w:color w:val="000000" w:themeColor="text1"/>
          <w:sz w:val="24"/>
          <w:szCs w:val="24"/>
        </w:rPr>
        <w:t>)</w:t>
      </w:r>
      <w:r>
        <w:rPr>
          <w:rFonts w:ascii="Aptos" w:eastAsia="Aptos" w:hAnsi="Aptos" w:cs="Times New Roman"/>
          <w:color w:val="000000" w:themeColor="text1"/>
          <w:sz w:val="24"/>
          <w:szCs w:val="24"/>
        </w:rPr>
        <w:t>.</w:t>
      </w:r>
      <w:r w:rsidRPr="00037E0D">
        <w:rPr>
          <w:rFonts w:ascii="Aptos" w:eastAsia="Aptos" w:hAnsi="Aptos" w:cs="Times New Roman"/>
          <w:color w:val="000000" w:themeColor="text1"/>
          <w:sz w:val="24"/>
          <w:szCs w:val="24"/>
        </w:rPr>
        <w:t xml:space="preserve"> </w:t>
      </w:r>
      <w:r>
        <w:rPr>
          <w:rFonts w:ascii="Aptos" w:eastAsia="Aptos" w:hAnsi="Aptos" w:cs="Times New Roman"/>
          <w:color w:val="000000" w:themeColor="text1"/>
          <w:sz w:val="24"/>
          <w:szCs w:val="24"/>
        </w:rPr>
        <w:t>The data has been</w:t>
      </w:r>
      <w:r>
        <w:rPr>
          <w:rFonts w:ascii="Aptos" w:eastAsia="Aptos" w:hAnsi="Aptos" w:cs="Times New Roman"/>
          <w:color w:val="000000" w:themeColor="text1"/>
          <w:kern w:val="0"/>
          <w:sz w:val="24"/>
          <w:szCs w:val="24"/>
          <w14:ligatures w14:val="none"/>
        </w:rPr>
        <w:t xml:space="preserve"> </w:t>
      </w:r>
      <w:r w:rsidRPr="00037E0D">
        <w:rPr>
          <w:rFonts w:ascii="Aptos" w:eastAsia="Aptos" w:hAnsi="Aptos" w:cs="Times New Roman"/>
          <w:color w:val="000000" w:themeColor="text1"/>
          <w:kern w:val="0"/>
          <w:sz w:val="24"/>
          <w:szCs w:val="24"/>
          <w14:ligatures w14:val="none"/>
        </w:rPr>
        <w:t xml:space="preserve">weighted to represent the </w:t>
      </w:r>
      <w:r>
        <w:rPr>
          <w:rFonts w:ascii="Aptos" w:eastAsia="Aptos" w:hAnsi="Aptos" w:cs="Times New Roman"/>
          <w:color w:val="000000" w:themeColor="text1"/>
          <w:kern w:val="0"/>
          <w:sz w:val="24"/>
          <w:szCs w:val="24"/>
          <w14:ligatures w14:val="none"/>
        </w:rPr>
        <w:t xml:space="preserve">adult </w:t>
      </w:r>
      <w:r w:rsidRPr="00037E0D">
        <w:rPr>
          <w:rFonts w:ascii="Aptos" w:eastAsia="Aptos" w:hAnsi="Aptos" w:cs="Times New Roman"/>
          <w:color w:val="000000" w:themeColor="text1"/>
          <w:kern w:val="0"/>
          <w:sz w:val="24"/>
          <w:szCs w:val="24"/>
          <w14:ligatures w14:val="none"/>
        </w:rPr>
        <w:t>population based on the most recent census data. For comparison</w:t>
      </w:r>
      <w:r>
        <w:rPr>
          <w:rFonts w:ascii="Aptos" w:eastAsia="Aptos" w:hAnsi="Aptos" w:cs="Times New Roman"/>
          <w:color w:val="000000" w:themeColor="text1"/>
          <w:kern w:val="0"/>
          <w:sz w:val="24"/>
          <w:szCs w:val="24"/>
          <w14:ligatures w14:val="none"/>
        </w:rPr>
        <w:t xml:space="preserve"> purposes</w:t>
      </w:r>
      <w:r w:rsidRPr="00037E0D">
        <w:rPr>
          <w:rFonts w:ascii="Aptos" w:eastAsia="Aptos" w:hAnsi="Aptos" w:cs="Times New Roman"/>
          <w:color w:val="000000" w:themeColor="text1"/>
          <w:kern w:val="0"/>
          <w:sz w:val="24"/>
          <w:szCs w:val="24"/>
          <w14:ligatures w14:val="none"/>
        </w:rPr>
        <w:t xml:space="preserve">, probability samples </w:t>
      </w:r>
      <w:r>
        <w:rPr>
          <w:rFonts w:ascii="Aptos" w:eastAsia="Aptos" w:hAnsi="Aptos" w:cs="Times New Roman"/>
          <w:color w:val="000000" w:themeColor="text1"/>
          <w:kern w:val="0"/>
          <w:sz w:val="24"/>
          <w:szCs w:val="24"/>
          <w14:ligatures w14:val="none"/>
        </w:rPr>
        <w:t xml:space="preserve">of this size </w:t>
      </w:r>
      <w:r w:rsidRPr="00037E0D">
        <w:rPr>
          <w:rFonts w:ascii="Aptos" w:eastAsia="Aptos" w:hAnsi="Aptos" w:cs="Times New Roman"/>
          <w:color w:val="000000" w:themeColor="text1"/>
          <w:kern w:val="0"/>
          <w:sz w:val="24"/>
          <w:szCs w:val="24"/>
          <w14:ligatures w14:val="none"/>
        </w:rPr>
        <w:t>for both the city of Toronto and the GTA each have a margin of error of ±4.9 percentage points, 19 times out of 20.</w:t>
      </w:r>
    </w:p>
    <w:p w14:paraId="4AF27647" w14:textId="340E913E" w:rsidR="00A67E9B" w:rsidRDefault="00A67E9B" w:rsidP="0098443C">
      <w:pPr>
        <w:rPr>
          <w:color w:val="000000" w:themeColor="text1"/>
          <w:sz w:val="24"/>
          <w:szCs w:val="24"/>
        </w:rPr>
      </w:pPr>
      <w:r w:rsidRPr="00A67E9B">
        <w:rPr>
          <w:color w:val="000000" w:themeColor="text1"/>
          <w:sz w:val="24"/>
          <w:szCs w:val="24"/>
        </w:rPr>
        <w:t>Canada</w:t>
      </w:r>
      <w:r w:rsidRPr="00A67E9B">
        <w:rPr>
          <w:rFonts w:ascii="Arial" w:hAnsi="Arial" w:cs="Arial"/>
          <w:color w:val="000000" w:themeColor="text1"/>
          <w:sz w:val="24"/>
          <w:szCs w:val="24"/>
        </w:rPr>
        <w:t> </w:t>
      </w:r>
      <w:r w:rsidRPr="00A67E9B">
        <w:rPr>
          <w:color w:val="000000" w:themeColor="text1"/>
          <w:sz w:val="24"/>
          <w:szCs w:val="24"/>
        </w:rPr>
        <w:t>Pulse</w:t>
      </w:r>
      <w:r w:rsidRPr="00A67E9B">
        <w:rPr>
          <w:rFonts w:ascii="Arial" w:hAnsi="Arial" w:cs="Arial"/>
          <w:color w:val="000000" w:themeColor="text1"/>
          <w:sz w:val="24"/>
          <w:szCs w:val="24"/>
        </w:rPr>
        <w:t> </w:t>
      </w:r>
      <w:r w:rsidRPr="00A67E9B">
        <w:rPr>
          <w:color w:val="000000" w:themeColor="text1"/>
          <w:sz w:val="24"/>
          <w:szCs w:val="24"/>
        </w:rPr>
        <w:t>Insights is an independent, Canadian owned public opinion research firm led by veteran pollster</w:t>
      </w:r>
      <w:r w:rsidRPr="00A67E9B">
        <w:rPr>
          <w:rFonts w:ascii="Arial" w:hAnsi="Arial" w:cs="Arial"/>
          <w:color w:val="000000" w:themeColor="text1"/>
          <w:sz w:val="24"/>
          <w:szCs w:val="24"/>
        </w:rPr>
        <w:t> </w:t>
      </w:r>
      <w:r w:rsidRPr="00A67E9B">
        <w:rPr>
          <w:color w:val="000000" w:themeColor="text1"/>
          <w:sz w:val="24"/>
          <w:szCs w:val="24"/>
        </w:rPr>
        <w:t>John</w:t>
      </w:r>
      <w:r w:rsidRPr="00A67E9B">
        <w:rPr>
          <w:rFonts w:ascii="Arial" w:hAnsi="Arial" w:cs="Arial"/>
          <w:color w:val="000000" w:themeColor="text1"/>
          <w:sz w:val="24"/>
          <w:szCs w:val="24"/>
        </w:rPr>
        <w:t> </w:t>
      </w:r>
      <w:r w:rsidRPr="00A67E9B">
        <w:rPr>
          <w:color w:val="000000" w:themeColor="text1"/>
          <w:sz w:val="24"/>
          <w:szCs w:val="24"/>
        </w:rPr>
        <w:t>Wright. The company adheres to</w:t>
      </w:r>
      <w:r w:rsidR="009566DF">
        <w:rPr>
          <w:color w:val="000000" w:themeColor="text1"/>
          <w:sz w:val="24"/>
          <w:szCs w:val="24"/>
        </w:rPr>
        <w:t xml:space="preserve"> </w:t>
      </w:r>
      <w:r w:rsidR="009566DF" w:rsidRPr="009566DF">
        <w:rPr>
          <w:color w:val="000000" w:themeColor="text1"/>
          <w:sz w:val="24"/>
          <w:szCs w:val="24"/>
        </w:rPr>
        <w:t>the</w:t>
      </w:r>
      <w:r w:rsidR="009566DF" w:rsidRPr="009566DF">
        <w:rPr>
          <w:rFonts w:ascii="Arial" w:hAnsi="Arial" w:cs="Arial"/>
          <w:color w:val="000000" w:themeColor="text1"/>
          <w:sz w:val="24"/>
          <w:szCs w:val="24"/>
        </w:rPr>
        <w:t> </w:t>
      </w:r>
      <w:r w:rsidR="009566DF" w:rsidRPr="009566DF">
        <w:rPr>
          <w:color w:val="000000" w:themeColor="text1"/>
          <w:sz w:val="24"/>
          <w:szCs w:val="24"/>
        </w:rPr>
        <w:t>Canadian</w:t>
      </w:r>
      <w:r w:rsidR="009566DF" w:rsidRPr="009566DF">
        <w:rPr>
          <w:rFonts w:ascii="Arial" w:hAnsi="Arial" w:cs="Arial"/>
          <w:color w:val="000000" w:themeColor="text1"/>
          <w:sz w:val="24"/>
          <w:szCs w:val="24"/>
        </w:rPr>
        <w:t> </w:t>
      </w:r>
      <w:r w:rsidR="009566DF" w:rsidRPr="009566DF">
        <w:rPr>
          <w:color w:val="000000" w:themeColor="text1"/>
          <w:sz w:val="24"/>
          <w:szCs w:val="24"/>
        </w:rPr>
        <w:t xml:space="preserve">Research </w:t>
      </w:r>
      <w:r w:rsidRPr="00A67E9B">
        <w:rPr>
          <w:color w:val="000000" w:themeColor="text1"/>
          <w:sz w:val="24"/>
          <w:szCs w:val="24"/>
        </w:rPr>
        <w:t>and</w:t>
      </w:r>
      <w:r w:rsidRPr="00A67E9B">
        <w:rPr>
          <w:rFonts w:ascii="Arial" w:hAnsi="Arial" w:cs="Arial"/>
          <w:color w:val="000000" w:themeColor="text1"/>
          <w:sz w:val="24"/>
          <w:szCs w:val="24"/>
        </w:rPr>
        <w:t> </w:t>
      </w:r>
      <w:r w:rsidRPr="00A67E9B">
        <w:rPr>
          <w:color w:val="000000" w:themeColor="text1"/>
          <w:sz w:val="24"/>
          <w:szCs w:val="24"/>
        </w:rPr>
        <w:t>Insights</w:t>
      </w:r>
      <w:r w:rsidRPr="00A67E9B">
        <w:rPr>
          <w:rFonts w:ascii="Arial" w:hAnsi="Arial" w:cs="Arial"/>
          <w:color w:val="000000" w:themeColor="text1"/>
          <w:sz w:val="24"/>
          <w:szCs w:val="24"/>
        </w:rPr>
        <w:t> </w:t>
      </w:r>
      <w:r w:rsidRPr="00A67E9B">
        <w:rPr>
          <w:color w:val="000000" w:themeColor="text1"/>
          <w:sz w:val="24"/>
          <w:szCs w:val="24"/>
        </w:rPr>
        <w:t>Council (CRIC) public opinion research standards and disclosure requirements.</w:t>
      </w:r>
      <w:r w:rsidRPr="00A67E9B">
        <w:rPr>
          <w:rFonts w:ascii="Arial" w:hAnsi="Arial" w:cs="Arial"/>
          <w:color w:val="000000" w:themeColor="text1"/>
          <w:sz w:val="24"/>
          <w:szCs w:val="24"/>
        </w:rPr>
        <w:t> </w:t>
      </w:r>
      <w:r w:rsidRPr="00A67E9B">
        <w:rPr>
          <w:color w:val="000000" w:themeColor="text1"/>
          <w:sz w:val="24"/>
          <w:szCs w:val="24"/>
        </w:rPr>
        <w:t>Sago, formerly</w:t>
      </w:r>
      <w:r w:rsidRPr="00A67E9B">
        <w:rPr>
          <w:rFonts w:ascii="Arial" w:hAnsi="Arial" w:cs="Arial"/>
          <w:color w:val="000000" w:themeColor="text1"/>
          <w:sz w:val="24"/>
          <w:szCs w:val="24"/>
        </w:rPr>
        <w:t> </w:t>
      </w:r>
      <w:r w:rsidRPr="00A67E9B">
        <w:rPr>
          <w:color w:val="000000" w:themeColor="text1"/>
          <w:sz w:val="24"/>
          <w:szCs w:val="24"/>
        </w:rPr>
        <w:t>the</w:t>
      </w:r>
      <w:r w:rsidRPr="00A67E9B">
        <w:rPr>
          <w:rFonts w:ascii="Arial" w:hAnsi="Arial" w:cs="Arial"/>
          <w:color w:val="000000" w:themeColor="text1"/>
          <w:sz w:val="24"/>
          <w:szCs w:val="24"/>
        </w:rPr>
        <w:t> </w:t>
      </w:r>
      <w:r w:rsidRPr="00A67E9B">
        <w:rPr>
          <w:color w:val="000000" w:themeColor="text1"/>
          <w:sz w:val="24"/>
          <w:szCs w:val="24"/>
        </w:rPr>
        <w:t>Schlesinger</w:t>
      </w:r>
      <w:r w:rsidRPr="00A67E9B">
        <w:rPr>
          <w:rFonts w:ascii="Arial" w:hAnsi="Arial" w:cs="Arial"/>
          <w:color w:val="000000" w:themeColor="text1"/>
          <w:sz w:val="24"/>
          <w:szCs w:val="24"/>
        </w:rPr>
        <w:t> </w:t>
      </w:r>
      <w:r w:rsidRPr="00A67E9B">
        <w:rPr>
          <w:color w:val="000000" w:themeColor="text1"/>
          <w:sz w:val="24"/>
          <w:szCs w:val="24"/>
        </w:rPr>
        <w:t>Group, is</w:t>
      </w:r>
      <w:r w:rsidRPr="00A67E9B">
        <w:rPr>
          <w:rFonts w:ascii="Arial" w:hAnsi="Arial" w:cs="Arial"/>
          <w:color w:val="000000" w:themeColor="text1"/>
          <w:sz w:val="24"/>
          <w:szCs w:val="24"/>
        </w:rPr>
        <w:t> </w:t>
      </w:r>
      <w:r w:rsidRPr="00A67E9B">
        <w:rPr>
          <w:color w:val="000000" w:themeColor="text1"/>
          <w:sz w:val="24"/>
          <w:szCs w:val="24"/>
        </w:rPr>
        <w:t>CRIC accredited and brings more</w:t>
      </w:r>
      <w:r w:rsidRPr="00A67E9B">
        <w:rPr>
          <w:rFonts w:ascii="Arial" w:hAnsi="Arial" w:cs="Arial"/>
          <w:color w:val="000000" w:themeColor="text1"/>
          <w:sz w:val="24"/>
          <w:szCs w:val="24"/>
        </w:rPr>
        <w:t> </w:t>
      </w:r>
      <w:r w:rsidRPr="00A67E9B">
        <w:rPr>
          <w:color w:val="000000" w:themeColor="text1"/>
          <w:sz w:val="24"/>
          <w:szCs w:val="24"/>
        </w:rPr>
        <w:t>than</w:t>
      </w:r>
      <w:r w:rsidRPr="00A67E9B">
        <w:rPr>
          <w:rFonts w:ascii="Arial" w:hAnsi="Arial" w:cs="Arial"/>
          <w:color w:val="000000" w:themeColor="text1"/>
          <w:sz w:val="24"/>
          <w:szCs w:val="24"/>
        </w:rPr>
        <w:t> </w:t>
      </w:r>
      <w:r w:rsidRPr="00A67E9B">
        <w:rPr>
          <w:color w:val="000000" w:themeColor="text1"/>
          <w:sz w:val="24"/>
          <w:szCs w:val="24"/>
        </w:rPr>
        <w:t>55</w:t>
      </w:r>
      <w:r w:rsidRPr="00A67E9B">
        <w:rPr>
          <w:rFonts w:ascii="Arial" w:hAnsi="Arial" w:cs="Arial"/>
          <w:color w:val="000000" w:themeColor="text1"/>
          <w:sz w:val="24"/>
          <w:szCs w:val="24"/>
        </w:rPr>
        <w:t> </w:t>
      </w:r>
      <w:r w:rsidRPr="00A67E9B">
        <w:rPr>
          <w:color w:val="000000" w:themeColor="text1"/>
          <w:sz w:val="24"/>
          <w:szCs w:val="24"/>
        </w:rPr>
        <w:t>years of experience in both qualitative and quantitative research methods.</w:t>
      </w:r>
    </w:p>
    <w:p w14:paraId="594334AA" w14:textId="75C332CA" w:rsidR="00EE498D" w:rsidRDefault="00EE498D" w:rsidP="004A5941">
      <w:pPr>
        <w:jc w:val="center"/>
        <w:rPr>
          <w:b/>
          <w:bCs/>
          <w:color w:val="C00000"/>
          <w:sz w:val="28"/>
          <w:szCs w:val="28"/>
        </w:rPr>
      </w:pPr>
      <w:r w:rsidRPr="004A5941">
        <w:rPr>
          <w:b/>
          <w:bCs/>
          <w:color w:val="C00000"/>
          <w:sz w:val="28"/>
          <w:szCs w:val="28"/>
        </w:rPr>
        <w:t>–30–</w:t>
      </w:r>
    </w:p>
    <w:p w14:paraId="0384EC10" w14:textId="77777777" w:rsidR="009566DF" w:rsidRDefault="0098443C" w:rsidP="0098443C">
      <w:pPr>
        <w:rPr>
          <w:b/>
          <w:bCs/>
          <w:color w:val="000000" w:themeColor="text1"/>
          <w:sz w:val="24"/>
          <w:szCs w:val="24"/>
        </w:rPr>
      </w:pPr>
      <w:r w:rsidRPr="0098443C">
        <w:rPr>
          <w:b/>
          <w:bCs/>
          <w:color w:val="000000" w:themeColor="text1"/>
          <w:sz w:val="24"/>
          <w:szCs w:val="24"/>
        </w:rPr>
        <w:t>For further information:</w:t>
      </w:r>
    </w:p>
    <w:p w14:paraId="6F56FEEC" w14:textId="2E73A2AC" w:rsidR="0098443C" w:rsidRPr="0098443C" w:rsidRDefault="0098443C" w:rsidP="0098443C">
      <w:pPr>
        <w:rPr>
          <w:b/>
          <w:bCs/>
          <w:color w:val="000000" w:themeColor="text1"/>
          <w:sz w:val="24"/>
          <w:szCs w:val="24"/>
        </w:rPr>
      </w:pPr>
      <w:r w:rsidRPr="0098443C">
        <w:rPr>
          <w:b/>
          <w:bCs/>
          <w:color w:val="000000" w:themeColor="text1"/>
          <w:sz w:val="24"/>
          <w:szCs w:val="24"/>
        </w:rPr>
        <w:t>John Wright, CEO, Canada Pulse Insights</w:t>
      </w:r>
      <w:r w:rsidRPr="0098443C">
        <w:rPr>
          <w:b/>
          <w:bCs/>
          <w:color w:val="000000" w:themeColor="text1"/>
          <w:sz w:val="24"/>
          <w:szCs w:val="24"/>
        </w:rPr>
        <w:br/>
        <w:t>Email: </w:t>
      </w:r>
      <w:hyperlink r:id="rId7" w:tgtFrame="_blank" w:history="1">
        <w:r w:rsidRPr="0098443C">
          <w:rPr>
            <w:rStyle w:val="Hyperlink"/>
            <w:b/>
            <w:bCs/>
            <w:sz w:val="24"/>
            <w:szCs w:val="24"/>
          </w:rPr>
          <w:t>johnwright@canadapulseinsights.com</w:t>
        </w:r>
      </w:hyperlink>
      <w:r w:rsidRPr="0098443C">
        <w:rPr>
          <w:b/>
          <w:bCs/>
          <w:color w:val="000000" w:themeColor="text1"/>
          <w:sz w:val="24"/>
          <w:szCs w:val="24"/>
        </w:rPr>
        <w:br/>
        <w:t>Phone: 416-700-4218</w:t>
      </w:r>
      <w:r w:rsidRPr="0098443C">
        <w:rPr>
          <w:b/>
          <w:bCs/>
          <w:color w:val="000000" w:themeColor="text1"/>
          <w:sz w:val="24"/>
          <w:szCs w:val="24"/>
        </w:rPr>
        <w:br/>
        <w:t xml:space="preserve">Website: </w:t>
      </w:r>
      <w:r w:rsidRPr="0072648D">
        <w:rPr>
          <w:b/>
          <w:bCs/>
          <w:color w:val="C00000"/>
          <w:sz w:val="24"/>
          <w:szCs w:val="24"/>
        </w:rPr>
        <w:t>CanadaPulseInsights.com</w:t>
      </w:r>
      <w:r w:rsidR="0072648D" w:rsidRPr="0072648D">
        <w:rPr>
          <w:b/>
          <w:bCs/>
          <w:color w:val="C00000"/>
          <w:sz w:val="24"/>
          <w:szCs w:val="24"/>
        </w:rPr>
        <w:t xml:space="preserve"> </w:t>
      </w:r>
    </w:p>
    <w:sectPr w:rsidR="0098443C" w:rsidRPr="009844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C9A9" w14:textId="77777777" w:rsidR="0091386B" w:rsidRDefault="0091386B" w:rsidP="00A50CC2">
      <w:pPr>
        <w:spacing w:after="0" w:line="240" w:lineRule="auto"/>
      </w:pPr>
      <w:r>
        <w:separator/>
      </w:r>
    </w:p>
  </w:endnote>
  <w:endnote w:type="continuationSeparator" w:id="0">
    <w:p w14:paraId="6BE5AAB9" w14:textId="77777777" w:rsidR="0091386B" w:rsidRDefault="0091386B"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1A0E327C"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Toronto/GTA</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2418A" w14:textId="77777777" w:rsidR="0091386B" w:rsidRDefault="0091386B" w:rsidP="00A50CC2">
      <w:pPr>
        <w:spacing w:after="0" w:line="240" w:lineRule="auto"/>
      </w:pPr>
      <w:r>
        <w:separator/>
      </w:r>
    </w:p>
  </w:footnote>
  <w:footnote w:type="continuationSeparator" w:id="0">
    <w:p w14:paraId="06A0AC3F" w14:textId="77777777" w:rsidR="0091386B" w:rsidRDefault="0091386B"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3"/>
  </w:num>
  <w:num w:numId="2" w16cid:durableId="808205571">
    <w:abstractNumId w:val="8"/>
  </w:num>
  <w:num w:numId="3" w16cid:durableId="1429471251">
    <w:abstractNumId w:val="1"/>
  </w:num>
  <w:num w:numId="4" w16cid:durableId="2058046939">
    <w:abstractNumId w:val="0"/>
  </w:num>
  <w:num w:numId="5" w16cid:durableId="1076515326">
    <w:abstractNumId w:val="4"/>
  </w:num>
  <w:num w:numId="6" w16cid:durableId="2122335145">
    <w:abstractNumId w:val="9"/>
  </w:num>
  <w:num w:numId="7" w16cid:durableId="20135013">
    <w:abstractNumId w:val="2"/>
  </w:num>
  <w:num w:numId="8" w16cid:durableId="1695038172">
    <w:abstractNumId w:val="6"/>
  </w:num>
  <w:num w:numId="9" w16cid:durableId="1036125581">
    <w:abstractNumId w:val="7"/>
  </w:num>
  <w:num w:numId="10" w16cid:durableId="2096323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11C1B"/>
    <w:rsid w:val="00013990"/>
    <w:rsid w:val="000162B9"/>
    <w:rsid w:val="00035127"/>
    <w:rsid w:val="00037E0D"/>
    <w:rsid w:val="00040016"/>
    <w:rsid w:val="0004146D"/>
    <w:rsid w:val="00044B77"/>
    <w:rsid w:val="0004548E"/>
    <w:rsid w:val="00066E32"/>
    <w:rsid w:val="00070170"/>
    <w:rsid w:val="000824A8"/>
    <w:rsid w:val="000868F9"/>
    <w:rsid w:val="000B3413"/>
    <w:rsid w:val="000C4204"/>
    <w:rsid w:val="000C50B4"/>
    <w:rsid w:val="000E0135"/>
    <w:rsid w:val="000F0BD1"/>
    <w:rsid w:val="000F1D42"/>
    <w:rsid w:val="000F33DD"/>
    <w:rsid w:val="000F4070"/>
    <w:rsid w:val="000F5433"/>
    <w:rsid w:val="000F56F5"/>
    <w:rsid w:val="00101E14"/>
    <w:rsid w:val="00112108"/>
    <w:rsid w:val="00112118"/>
    <w:rsid w:val="00120C0A"/>
    <w:rsid w:val="0012353B"/>
    <w:rsid w:val="00132221"/>
    <w:rsid w:val="00136184"/>
    <w:rsid w:val="001423CE"/>
    <w:rsid w:val="00145834"/>
    <w:rsid w:val="001519E1"/>
    <w:rsid w:val="00157A63"/>
    <w:rsid w:val="00165C00"/>
    <w:rsid w:val="00175840"/>
    <w:rsid w:val="00175A1A"/>
    <w:rsid w:val="0018353F"/>
    <w:rsid w:val="001A5867"/>
    <w:rsid w:val="001C32A9"/>
    <w:rsid w:val="001D06DA"/>
    <w:rsid w:val="001D6B8C"/>
    <w:rsid w:val="001F12F3"/>
    <w:rsid w:val="001F1602"/>
    <w:rsid w:val="001F2E0E"/>
    <w:rsid w:val="00200D6D"/>
    <w:rsid w:val="00200EBB"/>
    <w:rsid w:val="00214EB2"/>
    <w:rsid w:val="00227B82"/>
    <w:rsid w:val="0023107A"/>
    <w:rsid w:val="002312E3"/>
    <w:rsid w:val="00234514"/>
    <w:rsid w:val="002503CF"/>
    <w:rsid w:val="00254521"/>
    <w:rsid w:val="00261AB6"/>
    <w:rsid w:val="002A1776"/>
    <w:rsid w:val="002B4E98"/>
    <w:rsid w:val="002D0168"/>
    <w:rsid w:val="002D48C4"/>
    <w:rsid w:val="002E7CD7"/>
    <w:rsid w:val="002F0E8E"/>
    <w:rsid w:val="002F4F3A"/>
    <w:rsid w:val="00311769"/>
    <w:rsid w:val="003159C5"/>
    <w:rsid w:val="00330E70"/>
    <w:rsid w:val="00332FF9"/>
    <w:rsid w:val="00341C38"/>
    <w:rsid w:val="003478D0"/>
    <w:rsid w:val="00355464"/>
    <w:rsid w:val="0036179B"/>
    <w:rsid w:val="00363C01"/>
    <w:rsid w:val="003666B8"/>
    <w:rsid w:val="00374FD3"/>
    <w:rsid w:val="00376173"/>
    <w:rsid w:val="00380B0B"/>
    <w:rsid w:val="00386449"/>
    <w:rsid w:val="003A37D1"/>
    <w:rsid w:val="003A3952"/>
    <w:rsid w:val="003B4BC2"/>
    <w:rsid w:val="003B6263"/>
    <w:rsid w:val="003C6B91"/>
    <w:rsid w:val="003C78A7"/>
    <w:rsid w:val="003D1065"/>
    <w:rsid w:val="003F3326"/>
    <w:rsid w:val="00413050"/>
    <w:rsid w:val="00421FDA"/>
    <w:rsid w:val="00436CF4"/>
    <w:rsid w:val="00440DDB"/>
    <w:rsid w:val="004423A7"/>
    <w:rsid w:val="004458E1"/>
    <w:rsid w:val="00452A48"/>
    <w:rsid w:val="00466CB4"/>
    <w:rsid w:val="0047474E"/>
    <w:rsid w:val="00476E07"/>
    <w:rsid w:val="004777E5"/>
    <w:rsid w:val="004813BC"/>
    <w:rsid w:val="00484A0B"/>
    <w:rsid w:val="00493CD9"/>
    <w:rsid w:val="004A5941"/>
    <w:rsid w:val="004C43C8"/>
    <w:rsid w:val="004C6A43"/>
    <w:rsid w:val="004F4111"/>
    <w:rsid w:val="004F5D5D"/>
    <w:rsid w:val="00502C1C"/>
    <w:rsid w:val="00504E31"/>
    <w:rsid w:val="00520DB2"/>
    <w:rsid w:val="00533862"/>
    <w:rsid w:val="00540240"/>
    <w:rsid w:val="00566A32"/>
    <w:rsid w:val="00570603"/>
    <w:rsid w:val="00570911"/>
    <w:rsid w:val="005716D0"/>
    <w:rsid w:val="00575797"/>
    <w:rsid w:val="00580C2B"/>
    <w:rsid w:val="00584A0A"/>
    <w:rsid w:val="00585700"/>
    <w:rsid w:val="00592230"/>
    <w:rsid w:val="005A5B4F"/>
    <w:rsid w:val="005A6733"/>
    <w:rsid w:val="005A6BAE"/>
    <w:rsid w:val="005C773F"/>
    <w:rsid w:val="005E1DD8"/>
    <w:rsid w:val="005F561B"/>
    <w:rsid w:val="00612C26"/>
    <w:rsid w:val="00613872"/>
    <w:rsid w:val="00614670"/>
    <w:rsid w:val="00646C51"/>
    <w:rsid w:val="00647A07"/>
    <w:rsid w:val="006570A3"/>
    <w:rsid w:val="0066441C"/>
    <w:rsid w:val="00692A50"/>
    <w:rsid w:val="006A1369"/>
    <w:rsid w:val="006A265E"/>
    <w:rsid w:val="006A7AC4"/>
    <w:rsid w:val="006B06AC"/>
    <w:rsid w:val="006F09E9"/>
    <w:rsid w:val="00706E53"/>
    <w:rsid w:val="0071070E"/>
    <w:rsid w:val="0072648D"/>
    <w:rsid w:val="00734639"/>
    <w:rsid w:val="00740974"/>
    <w:rsid w:val="007414A3"/>
    <w:rsid w:val="0074616B"/>
    <w:rsid w:val="007534B1"/>
    <w:rsid w:val="007614C3"/>
    <w:rsid w:val="007703A1"/>
    <w:rsid w:val="00781371"/>
    <w:rsid w:val="00794CE7"/>
    <w:rsid w:val="007A2F10"/>
    <w:rsid w:val="007A7650"/>
    <w:rsid w:val="007B008C"/>
    <w:rsid w:val="007D74C9"/>
    <w:rsid w:val="007F6FA2"/>
    <w:rsid w:val="007F708D"/>
    <w:rsid w:val="00812C69"/>
    <w:rsid w:val="00831449"/>
    <w:rsid w:val="00846ED2"/>
    <w:rsid w:val="00856367"/>
    <w:rsid w:val="008644E3"/>
    <w:rsid w:val="00867538"/>
    <w:rsid w:val="00875E0A"/>
    <w:rsid w:val="00882B55"/>
    <w:rsid w:val="00884260"/>
    <w:rsid w:val="00885F26"/>
    <w:rsid w:val="008A6018"/>
    <w:rsid w:val="008B037D"/>
    <w:rsid w:val="008B54E2"/>
    <w:rsid w:val="008C4548"/>
    <w:rsid w:val="008E4A8D"/>
    <w:rsid w:val="008E609F"/>
    <w:rsid w:val="008F27A7"/>
    <w:rsid w:val="008F38C2"/>
    <w:rsid w:val="0091386B"/>
    <w:rsid w:val="009138D4"/>
    <w:rsid w:val="009209B2"/>
    <w:rsid w:val="00933753"/>
    <w:rsid w:val="00955034"/>
    <w:rsid w:val="009566DF"/>
    <w:rsid w:val="00961702"/>
    <w:rsid w:val="00961840"/>
    <w:rsid w:val="009670DE"/>
    <w:rsid w:val="00967CE5"/>
    <w:rsid w:val="00972976"/>
    <w:rsid w:val="0098443C"/>
    <w:rsid w:val="00985E9A"/>
    <w:rsid w:val="009A1B38"/>
    <w:rsid w:val="009A528F"/>
    <w:rsid w:val="009C7715"/>
    <w:rsid w:val="009D0935"/>
    <w:rsid w:val="009D4439"/>
    <w:rsid w:val="009D6A75"/>
    <w:rsid w:val="00A02AE8"/>
    <w:rsid w:val="00A11246"/>
    <w:rsid w:val="00A126B1"/>
    <w:rsid w:val="00A50CC2"/>
    <w:rsid w:val="00A662A5"/>
    <w:rsid w:val="00A67E9B"/>
    <w:rsid w:val="00A70FE4"/>
    <w:rsid w:val="00A736C8"/>
    <w:rsid w:val="00A749D0"/>
    <w:rsid w:val="00A76A1C"/>
    <w:rsid w:val="00AC1626"/>
    <w:rsid w:val="00AC73B5"/>
    <w:rsid w:val="00AD126D"/>
    <w:rsid w:val="00AD278F"/>
    <w:rsid w:val="00AE18CE"/>
    <w:rsid w:val="00AE32AB"/>
    <w:rsid w:val="00AE4D17"/>
    <w:rsid w:val="00AE51B3"/>
    <w:rsid w:val="00AF394F"/>
    <w:rsid w:val="00B127E3"/>
    <w:rsid w:val="00B16246"/>
    <w:rsid w:val="00B30323"/>
    <w:rsid w:val="00B3357F"/>
    <w:rsid w:val="00B35179"/>
    <w:rsid w:val="00B51082"/>
    <w:rsid w:val="00B619C4"/>
    <w:rsid w:val="00B70824"/>
    <w:rsid w:val="00B74FFA"/>
    <w:rsid w:val="00B77C5B"/>
    <w:rsid w:val="00B80765"/>
    <w:rsid w:val="00B8271E"/>
    <w:rsid w:val="00B87792"/>
    <w:rsid w:val="00BA19DB"/>
    <w:rsid w:val="00BA28F1"/>
    <w:rsid w:val="00BB22AE"/>
    <w:rsid w:val="00BC6C58"/>
    <w:rsid w:val="00BD1A6E"/>
    <w:rsid w:val="00BE3D91"/>
    <w:rsid w:val="00BE7E9F"/>
    <w:rsid w:val="00BF2531"/>
    <w:rsid w:val="00BF3ABB"/>
    <w:rsid w:val="00C32248"/>
    <w:rsid w:val="00C3309A"/>
    <w:rsid w:val="00C43A6E"/>
    <w:rsid w:val="00C505AB"/>
    <w:rsid w:val="00C512CB"/>
    <w:rsid w:val="00C64D93"/>
    <w:rsid w:val="00C74BCC"/>
    <w:rsid w:val="00C86A20"/>
    <w:rsid w:val="00C86D3C"/>
    <w:rsid w:val="00C91617"/>
    <w:rsid w:val="00C91935"/>
    <w:rsid w:val="00C958F7"/>
    <w:rsid w:val="00CA2A1E"/>
    <w:rsid w:val="00CB1BDF"/>
    <w:rsid w:val="00CB43EB"/>
    <w:rsid w:val="00CE569B"/>
    <w:rsid w:val="00CF0B52"/>
    <w:rsid w:val="00D10AC5"/>
    <w:rsid w:val="00D13D57"/>
    <w:rsid w:val="00D21B08"/>
    <w:rsid w:val="00D27D9B"/>
    <w:rsid w:val="00D32E93"/>
    <w:rsid w:val="00D33393"/>
    <w:rsid w:val="00D342C4"/>
    <w:rsid w:val="00D63E32"/>
    <w:rsid w:val="00D74974"/>
    <w:rsid w:val="00D905BA"/>
    <w:rsid w:val="00D92FDA"/>
    <w:rsid w:val="00D94D58"/>
    <w:rsid w:val="00DA580D"/>
    <w:rsid w:val="00DC5A6F"/>
    <w:rsid w:val="00DC603A"/>
    <w:rsid w:val="00DC6A44"/>
    <w:rsid w:val="00DD4243"/>
    <w:rsid w:val="00DD4766"/>
    <w:rsid w:val="00DD717B"/>
    <w:rsid w:val="00DD744D"/>
    <w:rsid w:val="00E048CD"/>
    <w:rsid w:val="00E26B27"/>
    <w:rsid w:val="00E314DF"/>
    <w:rsid w:val="00E322DA"/>
    <w:rsid w:val="00E376A5"/>
    <w:rsid w:val="00E44428"/>
    <w:rsid w:val="00E673CB"/>
    <w:rsid w:val="00E74693"/>
    <w:rsid w:val="00E81073"/>
    <w:rsid w:val="00EA1D05"/>
    <w:rsid w:val="00EA5DA6"/>
    <w:rsid w:val="00EB7EC7"/>
    <w:rsid w:val="00EC14C2"/>
    <w:rsid w:val="00EC223D"/>
    <w:rsid w:val="00EC5CF5"/>
    <w:rsid w:val="00EC6689"/>
    <w:rsid w:val="00EC698D"/>
    <w:rsid w:val="00ED1533"/>
    <w:rsid w:val="00ED68AF"/>
    <w:rsid w:val="00ED6F99"/>
    <w:rsid w:val="00EE498D"/>
    <w:rsid w:val="00EE6DAB"/>
    <w:rsid w:val="00EE744A"/>
    <w:rsid w:val="00EF5EC7"/>
    <w:rsid w:val="00F11166"/>
    <w:rsid w:val="00F14280"/>
    <w:rsid w:val="00F17B36"/>
    <w:rsid w:val="00F24A26"/>
    <w:rsid w:val="00F26F3A"/>
    <w:rsid w:val="00F427B2"/>
    <w:rsid w:val="00F43A87"/>
    <w:rsid w:val="00F45537"/>
    <w:rsid w:val="00F55BC6"/>
    <w:rsid w:val="00F70FAD"/>
    <w:rsid w:val="00F778EA"/>
    <w:rsid w:val="00F84B70"/>
    <w:rsid w:val="00F90208"/>
    <w:rsid w:val="00FA4353"/>
    <w:rsid w:val="00FB2BCA"/>
    <w:rsid w:val="00FD7538"/>
    <w:rsid w:val="00FE6555"/>
    <w:rsid w:val="00FF0243"/>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1807</TotalTime>
  <Pages>2</Pages>
  <Words>692</Words>
  <Characters>3814</Characters>
  <Application>Microsoft Office Word</Application>
  <DocSecurity>0</DocSecurity>
  <Lines>69</Lines>
  <Paragraphs>26</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281</cp:revision>
  <cp:lastPrinted>2025-10-21T01:57:00Z</cp:lastPrinted>
  <dcterms:created xsi:type="dcterms:W3CDTF">2025-10-07T21:46:00Z</dcterms:created>
  <dcterms:modified xsi:type="dcterms:W3CDTF">2025-10-21T01:57:00Z</dcterms:modified>
</cp:coreProperties>
</file>