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lineRule="auto"/>
        <w:rPr>
          <w:rFonts w:ascii="Times New Roman" w:cs="Times New Roman" w:eastAsia="Times New Roman" w:hAnsi="Times New Roman"/>
          <w:i w:val="1"/>
          <w:iCs w:val="1"/>
          <w:color w:val="555555"/>
          <w:sz w:val="20"/>
          <w:szCs w:val="20"/>
        </w:rPr>
      </w:pPr>
      <w:r w:rsidDel="00000000" w:rsidR="00000000" w:rsidRPr="00000000">
        <w:rPr>
          <w:rtl w:val="0"/>
        </w:rPr>
        <w:br w:type="textWrapping"/>
      </w:r>
      <w:r w:rsidDel="00000000" w:rsidR="00000000" w:rsidRPr="00000000">
        <w:rPr>
          <w:rFonts w:ascii="Times New Roman" w:cs="Times New Roman" w:eastAsia="Times New Roman" w:hAnsi="Times New Roman"/>
          <w:b w:val="1"/>
          <w:bCs w:val="1"/>
          <w:i w:val="1"/>
          <w:iCs w:val="1"/>
          <w:color w:val="555555"/>
          <w:sz w:val="20"/>
          <w:szCs w:val="20"/>
          <w:rtl w:val="0"/>
        </w:rPr>
        <w:t xml:space="preserve">Internal Note:</w:t>
      </w:r>
      <w:r w:rsidDel="00000000" w:rsidR="00000000" w:rsidRPr="00000000">
        <w:rPr>
          <w:rFonts w:ascii="Times New Roman" w:cs="Times New Roman" w:eastAsia="Times New Roman" w:hAnsi="Times New Roman"/>
          <w:i w:val="1"/>
          <w:iCs w:val="1"/>
          <w:color w:val="555555"/>
          <w:sz w:val="20"/>
          <w:szCs w:val="20"/>
          <w:rtl w:val="0"/>
        </w:rPr>
        <w:t xml:space="preserve"> This form is designed to document the purchase of Big Interview under the Federal Micro-Purchase Threshold (2 CFR 200.320). If our organization has self-certified a higher threshold (up to $50,000), this purchase does not require a formal competitive solicitation (RFP).</w:t>
      </w:r>
    </w:p>
    <w:p w:rsidR="00000000" w:rsidDel="00000000" w:rsidP="00000000" w:rsidRDefault="00000000" w:rsidRPr="00000000" w14:paraId="00000002">
      <w:pPr>
        <w:pStyle w:val="Heading1"/>
        <w:keepNext w:val="0"/>
        <w:keepLines w:val="0"/>
        <w:spacing w:after="460" w:before="300" w:line="264" w:lineRule="auto"/>
        <w:jc w:val="center"/>
        <w:rPr>
          <w:rFonts w:ascii="Times New Roman" w:cs="Times New Roman" w:eastAsia="Times New Roman" w:hAnsi="Times New Roman"/>
          <w:sz w:val="32"/>
          <w:szCs w:val="32"/>
        </w:rPr>
      </w:pPr>
      <w:bookmarkStart w:colFirst="0" w:colLast="0" w:name="_qqja7arqm1ud" w:id="0"/>
      <w:bookmarkEnd w:id="0"/>
      <w:r w:rsidDel="00000000" w:rsidR="00000000" w:rsidRPr="00000000">
        <w:rPr>
          <w:rFonts w:ascii="Times New Roman" w:cs="Times New Roman" w:eastAsia="Times New Roman" w:hAnsi="Times New Roman"/>
          <w:sz w:val="32"/>
          <w:szCs w:val="32"/>
          <w:rtl w:val="0"/>
        </w:rPr>
        <w:t xml:space="preserve">Micro-Purchase Justification &amp; Vendor Selection Form</w:t>
      </w:r>
    </w:p>
    <w:tbl>
      <w:tblPr>
        <w:tblStyle w:val="Table1"/>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7050"/>
        <w:tblGridChange w:id="0">
          <w:tblGrid>
            <w:gridCol w:w="1770"/>
            <w:gridCol w:w="7050"/>
          </w:tblGrid>
        </w:tblGridChange>
      </w:tblGrid>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20.0" w:type="dxa"/>
              <w:left w:w="120.0" w:type="dxa"/>
              <w:bottom w:w="120.0" w:type="dxa"/>
              <w:right w:w="120.0" w:type="dxa"/>
            </w:tcMar>
            <w:vAlign w:val="top"/>
          </w:tcPr>
          <w:p w:rsidR="00000000" w:rsidDel="00000000" w:rsidP="00000000" w:rsidRDefault="00000000" w:rsidRPr="00000000" w14:paraId="00000003">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120.0" w:type="dxa"/>
              <w:bottom w:w="120.0" w:type="dxa"/>
              <w:right w:w="120.0" w:type="dxa"/>
            </w:tcMar>
            <w:vAlign w:val="top"/>
          </w:tcPr>
          <w:p w:rsidR="00000000" w:rsidDel="00000000" w:rsidP="00000000" w:rsidRDefault="00000000" w:rsidRPr="00000000" w14:paraId="00000004">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shd w:fill="fffec8" w:val="clear"/>
                <w:rtl w:val="0"/>
              </w:rPr>
              <w:t xml:space="preserve">[Insert Date]</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20.0" w:type="dxa"/>
              <w:left w:w="120.0" w:type="dxa"/>
              <w:bottom w:w="120.0" w:type="dxa"/>
              <w:right w:w="120.0" w:type="dxa"/>
            </w:tcMar>
            <w:vAlign w:val="top"/>
          </w:tcPr>
          <w:p w:rsidR="00000000" w:rsidDel="00000000" w:rsidP="00000000" w:rsidRDefault="00000000" w:rsidRPr="00000000" w14:paraId="00000005">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Department: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120.0" w:type="dxa"/>
              <w:bottom w:w="120.0" w:type="dxa"/>
              <w:right w:w="120.0" w:type="dxa"/>
            </w:tcMar>
            <w:vAlign w:val="top"/>
          </w:tcPr>
          <w:p w:rsidR="00000000" w:rsidDel="00000000" w:rsidP="00000000" w:rsidRDefault="00000000" w:rsidRPr="00000000" w14:paraId="00000006">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shd w:fill="fffec8" w:val="clear"/>
                <w:rtl w:val="0"/>
              </w:rPr>
              <w:t xml:space="preserve">[Workforce Development / Program Name]</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120.0" w:type="dxa"/>
              <w:left w:w="120.0" w:type="dxa"/>
              <w:bottom w:w="120.0" w:type="dxa"/>
              <w:right w:w="120.0" w:type="dxa"/>
            </w:tcMar>
            <w:vAlign w:val="top"/>
          </w:tcPr>
          <w:p w:rsidR="00000000" w:rsidDel="00000000" w:rsidP="00000000" w:rsidRDefault="00000000" w:rsidRPr="00000000" w14:paraId="00000007">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Requestor: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20.0" w:type="dxa"/>
              <w:left w:w="120.0" w:type="dxa"/>
              <w:bottom w:w="120.0" w:type="dxa"/>
              <w:right w:w="120.0" w:type="dxa"/>
            </w:tcMar>
            <w:vAlign w:val="top"/>
          </w:tcPr>
          <w:p w:rsidR="00000000" w:rsidDel="00000000" w:rsidP="00000000" w:rsidRDefault="00000000" w:rsidRPr="00000000" w14:paraId="00000008">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shd w:fill="fffec8" w:val="clear"/>
                <w:rtl w:val="0"/>
              </w:rPr>
              <w:t xml:space="preserve">[Program Director Name]</w:t>
            </w:r>
            <w:r w:rsidDel="00000000" w:rsidR="00000000" w:rsidRPr="00000000">
              <w:rPr>
                <w:rtl w:val="0"/>
              </w:rPr>
            </w:r>
          </w:p>
        </w:tc>
      </w:tr>
    </w:tbl>
    <w:p w:rsidR="00000000" w:rsidDel="00000000" w:rsidP="00000000" w:rsidRDefault="00000000" w:rsidRPr="00000000" w14:paraId="00000009">
      <w:pPr>
        <w:pStyle w:val="Heading2"/>
        <w:keepNext w:val="0"/>
        <w:keepLines w:val="0"/>
        <w:pBdr>
          <w:top w:color="auto" w:space="3" w:sz="0" w:val="none"/>
          <w:left w:color="auto" w:space="3" w:sz="0" w:val="none"/>
          <w:bottom w:color="auto" w:space="3" w:sz="0" w:val="none"/>
          <w:right w:color="auto" w:space="3" w:sz="0" w:val="none"/>
          <w:between w:color="auto" w:space="3" w:sz="0" w:val="none"/>
        </w:pBdr>
        <w:shd w:fill="f0f0f0" w:val="clear"/>
        <w:spacing w:after="160" w:before="300" w:line="264" w:lineRule="auto"/>
        <w:rPr>
          <w:rFonts w:ascii="Times New Roman" w:cs="Times New Roman" w:eastAsia="Times New Roman" w:hAnsi="Times New Roman"/>
          <w:b w:val="1"/>
          <w:bCs w:val="1"/>
          <w:sz w:val="24"/>
          <w:szCs w:val="24"/>
        </w:rPr>
      </w:pPr>
      <w:bookmarkStart w:colFirst="0" w:colLast="0" w:name="_3boo7syx1eyv" w:id="1"/>
      <w:bookmarkEnd w:id="1"/>
      <w:r w:rsidDel="00000000" w:rsidR="00000000" w:rsidRPr="00000000">
        <w:rPr>
          <w:rFonts w:ascii="Times New Roman" w:cs="Times New Roman" w:eastAsia="Times New Roman" w:hAnsi="Times New Roman"/>
          <w:b w:val="1"/>
          <w:bCs w:val="1"/>
          <w:sz w:val="24"/>
          <w:szCs w:val="24"/>
          <w:rtl w:val="0"/>
        </w:rPr>
        <w:t xml:space="preserve">1. Vendor &amp; Supply Information</w:t>
      </w:r>
    </w:p>
    <w:tbl>
      <w:tblPr>
        <w:tblStyle w:val="Table2"/>
        <w:tblW w:w="8805.0" w:type="dxa"/>
        <w:jc w:val="left"/>
        <w:tblBorders>
          <w:top w:color="bbbbbb" w:space="0" w:sz="5" w:val="dashed"/>
          <w:left w:color="bbbbbb" w:space="0" w:sz="5" w:val="dashed"/>
          <w:bottom w:color="bbbbbb" w:space="0" w:sz="5" w:val="dashed"/>
          <w:right w:color="bbbbbb" w:space="0" w:sz="5" w:val="dashed"/>
          <w:insideH w:color="bbbbbb" w:space="0" w:sz="5" w:val="dashed"/>
          <w:insideV w:color="bbbbbb" w:space="0" w:sz="5" w:val="dashed"/>
        </w:tblBorders>
        <w:tblLayout w:type="fixed"/>
        <w:tblLook w:val="0600"/>
      </w:tblPr>
      <w:tblGrid>
        <w:gridCol w:w="2640"/>
        <w:gridCol w:w="6165"/>
        <w:tblGridChange w:id="0">
          <w:tblGrid>
            <w:gridCol w:w="2640"/>
            <w:gridCol w:w="6165"/>
          </w:tblGrid>
        </w:tblGridChange>
      </w:tblGrid>
      <w:tr>
        <w:trPr>
          <w:cantSplit w:val="0"/>
          <w:trHeight w:val="495" w:hRule="atLeast"/>
          <w:tblHeader w:val="0"/>
        </w:trPr>
        <w:tc>
          <w:tcPr>
            <w:tcBorders>
              <w:top w:color="bbbbbb" w:space="0" w:sz="5" w:val="dashed"/>
              <w:left w:color="bbbbbb" w:space="0" w:sz="5" w:val="dashed"/>
              <w:bottom w:color="bbbbbb" w:space="0" w:sz="5" w:val="dashed"/>
              <w:right w:color="bbbbbb" w:space="0" w:sz="5" w:val="dashed"/>
            </w:tcBorders>
            <w:tcMar>
              <w:top w:w="120.0" w:type="dxa"/>
              <w:left w:w="120.0" w:type="dxa"/>
              <w:bottom w:w="120.0" w:type="dxa"/>
              <w:right w:w="120.0" w:type="dxa"/>
            </w:tcMar>
            <w:vAlign w:val="top"/>
          </w:tcPr>
          <w:p w:rsidR="00000000" w:rsidDel="00000000" w:rsidP="00000000" w:rsidRDefault="00000000" w:rsidRPr="00000000" w14:paraId="0000000A">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Vendor Name:</w:t>
            </w:r>
            <w:r w:rsidDel="00000000" w:rsidR="00000000" w:rsidRPr="00000000">
              <w:rPr>
                <w:rtl w:val="0"/>
              </w:rPr>
            </w:r>
          </w:p>
        </w:tc>
        <w:tc>
          <w:tcPr>
            <w:tcBorders>
              <w:top w:color="bbbbbb" w:space="0" w:sz="5" w:val="dashed"/>
              <w:left w:color="bbbbbb" w:space="0" w:sz="5" w:val="dashed"/>
              <w:bottom w:color="bbbbbb" w:space="0" w:sz="5" w:val="dashed"/>
              <w:right w:color="bbbbbb" w:space="0" w:sz="5" w:val="dashed"/>
            </w:tcBorders>
            <w:tcMar>
              <w:top w:w="120.0" w:type="dxa"/>
              <w:left w:w="120.0" w:type="dxa"/>
              <w:bottom w:w="120.0" w:type="dxa"/>
              <w:right w:w="120.0" w:type="dxa"/>
            </w:tcMar>
            <w:vAlign w:val="top"/>
          </w:tcPr>
          <w:p w:rsidR="00000000" w:rsidDel="00000000" w:rsidP="00000000" w:rsidRDefault="00000000" w:rsidRPr="00000000" w14:paraId="0000000B">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Big Interview (Skillful Communications, Inc.)</w:t>
            </w:r>
          </w:p>
        </w:tc>
      </w:tr>
      <w:tr>
        <w:trPr>
          <w:cantSplit w:val="0"/>
          <w:trHeight w:val="495" w:hRule="atLeast"/>
          <w:tblHeader w:val="0"/>
        </w:trPr>
        <w:tc>
          <w:tcPr>
            <w:tcBorders>
              <w:top w:color="bbbbbb" w:space="0" w:sz="5" w:val="dashed"/>
              <w:left w:color="bbbbbb" w:space="0" w:sz="5" w:val="dashed"/>
              <w:bottom w:color="bbbbbb" w:space="0" w:sz="5" w:val="dashed"/>
              <w:right w:color="bbbbbb" w:space="0" w:sz="5" w:val="dashed"/>
            </w:tcBorders>
            <w:tcMar>
              <w:top w:w="120.0" w:type="dxa"/>
              <w:left w:w="120.0" w:type="dxa"/>
              <w:bottom w:w="120.0" w:type="dxa"/>
              <w:right w:w="120.0" w:type="dxa"/>
            </w:tcMar>
            <w:vAlign w:val="top"/>
          </w:tcPr>
          <w:p w:rsidR="00000000" w:rsidDel="00000000" w:rsidP="00000000" w:rsidRDefault="00000000" w:rsidRPr="00000000" w14:paraId="0000000C">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Product/Service:</w:t>
            </w:r>
            <w:r w:rsidDel="00000000" w:rsidR="00000000" w:rsidRPr="00000000">
              <w:rPr>
                <w:rtl w:val="0"/>
              </w:rPr>
            </w:r>
          </w:p>
        </w:tc>
        <w:tc>
          <w:tcPr>
            <w:tcBorders>
              <w:top w:color="bbbbbb" w:space="0" w:sz="5" w:val="dashed"/>
              <w:left w:color="bbbbbb" w:space="0" w:sz="5" w:val="dashed"/>
              <w:bottom w:color="bbbbbb" w:space="0" w:sz="5" w:val="dashed"/>
              <w:right w:color="bbbbbb" w:space="0" w:sz="5" w:val="dashed"/>
            </w:tcBorders>
            <w:tcMar>
              <w:top w:w="120.0" w:type="dxa"/>
              <w:left w:w="120.0" w:type="dxa"/>
              <w:bottom w:w="120.0" w:type="dxa"/>
              <w:right w:w="120.0" w:type="dxa"/>
            </w:tcMar>
            <w:vAlign w:val="top"/>
          </w:tcPr>
          <w:p w:rsidR="00000000" w:rsidDel="00000000" w:rsidP="00000000" w:rsidRDefault="00000000" w:rsidRPr="00000000" w14:paraId="0000000D">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Big Interview Training Platform (Annual License)</w:t>
            </w:r>
          </w:p>
        </w:tc>
      </w:tr>
      <w:tr>
        <w:trPr>
          <w:cantSplit w:val="0"/>
          <w:trHeight w:val="495" w:hRule="atLeast"/>
          <w:tblHeader w:val="0"/>
        </w:trPr>
        <w:tc>
          <w:tcPr>
            <w:tcBorders>
              <w:top w:color="bbbbbb" w:space="0" w:sz="5" w:val="dashed"/>
              <w:left w:color="bbbbbb" w:space="0" w:sz="5" w:val="dashed"/>
              <w:bottom w:color="bbbbbb" w:space="0" w:sz="5" w:val="dashed"/>
              <w:right w:color="bbbbbb" w:space="0" w:sz="5" w:val="dashed"/>
            </w:tcBorders>
            <w:tcMar>
              <w:top w:w="120.0" w:type="dxa"/>
              <w:left w:w="120.0" w:type="dxa"/>
              <w:bottom w:w="120.0" w:type="dxa"/>
              <w:right w:w="120.0" w:type="dxa"/>
            </w:tcMar>
            <w:vAlign w:val="top"/>
          </w:tcPr>
          <w:p w:rsidR="00000000" w:rsidDel="00000000" w:rsidP="00000000" w:rsidRDefault="00000000" w:rsidRPr="00000000" w14:paraId="0000000E">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Total Cost:</w:t>
            </w:r>
            <w:r w:rsidDel="00000000" w:rsidR="00000000" w:rsidRPr="00000000">
              <w:rPr>
                <w:rtl w:val="0"/>
              </w:rPr>
            </w:r>
          </w:p>
        </w:tc>
        <w:tc>
          <w:tcPr>
            <w:tcBorders>
              <w:top w:color="bbbbbb" w:space="0" w:sz="5" w:val="dashed"/>
              <w:left w:color="bbbbbb" w:space="0" w:sz="5" w:val="dashed"/>
              <w:bottom w:color="bbbbbb" w:space="0" w:sz="5" w:val="dashed"/>
              <w:right w:color="bbbbbb" w:space="0" w:sz="5" w:val="dashed"/>
            </w:tcBorders>
            <w:tcMar>
              <w:top w:w="120.0" w:type="dxa"/>
              <w:left w:w="120.0" w:type="dxa"/>
              <w:bottom w:w="120.0" w:type="dxa"/>
              <w:right w:w="120.0" w:type="dxa"/>
            </w:tcMar>
            <w:vAlign w:val="top"/>
          </w:tcPr>
          <w:p w:rsidR="00000000" w:rsidDel="00000000" w:rsidP="00000000" w:rsidRDefault="00000000" w:rsidRPr="00000000" w14:paraId="0000000F">
            <w:pPr>
              <w:spacing w:before="16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shd w:fill="fffec8" w:val="clear"/>
                <w:rtl w:val="0"/>
              </w:rPr>
              <w:t xml:space="preserve">$[Insert Price, e.g., 3,500.00]</w:t>
            </w:r>
            <w:r w:rsidDel="00000000" w:rsidR="00000000" w:rsidRPr="00000000">
              <w:rPr>
                <w:rtl w:val="0"/>
              </w:rPr>
            </w:r>
          </w:p>
        </w:tc>
      </w:tr>
    </w:tbl>
    <w:p w:rsidR="00000000" w:rsidDel="00000000" w:rsidP="00000000" w:rsidRDefault="00000000" w:rsidRPr="00000000" w14:paraId="00000010">
      <w:pPr>
        <w:pStyle w:val="Heading2"/>
        <w:keepNext w:val="0"/>
        <w:keepLines w:val="0"/>
        <w:pBdr>
          <w:top w:color="auto" w:space="3" w:sz="0" w:val="none"/>
          <w:left w:color="auto" w:space="3" w:sz="0" w:val="none"/>
          <w:bottom w:color="auto" w:space="3" w:sz="0" w:val="none"/>
          <w:right w:color="auto" w:space="3" w:sz="0" w:val="none"/>
          <w:between w:color="auto" w:space="3" w:sz="0" w:val="none"/>
        </w:pBdr>
        <w:shd w:fill="f0f0f0" w:val="clear"/>
        <w:spacing w:after="160" w:before="300" w:line="264" w:lineRule="auto"/>
        <w:rPr>
          <w:rFonts w:ascii="Times New Roman" w:cs="Times New Roman" w:eastAsia="Times New Roman" w:hAnsi="Times New Roman"/>
          <w:b w:val="1"/>
          <w:bCs w:val="1"/>
          <w:sz w:val="24"/>
          <w:szCs w:val="24"/>
        </w:rPr>
      </w:pPr>
      <w:bookmarkStart w:colFirst="0" w:colLast="0" w:name="_8319b2sybb5o" w:id="2"/>
      <w:bookmarkEnd w:id="2"/>
      <w:r w:rsidDel="00000000" w:rsidR="00000000" w:rsidRPr="00000000">
        <w:rPr>
          <w:rFonts w:ascii="Times New Roman" w:cs="Times New Roman" w:eastAsia="Times New Roman" w:hAnsi="Times New Roman"/>
          <w:b w:val="1"/>
          <w:bCs w:val="1"/>
          <w:sz w:val="24"/>
          <w:szCs w:val="24"/>
          <w:rtl w:val="0"/>
        </w:rPr>
        <w:t xml:space="preserve">2. Regulatory Authority</w:t>
      </w:r>
    </w:p>
    <w:p w:rsidR="00000000" w:rsidDel="00000000" w:rsidP="00000000" w:rsidRDefault="00000000" w:rsidRPr="00000000" w14:paraId="00000011">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purchase is made pursuant to </w:t>
      </w:r>
      <w:r w:rsidDel="00000000" w:rsidR="00000000" w:rsidRPr="00000000">
        <w:rPr>
          <w:rFonts w:ascii="Times New Roman" w:cs="Times New Roman" w:eastAsia="Times New Roman" w:hAnsi="Times New Roman"/>
          <w:b w:val="1"/>
          <w:bCs w:val="1"/>
          <w:rtl w:val="0"/>
        </w:rPr>
        <w:t xml:space="preserve">Uniform Guidance 2 CFR 200.320(a)(1)</w:t>
      </w:r>
      <w:r w:rsidDel="00000000" w:rsidR="00000000" w:rsidRPr="00000000">
        <w:rPr>
          <w:rFonts w:ascii="Times New Roman" w:cs="Times New Roman" w:eastAsia="Times New Roman" w:hAnsi="Times New Roman"/>
          <w:rtl w:val="0"/>
        </w:rPr>
        <w:t xml:space="preserve"> regarding micro-purchases. The aggregate dollar amount does not exceed the micro-purchase threshold self-certified by this organization (up to $50,000).</w:t>
      </w:r>
    </w:p>
    <w:p w:rsidR="00000000" w:rsidDel="00000000" w:rsidP="00000000" w:rsidRDefault="00000000" w:rsidRPr="00000000" w14:paraId="00000012">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Accordingly, this purchase may be awarded without soliciting competitive price or rate quotations, provided the price is considered reasonable.</w:t>
      </w:r>
    </w:p>
    <w:p w:rsidR="00000000" w:rsidDel="00000000" w:rsidP="00000000" w:rsidRDefault="00000000" w:rsidRPr="00000000" w14:paraId="00000013">
      <w:pPr>
        <w:pStyle w:val="Heading2"/>
        <w:keepNext w:val="0"/>
        <w:keepLines w:val="0"/>
        <w:pBdr>
          <w:top w:color="auto" w:space="3" w:sz="0" w:val="none"/>
          <w:left w:color="auto" w:space="3" w:sz="0" w:val="none"/>
          <w:bottom w:color="auto" w:space="3" w:sz="0" w:val="none"/>
          <w:right w:color="auto" w:space="3" w:sz="0" w:val="none"/>
          <w:between w:color="auto" w:space="3" w:sz="0" w:val="none"/>
        </w:pBdr>
        <w:shd w:fill="f0f0f0" w:val="clear"/>
        <w:spacing w:after="160" w:before="300" w:line="264" w:lineRule="auto"/>
        <w:rPr>
          <w:rFonts w:ascii="Times New Roman" w:cs="Times New Roman" w:eastAsia="Times New Roman" w:hAnsi="Times New Roman"/>
          <w:b w:val="1"/>
          <w:bCs w:val="1"/>
          <w:sz w:val="24"/>
          <w:szCs w:val="24"/>
        </w:rPr>
      </w:pPr>
      <w:bookmarkStart w:colFirst="0" w:colLast="0" w:name="_tukiidwn9qkm" w:id="3"/>
      <w:bookmarkEnd w:id="3"/>
      <w:r w:rsidDel="00000000" w:rsidR="00000000" w:rsidRPr="00000000">
        <w:rPr>
          <w:rFonts w:ascii="Times New Roman" w:cs="Times New Roman" w:eastAsia="Times New Roman" w:hAnsi="Times New Roman"/>
          <w:b w:val="1"/>
          <w:bCs w:val="1"/>
          <w:sz w:val="24"/>
          <w:szCs w:val="24"/>
          <w:rtl w:val="0"/>
        </w:rPr>
        <w:t xml:space="preserve">3. Justification for Vendor Selection</w:t>
      </w:r>
    </w:p>
    <w:p w:rsidR="00000000" w:rsidDel="00000000" w:rsidP="00000000" w:rsidRDefault="00000000" w:rsidRPr="00000000" w14:paraId="00000014">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Big Interview has been selected as the service provider for the following reasons (check all that apply):</w:t>
      </w:r>
    </w:p>
    <w:p w:rsidR="00000000" w:rsidDel="00000000" w:rsidP="00000000" w:rsidRDefault="00000000" w:rsidRPr="00000000" w14:paraId="00000015">
      <w:pPr>
        <w:numPr>
          <w:ilvl w:val="0"/>
          <w:numId w:val="1"/>
        </w:numPr>
        <w:spacing w:after="0" w:afterAutospacing="0" w:lineRule="auto"/>
        <w:ind w:left="720" w:hanging="360"/>
        <w:rPr>
          <w:sz w:val="22"/>
          <w:szCs w:val="22"/>
        </w:rPr>
      </w:pPr>
      <w:r w:rsidDel="00000000" w:rsidR="00000000" w:rsidRPr="00000000">
        <w:rPr>
          <w:rFonts w:ascii="Times New Roman" w:cs="Times New Roman" w:eastAsia="Times New Roman" w:hAnsi="Times New Roman"/>
          <w:b w:val="1"/>
          <w:bCs w:val="1"/>
          <w:rtl w:val="0"/>
        </w:rPr>
        <w:t xml:space="preserve">☑ Operational Efficiency (Staff Time Savings):</w:t>
      </w:r>
      <w:r w:rsidDel="00000000" w:rsidR="00000000" w:rsidRPr="00000000">
        <w:rPr>
          <w:rFonts w:ascii="Times New Roman" w:cs="Times New Roman" w:eastAsia="Times New Roman" w:hAnsi="Times New Roman"/>
          <w:rtl w:val="0"/>
        </w:rPr>
        <w:t xml:space="preserve"> The platform automates first-round mock interviews and resume reviews. This replaces manual staff hours estimated at </w:t>
      </w:r>
      <w:r w:rsidDel="00000000" w:rsidR="00000000" w:rsidRPr="00000000">
        <w:rPr>
          <w:rFonts w:ascii="Times New Roman" w:cs="Times New Roman" w:eastAsia="Times New Roman" w:hAnsi="Times New Roman"/>
          <w:shd w:fill="fffec8" w:val="clear"/>
          <w:rtl w:val="0"/>
        </w:rPr>
        <w:t xml:space="preserve">[Insert Hours]</w:t>
      </w:r>
      <w:r w:rsidDel="00000000" w:rsidR="00000000" w:rsidRPr="00000000">
        <w:rPr>
          <w:rFonts w:ascii="Times New Roman" w:cs="Times New Roman" w:eastAsia="Times New Roman" w:hAnsi="Times New Roman"/>
          <w:rtl w:val="0"/>
        </w:rPr>
        <w:t xml:space="preserve"> hours per cohort, resulting in significant cost avoidance compared to manual service delivery[cite: 23, 24, 107].</w:t>
      </w:r>
    </w:p>
    <w:p w:rsidR="00000000" w:rsidDel="00000000" w:rsidP="00000000" w:rsidRDefault="00000000" w:rsidRPr="00000000" w14:paraId="00000016">
      <w:pPr>
        <w:numPr>
          <w:ilvl w:val="0"/>
          <w:numId w:val="1"/>
        </w:numPr>
        <w:spacing w:after="0" w:afterAutospacing="0" w:lineRule="auto"/>
        <w:ind w:left="720" w:hanging="360"/>
        <w:rPr>
          <w:sz w:val="22"/>
          <w:szCs w:val="22"/>
        </w:rPr>
      </w:pPr>
      <w:r w:rsidDel="00000000" w:rsidR="00000000" w:rsidRPr="00000000">
        <w:rPr>
          <w:rFonts w:ascii="Times New Roman" w:cs="Times New Roman" w:eastAsia="Times New Roman" w:hAnsi="Times New Roman"/>
          <w:b w:val="1"/>
          <w:bCs w:val="1"/>
          <w:rtl w:val="0"/>
        </w:rPr>
        <w:t xml:space="preserve">☑ Data Integrity &amp; Reporting:</w:t>
      </w:r>
      <w:r w:rsidDel="00000000" w:rsidR="00000000" w:rsidRPr="00000000">
        <w:rPr>
          <w:rFonts w:ascii="Times New Roman" w:cs="Times New Roman" w:eastAsia="Times New Roman" w:hAnsi="Times New Roman"/>
          <w:rtl w:val="0"/>
        </w:rPr>
        <w:t xml:space="preserve"> The vendor provides specific export capabilities compatible with our Case Management System (</w:t>
      </w:r>
      <w:r w:rsidDel="00000000" w:rsidR="00000000" w:rsidRPr="00000000">
        <w:rPr>
          <w:rFonts w:ascii="Times New Roman" w:cs="Times New Roman" w:eastAsia="Times New Roman" w:hAnsi="Times New Roman"/>
          <w:shd w:fill="fffec8" w:val="clear"/>
          <w:rtl w:val="0"/>
        </w:rPr>
        <w:t xml:space="preserve">Bonterra Apricot / CaseWorthy / Salesforce</w:t>
      </w:r>
      <w:r w:rsidDel="00000000" w:rsidR="00000000" w:rsidRPr="00000000">
        <w:rPr>
          <w:rFonts w:ascii="Times New Roman" w:cs="Times New Roman" w:eastAsia="Times New Roman" w:hAnsi="Times New Roman"/>
          <w:rtl w:val="0"/>
        </w:rPr>
        <w:t xml:space="preserve">). This ensures accurate reporting of "practice volume" and "skill attainment" for grant compliance without custom IT development[cite: 25, 61].</w:t>
      </w:r>
    </w:p>
    <w:p w:rsidR="00000000" w:rsidDel="00000000" w:rsidP="00000000" w:rsidRDefault="00000000" w:rsidRPr="00000000" w14:paraId="00000017">
      <w:pPr>
        <w:numPr>
          <w:ilvl w:val="0"/>
          <w:numId w:val="1"/>
        </w:numPr>
        <w:spacing w:after="320" w:lineRule="auto"/>
        <w:ind w:left="720" w:hanging="360"/>
        <w:rPr>
          <w:sz w:val="22"/>
          <w:szCs w:val="22"/>
        </w:rPr>
      </w:pPr>
      <w:r w:rsidDel="00000000" w:rsidR="00000000" w:rsidRPr="00000000">
        <w:rPr>
          <w:rFonts w:ascii="Times New Roman" w:cs="Times New Roman" w:eastAsia="Times New Roman" w:hAnsi="Times New Roman"/>
          <w:b w:val="1"/>
          <w:bCs w:val="1"/>
          <w:rtl w:val="0"/>
        </w:rPr>
        <w:t xml:space="preserve">☑ Accessibility Compliance:</w:t>
      </w:r>
      <w:r w:rsidDel="00000000" w:rsidR="00000000" w:rsidRPr="00000000">
        <w:rPr>
          <w:rFonts w:ascii="Times New Roman" w:cs="Times New Roman" w:eastAsia="Times New Roman" w:hAnsi="Times New Roman"/>
          <w:rtl w:val="0"/>
        </w:rPr>
        <w:t xml:space="preserve"> The vendor aligns with WCAG 2.1 Level AA standards, meeting Department of Justice requirements for accessible public-facing web content[cite: 62].</w:t>
      </w:r>
    </w:p>
    <w:p w:rsidR="00000000" w:rsidDel="00000000" w:rsidP="00000000" w:rsidRDefault="00000000" w:rsidRPr="00000000" w14:paraId="00000018">
      <w:pPr>
        <w:pStyle w:val="Heading2"/>
        <w:keepNext w:val="0"/>
        <w:keepLines w:val="0"/>
        <w:pBdr>
          <w:top w:color="auto" w:space="3" w:sz="0" w:val="none"/>
          <w:left w:color="auto" w:space="3" w:sz="0" w:val="none"/>
          <w:bottom w:color="auto" w:space="3" w:sz="0" w:val="none"/>
          <w:right w:color="auto" w:space="3" w:sz="0" w:val="none"/>
          <w:between w:color="auto" w:space="3" w:sz="0" w:val="none"/>
        </w:pBdr>
        <w:shd w:fill="f0f0f0" w:val="clear"/>
        <w:spacing w:after="160" w:before="300" w:line="264" w:lineRule="auto"/>
        <w:rPr>
          <w:rFonts w:ascii="Times New Roman" w:cs="Times New Roman" w:eastAsia="Times New Roman" w:hAnsi="Times New Roman"/>
          <w:b w:val="1"/>
          <w:bCs w:val="1"/>
          <w:sz w:val="24"/>
          <w:szCs w:val="24"/>
        </w:rPr>
      </w:pPr>
      <w:bookmarkStart w:colFirst="0" w:colLast="0" w:name="_q73xj2qjvb2" w:id="4"/>
      <w:bookmarkEnd w:id="4"/>
      <w:r w:rsidDel="00000000" w:rsidR="00000000" w:rsidRPr="00000000">
        <w:rPr>
          <w:rFonts w:ascii="Times New Roman" w:cs="Times New Roman" w:eastAsia="Times New Roman" w:hAnsi="Times New Roman"/>
          <w:b w:val="1"/>
          <w:bCs w:val="1"/>
          <w:sz w:val="24"/>
          <w:szCs w:val="24"/>
          <w:rtl w:val="0"/>
        </w:rPr>
        <w:t xml:space="preserve">4. Determination of Price Reasonableness</w:t>
      </w:r>
    </w:p>
    <w:p w:rsidR="00000000" w:rsidDel="00000000" w:rsidP="00000000" w:rsidRDefault="00000000" w:rsidRPr="00000000" w14:paraId="00000019">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price is determined to be fair and reasonable based on the following:</w:t>
      </w:r>
    </w:p>
    <w:p w:rsidR="00000000" w:rsidDel="00000000" w:rsidP="00000000" w:rsidRDefault="00000000" w:rsidRPr="00000000" w14:paraId="0000001A">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(Example: The annual cost of the software ($3,500) is less than the cost of one week of a full-time career coach's salary, yet it provides unlimited practice for 100 participants.)</w:t>
      </w:r>
      <w:r w:rsidDel="00000000" w:rsidR="00000000" w:rsidRPr="00000000">
        <w:rPr>
          <w:rFonts w:ascii="Times New Roman" w:cs="Times New Roman" w:eastAsia="Times New Roman" w:hAnsi="Times New Roman"/>
          <w:rtl w:val="0"/>
        </w:rPr>
        <w:t xml:space="preserve"> [cite: 18]</w:t>
      </w:r>
    </w:p>
    <w:p w:rsidR="00000000" w:rsidDel="00000000" w:rsidP="00000000" w:rsidRDefault="00000000" w:rsidRPr="00000000" w14:paraId="0000001B">
      <w:pPr>
        <w:spacing w:after="160" w:lineRule="auto"/>
        <w:rPr>
          <w:rFonts w:ascii="Times New Roman" w:cs="Times New Roman" w:eastAsia="Times New Roman" w:hAnsi="Times New Roman"/>
          <w:shd w:fill="fffec8" w:val="clear"/>
        </w:rPr>
      </w:pPr>
      <w:r w:rsidDel="00000000" w:rsidR="00000000" w:rsidRPr="00000000">
        <w:rPr>
          <w:rFonts w:ascii="Times New Roman" w:cs="Times New Roman" w:eastAsia="Times New Roman" w:hAnsi="Times New Roman"/>
          <w:b w:val="1"/>
          <w:bCs w:val="1"/>
          <w:rtl w:val="0"/>
        </w:rPr>
        <w:t xml:space="preserve">Comparison: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hd w:fill="fffec8" w:val="clear"/>
          <w:rtl w:val="0"/>
        </w:rPr>
        <w:t xml:space="preserve">[Briefly describe comparison to general market rates or the cost of manual labor, e.g., "Market research shows comparable video interviewing tools target enterprise HR at significantly higher price points, lacking the specific curriculum and reporting features required for non-profit workforce programs."]</w:t>
      </w:r>
    </w:p>
    <w:p w:rsidR="00000000" w:rsidDel="00000000" w:rsidP="00000000" w:rsidRDefault="00000000" w:rsidRPr="00000000" w14:paraId="0000001C">
      <w:pPr>
        <w:pStyle w:val="Heading2"/>
        <w:keepNext w:val="0"/>
        <w:keepLines w:val="0"/>
        <w:pBdr>
          <w:top w:color="auto" w:space="3" w:sz="0" w:val="none"/>
          <w:left w:color="auto" w:space="3" w:sz="0" w:val="none"/>
          <w:bottom w:color="auto" w:space="3" w:sz="0" w:val="none"/>
          <w:right w:color="auto" w:space="3" w:sz="0" w:val="none"/>
          <w:between w:color="auto" w:space="3" w:sz="0" w:val="none"/>
        </w:pBdr>
        <w:shd w:fill="f0f0f0" w:val="clear"/>
        <w:spacing w:after="160" w:before="300" w:line="264" w:lineRule="auto"/>
        <w:rPr>
          <w:rFonts w:ascii="Times New Roman" w:cs="Times New Roman" w:eastAsia="Times New Roman" w:hAnsi="Times New Roman"/>
          <w:b w:val="1"/>
          <w:bCs w:val="1"/>
          <w:sz w:val="24"/>
          <w:szCs w:val="24"/>
        </w:rPr>
      </w:pPr>
      <w:bookmarkStart w:colFirst="0" w:colLast="0" w:name="_xvnw4qy0uddi" w:id="5"/>
      <w:bookmarkEnd w:id="5"/>
      <w:r w:rsidDel="00000000" w:rsidR="00000000" w:rsidRPr="00000000">
        <w:rPr>
          <w:rFonts w:ascii="Times New Roman" w:cs="Times New Roman" w:eastAsia="Times New Roman" w:hAnsi="Times New Roman"/>
          <w:b w:val="1"/>
          <w:bCs w:val="1"/>
          <w:sz w:val="24"/>
          <w:szCs w:val="24"/>
          <w:rtl w:val="0"/>
        </w:rPr>
        <w:t xml:space="preserve">5. Certification</w:t>
      </w:r>
    </w:p>
    <w:p w:rsidR="00000000" w:rsidDel="00000000" w:rsidP="00000000" w:rsidRDefault="00000000" w:rsidRPr="00000000" w14:paraId="0000001D">
      <w:pP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hereby certify that this purchase is necessary for the efficient performance of our grant/program goals and that the price is reasonable.</w:t>
      </w:r>
    </w:p>
    <w:p w:rsidR="00000000" w:rsidDel="00000000" w:rsidP="00000000" w:rsidRDefault="00000000" w:rsidRPr="00000000" w14:paraId="0000001E">
      <w:pPr>
        <w:spacing w:after="160" w:before="7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___________________________________________________</w:t>
        <w:br w:type="textWrapping"/>
      </w:r>
      <w:r w:rsidDel="00000000" w:rsidR="00000000" w:rsidRPr="00000000">
        <w:rPr>
          <w:rFonts w:ascii="Times New Roman" w:cs="Times New Roman" w:eastAsia="Times New Roman" w:hAnsi="Times New Roman"/>
          <w:b w:val="1"/>
          <w:bCs w:val="1"/>
          <w:rtl w:val="0"/>
        </w:rPr>
        <w:t xml:space="preserve">Signature of Requestor</w:t>
      </w:r>
    </w:p>
    <w:p w:rsidR="00000000" w:rsidDel="00000000" w:rsidP="00000000" w:rsidRDefault="00000000" w:rsidRPr="00000000" w14:paraId="0000001F">
      <w:pPr>
        <w:spacing w:after="160" w:before="7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___________________________________________________</w:t>
        <w:br w:type="textWrapping"/>
      </w:r>
      <w:r w:rsidDel="00000000" w:rsidR="00000000" w:rsidRPr="00000000">
        <w:rPr>
          <w:rFonts w:ascii="Times New Roman" w:cs="Times New Roman" w:eastAsia="Times New Roman" w:hAnsi="Times New Roman"/>
          <w:b w:val="1"/>
          <w:bCs w:val="1"/>
          <w:rtl w:val="0"/>
        </w:rPr>
        <w:t xml:space="preserve">Date</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