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WASHINGTON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Washington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was represented by independent legal counsel who advised them regarding Washington community property law, the two-prong fairness test, and circumstances under which this Agreement could be challenged; </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this Agreement is intended to comply with Washington law including principles established in In re Marriage of Matson, 107 Wash.2d 479 (1986), requiring both substantive and procedural fairness;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The Parties agree to limit spousal support as specified herein, acknowledging courts retain discretion to ensure fairness and prevent public assistance dependency.</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Application to Permanent Support:</w:t>
      </w:r>
      <w:r w:rsidDel="00000000" w:rsidR="00000000" w:rsidRPr="00000000">
        <w:rPr>
          <w:rFonts w:ascii="Roboto" w:cs="Roboto" w:eastAsia="Roboto" w:hAnsi="Roboto"/>
          <w:sz w:val="24"/>
          <w:szCs w:val="24"/>
          <w:rtl w:val="0"/>
        </w:rPr>
        <w:t xml:space="preserve"> Section 4 applies to permanent spousal maintenance upon final dissolution. Courts retain discretion to award temporary maintenance during proceedings based on immediate need. Any temporary maintenance paid shall be credited against the total amounts calculated under Section 4.13, reducing the remaining support obligation accordingly.</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7">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18%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22% of payor's net income</w:t>
      </w:r>
    </w:p>
    <w:p w:rsidR="00000000" w:rsidDel="00000000" w:rsidP="00000000" w:rsidRDefault="00000000" w:rsidRPr="00000000" w14:paraId="0000003D">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24% of payor's net income</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30%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40%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45%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50%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55% of marriage length</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150% of Federal Poverty Level for their household size (including dependent children), support shall be increased to achieve that threshold, but shall not exceed the amounts calculated under Section 4.7 by more than 50%.</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falls below 250% of Federal Poverty Level for a single person ($31,300 in 2025).</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4.8.</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showing of substantial change in circumstances not reasonably foreseeable at execution. Both parties acknowledge as foreseeable: dissolution, workforce departures, income changes, health issues, and economic conditions.</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C">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125% </w:t>
      </w:r>
    </w:p>
    <w:p w:rsidR="00000000" w:rsidDel="00000000" w:rsidP="00000000" w:rsidRDefault="00000000" w:rsidRPr="00000000" w14:paraId="0000004D">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250% </w:t>
      </w:r>
    </w:p>
    <w:p w:rsidR="00000000" w:rsidDel="00000000" w:rsidP="00000000" w:rsidRDefault="00000000" w:rsidRPr="00000000" w14:paraId="0000004E">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375%</w:t>
      </w:r>
    </w:p>
    <w:p w:rsidR="00000000" w:rsidDel="00000000" w:rsidP="00000000" w:rsidRDefault="00000000" w:rsidRPr="00000000" w14:paraId="0000004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Washington law.</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 subject to Washington courts' authority to prevent unconscionable results under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In any proceeding, the court or arbitrator may award reasonable attorney fees based on the relative merits of each Party's position and financial circumstances, as permitted under RCW 26.09.140.</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Asset and Liability Disclosure Schedules attached as Exhibits A and B, including all assets, debts, income, business interests, real property, retirement accounts, and recent financial statements.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Acknowledgement</w:t>
      </w:r>
      <w:r w:rsidDel="00000000" w:rsidR="00000000" w:rsidRPr="00000000">
        <w:rPr>
          <w:rFonts w:ascii="Roboto" w:cs="Roboto" w:eastAsia="Roboto" w:hAnsi="Roboto"/>
          <w:sz w:val="24"/>
          <w:szCs w:val="24"/>
          <w:rtl w:val="0"/>
        </w:rPr>
        <w:t xml:space="preserve">: Each Party acknowledges they have received, reviewed, understood, and relied upon the other Party's complete financial disclosures. Each Party had adequate opportunity to verify disclosed information and ask questions.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Continuing Obligation</w:t>
      </w:r>
      <w:r w:rsidDel="00000000" w:rsidR="00000000" w:rsidRPr="00000000">
        <w:rPr>
          <w:rFonts w:ascii="Roboto" w:cs="Roboto" w:eastAsia="Roboto" w:hAnsi="Roboto"/>
          <w:sz w:val="24"/>
          <w:szCs w:val="24"/>
          <w:rtl w:val="0"/>
        </w:rPr>
        <w:t xml:space="preserve">: If either Party discovers their disclosure was materially incomplete or inaccurate, they must immediately notify the other Party in writing. Material omissions or misrepresentations may render this Agreement voidable. </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11.4 </w:t>
      </w:r>
      <w:r w:rsidDel="00000000" w:rsidR="00000000" w:rsidRPr="00000000">
        <w:rPr>
          <w:rFonts w:ascii="Roboto" w:cs="Roboto" w:eastAsia="Roboto" w:hAnsi="Roboto"/>
          <w:b w:val="1"/>
          <w:bCs w:val="1"/>
          <w:sz w:val="24"/>
          <w:szCs w:val="24"/>
          <w:rtl w:val="0"/>
        </w:rPr>
        <w:t xml:space="preserve">Discovery Rights</w:t>
      </w:r>
      <w:r w:rsidDel="00000000" w:rsidR="00000000" w:rsidRPr="00000000">
        <w:rPr>
          <w:rFonts w:ascii="Roboto" w:cs="Roboto" w:eastAsia="Roboto" w:hAnsi="Roboto"/>
          <w:sz w:val="24"/>
          <w:szCs w:val="24"/>
          <w:rtl w:val="0"/>
        </w:rPr>
        <w:t xml:space="preserve">: In any proceeding to enforce or challenge this Agreement, discovery shall be permitted to the extent necessary to establish the validity and fairness of this Agreement under Washington law.</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Independent Representation Required</w:t>
      </w:r>
      <w:r w:rsidDel="00000000" w:rsidR="00000000" w:rsidRPr="00000000">
        <w:rPr>
          <w:rFonts w:ascii="Roboto" w:cs="Roboto" w:eastAsia="Roboto" w:hAnsi="Roboto"/>
          <w:sz w:val="24"/>
          <w:szCs w:val="24"/>
          <w:rtl w:val="0"/>
        </w:rPr>
        <w:t xml:space="preserve">: Each Party has retained separate, independent legal counsel to review this Agreement and provide advice regarding its terms, effects, and alternatives under Washington law.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Counsel Certification</w:t>
      </w:r>
      <w:r w:rsidDel="00000000" w:rsidR="00000000" w:rsidRPr="00000000">
        <w:rPr>
          <w:rFonts w:ascii="Roboto" w:cs="Roboto" w:eastAsia="Roboto" w:hAnsi="Roboto"/>
          <w:sz w:val="24"/>
          <w:szCs w:val="24"/>
          <w:rtl w:val="0"/>
        </w:rPr>
        <w:t xml:space="preserve">: Each Party's attorney has certified below that they: (a) Reviewed this Agreement with their client; (b) Explained Washington community property law and rights being waived; (c) Advised their client regarding fairness and enforceability; (d) Confirmed adequate time for review and voluntary execution. </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Shared Counsel</w:t>
      </w:r>
      <w:r w:rsidDel="00000000" w:rsidR="00000000" w:rsidRPr="00000000">
        <w:rPr>
          <w:rFonts w:ascii="Roboto" w:cs="Roboto" w:eastAsia="Roboto" w:hAnsi="Roboto"/>
          <w:sz w:val="24"/>
          <w:szCs w:val="24"/>
          <w:rtl w:val="0"/>
        </w:rPr>
        <w:t xml:space="preserve">: The Parties confirm they did not share legal counsel and each attorney represented only one Party's interests. </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Washington Law Advisement</w:t>
      </w:r>
      <w:r w:rsidDel="00000000" w:rsidR="00000000" w:rsidRPr="00000000">
        <w:rPr>
          <w:rFonts w:ascii="Roboto" w:cs="Roboto" w:eastAsia="Roboto" w:hAnsi="Roboto"/>
          <w:sz w:val="24"/>
          <w:szCs w:val="24"/>
          <w:rtl w:val="0"/>
        </w:rPr>
        <w:t xml:space="preserve">: Each attorney advised their client regarding Washington's two-prong fairness test and the circumstances under which this Agreement could be challenged.</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Washington Law</w:t>
      </w:r>
      <w:r w:rsidDel="00000000" w:rsidR="00000000" w:rsidRPr="00000000">
        <w:rPr>
          <w:rFonts w:ascii="Roboto" w:cs="Roboto" w:eastAsia="Roboto" w:hAnsi="Roboto"/>
          <w:sz w:val="24"/>
          <w:szCs w:val="24"/>
          <w:rtl w:val="0"/>
        </w:rPr>
        <w:t xml:space="preserve">: This Agreement is governed by Washington law as of execution date, applying principles established in In re Marriage of Matson, 107 Wash.2d 479 (1986) and In re Marriage of Bernard, 165 Wash.2d 895 (2009), regardless of domicile or asset location. This Agreement shall be interpreted under Washington's fairness standard requiring both substantive and procedural fairness.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Washington jurisdiction. Either Party may enforce this Agreement in any jurisdiction where valid under local law. </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Washington Standards Apply</w:t>
      </w:r>
      <w:r w:rsidDel="00000000" w:rsidR="00000000" w:rsidRPr="00000000">
        <w:rPr>
          <w:rFonts w:ascii="Roboto" w:cs="Roboto" w:eastAsia="Roboto" w:hAnsi="Roboto"/>
          <w:sz w:val="24"/>
          <w:szCs w:val="24"/>
          <w:rtl w:val="0"/>
        </w:rPr>
        <w:t xml:space="preserve">: This Agreement is subject to Washington's two-prong fairness test: (1) substantive fairness at execution; and (2) procedural fairness including full disclosure, voluntary execution, and independent counsel.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absent clear and convincing evidence of unfairness, fraud, duress, or lack of disclosure as established under Washington law.</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through Exhibits A and B with reasonable opportunity for verification as detailed in Section 11.</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limiting statutory rights to property division and spousal support as specified in this Agreement, subject to Washington courts' authority to ensure substantive and procedural fairness under In re Marriage of Matson, 107 Wash.2d 479 (1986) and In re Marriage of Bernard, 165 Wash.2d 895 (2009).</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0">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1">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2">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3">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5">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C7">
      <w:pPr>
        <w:numPr>
          <w:ilvl w:val="0"/>
          <w:numId w:val="4"/>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advised my client regarding Washington's community property laws and the extent to which this Agreement modifies those default rules</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CE">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5">
      <w:pPr>
        <w:numPr>
          <w:ilvl w:val="0"/>
          <w:numId w:val="3"/>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advised my client regarding Washington's community property laws and the extent to which this Agreement modifies those default rules</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DB">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