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MASSACHUSETTS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Massachusetts and intend for it to be legally binding and enforceable;</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This provision complies with M.G.L. c. 208, § 34, which permits parties to define property rights through prenuptial agreements.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Both Parties acknowledge and agree that this proportional division supersedes any claim based on non-financial contributions to the marriage, including homemaking, childcare, or career sacrifices. The Parties intend for jointly-titled property to be divided solely based on documented financial contributions as set forth in this section, so that both Parties recover what they financially contribute, without providing a financial incentive for dissolution.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temporary, rehabilitative, or permanent, except as specifically provided herein.</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Support terms apply uniformly at all proceedings stages (temporary, pendente lite, interim, final, post-judgment). No court shall award support exceeding Section 4 amounts. Excess temporary support paid during validity challenges shall be credited or reimbursed to payor within 30 days of final judgment upholding this Agreement.</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25%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for the most recent full year.</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25% of recipient's net income, based on the number of Children of the Marriage:</w:t>
      </w:r>
    </w:p>
    <w:p w:rsidR="00000000" w:rsidDel="00000000" w:rsidP="00000000" w:rsidRDefault="00000000" w:rsidRPr="00000000" w14:paraId="00000036">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10% of payor's net income</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12%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14%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16%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18% of payor's net income</w:t>
      </w:r>
    </w:p>
    <w:p w:rsidR="00000000" w:rsidDel="00000000" w:rsidP="00000000" w:rsidRDefault="00000000" w:rsidRPr="00000000" w14:paraId="0000003B">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20% of payor's net income</w:t>
      </w:r>
    </w:p>
    <w:p w:rsidR="00000000" w:rsidDel="00000000" w:rsidP="00000000" w:rsidRDefault="00000000" w:rsidRPr="00000000" w14:paraId="0000003C">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22% of payor's net income</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Support Floor</w:t>
      </w:r>
      <w:r w:rsidDel="00000000" w:rsidR="00000000" w:rsidRPr="00000000">
        <w:rPr>
          <w:rFonts w:ascii="Roboto" w:cs="Roboto" w:eastAsia="Roboto" w:hAnsi="Roboto"/>
          <w:sz w:val="24"/>
          <w:szCs w:val="24"/>
          <w:rtl w:val="0"/>
        </w:rPr>
        <w:t xml:space="preserve">: If calculated support would leave recipient with total annual income below 200% of Federal Poverty Level for their household size (including dependent children residing primarily with recipient), support shall be increased to achieve that threshold.</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Support Cap: </w:t>
      </w:r>
      <w:r w:rsidDel="00000000" w:rsidR="00000000" w:rsidRPr="00000000">
        <w:rPr>
          <w:rFonts w:ascii="Roboto" w:cs="Roboto" w:eastAsia="Roboto" w:hAnsi="Roboto"/>
          <w:sz w:val="24"/>
          <w:szCs w:val="24"/>
          <w:rtl w:val="0"/>
        </w:rPr>
        <w:t xml:space="preserve">Annual support shall not exceed 300% of Federal Poverty Level for recipient's household size (including dependent children residing primarily with recipient). The parties agree that support at this level provides sufficient property and/or maintenance to support the recipient under DeMatteo v. DeMatteo, 436 Mass. 18 (2002), which requires only that support cover basic necessary expenses including food, clothing, housing, and health insurance.</w:t>
      </w:r>
    </w:p>
    <w:p w:rsidR="00000000" w:rsidDel="00000000" w:rsidP="00000000" w:rsidRDefault="00000000" w:rsidRPr="00000000" w14:paraId="0000003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20%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25%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30%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35% of marriage length</w:t>
      </w:r>
    </w:p>
    <w:p w:rsidR="00000000" w:rsidDel="00000000" w:rsidP="00000000" w:rsidRDefault="00000000" w:rsidRPr="00000000" w14:paraId="00000044">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40% of marriage length</w:t>
      </w:r>
    </w:p>
    <w:p w:rsidR="00000000" w:rsidDel="00000000" w:rsidP="00000000" w:rsidRDefault="00000000" w:rsidRPr="00000000" w14:paraId="00000045">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to &lt;30 years: 45% of marriage length</w:t>
      </w:r>
    </w:p>
    <w:p w:rsidR="00000000" w:rsidDel="00000000" w:rsidP="00000000" w:rsidRDefault="00000000" w:rsidRPr="00000000" w14:paraId="00000046">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30+ years: 50% of marriage length</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4.7 is deemed unconscionable by a court, it shall be reformed to the following percentages of payor's net income, minus 50% of recipient's income:</w:t>
      </w:r>
    </w:p>
    <w:p w:rsidR="00000000" w:rsidDel="00000000" w:rsidP="00000000" w:rsidRDefault="00000000" w:rsidRPr="00000000" w14:paraId="00000048">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20% of payor's net income</w:t>
      </w:r>
    </w:p>
    <w:p w:rsidR="00000000" w:rsidDel="00000000" w:rsidP="00000000" w:rsidRDefault="00000000" w:rsidRPr="00000000" w14:paraId="00000049">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25% of payor's net income</w:t>
      </w:r>
    </w:p>
    <w:p w:rsidR="00000000" w:rsidDel="00000000" w:rsidP="00000000" w:rsidRDefault="00000000" w:rsidRPr="00000000" w14:paraId="0000004A">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30% of payor's net income</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for 60+ consecutive days; (c) Recipient's death; (d) Payor's death; or (e) Duration limit expiration under Section 4.8.</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Neither party may seek modification except upon clear and convincing evidence that circumstances not reasonably foreseeable at execution would cause homelessness or inability to provide for basic needs. Both parties acknowledge as foreseeable: dissolution, workforce departures, income/employment changes, health issues, economic conditions, and childcare decisions.</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to verify biological parentage at any time, with costs borne by the requesting party. Discovery of non-paternity immediately terminates all support obligations.</w:t>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payor's net income multiplied by:</w:t>
      </w:r>
    </w:p>
    <w:p w:rsidR="00000000" w:rsidDel="00000000" w:rsidP="00000000" w:rsidRDefault="00000000" w:rsidRPr="00000000" w14:paraId="00000050">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100% </w:t>
      </w:r>
    </w:p>
    <w:p w:rsidR="00000000" w:rsidDel="00000000" w:rsidP="00000000" w:rsidRDefault="00000000" w:rsidRPr="00000000" w14:paraId="00000051">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200% </w:t>
      </w:r>
    </w:p>
    <w:p w:rsidR="00000000" w:rsidDel="00000000" w:rsidP="00000000" w:rsidRDefault="00000000" w:rsidRPr="00000000" w14:paraId="00000052">
      <w:pPr>
        <w:numPr>
          <w:ilvl w:val="0"/>
          <w:numId w:val="6"/>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300%</w:t>
      </w:r>
    </w:p>
    <w:p w:rsidR="00000000" w:rsidDel="00000000" w:rsidP="00000000" w:rsidRDefault="00000000" w:rsidRPr="00000000" w14:paraId="0000005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[these clauses are not legally enforceable, but a good place to lay out the aspirations of your marriage. Below are a few ideas of what you can include, modify as you see fit]</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B">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C">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D">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expects the fidelity of the other, and the continued consummation of the marriage as the basis for its continuance.</w:t>
      </w:r>
    </w:p>
    <w:p w:rsidR="00000000" w:rsidDel="00000000" w:rsidP="00000000" w:rsidRDefault="00000000" w:rsidRPr="00000000" w14:paraId="0000005F">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(a) elective share rights under M.G.L. c. 191, § 15; (b) homestead allowances; (c) family allowances; (d) exempt property; and (e) all other statutory inheritance rights under Massachusetts law. Each Party acknowledges this waiver is made knowingly and voluntarily with the advice of independent counsel.</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in accordance with M.G.L. c. 251, §§ 1-19 (Massachusetts Arbitration Act)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other Party shall advance reasonable attorney fees up to the lesser of (i) 4% of Party B's gross annual income at time of request, or (ii) $50,000, total across all proceedings to ensure adequate representation. Advanced fees shall be: (a) Reimbursed from any award or settlement received by the represented Party;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Massachusetts Language Requirements</w:t>
      </w:r>
      <w:r w:rsidDel="00000000" w:rsidR="00000000" w:rsidRPr="00000000">
        <w:rPr>
          <w:rFonts w:ascii="Roboto" w:cs="Roboto" w:eastAsia="Roboto" w:hAnsi="Roboto"/>
          <w:sz w:val="24"/>
          <w:szCs w:val="24"/>
          <w:rtl w:val="0"/>
        </w:rPr>
        <w:t xml:space="preserve">: This section complies with Massachusetts requirements that parties fully understand the terms and legal effect of prenuptial agreements as set forth in DeMatteo v. DeMatteo, 436 Mass. 18 (2002).</w:t>
      </w:r>
    </w:p>
    <w:p w:rsidR="00000000" w:rsidDel="00000000" w:rsidP="00000000" w:rsidRDefault="00000000" w:rsidRPr="00000000" w14:paraId="0000007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 </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w:t>
      </w:r>
      <w:r w:rsidDel="00000000" w:rsidR="00000000" w:rsidRPr="00000000">
        <w:rPr>
          <w:rFonts w:ascii="Roboto" w:cs="Roboto" w:eastAsia="Roboto" w:hAnsi="Roboto"/>
          <w:sz w:val="24"/>
          <w:szCs w:val="24"/>
          <w:rtl w:val="0"/>
        </w:rPr>
        <w:t xml:space="preserve">: The Parties agree to maintain confidentiality regarding: (a) private communications and personal matters; (b) financial information; (c) photographs, videos, and recordings; (d) medical and mental health information; (e) embarrassing or intimate matters; (f) children's information and images. </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Public Conduct</w:t>
      </w:r>
      <w:r w:rsidDel="00000000" w:rsidR="00000000" w:rsidRPr="00000000">
        <w:rPr>
          <w:rFonts w:ascii="Roboto" w:cs="Roboto" w:eastAsia="Roboto" w:hAnsi="Roboto"/>
          <w:sz w:val="24"/>
          <w:szCs w:val="24"/>
          <w:rtl w:val="0"/>
        </w:rPr>
        <w:t xml:space="preserve">: Both Parties shall refrain from disparaging statements, avoid publicly sharing intimate marital details, and maintain respectful communication. </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Prohibited</w:t>
      </w:r>
      <w:r w:rsidDel="00000000" w:rsidR="00000000" w:rsidRPr="00000000">
        <w:rPr>
          <w:rFonts w:ascii="Roboto" w:cs="Roboto" w:eastAsia="Roboto" w:hAnsi="Roboto"/>
          <w:sz w:val="24"/>
          <w:szCs w:val="24"/>
          <w:rtl w:val="0"/>
        </w:rPr>
        <w:t xml:space="preserve">: Neither Party shall commercially exploit the other's name, image, likeness, or reputation through: (a) selling or licensing content; (b) publishing books, articles, or paid interviews about the marriage; (c) tell-all media participation; (d) using children's images for commercial gain. </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Remedies</w:t>
      </w:r>
      <w:r w:rsidDel="00000000" w:rsidR="00000000" w:rsidRPr="00000000">
        <w:rPr>
          <w:rFonts w:ascii="Roboto" w:cs="Roboto" w:eastAsia="Roboto" w:hAnsi="Roboto"/>
          <w:sz w:val="24"/>
          <w:szCs w:val="24"/>
          <w:rtl w:val="0"/>
        </w:rPr>
        <w:t xml:space="preserve">: Violations result in: (a) injunctive relief; (b) liquidated damages of $6,000 per violation; (c) commercial exploitation: disgorgement of profits, actual damages, or $30,000, whichever is greater; (d) attorney fees paid by breaching Party; (e) each week of continuing violation is a separate breach. </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Permitted disclosures: court orders, legal proceedings, communications with counsel/therapists, reporting abuse or criminal activity, or responses to false public statements. 10.6 Survival: All obligations survive marriage termination indefinitely.</w:t>
      </w:r>
    </w:p>
    <w:p w:rsidR="00000000" w:rsidDel="00000000" w:rsidP="00000000" w:rsidRDefault="00000000" w:rsidRPr="00000000" w14:paraId="0000008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ALTERNATIVE ENFORCEABILITY BASIS </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Dual Basis for Enforcement</w:t>
      </w:r>
      <w:r w:rsidDel="00000000" w:rsidR="00000000" w:rsidRPr="00000000">
        <w:rPr>
          <w:rFonts w:ascii="Roboto" w:cs="Roboto" w:eastAsia="Roboto" w:hAnsi="Roboto"/>
          <w:sz w:val="24"/>
          <w:szCs w:val="24"/>
          <w:rtl w:val="0"/>
        </w:rPr>
        <w:t xml:space="preserve">: This Agreement is enforceable on two independent grounds: (a) based on the complete financial disclosures provided in Section 11 and Exhibits A and B; OR (b) based on each Party's express, knowing, and voluntary waiver of full financial disclosure rights. </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Disclosure Waiver</w:t>
      </w:r>
      <w:r w:rsidDel="00000000" w:rsidR="00000000" w:rsidRPr="00000000">
        <w:rPr>
          <w:rFonts w:ascii="Roboto" w:cs="Roboto" w:eastAsia="Roboto" w:hAnsi="Roboto"/>
          <w:sz w:val="24"/>
          <w:szCs w:val="24"/>
          <w:rtl w:val="0"/>
        </w:rPr>
        <w:t xml:space="preserve">: To the extent Section 11 disclosures are deemed inadequate, each Party expressly, knowingly, and voluntarily waives the right to complete financial disclosure under M.G.L. c. 209, § 25 and DeMatteo v. DeMatteo, 436 Mass. 18 (2002). Each Party acknowledges that: (a) they could have demanded complete verification and investigation of the other's assets; (b) they voluntarily chose not to exercise these rights; (c) they had independent legal counsel advising them of this waiver's significance; and (d) they are entering this Agreement in reliance on their own judgment rather than complete disclosure. </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If either basis alone proves insufficient, the other basis provides independent grounds for enforceability.</w:t>
      </w:r>
    </w:p>
    <w:p w:rsidR="00000000" w:rsidDel="00000000" w:rsidP="00000000" w:rsidRDefault="00000000" w:rsidRPr="00000000" w14:paraId="0000008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PRE-MARRIAGE ASSET UPDATE REQUIREMENT</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Mandatory Updated Disclosure:</w:t>
      </w:r>
      <w:r w:rsidDel="00000000" w:rsidR="00000000" w:rsidRPr="00000000">
        <w:rPr>
          <w:rFonts w:ascii="Roboto" w:cs="Roboto" w:eastAsia="Roboto" w:hAnsi="Roboto"/>
          <w:sz w:val="24"/>
          <w:szCs w:val="24"/>
          <w:rtl w:val="0"/>
        </w:rPr>
        <w:t xml:space="preserve"> Between 30-60 days before marriage, parties shall exchange updated asset schedules.</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Both parties shall execute written acknowledgment confirming this Agreement remains fully effective.</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Mutual Obligation:</w:t>
      </w:r>
      <w:r w:rsidDel="00000000" w:rsidR="00000000" w:rsidRPr="00000000">
        <w:rPr>
          <w:rFonts w:ascii="Roboto" w:cs="Roboto" w:eastAsia="Roboto" w:hAnsi="Roboto"/>
          <w:sz w:val="24"/>
          <w:szCs w:val="24"/>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Massachusetts Law</w:t>
      </w:r>
      <w:r w:rsidDel="00000000" w:rsidR="00000000" w:rsidRPr="00000000">
        <w:rPr>
          <w:rFonts w:ascii="Roboto" w:cs="Roboto" w:eastAsia="Roboto" w:hAnsi="Roboto"/>
          <w:sz w:val="24"/>
          <w:szCs w:val="24"/>
          <w:rtl w:val="0"/>
        </w:rPr>
        <w:t xml:space="preserve">: This Agreement is governed by Massachusetts law as of execution date, including M.G.L. c. 209, § 25 (Uniform Premarital Agreement Act), regardless of domicile or asset location. Future law amendments reducing enforceability shall not apply retroactively.</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Massachusetts jurisdiction and waives forum non conveniens defenses. Either Party may alternatively enforce this Agreement in any jurisdiction providing equal or stronger prenuptial protections than Massachusetts. Judgments inconsistent with this Agreement are void.</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law—foreign or domestic—to weaken this Agreement's enforcement. Laws may only be invoked to strengthen enforcement beyond Massachusetts standards.</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statutory violation. Neither Party may initiate proceedings in jurisdictions with weaker prenuptial enforcement than Massachusetts.</w:t>
      </w:r>
    </w:p>
    <w:p w:rsidR="00000000" w:rsidDel="00000000" w:rsidP="00000000" w:rsidRDefault="00000000" w:rsidRPr="00000000" w14:paraId="000000A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under M.G.L. c. 208, § 34, inheritance claims, and any other marital rights to the fullest extent permitted under M.G.L. c. 209, § 25.</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(d) duress, coercion, or undue influence; (e) retention of rights beyond those expressly preserved herein; or (f) any other challenge to this Agreement's validity or enforceability.</w:t>
      </w:r>
    </w:p>
    <w:p w:rsidR="00000000" w:rsidDel="00000000" w:rsidP="00000000" w:rsidRDefault="00000000" w:rsidRPr="00000000" w14:paraId="000000B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BE">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A, certify that:</w:t>
      </w:r>
    </w:p>
    <w:p w:rsidR="00000000" w:rsidDel="00000000" w:rsidP="00000000" w:rsidRDefault="00000000" w:rsidRPr="00000000" w14:paraId="000000C1">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C2">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C3">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4">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C5">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C6">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C7">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B </w:t>
      </w:r>
      <w:r w:rsidDel="00000000" w:rsidR="00000000" w:rsidRPr="00000000">
        <w:rPr>
          <w:rtl w:val="0"/>
        </w:rPr>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B, certify that:</w:t>
      </w:r>
    </w:p>
    <w:p w:rsidR="00000000" w:rsidDel="00000000" w:rsidP="00000000" w:rsidRDefault="00000000" w:rsidRPr="00000000" w14:paraId="000000CE">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CF">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D0">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1">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D2">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D3">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D4">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D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p>
    <w:p w:rsidR="00000000" w:rsidDel="00000000" w:rsidP="00000000" w:rsidRDefault="00000000" w:rsidRPr="00000000" w14:paraId="000000DA">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2025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