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INDIANA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Indiana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 All appreciation, income, returns, growth, and increases in value of separate property remain separate property, including but not limited to: investment gains, real estate appreciation, retirement account growth, business value increases, and any other form of asset appreciation or income generation.</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Section 4.13 lifetime cap and, if this Agreement is upheld, any excess over Section 4 amounts shall be reimbursed within 90 days or offset against future payments.</w:t>
      </w:r>
    </w:p>
    <w:p w:rsidR="00000000" w:rsidDel="00000000" w:rsidP="00000000" w:rsidRDefault="00000000" w:rsidRPr="00000000" w14:paraId="00000031">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w:t>
      </w:r>
      <w:r w:rsidDel="00000000" w:rsidR="00000000" w:rsidRPr="00000000">
        <w:rPr>
          <w:rtl w:val="0"/>
        </w:rPr>
        <w:t xml:space="preserve"> Spousal support may be awarded only if the marriage produced at least one Child of the Marriage. Support reduces by 50% if recipient has not obtained Employment (as defined in 4.5) within 24 months of divorce, provided such reduction does not cause recipient's total monthly income (support plus employment income) to fall below the applicable FPL cap in Section 4.7.</w:t>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6">
      <w:pPr>
        <w:numPr>
          <w:ilvl w:val="0"/>
          <w:numId w:val="4"/>
        </w:numPr>
        <w:spacing w:after="0" w:afterAutospacing="0" w:before="240" w:lineRule="auto"/>
        <w:ind w:left="720" w:hanging="360"/>
        <w:rPr/>
      </w:pPr>
      <w:r w:rsidDel="00000000" w:rsidR="00000000" w:rsidRPr="00000000">
        <w:rPr>
          <w:rtl w:val="0"/>
        </w:rPr>
        <w:t xml:space="preserve">1 Child: 4% of payor's net income, capped at 125% FPL for 2-person household ($2,203/month or $26,438/year in 2025) </w:t>
      </w:r>
    </w:p>
    <w:p w:rsidR="00000000" w:rsidDel="00000000" w:rsidP="00000000" w:rsidRDefault="00000000" w:rsidRPr="00000000" w14:paraId="00000037">
      <w:pPr>
        <w:numPr>
          <w:ilvl w:val="0"/>
          <w:numId w:val="4"/>
        </w:numPr>
        <w:spacing w:after="0" w:afterAutospacing="0" w:before="0" w:beforeAutospacing="0" w:lineRule="auto"/>
        <w:ind w:left="720" w:hanging="360"/>
        <w:rPr/>
      </w:pPr>
      <w:r w:rsidDel="00000000" w:rsidR="00000000" w:rsidRPr="00000000">
        <w:rPr>
          <w:rtl w:val="0"/>
        </w:rPr>
        <w:t xml:space="preserve">2 Children: 5% of payor's net income, capped at 125% FPL for 3-person household ($2,776/month or $33,313/year in 2025) </w:t>
      </w:r>
    </w:p>
    <w:p w:rsidR="00000000" w:rsidDel="00000000" w:rsidP="00000000" w:rsidRDefault="00000000" w:rsidRPr="00000000" w14:paraId="00000038">
      <w:pPr>
        <w:numPr>
          <w:ilvl w:val="0"/>
          <w:numId w:val="4"/>
        </w:numPr>
        <w:spacing w:after="0" w:afterAutospacing="0" w:before="0" w:beforeAutospacing="0" w:lineRule="auto"/>
        <w:ind w:left="720" w:hanging="360"/>
        <w:rPr/>
      </w:pPr>
      <w:r w:rsidDel="00000000" w:rsidR="00000000" w:rsidRPr="00000000">
        <w:rPr>
          <w:rtl w:val="0"/>
        </w:rPr>
        <w:t xml:space="preserve">3 Children: 6% of payor's net income, capped at 125% FPL for 4-person household ($3,349/month or $40,188/year in 2025) </w:t>
      </w:r>
    </w:p>
    <w:p w:rsidR="00000000" w:rsidDel="00000000" w:rsidP="00000000" w:rsidRDefault="00000000" w:rsidRPr="00000000" w14:paraId="00000039">
      <w:pPr>
        <w:numPr>
          <w:ilvl w:val="0"/>
          <w:numId w:val="4"/>
        </w:numPr>
        <w:spacing w:after="0" w:afterAutospacing="0" w:before="0" w:beforeAutospacing="0" w:lineRule="auto"/>
        <w:ind w:left="720" w:hanging="360"/>
        <w:rPr/>
      </w:pPr>
      <w:r w:rsidDel="00000000" w:rsidR="00000000" w:rsidRPr="00000000">
        <w:rPr>
          <w:rtl w:val="0"/>
        </w:rPr>
        <w:t xml:space="preserve">4 Children: 7% of payor's net income, capped at 125% FPL for 5-person household ($3,922/month or $47,063/year in 2025)</w:t>
      </w:r>
    </w:p>
    <w:p w:rsidR="00000000" w:rsidDel="00000000" w:rsidP="00000000" w:rsidRDefault="00000000" w:rsidRPr="00000000" w14:paraId="0000003A">
      <w:pPr>
        <w:numPr>
          <w:ilvl w:val="0"/>
          <w:numId w:val="4"/>
        </w:numPr>
        <w:spacing w:after="0" w:afterAutospacing="0" w:before="0" w:beforeAutospacing="0" w:lineRule="auto"/>
        <w:ind w:left="720" w:hanging="360"/>
        <w:rPr/>
      </w:pPr>
      <w:r w:rsidDel="00000000" w:rsidR="00000000" w:rsidRPr="00000000">
        <w:rPr>
          <w:rtl w:val="0"/>
        </w:rPr>
        <w:t xml:space="preserve">5 Children: 8% of payor's net income, capped at 125% FPL for 6-person household ($4,495/month or $53,938/year in 2025)</w:t>
      </w:r>
    </w:p>
    <w:p w:rsidR="00000000" w:rsidDel="00000000" w:rsidP="00000000" w:rsidRDefault="00000000" w:rsidRPr="00000000" w14:paraId="0000003B">
      <w:pPr>
        <w:numPr>
          <w:ilvl w:val="0"/>
          <w:numId w:val="4"/>
        </w:numPr>
        <w:spacing w:after="0" w:afterAutospacing="0" w:before="0" w:beforeAutospacing="0" w:lineRule="auto"/>
        <w:ind w:left="720" w:hanging="360"/>
        <w:rPr/>
      </w:pPr>
      <w:r w:rsidDel="00000000" w:rsidR="00000000" w:rsidRPr="00000000">
        <w:rPr>
          <w:rtl w:val="0"/>
        </w:rPr>
        <w:t xml:space="preserve">6 Children: 9% of payor's net income, capped at 125% FPL for 7-person household ($5,068/month or $60,813/year in 2025)</w:t>
      </w:r>
    </w:p>
    <w:p w:rsidR="00000000" w:rsidDel="00000000" w:rsidP="00000000" w:rsidRDefault="00000000" w:rsidRPr="00000000" w14:paraId="0000003C">
      <w:pPr>
        <w:numPr>
          <w:ilvl w:val="0"/>
          <w:numId w:val="4"/>
        </w:numPr>
        <w:spacing w:after="240" w:before="0" w:beforeAutospacing="0" w:lineRule="auto"/>
        <w:ind w:left="720" w:hanging="360"/>
        <w:rPr/>
      </w:pPr>
      <w:r w:rsidDel="00000000" w:rsidR="00000000" w:rsidRPr="00000000">
        <w:rPr>
          <w:rtl w:val="0"/>
        </w:rPr>
        <w:t xml:space="preserve">7+ Children: 10% of payor's net income, capped at 125% FPL for 8-person household ($5,641/month or $67,688/year in 2025)</w:t>
      </w:r>
    </w:p>
    <w:p w:rsidR="00000000" w:rsidDel="00000000" w:rsidP="00000000" w:rsidRDefault="00000000" w:rsidRPr="00000000" w14:paraId="0000003D">
      <w:pPr>
        <w:spacing w:after="240" w:before="240" w:lineRule="auto"/>
        <w:rPr/>
      </w:pPr>
      <w:r w:rsidDel="00000000" w:rsidR="00000000" w:rsidRPr="00000000">
        <w:rPr>
          <w:rtl w:val="0"/>
        </w:rPr>
        <w:t xml:space="preserve">FPL caps automatically adjust annually with Federal Poverty Level updates published by the U.S. Department of Health and Human Services. Support shall never exceed the applicable cap regardless of payor's income or recipient's claimed needs.</w:t>
      </w:r>
    </w:p>
    <w:p w:rsidR="00000000" w:rsidDel="00000000" w:rsidP="00000000" w:rsidRDefault="00000000" w:rsidRPr="00000000" w14:paraId="0000003E">
      <w:pPr>
        <w:spacing w:after="240" w:before="240" w:lineRule="auto"/>
        <w:rPr/>
      </w:pPr>
      <w:r w:rsidDel="00000000" w:rsidR="00000000" w:rsidRPr="00000000">
        <w:rPr>
          <w:rtl w:val="0"/>
        </w:rPr>
        <w:t xml:space="preserve">Child support is determined separately under Indiana law (Indiana Code 31-16-6) and cannot be limited by this Agreement, as required by Indiana Code 31-11-3-5(b).</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0">
      <w:pPr>
        <w:numPr>
          <w:ilvl w:val="0"/>
          <w:numId w:val="5"/>
        </w:numPr>
        <w:spacing w:after="0" w:afterAutospacing="0" w:before="240" w:lineRule="auto"/>
        <w:ind w:left="720" w:hanging="360"/>
      </w:pPr>
      <w:r w:rsidDel="00000000" w:rsidR="00000000" w:rsidRPr="00000000">
        <w:rPr>
          <w:rtl w:val="0"/>
        </w:rPr>
        <w:t xml:space="preserve">&lt;5 years: 0% (no support)</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&lt;10 years: 3%</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&lt;15 years: 8%</w:t>
      </w:r>
    </w:p>
    <w:p w:rsidR="00000000" w:rsidDel="00000000" w:rsidP="00000000" w:rsidRDefault="00000000" w:rsidRPr="00000000" w14:paraId="00000043">
      <w:pPr>
        <w:numPr>
          <w:ilvl w:val="0"/>
          <w:numId w:val="5"/>
        </w:numPr>
        <w:spacing w:after="0" w:afterAutospacing="0" w:before="0" w:beforeAutospacing="0" w:lineRule="auto"/>
        <w:ind w:left="720" w:hanging="360"/>
      </w:pPr>
      <w:r w:rsidDel="00000000" w:rsidR="00000000" w:rsidRPr="00000000">
        <w:rPr>
          <w:rtl w:val="0"/>
        </w:rPr>
        <w:t xml:space="preserve">&lt;20 years: 12%</w:t>
      </w:r>
    </w:p>
    <w:p w:rsidR="00000000" w:rsidDel="00000000" w:rsidP="00000000" w:rsidRDefault="00000000" w:rsidRPr="00000000" w14:paraId="00000044">
      <w:pPr>
        <w:numPr>
          <w:ilvl w:val="0"/>
          <w:numId w:val="5"/>
        </w:numPr>
        <w:spacing w:after="0" w:afterAutospacing="0" w:before="0" w:beforeAutospacing="0" w:lineRule="auto"/>
        <w:ind w:left="720" w:hanging="360"/>
      </w:pPr>
      <w:r w:rsidDel="00000000" w:rsidR="00000000" w:rsidRPr="00000000">
        <w:rPr>
          <w:rtl w:val="0"/>
        </w:rPr>
        <w:t xml:space="preserve">&lt;25 years: 18%</w:t>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rtl w:val="0"/>
        </w:rPr>
        <w:t xml:space="preserve">&lt;30 years: 22%</w:t>
      </w:r>
    </w:p>
    <w:p w:rsidR="00000000" w:rsidDel="00000000" w:rsidP="00000000" w:rsidRDefault="00000000" w:rsidRPr="00000000" w14:paraId="00000046">
      <w:pPr>
        <w:numPr>
          <w:ilvl w:val="0"/>
          <w:numId w:val="5"/>
        </w:numPr>
        <w:spacing w:after="240" w:before="0" w:beforeAutospacing="0" w:lineRule="auto"/>
        <w:ind w:left="720" w:hanging="360"/>
      </w:pPr>
      <w:r w:rsidDel="00000000" w:rsidR="00000000" w:rsidRPr="00000000">
        <w:rPr>
          <w:rtl w:val="0"/>
        </w:rPr>
        <w:t xml:space="preserve">30+ years: 25%</w:t>
      </w:r>
    </w:p>
    <w:p w:rsidR="00000000" w:rsidDel="00000000" w:rsidP="00000000" w:rsidRDefault="00000000" w:rsidRPr="00000000" w14:paraId="00000047">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falls below the greater of: (a) 75% of their gross income in the year prior to executing this Agreement, or (b) 250% of Federal Poverty Level for a single person ($31,300 in 2025), consistent with Indiana's focus on payor's ability to pay while meeting own basic needs.</w:t>
      </w:r>
    </w:p>
    <w:p w:rsidR="00000000" w:rsidDel="00000000" w:rsidP="00000000" w:rsidRDefault="00000000" w:rsidRPr="00000000" w14:paraId="00000048">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49">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Support terms are final and non-modifiable except as required by Indiana Code 31-11-3-8(b) if enforcement would cause extreme hardship under circumstances not reasonably foreseeable at execution that would force recipient onto public assistance. Both parties acknowledge as foreseeable: dissolution, workforce departures, income/employment changes, health issues, economic conditions, and childcare decisions.</w:t>
      </w:r>
    </w:p>
    <w:p w:rsidR="00000000" w:rsidDel="00000000" w:rsidP="00000000" w:rsidRDefault="00000000" w:rsidRPr="00000000" w14:paraId="0000004A">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B">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40% (marriages &lt;10 years), 60% (10-20 years), or 80% (&gt;20 years).</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E">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4F">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 In this way, both Parties have a domain where they lead, where they support, and benefit from the complementary support and leadership provided by the other party.</w:t>
      </w:r>
    </w:p>
    <w:p w:rsidR="00000000" w:rsidDel="00000000" w:rsidP="00000000" w:rsidRDefault="00000000" w:rsidRPr="00000000" w14:paraId="00000050">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51">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52">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53">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4">
      <w:pPr>
        <w:spacing w:after="240" w:before="240" w:lineRule="auto"/>
        <w:rPr/>
      </w:pPr>
      <w:r w:rsidDel="00000000" w:rsidR="00000000" w:rsidRPr="00000000">
        <w:rPr>
          <w:rtl w:val="0"/>
        </w:rPr>
        <w:t xml:space="preserve">Both Parties acknowledge that Indiana permits courts to consider each spouse's contributions and economic circumstances when dividing property. This Agreement's workforce expectations establish that both Parties intend mutual economic contribution as a fundamental term of their marriage, and that extended workforce departure without return contradicts these foundational expectations.</w:t>
      </w:r>
    </w:p>
    <w:p w:rsidR="00000000" w:rsidDel="00000000" w:rsidP="00000000" w:rsidRDefault="00000000" w:rsidRPr="00000000" w14:paraId="00000055">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w:t>
      </w:r>
    </w:p>
    <w:p w:rsidR="00000000" w:rsidDel="00000000" w:rsidP="00000000" w:rsidRDefault="00000000" w:rsidRPr="00000000" w14:paraId="00000056">
      <w:pPr>
        <w:spacing w:after="240" w:before="240" w:lineRule="auto"/>
        <w:rPr>
          <w:b w:val="1"/>
          <w:bCs w:val="1"/>
        </w:rPr>
      </w:pPr>
      <w:r w:rsidDel="00000000" w:rsidR="00000000" w:rsidRPr="00000000">
        <w:rPr>
          <w:rtl w:val="0"/>
        </w:rPr>
        <w:t xml:space="preserve">5.6 </w:t>
      </w:r>
      <w:r w:rsidDel="00000000" w:rsidR="00000000" w:rsidRPr="00000000">
        <w:rPr>
          <w:b w:val="1"/>
          <w:bCs w:val="1"/>
          <w:rtl w:val="0"/>
        </w:rPr>
        <w:t xml:space="preserve">Conflict Resolution and Family Preservation:</w:t>
      </w:r>
    </w:p>
    <w:p w:rsidR="00000000" w:rsidDel="00000000" w:rsidP="00000000" w:rsidRDefault="00000000" w:rsidRPr="00000000" w14:paraId="00000057">
      <w:pPr>
        <w:numPr>
          <w:ilvl w:val="0"/>
          <w:numId w:val="3"/>
        </w:numPr>
        <w:spacing w:after="0" w:afterAutospacing="0" w:before="240" w:lineRule="auto"/>
        <w:ind w:left="720" w:hanging="360"/>
        <w:rPr>
          <w:u w:val="none"/>
        </w:rPr>
      </w:pPr>
      <w:r w:rsidDel="00000000" w:rsidR="00000000" w:rsidRPr="00000000">
        <w:rPr>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8">
      <w:pPr>
        <w:numPr>
          <w:ilvl w:val="0"/>
          <w:numId w:val="3"/>
        </w:numPr>
        <w:spacing w:after="0" w:afterAutospacing="0" w:before="0" w:beforeAutospacing="0" w:lineRule="auto"/>
        <w:ind w:left="720" w:hanging="360"/>
        <w:rPr>
          <w:u w:val="none"/>
        </w:rPr>
      </w:pPr>
      <w:r w:rsidDel="00000000" w:rsidR="00000000" w:rsidRPr="00000000">
        <w:rPr>
          <w:rtl w:val="0"/>
        </w:rPr>
        <w:t xml:space="preserve">Both Parties agree to speak respectfully about each other publicly and privately</w:t>
      </w:r>
    </w:p>
    <w:p w:rsidR="00000000" w:rsidDel="00000000" w:rsidP="00000000" w:rsidRDefault="00000000" w:rsidRPr="00000000" w14:paraId="00000059">
      <w:pPr>
        <w:numPr>
          <w:ilvl w:val="0"/>
          <w:numId w:val="3"/>
        </w:numPr>
        <w:spacing w:after="240" w:before="0" w:beforeAutospacing="0" w:lineRule="auto"/>
        <w:ind w:left="720" w:hanging="360"/>
        <w:rPr>
          <w:u w:val="none"/>
        </w:rPr>
      </w:pPr>
      <w:r w:rsidDel="00000000" w:rsidR="00000000" w:rsidRPr="00000000">
        <w:rPr>
          <w:rtl w:val="0"/>
        </w:rPr>
        <w:t xml:space="preserve">Both Parties commit to prioritizing their children's relationships with both parents regardless of marital status</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C">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D">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E">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61">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spousal election rights, homestead allowances, family allowances, and other statutory inheritance rights under Indiana law.</w:t>
      </w:r>
    </w:p>
    <w:p w:rsidR="00000000" w:rsidDel="00000000" w:rsidP="00000000" w:rsidRDefault="00000000" w:rsidRPr="00000000" w14:paraId="00000062">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3">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6">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7">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8">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9">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A">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5%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B">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C">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D">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E">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F">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2">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3">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4">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7">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8">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9">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A">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B">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C">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D">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E">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7F">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80">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81">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2">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5">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While Indiana law does not require financial disclosure for prenup validity (see Hunsberger v. Hunsberger, 653 N.E.2d 118), the Parties voluntarily provide this disclosure to demonstrate fairness and good faith.</w:t>
      </w:r>
      <w:r w:rsidDel="00000000" w:rsidR="00000000" w:rsidRPr="00000000">
        <w:rPr>
          <w:rtl w:val="0"/>
        </w:rPr>
      </w:r>
    </w:p>
    <w:p w:rsidR="00000000" w:rsidDel="00000000" w:rsidP="00000000" w:rsidRDefault="00000000" w:rsidRPr="00000000" w14:paraId="00000086">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7">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A">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all disclosure rights under Indiana Code 31-11-3, UPAA, and any other legal principle.</w:t>
      </w:r>
    </w:p>
    <w:p w:rsidR="00000000" w:rsidDel="00000000" w:rsidP="00000000" w:rsidRDefault="00000000" w:rsidRPr="00000000" w14:paraId="0000008B">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C">
      <w:pPr>
        <w:spacing w:after="240" w:before="240" w:lineRule="auto"/>
        <w:rPr/>
      </w:pPr>
      <w:r w:rsidDel="00000000" w:rsidR="00000000" w:rsidRPr="00000000">
        <w:rPr>
          <w:rtl w:val="0"/>
        </w:rPr>
        <w:t xml:space="preserve">12.3 </w:t>
      </w:r>
      <w:r w:rsidDel="00000000" w:rsidR="00000000" w:rsidRPr="00000000">
        <w:rPr>
          <w:b w:val="1"/>
          <w:bCs w:val="1"/>
          <w:rtl w:val="0"/>
        </w:rPr>
        <w:t xml:space="preserve">Specific Statutory Acknowledgment</w:t>
      </w:r>
      <w:r w:rsidDel="00000000" w:rsidR="00000000" w:rsidRPr="00000000">
        <w:rPr>
          <w:rtl w:val="0"/>
        </w:rPr>
        <w:t xml:space="preserve">: Each Party acknowledges that Indiana Code 31-11-3 does not require financial disclosure for prenup validity, but both Parties have chosen to provide disclosure voluntarily.</w:t>
      </w:r>
    </w:p>
    <w:p w:rsidR="00000000" w:rsidDel="00000000" w:rsidP="00000000" w:rsidRDefault="00000000" w:rsidRPr="00000000" w14:paraId="0000008D">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E">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F">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advisement regarding this waiver's significance.</w:t>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13. PRE-MARRIAGE ASSET UPDATE REQUIREMENT</w:t>
      </w:r>
    </w:p>
    <w:p w:rsidR="00000000" w:rsidDel="00000000" w:rsidP="00000000" w:rsidRDefault="00000000" w:rsidRPr="00000000" w14:paraId="00000092">
      <w:pPr>
        <w:spacing w:after="240" w:before="240" w:lineRule="auto"/>
        <w:rPr/>
      </w:pPr>
      <w:r w:rsidDel="00000000" w:rsidR="00000000" w:rsidRPr="00000000">
        <w:rPr>
          <w:rtl w:val="0"/>
        </w:rPr>
        <w:t xml:space="preserve">13.1 </w:t>
      </w:r>
      <w:r w:rsidDel="00000000" w:rsidR="00000000" w:rsidRPr="00000000">
        <w:rPr>
          <w:b w:val="1"/>
          <w:bCs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93">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4">
      <w:pPr>
        <w:spacing w:after="240" w:before="240" w:lineRule="auto"/>
        <w:rPr/>
      </w:pPr>
      <w:r w:rsidDel="00000000" w:rsidR="00000000" w:rsidRPr="00000000">
        <w:rPr>
          <w:rtl w:val="0"/>
        </w:rPr>
        <w:t xml:space="preserve">13.3 </w:t>
      </w:r>
      <w:r w:rsidDel="00000000" w:rsidR="00000000" w:rsidRPr="00000000">
        <w:rPr>
          <w:b w:val="1"/>
          <w:bCs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7">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8">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9">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C">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D">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E">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A1">
      <w:pPr>
        <w:spacing w:after="240" w:before="240" w:lineRule="auto"/>
        <w:rPr/>
      </w:pPr>
      <w:r w:rsidDel="00000000" w:rsidR="00000000" w:rsidRPr="00000000">
        <w:rPr>
          <w:rtl w:val="0"/>
        </w:rPr>
        <w:t xml:space="preserve">16.1 </w:t>
      </w:r>
      <w:r w:rsidDel="00000000" w:rsidR="00000000" w:rsidRPr="00000000">
        <w:rPr>
          <w:b w:val="1"/>
          <w:bCs w:val="1"/>
          <w:rtl w:val="0"/>
        </w:rPr>
        <w:t xml:space="preserve">Indiana Law</w:t>
      </w:r>
      <w:r w:rsidDel="00000000" w:rsidR="00000000" w:rsidRPr="00000000">
        <w:rPr>
          <w:rtl w:val="0"/>
        </w:rPr>
        <w:t xml:space="preserve">: This Agreement is governed by Indiana law as of execution date, including the Indiana Uniform Premarital Agreement Act (Indiana Code 31-11-3), regardless of domicile or asset location. Future law amendments reducing enforceability shall not apply retroactively.</w:t>
      </w:r>
      <w:r w:rsidDel="00000000" w:rsidR="00000000" w:rsidRPr="00000000">
        <w:rPr>
          <w:rtl w:val="0"/>
        </w:rPr>
      </w:r>
    </w:p>
    <w:p w:rsidR="00000000" w:rsidDel="00000000" w:rsidP="00000000" w:rsidRDefault="00000000" w:rsidRPr="00000000" w14:paraId="000000A2">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Indiana jurisdiction and waives forum non conveniens defenses. Either Party may alternatively enforce this Agreement in any jurisdiction providing equal or stronger prenuptial protections than Indiana. Judgments inconsistent with this Agreement are void.</w:t>
      </w:r>
    </w:p>
    <w:p w:rsidR="00000000" w:rsidDel="00000000" w:rsidP="00000000" w:rsidRDefault="00000000" w:rsidRPr="00000000" w14:paraId="000000A3">
      <w:pPr>
        <w:spacing w:after="240" w:before="240" w:lineRule="auto"/>
        <w:rPr/>
      </w:pPr>
      <w:r w:rsidDel="00000000" w:rsidR="00000000" w:rsidRPr="00000000">
        <w:rPr>
          <w:rtl w:val="0"/>
        </w:rPr>
        <w:t xml:space="preserve">16.3 </w:t>
      </w:r>
      <w:r w:rsidDel="00000000" w:rsidR="00000000" w:rsidRPr="00000000">
        <w:rPr>
          <w:b w:val="1"/>
          <w:bCs w:val="1"/>
          <w:rtl w:val="0"/>
        </w:rPr>
        <w:t xml:space="preserve">Validity:</w:t>
      </w:r>
      <w:r w:rsidDel="00000000" w:rsidR="00000000" w:rsidRPr="00000000">
        <w:rPr>
          <w:rtl w:val="0"/>
        </w:rPr>
        <w:t xml:space="preserve"> This Agreement is presumed valid. The challenging party must prove by preponderance of evidence that: (1) they did not execute voluntarily; OR (2) the Agreement was unconscionable when executed. Unconscionability is determined as a matter of law by the court pursuant to Indiana Code 31-11-3-8(c).</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6">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7">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8">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B">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C">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D">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B0">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1">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2">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3">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6">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7">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8">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9">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Indiana Code 31-11-3.</w:t>
      </w:r>
    </w:p>
    <w:p w:rsidR="00000000" w:rsidDel="00000000" w:rsidP="00000000" w:rsidRDefault="00000000" w:rsidRPr="00000000" w14:paraId="000000BA">
      <w:pPr>
        <w:spacing w:after="240" w:before="240" w:lineRule="auto"/>
        <w:rPr/>
      </w:pPr>
      <w:r w:rsidDel="00000000" w:rsidR="00000000" w:rsidRPr="00000000">
        <w:rPr>
          <w:rtl w:val="0"/>
        </w:rPr>
        <w:t xml:space="preserve">20.5 </w:t>
      </w:r>
      <w:r w:rsidDel="00000000" w:rsidR="00000000" w:rsidRPr="00000000">
        <w:rPr>
          <w:b w:val="1"/>
          <w:bCs w:val="1"/>
          <w:rtl w:val="0"/>
        </w:rPr>
        <w:t xml:space="preserve">Indiana-Specific Acknowledgments</w:t>
      </w:r>
      <w:r w:rsidDel="00000000" w:rsidR="00000000" w:rsidRPr="00000000">
        <w:rPr>
          <w:rtl w:val="0"/>
        </w:rPr>
        <w:t xml:space="preserve">: Each Party acknowledges that: (a) Indiana follows a "marital pot" theory where all property may be divided in divorce absent a valid prenup; (b) This Agreement overrides Indiana's default equitable distribution; (c) Indiana courts may award maintenance only in extremely limited circumstances under Indiana Code 31-15-7-2 (physical/mental incapacity, lack of sufficient assets, or rehabilitative support for education/training); (d) This Agreement waives substantially more rights than Indiana law would otherwise provide; (e) Each Party has been advised of Indiana's unique property laws and maintenance limitations; (f) Each Party acknowledges the holdings in Thompson v. Wolfram (appreciation must be explicitly protected) and Fetters v. Fetters (unconscionability considers totality of circumstances including age, education, counsel, and understanding).</w:t>
      </w:r>
      <w:r w:rsidDel="00000000" w:rsidR="00000000" w:rsidRPr="00000000">
        <w:rPr>
          <w:rtl w:val="0"/>
        </w:rPr>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D">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E">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1">
      <w:pPr>
        <w:spacing w:after="240" w:before="240" w:lineRule="auto"/>
        <w:rPr>
          <w:b w:val="1"/>
          <w:bCs w:val="1"/>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3">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4">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5">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6">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7">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8">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9">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CA">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CB">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C">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D">
      <w:pPr>
        <w:spacing w:after="240" w:before="240" w:lineRule="auto"/>
        <w:rPr/>
      </w:pP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b w:val="1"/>
          <w:bCs w:val="1"/>
          <w:rtl w:val="0"/>
        </w:rPr>
        <w:t xml:space="preserve">ATTORNEY CERTIFICATION FOR PARTY B </w:t>
      </w:r>
      <w:r w:rsidDel="00000000" w:rsidR="00000000" w:rsidRPr="00000000">
        <w:rPr>
          <w:rtl w:val="0"/>
        </w:rPr>
      </w:r>
    </w:p>
    <w:p w:rsidR="00000000" w:rsidDel="00000000" w:rsidP="00000000" w:rsidRDefault="00000000" w:rsidRPr="00000000" w14:paraId="000000CF">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D0">
      <w:pPr>
        <w:numPr>
          <w:ilvl w:val="0"/>
          <w:numId w:val="6"/>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1">
      <w:pPr>
        <w:numPr>
          <w:ilvl w:val="0"/>
          <w:numId w:val="6"/>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2">
      <w:pPr>
        <w:numPr>
          <w:ilvl w:val="0"/>
          <w:numId w:val="6"/>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3">
      <w:pPr>
        <w:numPr>
          <w:ilvl w:val="0"/>
          <w:numId w:val="6"/>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4">
      <w:pPr>
        <w:numPr>
          <w:ilvl w:val="0"/>
          <w:numId w:val="6"/>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5">
      <w:pPr>
        <w:numPr>
          <w:ilvl w:val="0"/>
          <w:numId w:val="6"/>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6">
      <w:pPr>
        <w:numPr>
          <w:ilvl w:val="0"/>
          <w:numId w:val="6"/>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7">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8">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**This prenuptial agreement was not prepared by attorneys.  It must be reviewed by an attorney before signing.</w:t>
      </w:r>
    </w:p>
    <w:p w:rsidR="00000000" w:rsidDel="00000000" w:rsidP="00000000" w:rsidRDefault="00000000" w:rsidRPr="00000000" w14:paraId="000000DC">
      <w:pPr>
        <w:rPr>
          <w:b w:val="1"/>
          <w:bCs w:val="1"/>
          <w:sz w:val="32"/>
          <w:szCs w:val="32"/>
        </w:rPr>
      </w:pPr>
      <w:r w:rsidDel="00000000" w:rsidR="00000000" w:rsidRPr="00000000">
        <w:rPr>
          <w:rtl w:val="0"/>
        </w:rPr>
      </w:r>
    </w:p>
    <w:p w:rsidR="00000000" w:rsidDel="00000000" w:rsidP="00000000" w:rsidRDefault="00000000" w:rsidRPr="00000000" w14:paraId="000000DD">
      <w:pPr>
        <w:spacing w:after="240" w:before="240" w:lineRule="auto"/>
        <w:rPr>
          <w:b w:val="1"/>
          <w:bCs w:val="1"/>
        </w:rPr>
      </w:pP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