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MISSOURI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Missouri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  Such property remains separate if titled in owner's individual name and not commingled beyond ability to trace with adequate records.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Maintenance</w:t>
      </w:r>
      <w:r w:rsidDel="00000000" w:rsidR="00000000" w:rsidRPr="00000000">
        <w:rPr>
          <w:rFonts w:ascii="Roboto" w:cs="Roboto" w:eastAsia="Roboto" w:hAnsi="Roboto"/>
          <w:sz w:val="24"/>
          <w:szCs w:val="24"/>
          <w:rtl w:val="0"/>
        </w:rPr>
        <w:t xml:space="preserve">: Financial support paid by one Party to the other after legal separation or dissolution of marriage, as specified in this Agreement. Also referred to as "spousal maintenance" under Missouri law.</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non-financial contribution during marriage. The non-owner spouse may acquire a marital interest only through: (i) direct documented capital contributions from separate funds; (ii) becoming a legal co-owner through written agreements; or (iii) documented employment by the business (wages only, not ownership). The non-owner bears the burden of proof by clear and convincing evidence. No marital claim arises from passive appreciation, operations, growth, or increased value.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maintenance from the other Party, whether temporary, rehabilitative, or permanent, except as specifically provided herein.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Maintenance terms apply at all proceedings stages (temporary, pendente lite, interim, final, post-judgment). Courts shall apply Section 4 amounts absent extraordinary circumstances. Temporary maintenance paid during validity challenges shall be credited against final awards.</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Minimum</w:t>
      </w:r>
      <w:r w:rsidDel="00000000" w:rsidR="00000000" w:rsidRPr="00000000">
        <w:rPr>
          <w:rFonts w:ascii="Roboto" w:cs="Roboto" w:eastAsia="Roboto" w:hAnsi="Roboto"/>
          <w:sz w:val="24"/>
          <w:szCs w:val="24"/>
          <w:rtl w:val="0"/>
        </w:rPr>
        <w:t xml:space="preserve">: $500/month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$5,000/month</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Child Support Disclaimer</w:t>
      </w:r>
      <w:r w:rsidDel="00000000" w:rsidR="00000000" w:rsidRPr="00000000">
        <w:rPr>
          <w:rFonts w:ascii="Roboto" w:cs="Roboto" w:eastAsia="Roboto" w:hAnsi="Roboto"/>
          <w:sz w:val="24"/>
          <w:szCs w:val="24"/>
          <w:rtl w:val="0"/>
        </w:rPr>
        <w:t xml:space="preserve">: This Agreement does not and cannot predetermine child custody or support, which remain separate matters for a family court.</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maintenance)</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4.7 is deemed unconscionable by a court, it shall be reformed to the following percentages of payor's net income, minus 50% of recipient's income.  Duration shall be 50% of marriage length.  This reformed formula applies only if a court deems the primary formula unconscionable and does not constitute admission of unconscionability.</w:t>
      </w:r>
    </w:p>
    <w:p w:rsidR="00000000" w:rsidDel="00000000" w:rsidP="00000000" w:rsidRDefault="00000000" w:rsidRPr="00000000" w14:paraId="00000049">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15% of payor's net income</w:t>
      </w:r>
    </w:p>
    <w:p w:rsidR="00000000" w:rsidDel="00000000" w:rsidP="00000000" w:rsidRDefault="00000000" w:rsidRPr="00000000" w14:paraId="0000004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20% of payor's net income</w:t>
      </w:r>
    </w:p>
    <w:p w:rsidR="00000000" w:rsidDel="00000000" w:rsidP="00000000" w:rsidRDefault="00000000" w:rsidRPr="00000000" w14:paraId="0000004B">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25% of payor's net income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with overlapping financial and/or domestic responsibilities; (c) Recipient's death; (d) Payor's death; or (e) Duration limit expiration under Section 4.8.</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Neither party may seek modification except upon showing by clear and convincing evidence of substantial, unanticipated changes in circumstances causing severe financial hardship, such as: permanent disability preventing employment, catastrophic medical expenses, or loss of primary residence. Both parties acknowledge as reasonably foreseeable: dissolution, voluntary workforce departures, typical income fluctuations, health issues manageable with insurance, normal economic conditions, and childcare decisions.</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51">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2">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200% </w:t>
      </w:r>
    </w:p>
    <w:p w:rsidR="00000000" w:rsidDel="00000000" w:rsidP="00000000" w:rsidRDefault="00000000" w:rsidRPr="00000000" w14:paraId="00000053">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300%</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5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D">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E">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F">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61">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Pursuant to RSMo § 474.120, each Party waives all inheritance rights from the other's estate, including elective share, allowances, and statutory rights under RSMo §§ 474.160 and 474.235.</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rely on financial disclosures in Exhibits A and B and waive discovery rights to the fullest extent permitted by law. Additional discovery is limited to that which a court determines necessary for due process in challenges based on fraud, duress, or incapacity.</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Missouri Revised Statutes § 474.120 and any other legal principle.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Missouri Revised Statutes § 474.120and acknowledges this satisfies the requirements irrespective of attached schedules.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Missouri Law</w:t>
      </w:r>
      <w:r w:rsidDel="00000000" w:rsidR="00000000" w:rsidRPr="00000000">
        <w:rPr>
          <w:rFonts w:ascii="Roboto" w:cs="Roboto" w:eastAsia="Roboto" w:hAnsi="Roboto"/>
          <w:sz w:val="24"/>
          <w:szCs w:val="24"/>
          <w:rtl w:val="0"/>
        </w:rPr>
        <w:t xml:space="preserve">: This Agreement is governed by Missouri law as of execution date. Missouri courts recognize prenuptial agreements under common law as established in Ferry v. Ferry, 586 S.W.2d 782 (Mo. App. 1979), requiring agreements be entered into freely, fairly, knowingly, understandingly, and in good faith with full disclosure, and must not be unconscionable. Future law amendments reducing enforceability shall not apply retroactively.</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Missouri jurisdiction and waives forum non conveniens defenses. Either Party may alternatively enforce this Agreement in any jurisdiction providing equal or stronger prenuptial protections than Missouri. Judgments inconsistent with this Agreement are void.</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Missouri standards.</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Missouri.</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w:t>
      </w:r>
      <w:r w:rsidDel="00000000" w:rsidR="00000000" w:rsidRPr="00000000">
        <w:rPr>
          <w:rFonts w:ascii="Roboto" w:cs="Roboto" w:eastAsia="Roboto" w:hAnsi="Roboto"/>
          <w:b w:val="1"/>
          <w:bCs w:val="1"/>
          <w:sz w:val="24"/>
          <w:szCs w:val="24"/>
          <w:rtl w:val="0"/>
        </w:rPr>
        <w:t xml:space="preserve"> Statutory Compliance:</w:t>
      </w:r>
      <w:r w:rsidDel="00000000" w:rsidR="00000000" w:rsidRPr="00000000">
        <w:rPr>
          <w:rFonts w:ascii="Roboto" w:cs="Roboto" w:eastAsia="Roboto" w:hAnsi="Roboto"/>
          <w:sz w:val="24"/>
          <w:szCs w:val="24"/>
          <w:rtl w:val="0"/>
        </w:rPr>
        <w:t xml:space="preserve"> This Agreement complies with RSMo §§ 451.220 (written marriage contracts), 451.230 (acknowledgment), 452.330 (property division), and 474.120 (inheritance waiver).</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Conscionability</w:t>
      </w:r>
      <w:r w:rsidDel="00000000" w:rsidR="00000000" w:rsidRPr="00000000">
        <w:rPr>
          <w:rFonts w:ascii="Roboto" w:cs="Roboto" w:eastAsia="Roboto" w:hAnsi="Roboto"/>
          <w:sz w:val="24"/>
          <w:szCs w:val="24"/>
          <w:rtl w:val="0"/>
        </w:rPr>
        <w:t xml:space="preserve">: Each Party affirms this Agreement's terms are fair, reasonable, and conscionable under current circumstances and do not create unconscionable inequality under Missouri law.</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Missouri Revised Statutes and common law.</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E">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F">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0">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2">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4">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B">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E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E1">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7">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