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SOUTH CAROLINA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annexed their complete asset and liability statement as Exhibits A and B pursuant to S.C. Code § 20-6-30, and each Party acknowledges reviewing the other's statement and certifies their own statement is complete and accurate;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South Carolina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Any business interest owned by either Party before marriage or acquired during marriage in that Party's sole name remains that Party's separate property. The non-owner spouse has no claim to the business, its value, appreciation, income, or goodwill, regardless of indirect contributions to the marriage, advice, consultation, emotional support, or any contribution not constituting direct documented capital contribution or legal co-ownership through written agreement executed by both Parties.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5%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8%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10%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16%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C">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of marriage length (no support)</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25% of marriage length</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but shall not exceed the amounts calculated under Section 4.7 by more than 50%.</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7">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clear and convincing evidence of circumstances that: (a) were not reasonably foreseeable at execution; (b) are substantial and continuing; and (c) would render enforcement unconscionable under S.C. Code § 20-6-80(2). Both parties acknowledge as reasonably foreseeable: dissolution, workforce departures, income/employment changes, health issues not constituting total disability, economic conditions, inflation, and childcare decisions. Any modification shall not exceed the maximum percentages in Section 4.6 or duration limits in Section 4.7.</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Either Party may request genetic testing to verify biological parentage at any time. Testing costs shall be paid by the requesting Party but reimbursed by the other Party if testing reveals non-paternity. Discovery of non-paternity immediately terminates all support obligations related to that child, and support shall be recalculated using remaining biological Children of the Marriage.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D">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E">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4F">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8">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A">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South Carolina law.</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demonstrates insufficient liquid assets to retain competent counsel for proceedings related to this Agreement, the other Party shall advance reasonable attorney fees not exceeding the lesser of: (a) 4% of the advancing Party's gross annual income; or (b) $50,000 total across all proceedings. Advanced fees shall be: (i) reimbursed from any monetary recovery; or (ii) forgiven if no recovery occurs or reimbursement would cause financial hardship. This ensures both parties have equal access to legal representation regardless of temporary liquidity differences.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S.C. Code § 20-6-80(3) and any other legal principle.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S.C. Code § 20-6-80(3) and acknowledges this satisfies the requirements irrespective of attached schedules.</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South Carolina Law</w:t>
      </w:r>
      <w:r w:rsidDel="00000000" w:rsidR="00000000" w:rsidRPr="00000000">
        <w:rPr>
          <w:rFonts w:ascii="Roboto" w:cs="Roboto" w:eastAsia="Roboto" w:hAnsi="Roboto"/>
          <w:sz w:val="24"/>
          <w:szCs w:val="24"/>
          <w:rtl w:val="0"/>
        </w:rPr>
        <w:t xml:space="preserve">: This Agreement is governed by the South Carolina Uniform Premarital Agreement Act, S.C. Code §§ 20-6-10 to 20-6-110, as of execution date, regardless of domicile or asset location. Future law amendments reducing enforceability shall not apply retroactively.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South Carolina jurisdiction and waives forum non conveniens defenses. Either Party may alternatively enforce this Agreement in any jurisdiction providing equal or stronger prenuptial protections than South Carolina. Judgments inconsistent with this Agreement are void.</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South Carolina standards.</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South Carolina.</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  This Agreement remains enforceable regardless of the timing between execution and marriage, provided all statutory requirements of S.C. Code § 20-6-30 are satisfied.</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 AND SOUTH CAROLINA LAW</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this Agreement freely, voluntarily, and with complete understanding of its terms, legal effects, and binding nature, without fraud, duress, mistake, misrepresentation, or undue influence.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w:t>
      </w:r>
      <w:r w:rsidDel="00000000" w:rsidR="00000000" w:rsidRPr="00000000">
        <w:rPr>
          <w:rFonts w:ascii="Roboto" w:cs="Roboto" w:eastAsia="Roboto" w:hAnsi="Roboto"/>
          <w:b w:val="1"/>
          <w:bCs w:val="1"/>
          <w:sz w:val="24"/>
          <w:szCs w:val="24"/>
          <w:rtl w:val="0"/>
        </w:rPr>
        <w:t xml:space="preserve"> Financial Disclosure:</w:t>
      </w:r>
      <w:r w:rsidDel="00000000" w:rsidR="00000000" w:rsidRPr="00000000">
        <w:rPr>
          <w:rFonts w:ascii="Roboto" w:cs="Roboto" w:eastAsia="Roboto" w:hAnsi="Roboto"/>
          <w:sz w:val="24"/>
          <w:szCs w:val="24"/>
          <w:rtl w:val="0"/>
        </w:rPr>
        <w:t xml:space="preserve"> Each Party confirms they received the other Party's annexed financial statement per S.C. Code § 20-6-30, had opportunity for verification and independent investigation, and possess adequate knowledge of the other Party's financial circumstances.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w:t>
      </w:r>
      <w:r w:rsidDel="00000000" w:rsidR="00000000" w:rsidRPr="00000000">
        <w:rPr>
          <w:rFonts w:ascii="Roboto" w:cs="Roboto" w:eastAsia="Roboto" w:hAnsi="Roboto"/>
          <w:sz w:val="24"/>
          <w:szCs w:val="24"/>
          <w:rtl w:val="0"/>
        </w:rPr>
        <w:t xml:space="preserve"> Each Party either: (a) was represented by independent legal counsel; or (b) waived counsel in writing per Section 15 after being advised of the right and importance of independent representation.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w:t>
      </w:r>
      <w:r w:rsidDel="00000000" w:rsidR="00000000" w:rsidRPr="00000000">
        <w:rPr>
          <w:rFonts w:ascii="Roboto" w:cs="Roboto" w:eastAsia="Roboto" w:hAnsi="Roboto"/>
          <w:b w:val="1"/>
          <w:bCs w:val="1"/>
          <w:sz w:val="24"/>
          <w:szCs w:val="24"/>
          <w:rtl w:val="0"/>
        </w:rPr>
        <w:t xml:space="preserve"> Rights Waived:</w:t>
      </w:r>
      <w:r w:rsidDel="00000000" w:rsidR="00000000" w:rsidRPr="00000000">
        <w:rPr>
          <w:rFonts w:ascii="Roboto" w:cs="Roboto" w:eastAsia="Roboto" w:hAnsi="Roboto"/>
          <w:sz w:val="24"/>
          <w:szCs w:val="24"/>
          <w:rtl w:val="0"/>
        </w:rPr>
        <w:t xml:space="preserve"> Each Party waives all statutory rights to property division, spousal support, inheritance, and other marital rights to the fullest extent permitted under S.C. Code §§ 20-6-10 to 20-6-110 and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585 S.E.2d 501 (S.C. 2003).</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Unconscionability Avoidance:</w:t>
      </w:r>
      <w:r w:rsidDel="00000000" w:rsidR="00000000" w:rsidRPr="00000000">
        <w:rPr>
          <w:rFonts w:ascii="Roboto" w:cs="Roboto" w:eastAsia="Roboto" w:hAnsi="Roboto"/>
          <w:sz w:val="24"/>
          <w:szCs w:val="24"/>
          <w:rtl w:val="0"/>
        </w:rPr>
        <w:t xml:space="preserve"> The Parties intend Article 4 to provide reasonable means of support and avoid outcomes that would render this Agreement unconscionable under S.C. Code §§ 20-6-80(2) and 20-6-20(3).</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Changed Circumstances:</w:t>
      </w:r>
      <w:r w:rsidDel="00000000" w:rsidR="00000000" w:rsidRPr="00000000">
        <w:rPr>
          <w:rFonts w:ascii="Roboto" w:cs="Roboto" w:eastAsia="Roboto" w:hAnsi="Roboto"/>
          <w:sz w:val="24"/>
          <w:szCs w:val="24"/>
          <w:rtl w:val="0"/>
        </w:rPr>
        <w:t xml:space="preserve"> Reasonably foreseeable changes (listed in Section 4.12) shall not constitute "changed circumstances" justifying non-enforcement under South Carolina law.</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Child Support and Custody:</w:t>
      </w:r>
      <w:r w:rsidDel="00000000" w:rsidR="00000000" w:rsidRPr="00000000">
        <w:rPr>
          <w:rFonts w:ascii="Roboto" w:cs="Roboto" w:eastAsia="Roboto" w:hAnsi="Roboto"/>
          <w:sz w:val="24"/>
          <w:szCs w:val="24"/>
          <w:rtl w:val="0"/>
        </w:rPr>
        <w:t xml:space="preserve"> This Agreement does not affect child support (governed by S.C. Code § 63-17-470 per § 20-6-50) or child custody (determined by best interests standard).</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Future Claims Waived:</w:t>
      </w:r>
      <w:r w:rsidDel="00000000" w:rsidR="00000000" w:rsidRPr="00000000">
        <w:rPr>
          <w:rFonts w:ascii="Roboto" w:cs="Roboto" w:eastAsia="Roboto" w:hAnsi="Roboto"/>
          <w:sz w:val="24"/>
          <w:szCs w:val="24"/>
          <w:rtl w:val="0"/>
        </w:rPr>
        <w:t xml:space="preserve"> Each Party irrevocably waives future claims of: lack of understanding, inadequate disclosure, unconscionability, duress, coercion, retained rights beyond those preserved herein, or any other validity or enforceability challenge.</w:t>
      </w:r>
    </w:p>
    <w:p w:rsidR="00000000" w:rsidDel="00000000" w:rsidP="00000000" w:rsidRDefault="00000000" w:rsidRPr="00000000" w14:paraId="000000C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9">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D">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E">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F">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C">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2">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