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ALABAMA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Alabama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Any temporary support paid during proceedings shall be credited dollar-for-dollar against the total support obligation under this Section 4, applied to either monthly amounts or duration at payor's election.</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Alimony/spousal support terms apply uniformly at all proceedings stages (temporary, pendente lite, interim, final, post-judgment). No distinction exists between temporary and permanent support. No court shall award support exceeding or different from Section 4 amounts. Excess temporary support paid during validity challenges shall be credited or reimbursed to payor within 30 days of upholding.</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8%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10%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12%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14%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16%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18% of payor's net income</w:t>
      </w:r>
    </w:p>
    <w:p w:rsidR="00000000" w:rsidDel="00000000" w:rsidP="00000000" w:rsidRDefault="00000000" w:rsidRPr="00000000" w14:paraId="0000003B">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20%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$5,000 per month</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E">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10% of marriage length</w:t>
      </w:r>
    </w:p>
    <w:p w:rsidR="00000000" w:rsidDel="00000000" w:rsidP="00000000" w:rsidRDefault="00000000" w:rsidRPr="00000000" w14:paraId="0000003F">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15% of marriage length</w:t>
      </w:r>
    </w:p>
    <w:p w:rsidR="00000000" w:rsidDel="00000000" w:rsidP="00000000" w:rsidRDefault="00000000" w:rsidRPr="00000000" w14:paraId="00000040">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20% of marriage length</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25% of marriage length</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30%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35%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40% of marriage length</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If strict application of Sections 4.6 and 4.7 would leave recipient with total income below 100% of Federal Poverty Level for their household size (including dependent children), support shall be increased to achieve that threshold, but shall not exceed the amounts calculated under Section 4.6 by more than 50%.</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shall be 50% of marriage length.</w:t>
      </w:r>
    </w:p>
    <w:p w:rsidR="00000000" w:rsidDel="00000000" w:rsidP="00000000" w:rsidRDefault="00000000" w:rsidRPr="00000000" w14:paraId="00000047">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20% of payor's net income</w:t>
      </w:r>
    </w:p>
    <w:p w:rsidR="00000000" w:rsidDel="00000000" w:rsidP="00000000" w:rsidRDefault="00000000" w:rsidRPr="00000000" w14:paraId="0000004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25% of payor's net income</w:t>
      </w:r>
    </w:p>
    <w:p w:rsidR="00000000" w:rsidDel="00000000" w:rsidP="00000000" w:rsidRDefault="00000000" w:rsidRPr="00000000" w14:paraId="00000049">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30% of payor's net income</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4.7.</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The Parties agree that modification of support shall be permitted only upon a showing by clear and convincing evidence of a material change in circumstances that: (a) was not reasonably foreseeable at the time of execution; (b) substantially affects either party's financial circumstances; and (c) makes the existing support amount substantially unfair or would result in severe hardship. Both Parties acknowledge as reasonably foreseeable: marital dissolution, voluntary workforce departures, income and employment changes not due to disability, routine health issues, general economic conditions, and voluntary childcare decisions. Notwithstanding any provision herein, a court may modify support to the extent necessary to prevent the recipient from qualifying for public assistance, as required by Alabama law.</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4.7 and 4.8; or (b) Payor's average annual net income multiplied by:</w:t>
      </w:r>
    </w:p>
    <w:p w:rsidR="00000000" w:rsidDel="00000000" w:rsidP="00000000" w:rsidRDefault="00000000" w:rsidRPr="00000000" w14:paraId="0000004F">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100% </w:t>
      </w:r>
    </w:p>
    <w:p w:rsidR="00000000" w:rsidDel="00000000" w:rsidP="00000000" w:rsidRDefault="00000000" w:rsidRPr="00000000" w14:paraId="00000050">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150% </w:t>
      </w:r>
    </w:p>
    <w:p w:rsidR="00000000" w:rsidDel="00000000" w:rsidP="00000000" w:rsidRDefault="00000000" w:rsidRPr="00000000" w14:paraId="00000051">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200%</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A">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B">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C">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D">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homestead allowances, family allowances, and other statutory inheritance rights under Alabama law, including but not limited to rights under Ala. Code § 43-8-70 et seq.</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4%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agree that extensive discovery regarding financial matters is unnecessary given the financial disclosures provided. Any party seeking discovery beyond the attached exhibits must demonstrate specific, credible evidence suggesting fraud, material misrepresentation, or concealment in the original disclosures. General requests for updated financial information shall not constitute grounds for extensive discovery absent such showing.</w:t>
      </w:r>
    </w:p>
    <w:p w:rsidR="00000000" w:rsidDel="00000000" w:rsidP="00000000" w:rsidRDefault="00000000" w:rsidRPr="00000000" w14:paraId="0000008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Alabama Code § 30-4-9 and the principles established in Barnhill v. Barnhill, 386 So. 2d 749 (Ala. Civ. App. 1980), and any other legal principle requiring financial disclosure beyond what has been provided in Exhibits A and B.</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under Alabama Code § 30-4-9 and acknowledges this waiver satisfies Alabama's prenuptial agreement requirements irrespective of the completeness of attached schedules.</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PRE-MARRIAGE ASSET UPDATE REQUIREMENT</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Mandatory Updated Disclosure:</w:t>
      </w:r>
      <w:r w:rsidDel="00000000" w:rsidR="00000000" w:rsidRPr="00000000">
        <w:rPr>
          <w:rFonts w:ascii="Roboto" w:cs="Roboto" w:eastAsia="Roboto" w:hAnsi="Roboto"/>
          <w:sz w:val="24"/>
          <w:szCs w:val="24"/>
          <w:rtl w:val="0"/>
        </w:rPr>
        <w:t xml:space="preserve"> Between 30-60 days before marriage, parties shall exchange updated asset schedules.</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Both parties shall execute written acknowledgment confirming this Agreement remains fully effective.</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Mutual Obligation:</w:t>
      </w:r>
      <w:r w:rsidDel="00000000" w:rsidR="00000000" w:rsidRPr="00000000">
        <w:rPr>
          <w:rFonts w:ascii="Roboto" w:cs="Roboto" w:eastAsia="Roboto" w:hAnsi="Roboto"/>
          <w:sz w:val="24"/>
          <w:szCs w:val="24"/>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Alabama Law</w:t>
      </w:r>
      <w:r w:rsidDel="00000000" w:rsidR="00000000" w:rsidRPr="00000000">
        <w:rPr>
          <w:rFonts w:ascii="Roboto" w:cs="Roboto" w:eastAsia="Roboto" w:hAnsi="Roboto"/>
          <w:sz w:val="24"/>
          <w:szCs w:val="24"/>
          <w:rtl w:val="0"/>
        </w:rPr>
        <w:t xml:space="preserve">: This Agreement is governed by Alabama law as of the execution date, including the principles established in Barnhill v. Barnhill, 386 So. 2d 749 (Ala. Civ. App. 1980), and subsequent Alabama case law, regardless of the parties' domicile or location of assets at the time of enforcement. Future statutory or case law amendments reducing the enforceability of prenuptial agreements shall not apply retroactively to this Agreement.</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Alabama jurisdiction and waives forum non conveniens defenses. Either Party may alternatively enforce this Agreement in any jurisdiction providing equal or stronger prenuptial protections than Alabama. Judgments inconsistent with this Agreement are void. </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Alabama standards.</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initiate proceedings in jurisdictions with weaker prenuptial enforcement than Alabama.</w:t>
      </w:r>
    </w:p>
    <w:p w:rsidR="00000000" w:rsidDel="00000000" w:rsidP="00000000" w:rsidRDefault="00000000" w:rsidRPr="00000000" w14:paraId="000000A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18.4 </w:t>
      </w:r>
      <w:r w:rsidDel="00000000" w:rsidR="00000000" w:rsidRPr="00000000">
        <w:rPr>
          <w:rFonts w:ascii="Roboto" w:cs="Roboto" w:eastAsia="Roboto" w:hAnsi="Roboto"/>
          <w:b w:val="1"/>
          <w:bCs w:val="1"/>
          <w:sz w:val="24"/>
          <w:szCs w:val="24"/>
          <w:rtl w:val="0"/>
        </w:rPr>
        <w:t xml:space="preserve">Unconscionability Prevention</w:t>
      </w:r>
      <w:r w:rsidDel="00000000" w:rsidR="00000000" w:rsidRPr="00000000">
        <w:rPr>
          <w:rFonts w:ascii="Roboto" w:cs="Roboto" w:eastAsia="Roboto" w:hAnsi="Roboto"/>
          <w:sz w:val="24"/>
          <w:szCs w:val="24"/>
          <w:rtl w:val="0"/>
        </w:rPr>
        <w:t xml:space="preserve">: If any court determines that enforcement of any provision would be unconscionable under the circumstances existing at the time of enforcement, that provision shall be modified to the minimum extent necessary to avoid unconscionability while preserving the parties' intent to the maximum extent possible. The parties specifically intend that no provision shall be interpreted in a manner that would leave either party unable to meet basic living needs or dependent on public assistance.</w:t>
      </w:r>
    </w:p>
    <w:p w:rsidR="00000000" w:rsidDel="00000000" w:rsidP="00000000" w:rsidRDefault="00000000" w:rsidRPr="00000000" w14:paraId="000000B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and any other marital rights to the fullest extent permitted under Alabama law, including rights that would otherwise arise under Ala. Code § 30-2-51 et seq. (alimony and property division statutes) and Ala. Code § 43-8-70 et seq. (inheritance rights).</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C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4">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6">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A, certify that:</w:t>
      </w:r>
    </w:p>
    <w:p w:rsidR="00000000" w:rsidDel="00000000" w:rsidP="00000000" w:rsidRDefault="00000000" w:rsidRPr="00000000" w14:paraId="000000C9">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CA">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CB">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C">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CD">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CE">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CF">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B, certify that:</w:t>
      </w:r>
    </w:p>
    <w:p w:rsidR="00000000" w:rsidDel="00000000" w:rsidP="00000000" w:rsidRDefault="00000000" w:rsidRPr="00000000" w14:paraId="000000D5">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D6">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D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D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DB">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E1">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