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KENTUCKY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Kentucky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separate property. Marital claims arise only from: (a) direct documented capital contributions (money, property, or assets transferred to the business), or (b) formal legal co-ownership. Indirect contributions (consultation, advice, support, household management) create no marital interest unless both parties execute a written agreement during marriage specifying the contribution, value, and ownership percentage. Absent such documentation, no marital interest exists.</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Any temporary support paid during proceedings shall be credited dollar-for-dollar against the total support obligation under this Section 4, applied to either monthly amounts or duration at payor's election.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8%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10%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12%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14%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16%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18% of payor's net income</w:t>
      </w:r>
    </w:p>
    <w:p w:rsidR="00000000" w:rsidDel="00000000" w:rsidP="00000000" w:rsidRDefault="00000000" w:rsidRPr="00000000" w14:paraId="0000003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20%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 per month</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30% of marriage length</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would leave recipient with total income below 100% of Federal Poverty Level for their household size (including dependent children), support shall be increased to achieve that threshold, but shall not exceed the amounts calculated under Section 4.6 by more than 50%.</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40% of marriage length.</w:t>
      </w:r>
    </w:p>
    <w:p w:rsidR="00000000" w:rsidDel="00000000" w:rsidP="00000000" w:rsidRDefault="00000000" w:rsidRPr="00000000" w14:paraId="00000046">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15% of payor's net income</w:t>
      </w:r>
    </w:p>
    <w:p w:rsidR="00000000" w:rsidDel="00000000" w:rsidP="00000000" w:rsidRDefault="00000000" w:rsidRPr="00000000" w14:paraId="00000047">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20% of payor's net income</w:t>
      </w:r>
    </w:p>
    <w:p w:rsidR="00000000" w:rsidDel="00000000" w:rsidP="00000000" w:rsidRDefault="00000000" w:rsidRPr="00000000" w14:paraId="00000048">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25% of payor's net income</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4.7.</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except upon clear and convincing evidence that circumstances not reasonably foreseeable at execution would cause homelessness or inability to provide for basic needs. Both parties acknowledge as foreseeable: dissolution, workforce departures, income/employment changes, health issues, economic conditions, and childcare decisions.</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E">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4F">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150% </w:t>
      </w:r>
    </w:p>
    <w:p w:rsidR="00000000" w:rsidDel="00000000" w:rsidP="00000000" w:rsidRDefault="00000000" w:rsidRPr="00000000" w14:paraId="00000050">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200%</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A">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B">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C">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expects the fidelity of the other, and the continued consummation of the marriage as the basis for its continuance.</w:t>
      </w:r>
    </w:p>
    <w:p w:rsidR="00000000" w:rsidDel="00000000" w:rsidP="00000000" w:rsidRDefault="00000000" w:rsidRPr="00000000" w14:paraId="0000005E">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Kentucky law, including dower and curtesy rights under KRS Chapter 392, homestead allowances under KRS 427.060-427.090, and exempt property allowances under KRS 391.030.</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PRE-MARRIAGE ASSET UPDATE REQUIREMENT</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ASSET CHANGES AND CONTINUED VALIDITY</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INDEPENDENT LEGAL COUNSEL</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GOVERNING LAW AND ENFORCEABILITY</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Governing Law:</w:t>
      </w:r>
      <w:r w:rsidDel="00000000" w:rsidR="00000000" w:rsidRPr="00000000">
        <w:rPr>
          <w:rFonts w:ascii="Roboto" w:cs="Roboto" w:eastAsia="Roboto" w:hAnsi="Roboto"/>
          <w:sz w:val="24"/>
          <w:szCs w:val="24"/>
          <w:rtl w:val="0"/>
        </w:rPr>
        <w:t xml:space="preserve"> This Agreement is governed by Kentucky law as of execution date, including KRS 403.190 (property division) and case law established in Edwardson v. Edwardson, 798 S.W.2d 941 (Ky. 1990) and Gentry v. Gentry, 798 S.W.2d 928 (Ky. 1990), regardless of domicile or asset location. Future law amendments reducing enforceability shall not apply retroactively</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Kentucky jurisdiction and waives forum non conveniens defenses. Either Party may alternatively enforce this Agreement in any jurisdiction providing equal or stronger prenuptial protections than Kentucky. Judgments inconsistent with this Agreement are void.</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Kentucky standards.</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Kentucky.</w:t>
      </w:r>
    </w:p>
    <w:p w:rsidR="00000000" w:rsidDel="00000000" w:rsidP="00000000" w:rsidRDefault="00000000" w:rsidRPr="00000000" w14:paraId="000000A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MODIFICATION AND FINALITY</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SEVERABILITY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EFFECTIVE DATE AND TIMING</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COMPREHENSIVE ACKNOWLEDGMENTS</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received full financial disclosure with reasonable opportunity for verification.</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KRS 403.190 and the requirements established in Edwardson v. Edwardson, 798 S.W.2d 941 (Ky. 1990) and Gentry v. Gentry, 798 S.W.2d 928 (Ky. 1990).</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or enforceability based on procedural grounds existing at the time of execution.</w:t>
      </w:r>
    </w:p>
    <w:p w:rsidR="00000000" w:rsidDel="00000000" w:rsidP="00000000" w:rsidRDefault="00000000" w:rsidRPr="00000000" w14:paraId="000000B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EXECUTION</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C1">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2">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C3">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4">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C5">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C6">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C7">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CD">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E">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CF">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0">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1">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2">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3">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D9">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