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ARIZONA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intend that this Agreement be governed by the laws of Arizona and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capital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spousal maintenance from the other Party, whether temporary or permanent, except as specifically provided herein.</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may be awarded only if the marriage produced at least one Child of the Marriage. Support reduces by 50% if recipient has not obtained Employment (as defined in 4.5) within 24 months of divorce.</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for the most recent full year.</w:t>
      </w:r>
    </w:p>
    <w:p w:rsidR="00000000" w:rsidDel="00000000" w:rsidP="00000000" w:rsidRDefault="00000000" w:rsidRPr="00000000" w14:paraId="00000034">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 which recognizes that larger family sizes typically require greater career sacrifices by the primary caregiver:</w:t>
      </w:r>
    </w:p>
    <w:p w:rsidR="00000000" w:rsidDel="00000000" w:rsidP="00000000" w:rsidRDefault="00000000" w:rsidRPr="00000000" w14:paraId="00000035">
      <w:pPr>
        <w:numPr>
          <w:ilvl w:val="0"/>
          <w:numId w:val="3"/>
        </w:numPr>
        <w:spacing w:after="0" w:afterAutospacing="0" w:before="240" w:lineRule="auto"/>
        <w:ind w:left="720" w:hanging="360"/>
        <w:rPr/>
      </w:pPr>
      <w:r w:rsidDel="00000000" w:rsidR="00000000" w:rsidRPr="00000000">
        <w:rPr>
          <w:rtl w:val="0"/>
        </w:rPr>
        <w:t xml:space="preserve">1 Child: 2% of payor's net income, capped at 110% of FPL for recipient’s household size</w:t>
      </w:r>
    </w:p>
    <w:p w:rsidR="00000000" w:rsidDel="00000000" w:rsidP="00000000" w:rsidRDefault="00000000" w:rsidRPr="00000000" w14:paraId="00000036">
      <w:pPr>
        <w:numPr>
          <w:ilvl w:val="0"/>
          <w:numId w:val="3"/>
        </w:numPr>
        <w:spacing w:after="0" w:afterAutospacing="0" w:before="0" w:beforeAutospacing="0" w:lineRule="auto"/>
        <w:ind w:left="720" w:hanging="360"/>
        <w:rPr/>
      </w:pPr>
      <w:r w:rsidDel="00000000" w:rsidR="00000000" w:rsidRPr="00000000">
        <w:rPr>
          <w:rtl w:val="0"/>
        </w:rPr>
        <w:t xml:space="preserve">2 Children: 4% of payor's net income, capped at 120% of FPL for recipient’s household size</w:t>
      </w:r>
    </w:p>
    <w:p w:rsidR="00000000" w:rsidDel="00000000" w:rsidP="00000000" w:rsidRDefault="00000000" w:rsidRPr="00000000" w14:paraId="00000037">
      <w:pPr>
        <w:numPr>
          <w:ilvl w:val="0"/>
          <w:numId w:val="3"/>
        </w:numPr>
        <w:spacing w:after="0" w:afterAutospacing="0" w:before="0" w:beforeAutospacing="0" w:lineRule="auto"/>
        <w:ind w:left="720" w:hanging="360"/>
        <w:rPr/>
      </w:pPr>
      <w:r w:rsidDel="00000000" w:rsidR="00000000" w:rsidRPr="00000000">
        <w:rPr>
          <w:rtl w:val="0"/>
        </w:rPr>
        <w:t xml:space="preserve">3 Children: 6% of payor's net income, capped at 130% of FPL for recipient’s household size</w:t>
      </w:r>
    </w:p>
    <w:p w:rsidR="00000000" w:rsidDel="00000000" w:rsidP="00000000" w:rsidRDefault="00000000" w:rsidRPr="00000000" w14:paraId="00000038">
      <w:pPr>
        <w:numPr>
          <w:ilvl w:val="0"/>
          <w:numId w:val="3"/>
        </w:numPr>
        <w:spacing w:after="0" w:afterAutospacing="0" w:before="0" w:beforeAutospacing="0" w:lineRule="auto"/>
        <w:ind w:left="720" w:hanging="360"/>
        <w:rPr/>
      </w:pPr>
      <w:r w:rsidDel="00000000" w:rsidR="00000000" w:rsidRPr="00000000">
        <w:rPr>
          <w:rtl w:val="0"/>
        </w:rPr>
        <w:t xml:space="preserve">4 Children: 8% of payor's net income, capped at 140% of FPL for recipient’s household size</w:t>
      </w:r>
    </w:p>
    <w:p w:rsidR="00000000" w:rsidDel="00000000" w:rsidP="00000000" w:rsidRDefault="00000000" w:rsidRPr="00000000" w14:paraId="00000039">
      <w:pPr>
        <w:numPr>
          <w:ilvl w:val="0"/>
          <w:numId w:val="3"/>
        </w:numPr>
        <w:spacing w:after="0" w:afterAutospacing="0" w:before="0" w:beforeAutospacing="0" w:lineRule="auto"/>
        <w:ind w:left="720" w:hanging="360"/>
        <w:rPr/>
      </w:pPr>
      <w:r w:rsidDel="00000000" w:rsidR="00000000" w:rsidRPr="00000000">
        <w:rPr>
          <w:rtl w:val="0"/>
        </w:rPr>
        <w:t xml:space="preserve">5 Children: 10% of payor's net income, capped at 150% of FPL for recipient’s household size</w:t>
      </w:r>
    </w:p>
    <w:p w:rsidR="00000000" w:rsidDel="00000000" w:rsidP="00000000" w:rsidRDefault="00000000" w:rsidRPr="00000000" w14:paraId="0000003A">
      <w:pPr>
        <w:numPr>
          <w:ilvl w:val="0"/>
          <w:numId w:val="3"/>
        </w:numPr>
        <w:spacing w:after="0" w:afterAutospacing="0" w:before="0" w:beforeAutospacing="0" w:lineRule="auto"/>
        <w:ind w:left="720" w:hanging="360"/>
        <w:rPr/>
      </w:pPr>
      <w:r w:rsidDel="00000000" w:rsidR="00000000" w:rsidRPr="00000000">
        <w:rPr>
          <w:rtl w:val="0"/>
        </w:rPr>
        <w:t xml:space="preserve">6 Children: 12% of payor's net income, capped at 160% of FPL for recipient’s household size</w:t>
      </w:r>
    </w:p>
    <w:p w:rsidR="00000000" w:rsidDel="00000000" w:rsidP="00000000" w:rsidRDefault="00000000" w:rsidRPr="00000000" w14:paraId="0000003B">
      <w:pPr>
        <w:numPr>
          <w:ilvl w:val="0"/>
          <w:numId w:val="3"/>
        </w:numPr>
        <w:spacing w:after="240" w:before="0" w:beforeAutospacing="0" w:lineRule="auto"/>
        <w:ind w:left="720" w:hanging="360"/>
        <w:rPr/>
      </w:pPr>
      <w:r w:rsidDel="00000000" w:rsidR="00000000" w:rsidRPr="00000000">
        <w:rPr>
          <w:rtl w:val="0"/>
        </w:rPr>
        <w:t xml:space="preserve">7+ Children: 14% of payor's net income, capped at 170% of FPL for recipient’s household size</w: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Per A.R.S. § 25-202(D), if this waiver would make recipient eligible for support under a program of public assistance at time of dissolution, the court may require payor to provide minimum support necessary to avoid that eligibility. The Parties intend that the FPL-indexed caps above operate above any applicable public-assistance threshold and satisfy this statutory floor. </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separately under A.R.S. § 25-320 and Arizona Child Support Guidelines. Per A.R.S. § 25-203(B), child support rights cannot be adversely affected by this Agreement.</w:t>
      </w:r>
    </w:p>
    <w:p w:rsidR="00000000" w:rsidDel="00000000" w:rsidP="00000000" w:rsidRDefault="00000000" w:rsidRPr="00000000" w14:paraId="0000003E">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3F">
      <w:pPr>
        <w:numPr>
          <w:ilvl w:val="0"/>
          <w:numId w:val="4"/>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&lt;10 years: 5% of marriage length</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&lt;15 years: 10% of marriage length</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&lt;20 years: 15% of marriage length</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&lt;25 years: 20% of marriage length</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&lt;30 years: 25% of marriage length</w:t>
      </w:r>
    </w:p>
    <w:p w:rsidR="00000000" w:rsidDel="00000000" w:rsidP="00000000" w:rsidRDefault="00000000" w:rsidRPr="00000000" w14:paraId="00000045">
      <w:pPr>
        <w:numPr>
          <w:ilvl w:val="0"/>
          <w:numId w:val="4"/>
        </w:numPr>
        <w:spacing w:after="240" w:before="0" w:beforeAutospacing="0" w:lineRule="auto"/>
        <w:ind w:left="720" w:hanging="360"/>
      </w:pPr>
      <w:r w:rsidDel="00000000" w:rsidR="00000000" w:rsidRPr="00000000">
        <w:rPr>
          <w:rtl w:val="0"/>
        </w:rPr>
        <w:t xml:space="preserve">30+ years: 30% of marriage length</w:t>
      </w:r>
    </w:p>
    <w:p w:rsidR="00000000" w:rsidDel="00000000" w:rsidP="00000000" w:rsidRDefault="00000000" w:rsidRPr="00000000" w14:paraId="00000046">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FPL for payor's household size at time of dissolution. </w:t>
      </w:r>
    </w:p>
    <w:p w:rsidR="00000000" w:rsidDel="00000000" w:rsidP="00000000" w:rsidRDefault="00000000" w:rsidRPr="00000000" w14:paraId="00000047">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for 60+ consecutive days; (c) Recipient's death; (d) Payor's death; or (e) Duration limit expiration.</w:t>
      </w:r>
    </w:p>
    <w:p w:rsidR="00000000" w:rsidDel="00000000" w:rsidP="00000000" w:rsidRDefault="00000000" w:rsidRPr="00000000" w14:paraId="00000048">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Support terms are non-modifiable except as required by A.R.S. § 25-202(C) and (D). The Parties acknowledge as foreseeable at execution: dissolution, income changes and growth, typical health issues, childcare decisions for children born during marriage, and career changes. A.R.S. § 25-327 does not apply to contractual support under this Agreement. </w:t>
      </w:r>
    </w:p>
    <w:p w:rsidR="00000000" w:rsidDel="00000000" w:rsidP="00000000" w:rsidRDefault="00000000" w:rsidRPr="00000000" w14:paraId="00000049">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A">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last annual net income (as defined in Section 4.6) during the three years preceding divorce filing, multiplied by: 50% (marriages &lt;10 years), 75% (10-20 years), or 100% (&gt;20 years).</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D">
      <w:pPr>
        <w:spacing w:after="240" w:before="240" w:lineRule="auto"/>
        <w:rPr/>
      </w:pPr>
      <w:r w:rsidDel="00000000" w:rsidR="00000000" w:rsidRPr="00000000">
        <w:rPr>
          <w:rtl w:val="0"/>
        </w:rPr>
        <w:t xml:space="preserve">The Parties acknowledge that the provisions in this Section 5 are aspirational statements of mutual intent and shared values, are not contractually binding, and are not consideration for any other provision of this Agreement. The financial and property terms of this Agreement remain fully binding and enforceable independent of any party's adherence to this Section 5. </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4F">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0">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1">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2">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3">
      <w:pPr>
        <w:spacing w:after="240" w:before="240" w:lineRule="auto"/>
        <w:rPr/>
      </w:pPr>
      <w:r w:rsidDel="00000000" w:rsidR="00000000" w:rsidRPr="00000000">
        <w:rPr>
          <w:rtl w:val="0"/>
        </w:rPr>
        <w:t xml:space="preserve">Both Parties recognize that maintaining career skills strengthens long-term family financial security. Departures from the workforce are temporal for important family-development years, not extended abdications of financial responsibility.</w:t>
      </w:r>
    </w:p>
    <w:p w:rsidR="00000000" w:rsidDel="00000000" w:rsidP="00000000" w:rsidRDefault="00000000" w:rsidRPr="00000000" w14:paraId="00000054">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a healthy lifestyle, for the benefit of themselves, their partner, and those they love.</w:t>
      </w:r>
    </w:p>
    <w:p w:rsidR="00000000" w:rsidDel="00000000" w:rsidP="00000000" w:rsidRDefault="00000000" w:rsidRPr="00000000" w14:paraId="00000055">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8">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9">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A">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B">
      <w:pPr>
        <w:spacing w:after="240" w:before="240" w:lineRule="auto"/>
        <w:rPr/>
      </w:pPr>
      <w:r w:rsidDel="00000000" w:rsidR="00000000" w:rsidRPr="00000000">
        <w:rPr>
          <w:rtl w:val="0"/>
        </w:rPr>
        <w:t xml:space="preserve">6.4 </w:t>
      </w:r>
      <w:r w:rsidDel="00000000" w:rsidR="00000000" w:rsidRPr="00000000">
        <w:rPr>
          <w:b w:val="1"/>
          <w:bCs w:val="1"/>
          <w:rtl w:val="0"/>
        </w:rPr>
        <w:t xml:space="preserve">No Sunset Provision</w:t>
      </w:r>
      <w:r w:rsidDel="00000000" w:rsidR="00000000" w:rsidRPr="00000000">
        <w:rPr>
          <w:rtl w:val="0"/>
        </w:rPr>
        <w:t xml:space="preserve">: This Agreement has no expiration date and remains enforceable regardless of marriage duration.</w:t>
      </w:r>
    </w:p>
    <w:p w:rsidR="00000000" w:rsidDel="00000000" w:rsidP="00000000" w:rsidRDefault="00000000" w:rsidRPr="00000000" w14:paraId="0000005C">
      <w:pPr>
        <w:spacing w:after="240" w:before="240" w:lineRule="auto"/>
        <w:ind w:right="600"/>
        <w:rPr/>
      </w:pPr>
      <w:r w:rsidDel="00000000" w:rsidR="00000000" w:rsidRPr="00000000">
        <w:rPr>
          <w:rtl w:val="0"/>
        </w:rPr>
        <w:t xml:space="preserve">6.5 </w:t>
      </w:r>
      <w:r w:rsidDel="00000000" w:rsidR="00000000" w:rsidRPr="00000000">
        <w:rPr>
          <w:b w:val="1"/>
          <w:bCs w:val="1"/>
          <w:rtl w:val="0"/>
        </w:rPr>
        <w:t xml:space="preserve">ERISA Retirement Rights</w:t>
      </w:r>
      <w:r w:rsidDel="00000000" w:rsidR="00000000" w:rsidRPr="00000000">
        <w:rPr>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homestead allowances, family allowances, and statutory inheritance rights under Arizona law.</w:t>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Each Party may execute estate planning documents as they choose. Section 7.1 waivers remain binding regardless of subsequent estate documents.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4">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must first be submitted to mediation with qualified mediator. Both Parties must participate in good faith for at least three (3) sessions over minimum 60 days. Mediation costs shall be shared equally.</w:t>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resources for competent counsel in proceedings under this Agreement, the other Party shall advance reasonable fees up to lesser of: (a) 5% of advancing Party's gross annual income; or (b) $50,000 total across all proceedings. Advanced fees shall be reimbursed from any award or settlement, or forgiven if reimbursement would cause financial hardship.</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F">
      <w:pPr>
        <w:spacing w:after="240" w:before="240" w:lineRule="auto"/>
        <w:ind w:right="600"/>
        <w:rPr/>
      </w:pPr>
      <w:r w:rsidDel="00000000" w:rsidR="00000000" w:rsidRPr="00000000">
        <w:rPr>
          <w:rtl w:val="0"/>
        </w:rPr>
        <w:t xml:space="preserve">8.12 </w:t>
      </w:r>
      <w:r w:rsidDel="00000000" w:rsidR="00000000" w:rsidRPr="00000000">
        <w:rPr>
          <w:b w:val="1"/>
          <w:bCs w:val="1"/>
          <w:rtl w:val="0"/>
        </w:rPr>
        <w:t xml:space="preserve">Statutory Fee Authority Preserved</w:t>
      </w:r>
      <w:r w:rsidDel="00000000" w:rsidR="00000000" w:rsidRPr="00000000">
        <w:rPr>
          <w:rtl w:val="0"/>
        </w:rPr>
        <w:t xml:space="preserve">: Nothing in this Section 8 limits the court's authority under A.R.S. § 25-324 to award attorney fees and costs based on financial disparity or unreasonable positions. The fee-shifting provisions in 8.7 and 8.8 operate in addition to, not in place of, statutory fee remedies. </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2">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3">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4">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5">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A written translation of this Agreement in the requesting Party's native language was offered to each Party prior to execution. Each Party either received and reviewed such translation or, with full understanding of the right to do so, declined translation in writing. </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8">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C">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D">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E">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F">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0">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1">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2">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3">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6">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discovery beyond the disclosures in Exhibits A and B, except to the extent necessary to adjudicate a properly raised challenge under A.R.S. § 25-202(C) (involuntary execution; unconscionability combined with inadequate disclosure and lack of knowledge). Discovery on issues outside § 25-202(C) is waived to the fullest extent permitted by Arizona Rule of Family Law Procedure 49 and applicable due process requirements. </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B">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Arizona law (A.R.S. § 25-202), UPAA, and any other legal principle requiring financial disclosure beyond what was provided.</w:t>
      </w:r>
    </w:p>
    <w:p w:rsidR="00000000" w:rsidDel="00000000" w:rsidP="00000000" w:rsidRDefault="00000000" w:rsidRPr="00000000" w14:paraId="0000008C">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Waiver:</w:t>
      </w:r>
      <w:r w:rsidDel="00000000" w:rsidR="00000000" w:rsidRPr="00000000">
        <w:rPr>
          <w:rtl w:val="0"/>
        </w:rPr>
        <w:t xml:space="preserve"> Each Party expressly waives all disclosure rights under A.R.S. § 25-202(C)(2) beyond the disclosure provided in Exhibits A and B. Each Party acknowledges this written waiver independently satisfies Arizona UPAA requirements and operates in addition to, not as a substitute for, the disclosures in the attached schedules. </w:t>
      </w:r>
    </w:p>
    <w:p w:rsidR="00000000" w:rsidDel="00000000" w:rsidP="00000000" w:rsidRDefault="00000000" w:rsidRPr="00000000" w14:paraId="0000008E">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0">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93">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8">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D">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2">
      <w:pPr>
        <w:spacing w:after="240" w:before="240" w:lineRule="auto"/>
        <w:rPr/>
      </w:pPr>
      <w:r w:rsidDel="00000000" w:rsidR="00000000" w:rsidRPr="00000000">
        <w:rPr>
          <w:rtl w:val="0"/>
        </w:rPr>
        <w:t xml:space="preserve">16.1 </w:t>
      </w:r>
      <w:r w:rsidDel="00000000" w:rsidR="00000000" w:rsidRPr="00000000">
        <w:rPr>
          <w:b w:val="1"/>
          <w:bCs w:val="1"/>
          <w:rtl w:val="0"/>
        </w:rPr>
        <w:t xml:space="preserve">Arizona Law</w:t>
      </w:r>
      <w:r w:rsidDel="00000000" w:rsidR="00000000" w:rsidRPr="00000000">
        <w:rPr>
          <w:rtl w:val="0"/>
        </w:rPr>
        <w:t xml:space="preserve">: This Agreement is governed by Arizona law, including the Arizona Uniform Premarital Agreement Act (A.R.S. §§ 25-201 through 25-205), regardless of future domicile or asset location. </w:t>
      </w:r>
    </w:p>
    <w:p w:rsidR="00000000" w:rsidDel="00000000" w:rsidP="00000000" w:rsidRDefault="00000000" w:rsidRPr="00000000" w14:paraId="000000A3">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the jurisdiction of Arizona courts for all disputes arising under this Agreement. If a dispute is properly adjudicated in another jurisdiction by reason of domicile or asset location, the Parties intend that Arizona law govern the substantive terms of this Agreement under Restatement (Second) of Conflict of Laws § 187. </w:t>
      </w:r>
    </w:p>
    <w:p w:rsidR="00000000" w:rsidDel="00000000" w:rsidP="00000000" w:rsidRDefault="00000000" w:rsidRPr="00000000" w14:paraId="000000A4">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 Standard</w:t>
      </w:r>
      <w:r w:rsidDel="00000000" w:rsidR="00000000" w:rsidRPr="00000000">
        <w:rPr>
          <w:rtl w:val="0"/>
        </w:rPr>
        <w:t xml:space="preserve">: This Agreement is enforceable unless challenging Party proves: (1) involuntary execution; or (2) Agreement was unconscionable when executed AND Party lacked fair disclosure, did not waive disclosure in writing, AND did not have adequate knowledge of other Party's finances, per A.R.S. § 25-202(C). </w:t>
      </w:r>
    </w:p>
    <w:p w:rsidR="00000000" w:rsidDel="00000000" w:rsidP="00000000" w:rsidRDefault="00000000" w:rsidRPr="00000000" w14:paraId="000000A5">
      <w:pPr>
        <w:spacing w:after="240" w:before="240" w:lineRule="auto"/>
        <w:rPr/>
      </w:pPr>
      <w:r w:rsidDel="00000000" w:rsidR="00000000" w:rsidRPr="00000000">
        <w:rPr>
          <w:rtl w:val="0"/>
        </w:rPr>
        <w:t xml:space="preserve">16.4 </w:t>
      </w:r>
      <w:r w:rsidDel="00000000" w:rsidR="00000000" w:rsidRPr="00000000">
        <w:rPr>
          <w:b w:val="1"/>
          <w:bCs w:val="1"/>
          <w:rtl w:val="0"/>
        </w:rPr>
        <w:t xml:space="preserve">Unconscionability at Execution</w:t>
      </w:r>
      <w:r w:rsidDel="00000000" w:rsidR="00000000" w:rsidRPr="00000000">
        <w:rPr>
          <w:rtl w:val="0"/>
        </w:rPr>
        <w:t xml:space="preserve">: Unconscionability is determined as of execution date only. Changed circumstances during marriage, including financial changes, shall not invalidate this Agreement.</w:t>
      </w:r>
      <w:r w:rsidDel="00000000" w:rsidR="00000000" w:rsidRPr="00000000">
        <w:rPr>
          <w:rtl w:val="0"/>
        </w:rPr>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8">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A">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D">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any invalid provision be severed or reformed under Section 18.2 rather than invalidating this Agreement, and that the remaining provisions continue to reflect the Parties' bargain to the maximum extent permitted by law. </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2">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3">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30-90 days before the wedding. This ensures informed engagement decisions and keeps legal matters separate from wedding planning.</w:t>
      </w:r>
    </w:p>
    <w:p w:rsidR="00000000" w:rsidDel="00000000" w:rsidP="00000000" w:rsidRDefault="00000000" w:rsidRPr="00000000" w14:paraId="000000B4">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8">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and inheritance claims to fullest extent permitted under Arizona law (A.R.S. §§ 25-201 through 25-205).</w:t>
      </w:r>
    </w:p>
    <w:p w:rsidR="00000000" w:rsidDel="00000000" w:rsidP="00000000" w:rsidRDefault="00000000" w:rsidRPr="00000000" w14:paraId="000000BC">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disclosures, obtain counsel, and execute voluntarily. Each Party confirms no duress, coercion, fraud, or overreaching exists and affirms Agreement is not unconscionable and is fair and reasonable. Unconscionability is determined at execution only, per A.R.S. § 25-202(C)(2).</w:t>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F">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4">
      <w:pPr>
        <w:spacing w:after="240" w:before="240" w:lineRule="auto"/>
        <w:rPr>
          <w:b w:val="1"/>
          <w:bCs w:val="1"/>
        </w:rPr>
      </w:pPr>
      <w:r w:rsidDel="00000000" w:rsidR="00000000" w:rsidRPr="00000000">
        <w:rPr>
          <w:rtl w:val="0"/>
        </w:rPr>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6">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7">
      <w:pPr>
        <w:numPr>
          <w:ilvl w:val="0"/>
          <w:numId w:val="5"/>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8">
      <w:pPr>
        <w:numPr>
          <w:ilvl w:val="0"/>
          <w:numId w:val="5"/>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5"/>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A">
      <w:pPr>
        <w:numPr>
          <w:ilvl w:val="0"/>
          <w:numId w:val="5"/>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5"/>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5"/>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5"/>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0">
      <w:pPr>
        <w:spacing w:after="240" w:before="240" w:lineRule="auto"/>
        <w:rPr>
          <w:b w:val="1"/>
          <w:bCs w:val="1"/>
        </w:rPr>
      </w:pPr>
      <w:r w:rsidDel="00000000" w:rsidR="00000000" w:rsidRPr="00000000">
        <w:rPr>
          <w:rtl w:val="0"/>
        </w:rPr>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D2">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D3">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4">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6">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7">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9">
      <w:pPr>
        <w:spacing w:after="240" w:before="240" w:lineRule="auto"/>
        <w:rPr/>
      </w:pPr>
      <w:r w:rsidDel="00000000" w:rsidR="00000000" w:rsidRPr="00000000">
        <w:rPr>
          <w:rtl w:val="0"/>
        </w:rPr>
        <w:t xml:space="preserve">[Notary Seal]</w:t>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D">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E">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F">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0">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1">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E2">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E3">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E4">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6">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7">
      <w:pPr>
        <w:spacing w:after="240" w:before="240" w:lineRule="auto"/>
        <w:rPr>
          <w:b w:val="1"/>
          <w:bCs w:val="1"/>
        </w:rPr>
      </w:pPr>
      <w:r w:rsidDel="00000000" w:rsidR="00000000" w:rsidRPr="00000000">
        <w:rPr>
          <w:rtl w:val="0"/>
        </w:rPr>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9">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A">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B">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C">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D">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E">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F">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F0">
      <w:pPr>
        <w:spacing w:after="240" w:before="240" w:lineRule="auto"/>
        <w:rPr/>
      </w:pPr>
      <w:r w:rsidDel="00000000" w:rsidR="00000000" w:rsidRPr="00000000">
        <w:rPr>
          <w:rtl w:val="0"/>
        </w:rPr>
        <w:t xml:space="preserve">[Notary Seal]</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4">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5">
      <w:pPr>
        <w:spacing w:after="240" w:before="240" w:lineRule="auto"/>
        <w:rPr>
          <w:b w:val="1"/>
          <w:bCs w:val="1"/>
        </w:rPr>
      </w:pPr>
      <w:r w:rsidDel="00000000" w:rsidR="00000000" w:rsidRPr="00000000">
        <w:rPr>
          <w:rtl w:val="0"/>
        </w:rPr>
      </w:r>
    </w:p>
    <w:p w:rsidR="00000000" w:rsidDel="00000000" w:rsidP="00000000" w:rsidRDefault="00000000" w:rsidRPr="00000000" w14:paraId="000000F6">
      <w:pPr>
        <w:rPr>
          <w:b w:val="1"/>
          <w:bCs w:val="1"/>
          <w:sz w:val="32"/>
          <w:szCs w:val="32"/>
        </w:rPr>
      </w:pPr>
      <w:r w:rsidDel="00000000" w:rsidR="00000000" w:rsidRPr="00000000">
        <w:rPr>
          <w:rtl w:val="0"/>
        </w:rPr>
      </w:r>
    </w:p>
    <w:p w:rsidR="00000000" w:rsidDel="00000000" w:rsidP="00000000" w:rsidRDefault="00000000" w:rsidRPr="00000000" w14:paraId="000000F7">
      <w:pPr>
        <w:spacing w:after="240" w:before="240" w:lineRule="auto"/>
        <w:rPr>
          <w:b w:val="1"/>
          <w:bCs w:val="1"/>
        </w:rPr>
      </w:pPr>
      <w:r w:rsidDel="00000000" w:rsidR="00000000" w:rsidRPr="00000000">
        <w:rPr>
          <w:rtl w:val="0"/>
        </w:rPr>
      </w:r>
    </w:p>
    <w:p w:rsidR="00000000" w:rsidDel="00000000" w:rsidP="00000000" w:rsidRDefault="00000000" w:rsidRPr="00000000" w14:paraId="000000F8">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