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CALIFORNIA PRENUPTIAL AGREEMENT</w:t>
      </w:r>
    </w:p>
    <w:p w:rsidR="00000000" w:rsidDel="00000000" w:rsidP="00000000" w:rsidRDefault="00000000" w:rsidRPr="00000000" w14:paraId="00000002">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 Party A [woman], residing at [Address], and </w:t>
      </w:r>
    </w:p>
    <w:p w:rsidR="00000000" w:rsidDel="00000000" w:rsidP="00000000" w:rsidRDefault="00000000" w:rsidRPr="00000000" w14:paraId="00000003">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 </w:t>
      </w:r>
    </w:p>
    <w:p w:rsidR="00000000" w:rsidDel="00000000" w:rsidP="00000000" w:rsidRDefault="00000000" w:rsidRPr="00000000" w14:paraId="00000004">
      <w:pPr>
        <w:spacing w:after="0" w:before="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RECITALS</w:t>
      </w:r>
    </w:p>
    <w:p w:rsidR="00000000" w:rsidDel="00000000" w:rsidP="00000000" w:rsidRDefault="00000000" w:rsidRPr="00000000" w14:paraId="0000000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California and intend for it to be legally binding and enforceable;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 DEFINITIONS</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Separate Property: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and earnings (notwithstanding Fam. Code § 760, with the Parties expressly opting out of community treatment of all earnings during marriage as permitted by Fam. Code § 1612(a)(2)), gifts, inheritances, digital assets (cryptocurrency, NFTs, digital wallets, online accounts), intellectual property (patents, copyrights, source code, websites whether active or dormant), and all appreciation, growth, income, returns, and future development or commercialization thereof. </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Joint Property: Property, assets, and debts titled in both Parties' names jointly and acquired during marriage with joint funds.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Separate Debts: Debts incurred by either Party in their individual name.</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Joint Debts: Debts incurred jointly by both Parties in both their names during marriage.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Alimony/Spousal Support: Financial support paid by one Party to the other after separation, divorce, or dissolution, as specified in this Agreement.</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 SEPARATE PROPERTY</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Ownership and Control: Each Party retains sole and exclusive ownership, control, and management of their separate property as defined in Section 1.1.</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No Marital Claims: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Right of Disposition: Each Party may dispose of their separate property by sale, gift, will, trust, or otherwise, without the consent or approval of the other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Separate Debt Responsibility: Each Party is solely responsible for their separate debts and shall indemnify and hold harmless the other Party from any liability arising from such separate debts.</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Commingling Protection: If separate property becomes commingled with joint property, the contributing Party retains their ownership interest, provided records exist sufficient to trace the separate contribution by a preponderance of the evidence, consistent with California tracing principles. </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No Transmutation: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Business Interests During Marriage: Separate business interests remain entirely separate property regardless of either Party's involvement during marriage. The Parties expressly waive any </w:t>
      </w:r>
      <w:r w:rsidDel="00000000" w:rsidR="00000000" w:rsidRPr="00000000">
        <w:rPr>
          <w:rFonts w:ascii="Roboto" w:cs="Roboto" w:eastAsia="Roboto" w:hAnsi="Roboto"/>
          <w:i w:val="1"/>
          <w:iCs w:val="1"/>
          <w:sz w:val="24"/>
          <w:szCs w:val="24"/>
          <w:rtl w:val="0"/>
        </w:rPr>
        <w:t xml:space="preserve">Pereira</w:t>
      </w:r>
      <w:r w:rsidDel="00000000" w:rsidR="00000000" w:rsidRPr="00000000">
        <w:rPr>
          <w:rFonts w:ascii="Roboto" w:cs="Roboto" w:eastAsia="Roboto" w:hAnsi="Roboto"/>
          <w:sz w:val="24"/>
          <w:szCs w:val="24"/>
          <w:rtl w:val="0"/>
        </w:rPr>
        <w:t xml:space="preserve">/</w:t>
      </w:r>
      <w:r w:rsidDel="00000000" w:rsidR="00000000" w:rsidRPr="00000000">
        <w:rPr>
          <w:rFonts w:ascii="Roboto" w:cs="Roboto" w:eastAsia="Roboto" w:hAnsi="Roboto"/>
          <w:i w:val="1"/>
          <w:iCs w:val="1"/>
          <w:sz w:val="24"/>
          <w:szCs w:val="24"/>
          <w:rtl w:val="0"/>
        </w:rPr>
        <w:t xml:space="preserve">Van Camp</w:t>
      </w:r>
      <w:r w:rsidDel="00000000" w:rsidR="00000000" w:rsidRPr="00000000">
        <w:rPr>
          <w:rFonts w:ascii="Roboto" w:cs="Roboto" w:eastAsia="Roboto" w:hAnsi="Roboto"/>
          <w:sz w:val="24"/>
          <w:szCs w:val="24"/>
          <w:rtl w:val="0"/>
        </w:rPr>
        <w:t xml:space="preserve"> apportionment of business growth, goodwill, retained earnings, salary, or appreciation attributable to either Party's time, effort, or skill during marriage. All income, distributions, salary, and value generated by a separate-property business — including amounts paid to either Party for services rendered to that business — remain the separate property of the owner. No marital claim arises from business operations, growth, salary, or increased value during marriage.  </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Trust Asset Protection: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2.9 Retirement Account Protection: All retirement accounts (401k, IRA, pension, deferred compensation) remain entirely separate property. Each Party acknowledges that ERISA-governed plan waivers must be re-executed post-marriage on plan-specific forms (29 U.S.C. § 1055) and agrees to execute any such waiver, spousal consent, beneficiary designation, or QDRO within 30 days of the other's written request. Section 6.4 governs enforcement. </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 JOINT PROPERTY</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Joint Property Assets: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Joint Property Division: Upon separation, divorce, or dissolution, joint property shall be divided equally (50/50) between the Parties.</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Joint Debts: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Joint Residence - Proportional Interest: If the Parties jointly purchase a residence during marriage: (a) Each Party's ownership percentage equals: (Their total contributions ÷ Combined contributions of both Parties) × 100; (b) Records shall be maintained to document each Party's contributions; (c) This proportional interest supersedes any presumption of equal ownership for jointly-titled property under Fam. Code § 2581. </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Joint Residence - Dissolution Rights: Upon separation, divorce, or dissolution: (a) Either Party may elect to purchase the other's proportional share at fair market value determined by: (i) mutual agreement within 30 days; (ii) if no agreement, the average of two certified appraisals by California-licensed appraisers (one selected by each Party); or (iii) if the two appraisals differ by more than 20%, a third appraisal by a mutually-selected California-licensed appraiser, with FMV equal to the average of the two closest values; (b) The purchasing Party must obtain financing in their sole name and complete the buyout within 120 days of election; (c) If no buyout election is made or completed within 120 days, the residence shall be sold with net proceeds distributed according to each Party's proportional share. </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Separate Property Exclusion: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 ALIMONY/SPOUSAL SUPPORT</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General Waiver: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Uniform Application: Section 4 terms apply at all stages (temporary, pendente lite, interim, final, post-judgment). Under </w:t>
      </w:r>
      <w:r w:rsidDel="00000000" w:rsidR="00000000" w:rsidRPr="00000000">
        <w:rPr>
          <w:rFonts w:ascii="Roboto" w:cs="Roboto" w:eastAsia="Roboto" w:hAnsi="Roboto"/>
          <w:i w:val="1"/>
          <w:iCs w:val="1"/>
          <w:sz w:val="24"/>
          <w:szCs w:val="24"/>
          <w:rtl w:val="0"/>
        </w:rPr>
        <w:t xml:space="preserve">Last v. Superior Court</w:t>
      </w:r>
      <w:r w:rsidDel="00000000" w:rsidR="00000000" w:rsidRPr="00000000">
        <w:rPr>
          <w:rFonts w:ascii="Roboto" w:cs="Roboto" w:eastAsia="Roboto" w:hAnsi="Roboto"/>
          <w:sz w:val="24"/>
          <w:szCs w:val="24"/>
          <w:rtl w:val="0"/>
        </w:rPr>
        <w:t xml:space="preserve"> (2023) 94 Cal.App.5th 30, a court may order temporary support before adjudicating this Agreement; any excess paid shall be credited or reimbursed to payor within 30 days of upholding. </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Children of the Marriage Definition: "Children of the Marriage" means biological children of both Parties (including IVF) and children jointly adopted during the marriage. </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Employment Reduction: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Net Income Definition: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Support Calculation: Monthly spousal support shall equal the following percentage of payor's net income, reduced by 25% of recipient's net income. California's guideline temporary support formula is 40% of payor's net minus 50% of recipient's net. </w:t>
      </w:r>
      <w:r w:rsidDel="00000000" w:rsidR="00000000" w:rsidRPr="00000000">
        <w:rPr>
          <w:rFonts w:ascii="Roboto" w:cs="Roboto" w:eastAsia="Roboto" w:hAnsi="Roboto"/>
          <w:i w:val="1"/>
          <w:iCs w:val="1"/>
          <w:sz w:val="24"/>
          <w:szCs w:val="24"/>
          <w:rtl w:val="0"/>
        </w:rPr>
        <w:t xml:space="preserve">In re Marriage of Zucker</w:t>
      </w:r>
      <w:r w:rsidDel="00000000" w:rsidR="00000000" w:rsidRPr="00000000">
        <w:rPr>
          <w:rFonts w:ascii="Roboto" w:cs="Roboto" w:eastAsia="Roboto" w:hAnsi="Roboto"/>
          <w:sz w:val="24"/>
          <w:szCs w:val="24"/>
          <w:rtl w:val="0"/>
        </w:rPr>
        <w:t xml:space="preserve"> (2022) 75 Cal.App.5th 1025 found contract support of ~10% of guideline — roughly 4% of payor's net — unconscionable in a marriage with six children. The tiers below scale with family size for that reason: 8% of payor's net at zero children is 2x Zucker, and 22% at six+ children is 5.5x Zucker. The Parties agree these amounts are conscionable: </w:t>
      </w:r>
    </w:p>
    <w:p w:rsidR="00000000" w:rsidDel="00000000" w:rsidP="00000000" w:rsidRDefault="00000000" w:rsidRPr="00000000" w14:paraId="0000002E">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8% of payor's net income</w:t>
      </w:r>
    </w:p>
    <w:p w:rsidR="00000000" w:rsidDel="00000000" w:rsidP="00000000" w:rsidRDefault="00000000" w:rsidRPr="00000000" w14:paraId="0000002F">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10% of payor's net income</w:t>
      </w:r>
    </w:p>
    <w:p w:rsidR="00000000" w:rsidDel="00000000" w:rsidP="00000000" w:rsidRDefault="00000000" w:rsidRPr="00000000" w14:paraId="00000030">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12% of payor's net income</w:t>
      </w:r>
    </w:p>
    <w:p w:rsidR="00000000" w:rsidDel="00000000" w:rsidP="00000000" w:rsidRDefault="00000000" w:rsidRPr="00000000" w14:paraId="00000031">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14% of payor's net income</w:t>
      </w:r>
    </w:p>
    <w:p w:rsidR="00000000" w:rsidDel="00000000" w:rsidP="00000000" w:rsidRDefault="00000000" w:rsidRPr="00000000" w14:paraId="00000032">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33">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18% of payor's net income</w:t>
      </w:r>
    </w:p>
    <w:p w:rsidR="00000000" w:rsidDel="00000000" w:rsidP="00000000" w:rsidRDefault="00000000" w:rsidRPr="00000000" w14:paraId="00000034">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20% of payor's net income</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support levels constitute a knowing and voluntary agreement appropriately balancing the Parties' respective interests.</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Duration Limits: Support duration shall be calculated as a percentage of marriage length (from date of marriage to date of separation):</w:t>
      </w:r>
    </w:p>
    <w:p w:rsidR="00000000" w:rsidDel="00000000" w:rsidP="00000000" w:rsidRDefault="00000000" w:rsidRPr="00000000" w14:paraId="00000037">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20% of marriage length</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25% of marriage length</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30% of marriage length</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35% of marriage length</w:t>
      </w:r>
    </w:p>
    <w:p w:rsidR="00000000" w:rsidDel="00000000" w:rsidP="00000000" w:rsidRDefault="00000000" w:rsidRPr="00000000" w14:paraId="0000003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years: 40% of marriage length</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Hardship Exception: If Sections 4.6 and 4.7 would leave recipient below the greater of (a) 100% of Federal Poverty Level for household size or (b) 30% of the marital standard of living (final three years), support increases to that floor. Increase shall not exceed Section 4.6 amounts by more than 50%, nor extend Section 4.7 duration. </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Reformed Formula Fallback: If Section 4.6 is held unconscionable, support is reformed to 50% of California's then-current guideline temporary formula (currently 40% of payor's net minus 50% of recipient's net), subject to Sections 4.7 and 4.14. </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Income Floor: No support payable if payor's gross annual income is below the greater of: (a) 75% of their gross income in the year prior to executing this Agreement, or (b) 250% of Federal Poverty Level for a single person (illustrative: $31,300 in 2025; current FPL controls). </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Automatic Termination: Support ceases on the earliest of: (a) recipient's remarriage or registered domestic partnership; (b) recipient's cohabitation with a romantic partner for 90+ consecutive days, with cohabitation including shared domestic responsibilities or financial obligations; (c) recipient's death; (d) payor's death; or (e) Section 4.7 duration expiration. The Parties agree this provision constitutes a written agreement under Fam. Code § 4323(a)(1) defining cohabitation's effect on support. </w:t>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No Modification: Modification permitted only if recipient suffers catastrophic disability, terminal illness, or other extraordinary circumstance rendering them permanently unable to work, and only to the minimum needed to reach the Section 4.8 floor. The Parties acknowledge as foreseeable and not grounds for modification: dissolution, workforce departures, income or employment changes, ordinary health changes, economic conditions, and childcare or career decisions by either Party. </w:t>
      </w:r>
    </w:p>
    <w:p w:rsidR="00000000" w:rsidDel="00000000" w:rsidP="00000000" w:rsidRDefault="00000000" w:rsidRPr="00000000" w14:paraId="0000004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Verification: Spousal support tier under Section 4.6 is based on biological and jointly-adopted children of the marriage. Either Party may request genetic testing at their own cost; discovery of non-paternity adjusts the support tier prospectively to the percentage for remaining qualifying children. Child support obligations and any retroactive adjustment for non-paternity are governed exclusively by Family Code §§ 7575 and 7646. </w:t>
      </w:r>
    </w:p>
    <w:p w:rsidR="00000000" w:rsidDel="00000000" w:rsidP="00000000" w:rsidRDefault="00000000" w:rsidRPr="00000000" w14:paraId="0000004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Support Cap: Total lifetime support shall not exceed the LESSER of: (a) The amounts calculated under Sections 4.6 and 4.7; or (b) Payor's average annual net income multiplied by:</w:t>
      </w:r>
    </w:p>
    <w:p w:rsidR="00000000" w:rsidDel="00000000" w:rsidP="00000000" w:rsidRDefault="00000000" w:rsidRPr="00000000" w14:paraId="00000043">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&lt;15 years: 100%</w:t>
      </w:r>
    </w:p>
    <w:p w:rsidR="00000000" w:rsidDel="00000000" w:rsidP="00000000" w:rsidRDefault="00000000" w:rsidRPr="00000000" w14:paraId="00000044">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15-25 years: 150%</w:t>
      </w:r>
    </w:p>
    <w:p w:rsidR="00000000" w:rsidDel="00000000" w:rsidP="00000000" w:rsidRDefault="00000000" w:rsidRPr="00000000" w14:paraId="00000045">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Imputation of Income: If recipient voluntarily reduces income or refuses reasonable employment, the court may impute income based on earning capacity, education, and work history for support calculation purposes.</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4.16 No Retroactive Support: Per Fam. Code § 3653(a), retroactive support to date of filing is permitted but capped at Section 4.6 amounts for the retroactive period.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 LIFESTYLE CLAUSES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clauses in this Section 5 are aspirational statements of the Parties' shared values and intentions. They are expressly non-binding, create no contractual rights or obligations, and are not enforceable in court, arbitration, or mediation. No breach of Section 5 affects any other provision of this Agreement.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Shared Responsibilities: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Workforce Commitment: Both Parties value financial independence and shared economic contribution. During marriage, the Parties aspire to maintain workforce participation while accommodating for any childcare-related career breaks. 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 Conflict Resolution and Family Preservation: (a) In case of marital difficulties, both Parties commit to preserving family unity through creative living arrangements if necessary (separate bedrooms, nearby homes, etc.); (b) Both Parties agree to speak respectfully about each other publicly and privately; (c) Both Parties commit to prioritizing their children's relationships with both parents regardless of marital status.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 INHERITANCE AND ESTATE RIGHTS WAIVER</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Complete Inheritance Waiver: Each Party waives all rights to inherit from the other's estate, including spousal election rights, omitted spouse rights under Probate Code §§ 21610-21612, homestead allowances, family allowances, intestate share, and other statutory inheritance rights under California law. This waiver satisfies the requirements of Probate Code §§ 140-147 and is supported by the financial disclosure in Exhibits A and B, or by the knowing waiver of disclosure in Section 12. </w:t>
      </w:r>
    </w:p>
    <w:p w:rsidR="00000000" w:rsidDel="00000000" w:rsidP="00000000" w:rsidRDefault="00000000" w:rsidRPr="00000000" w14:paraId="0000005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Estate Planning Consistency: If either Party executes a will or estate planning documents, such documents shall be consistent with this Agreement's inheritance waivers.</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Binding Waiver: These inheritance waivers remain in effect regardless of changes in circumstances, domicile, or law.</w:t>
      </w:r>
    </w:p>
    <w:p w:rsidR="00000000" w:rsidDel="00000000" w:rsidP="00000000" w:rsidRDefault="00000000" w:rsidRPr="00000000" w14:paraId="0000005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ERISA Retirement Rights: ERISA-governed retirement plans pass to the plan holder's designated beneficiaries, and federal law requires spousal rights to be waived on each plan's forms after marriage. Each Party shall execute any such waiver, spousal consent, or beneficiary designation within thirty (30) days of the other's written request. Failure to execute within thirty (30) days is a material breach entitling the requesting Party to (a) specific performance, (b) actual damages, including the value of any retirement benefits the requesting Party loses or is forced to share due to the breach, and (c) reasonable attorney fees and costs incurred in compelling compliance. </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 FINANCIAL CHANGES DURING MARRIAGE</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Binding Regardless of Changes: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No Implied Modifications: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Commitment to Terms: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 DISPUTE RESOLUTION AND ATTORNEY FEES</w:t>
      </w:r>
    </w:p>
    <w:p w:rsidR="00000000" w:rsidDel="00000000" w:rsidP="00000000" w:rsidRDefault="00000000" w:rsidRPr="00000000" w14:paraId="0000005B">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 Mandatory Mediation: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Extended Mediation Cost-Sharing: For mediation continuing beyond 60 days, costs shall be shared equally regardless of outcome.</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Optional Arbitration: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Arbitration Costs: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Legal Representation Fund: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brought a bad-faith challenge under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Court Litigation - Limited Circumstances: Court proceedings are permitted to: (a) determine the validity or enforceability of this Agreement under Family Code § 1615; (b) compel participation in mediation or arbitration of issues not subject to § 1615 review; (c) enforce an arbitration award; or (d) seek emergency relief where irreparable harm would occur. Disputes over the meaning or application of valid provisions go to arbitration; disputes over validity itself go to court. </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Frivolous Challenge Penalty: A Party who challenges this Agreement's validity in court in bad faith — meaning without a good-faith basis in fact or law — shall reimburse the other Party's reasonable attorney fees and costs. A good-faith challenge under Family Code § 1615 does not trigger this provision, even if unsuccessful. </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Prevailing Party Attorney Fees: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Waiver of Jury Trial: Both Parties waive their right to a jury trial for any dispute relating to this Agreement.</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Settlement Incentives: Any dispute resolved within 30 days of initial filing pays no attorney fees beyond those advanced under § 8.5 (which remain subject to the reimbursement and forgiveness terms of that section). Either Party may request one 30-day suspension of proceedings for reflection and consultation. </w:t>
      </w:r>
    </w:p>
    <w:p w:rsidR="00000000" w:rsidDel="00000000" w:rsidP="00000000" w:rsidRDefault="00000000" w:rsidRPr="00000000" w14:paraId="0000006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Confidentiality of Proceedings: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 LANGUAGE COMPREHENSION</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English Language Agreement: This Agreement is written in English. Each Party acknowledges they have read, understood, and voluntarily agreed to all terms herein.</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Non-Native Speaker Protections: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Waiver of Language Claims: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Translation Available: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 PRIVACY AND CONFIDENTIALITY</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Confidentiality Obligations: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Respectful Communication: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Commercial Exploitation Prohibition: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Enforcement and Penalties: Upon breach, the non-breaching Party may offset liquidated damages against obligations owed or pursue collection directly: (a) injunctive relief; (b) general privacy violations: the greater of $4,000 or 1% of breaching Party's annual income, capped at $25,000 per breach; (c) children-related violations: the greater of $4,000 or 1% of breaching Party's annual income, capped at $25,000 per breach; (d) commercial exploitation or willful breaches: the greatest of disgorgement of profits, actual damages, $20,000, or 4% of breaching Party's annual income; (e) attorney fees paid by breaching Party. The Parties stipulate these amounts are a reasonable forecast of actual damages under Civ. Code § 1671, which are inherently difficult to calculate, and are not a penalty.  </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Binding Nature: All obligations under this Section 10 survive marriage termination for the lifetime of both Parties. </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Exceptions: Disclosure permitted when required by law, court order, necessary to protect children from harm, or required for legitimate legal proceedings.</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FINANCIAL DISCLOSURE AND DISCOVERY WAIVER</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Complete Financial Disclosure: Each Party has provided complete and accurate financial disclosure through the Asset and Liability Disclosure Schedules attached as Exhibits A and B, which include:</w:t>
      </w:r>
    </w:p>
    <w:p w:rsidR="00000000" w:rsidDel="00000000" w:rsidP="00000000" w:rsidRDefault="00000000" w:rsidRPr="00000000" w14:paraId="00000077">
      <w:pPr>
        <w:numPr>
          <w:ilvl w:val="0"/>
          <w:numId w:val="7"/>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Income Documentation: Federal and state tax returns for the preceding two years and most recent pay stub.</w:t>
      </w:r>
    </w:p>
    <w:p w:rsidR="00000000" w:rsidDel="00000000" w:rsidP="00000000" w:rsidRDefault="00000000" w:rsidRPr="00000000" w14:paraId="00000078">
      <w:pPr>
        <w:numPr>
          <w:ilvl w:val="0"/>
          <w:numId w:val="7"/>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Assets: All real property, business interests, investment accounts, cryptocurrency holdings, intellectual property, and other assets with values exceeding the greater of (a) $10,000, or (b) 1% of the disclosing Party's total assets. </w:t>
      </w:r>
    </w:p>
    <w:p w:rsidR="00000000" w:rsidDel="00000000" w:rsidP="00000000" w:rsidRDefault="00000000" w:rsidRPr="00000000" w14:paraId="00000079">
      <w:pPr>
        <w:numPr>
          <w:ilvl w:val="0"/>
          <w:numId w:val="7"/>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Liabilities: All outstanding debts exceeding the greater of (a) $5,000, or (b) 1% of the disclosing Party's total assets. </w:t>
      </w:r>
    </w:p>
    <w:p w:rsidR="00000000" w:rsidDel="00000000" w:rsidP="00000000" w:rsidRDefault="00000000" w:rsidRPr="00000000" w14:paraId="0000007A">
      <w:pPr>
        <w:numPr>
          <w:ilvl w:val="0"/>
          <w:numId w:val="7"/>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Net Worth Statement: Executed declaration summarizing total assets and liabilities.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Party certifies this disclosure is complete and accurate as of the execution date. The Parties acknowledge that material omissions or misrepresentations may render this Agreement unenforceable.</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Reliance and Acknowledgement: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Discovery Waiver: Parties waive all traditional discovery. Verification limited to joint retention of a single forensic accountant to confirm existence of assets listed in Exhibits A and B within 30 days of filing. No investigation of unlisted assets is permitted absent prima facie evidence of intentional concealment exceeding the lesser of (a) $250,000, or (b) 10% of the concealing Party's disclosed net worth. Parties split accountant costs equally. </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COMPREHENSIVE FINANCIAL DISCLOSURE WAIVER</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Knowing and Voluntary Waiver: Each Party expressly, knowingly, and voluntarily waives all rights to further disclosure under California Family Code § 1615(a)(2)(B) and any other legal principle requiring disclosure beyond what is set forth in Exhibits A and B. This written waiver independently satisfies the statutory requirement; the Exhibits and this waiver operate as independent, alternative bases for enforceability. </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Independent Enforceability: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Voluntary Relinquishment: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Irrevocable Future Claims Waiver: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Counsel Acknowledgement: Each Party acknowledges independent counsel advisement regarding this waiver's significance.</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 OPTIONAL PRE-MARRIAGE ASSET UPDATE</w:t>
      </w:r>
    </w:p>
    <w:p w:rsidR="00000000" w:rsidDel="00000000" w:rsidP="00000000" w:rsidRDefault="00000000" w:rsidRPr="00000000" w14:paraId="00000087">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Recommended Update: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8">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Reaffirmation: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9">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No Effect on Enforceability: The exchange of updated schedules is recommended practice only. Failure to exchange updated schedules, or to execute any reaffirmation, shall not invalidate, modify, or affect the enforceability of this Agreement in any respect, consistent with § 14 of this Agreement. The disclosures in Exhibits A and B as of the execution date remain the operative disclosures for all purposes, including for purposes of Family Code § 1615(a)(2)(A). </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ASSET CHANGES AND CONTINUED VALIDITY</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Primary Enforceability: This Agreement remains valid regardless of post-execution changes in assets, income, or net worth, whether disclosed or undisclosed.</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Challenge Waiver: Each Party waives challenges based on post-execution asset changes, market fluctuations, or failure to disclose ordinary-course changes. This waiver does not apply to claims of intentional fraud or willful concealment, which remain actionable as provided by California law. </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Time-Independent Validity: Enforceability does not depend on timing between execution and marriage or compliance with update requirements.</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INDEPENDENT LEGAL COUNSEL</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Opportunity for Counsel: Each Party was represented by independent legal counsel, with their name and bar numbers in the execution block. Both parties acknowledge their counsel reviewed all provisions including spousal support waivers.</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Voluntary Execution: Each Party enters into this Agreement voluntarily, without coercion, duress, or undue influence, after adequate time for review and consultation.</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Waiver of Counsel: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 GOVERNING LAW AND ENFORCEABILITY</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California Law: This Agreement is governed by California law as of execution date, including California Family Code §§1600-1617, California Probate Code provisions regarding spousal rights, and applicable California case law precedent, regardless of domicile or asset location. Future law amendments reducing enforceability shall not apply retroactively.</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Jurisdiction: Each Party submits to California jurisdiction for any dispute arising under this Agreement and waives forum non conveniens defenses. Judgments inconsistent with this Agreement are void to the extent California law permits. </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Validity: This Agreement is presumed valid; the Party challenging enforceability bears the burden of proof under Family Code § 1615. Neither Party may initiate proceedings concerning this Agreement in any jurisdiction other than California. </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 MODIFICATION AND FINALITY</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Entire Agreement: This Agreement constitutes the entire binding understanding between the Parties regarding the subject matter hereof and supersedes all prior agreements, understandings, or representations, whether written or oral. Section 5 (Lifestyle Clauses) sets forth non-binding aspirations only and does not create contractual rights or obligations. </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Modification Requirements: This Agreement may be amended only by a written instrument that (a) is presented in final form to the other Party at least 30 days before execution; (b) is signed by both Parties before a notary public; and (c) is accompanied by written acknowledgment from each Party's independent counsel confirming review of the modification and the client's understanding of its terms and legal effect. The Parties intend these requirements to exceed the minimum required by Family Code § 1614 and to apply to any amendment of this Agreement. </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No Oral Modifications: No oral agreements, representations, or modifications shall be binding.</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 SEVERABILITY</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Severance of Invalid Provisions: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Replacement Provision: Any severed provision shall be reformed to nearest valid equivalent reflecting the original intent of the Parties.</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Intent: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 EFFECTIVE DATE AND TIMING</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Effective Date: This Agreement shall become effective immediately upon the marriage of the Parties.</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Ideal Timeline: Sign the premarital agreement before proposing, then update disclosures 30-90 days before the wedding. This ensures informed engagement decisions and keeps legal matters separate from wedding planning.</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Alternative Timeline: If signed after proposal,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Advisory Nature: These recommendations enhance enforceability but are not validity requirements.</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Seven-Day Review: Each Party received this final Agreement on [date], at least seven (7) calendar days before execution, as required by Family Code § 1615(c)(2)(B). Proof of delivery is attached as Exhibit C and consists of [dated email, signed receipt, or other contemporaneous record]. No substantive changes have been made during the seven-day period; the Parties acknowledge that any substantive change would restart the seven-day clock under § 1615(c)(2)(B). </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 COMPREHENSIVE ACKNOWLEDGMENTS</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Informed Voluntary Agreement: Each Party enters this Agreement freely and voluntarily, with complete understanding of its terms, legal effects, and binding nature.</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Financial Disclosure Confirmation: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Legal Counsel Confirmation: Each Party confirms they were advised to obtain independent legal counsel and provided sufficient time for consultation.</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Maximum Statutory Waiver: Each Party understands they are waiving all statutory rights to property division, spousal support, inheritance claims, and any other marital rights to the fullest extent permitted under California Family Code §§1600-1617.</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Comprehensive Future Waiver: Each Party irrevocably waives any future claim of: (a) lack of understanding; (b) inadequate disclosure beyond claims of intentional fraud; (c) duress, coercion, or undue influence; (d) retention of rights beyond those expressly preserved herein; or (e) any other challenge to this Agreement's validity or enforceability, except as required by Family Code § 1615 and California public policy. </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20.6 California-Specific Acknowledgments: Each Party specifically acknowledges:</w:t>
      </w:r>
    </w:p>
    <w:p w:rsidR="00000000" w:rsidDel="00000000" w:rsidP="00000000" w:rsidRDefault="00000000" w:rsidRPr="00000000" w14:paraId="000000B2">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Receipt of final agreement at least 7 days before signing per Family Code § 1615(c)(2)(B)</w:t>
      </w:r>
    </w:p>
    <w:p w:rsidR="00000000" w:rsidDel="00000000" w:rsidP="00000000" w:rsidRDefault="00000000" w:rsidRPr="00000000" w14:paraId="000000B3">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Understanding of California community property laws being modified by this Agreement</w:t>
      </w:r>
    </w:p>
    <w:p w:rsidR="00000000" w:rsidDel="00000000" w:rsidP="00000000" w:rsidRDefault="00000000" w:rsidRPr="00000000" w14:paraId="000000B4">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Review of California Family Code §§ 1610-1617</w:t>
      </w:r>
    </w:p>
    <w:p w:rsidR="00000000" w:rsidDel="00000000" w:rsidP="00000000" w:rsidRDefault="00000000" w:rsidRPr="00000000" w14:paraId="000000B5">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Full financial disclosure per California requirements, or knowing waiver thereof per Section 12</w:t>
      </w:r>
    </w:p>
    <w:p w:rsidR="00000000" w:rsidDel="00000000" w:rsidP="00000000" w:rsidRDefault="00000000" w:rsidRPr="00000000" w14:paraId="000000B6">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Understanding that spousal support provisions require independent counsel</w:t>
      </w:r>
    </w:p>
    <w:p w:rsidR="00000000" w:rsidDel="00000000" w:rsidP="00000000" w:rsidRDefault="00000000" w:rsidRPr="00000000" w14:paraId="000000B7">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Acknowledgment that Family Code § 721 fiduciary duties apply during marriage to inter-spousal transactions and are not waived by this Agreement</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BF">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2">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3">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4">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5">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6">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7">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8">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CD">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9">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D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B">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C">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DD">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DE">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DF">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2">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4">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0">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1">
      <w:pPr>
        <w:spacing w:line="240" w:lineRule="auto"/>
        <w:rPr>
          <w:rFonts w:ascii="Roboto" w:cs="Roboto" w:eastAsia="Roboto" w:hAnsi="Roboto"/>
          <w:b w:val="1"/>
          <w:bCs w:val="1"/>
          <w:sz w:val="32"/>
          <w:szCs w:val="32"/>
        </w:rPr>
      </w:pPr>
      <w:r w:rsidDel="00000000" w:rsidR="00000000" w:rsidRPr="00000000">
        <w:rPr>
          <w:rtl w:val="0"/>
        </w:rPr>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3">
      <w:pPr>
        <w:spacing w:line="240" w:lineRule="auto"/>
        <w:rPr>
          <w:rFonts w:ascii="Roboto" w:cs="Roboto" w:eastAsia="Roboto" w:hAnsi="Roboto"/>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tabs>
        <w:tab w:val="center" w:leader="none" w:pos="4680"/>
        <w:tab w:val="right" w:leader="none" w:pos="9360"/>
      </w:tabs>
      <w:spacing w:after="0" w:line="240" w:lineRule="auto"/>
      <w:jc w:val="center"/>
      <w:rPr/>
    </w:pPr>
    <w:r w:rsidDel="00000000" w:rsidR="00000000" w:rsidRPr="00000000">
      <w:rPr>
        <w:rtl w:val="0"/>
      </w:rPr>
      <w:t xml:space="preserve">© 2026 PerfectPrenup.io. All rights reserved.</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