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CONNECTICUT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Connecticut and intend for it to be legally binding and enforceable pursuant to the Connecticut Premarital Agreement Act (CGS §§ 46b-36a to 46b-36j);</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whether before or during the marriage, are deemed separate property by contract pursuant to this Agreement and C.G.S. § 46b-36d. Separate property includes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 The Parties expressly contract around any default rule under C.G.S. § 46b-81 that would otherwise classify income or appreciation as marital. </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controls over any default rule under C.G.S. § 46b-81 that would otherwise treat the residence as equally owned by virtue of joint title. </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Modified Support Framework</w:t>
      </w:r>
      <w:r w:rsidDel="00000000" w:rsidR="00000000" w:rsidRPr="00000000">
        <w:rPr>
          <w:rFonts w:ascii="Roboto" w:cs="Roboto" w:eastAsia="Roboto" w:hAnsi="Roboto"/>
          <w:sz w:val="24"/>
          <w:szCs w:val="24"/>
          <w:rtl w:val="0"/>
        </w:rPr>
        <w:t xml:space="preserve">: The Parties acknowledge Connecticut courts have enforced complete alimony waivers in voluntarily signed prenups with full disclosure. See Beyor v. Beyor, 158 Conn. App. 752 (2015); Grabe v. Hokin, 341 Conn. 360 (2021); Friezo v. Friezo, 281 Conn. 166 (2007). Section 4 is intentionally more generous than those upheld waivers. </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The Parties acknowledge the court's statutory authority under C.G.S. § 46b-83 to order temporary and pendente lite support during proceedings. Final support shall not exceed Section 4 amounts. Any temporary or pendente lite support paid in excess of the final award under Section 4 shall be credited against future payments or, if no future payments are owed, reimbursed to the payor within 30 days of the Agreement being upheld.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biological or legally adopted children of both Parties, whether conceived through assisted reproductive technology or natural conception.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Payor's net income is the three-year average preceding divorce filing, or the most recent year if lower due to involuntary job loss, disability, or business closure beyond payor's control.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4">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2% of payor's net income</w:t>
      </w:r>
    </w:p>
    <w:p w:rsidR="00000000" w:rsidDel="00000000" w:rsidP="00000000" w:rsidRDefault="00000000" w:rsidRPr="00000000" w14:paraId="00000035">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4%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6%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8%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10%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12% of payor's net income</w:t>
      </w:r>
    </w:p>
    <w:p w:rsidR="00000000" w:rsidDel="00000000" w:rsidP="00000000" w:rsidRDefault="00000000" w:rsidRPr="00000000" w14:paraId="0000003A">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14% of payor's net income</w:t>
      </w:r>
    </w:p>
    <w:p w:rsidR="00000000" w:rsidDel="00000000" w:rsidP="00000000" w:rsidRDefault="00000000" w:rsidRPr="00000000" w14:paraId="0000003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C">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10% of marriage length</w:t>
      </w:r>
    </w:p>
    <w:p w:rsidR="00000000" w:rsidDel="00000000" w:rsidP="00000000" w:rsidRDefault="00000000" w:rsidRPr="00000000" w14:paraId="0000003D">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15% of marriage length</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20%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30%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35% of marriage length</w:t>
      </w:r>
    </w:p>
    <w:p w:rsidR="00000000" w:rsidDel="00000000" w:rsidP="00000000" w:rsidRDefault="00000000" w:rsidRPr="00000000" w14:paraId="0000004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enforcement would render recipient eligible for public assistance under C.G.S. § 46b-36g(b), the court may order the minimum support necessary to avoid eligibility, not to exceed Section 4.6 amounts by more than 50%. </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Sections 4.6 or 4.7 is deemed unconscionable by a court, it shall be reformed to the following percentages of payor's net income, minus 50% of recipient's income. Duration shall be 50% of marriage length. </w:t>
      </w:r>
    </w:p>
    <w:p w:rsidR="00000000" w:rsidDel="00000000" w:rsidP="00000000" w:rsidRDefault="00000000" w:rsidRPr="00000000" w14:paraId="00000044">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6">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payor's gross income the year before this Agreement, or (b) 250% of the Federal Poverty Level for a single person ($39,125 in 2026).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on the earliest of: (a) recipient's remarriage; (b) recipient's cohabitation in a marriage-like relationship — sharing a residence with another adult and dividing financial or domestic responsibilities — for 60+ consecutive days, enforceable under C.G.S. § 46b-86(b); (c) recipient's death; (d) payor's death; or (e) duration expiration under Section 4.7.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No modification absent clear and convincing evidence of extraordinary circumstances not reasonably foreseeable at execution that would render enforcement unconscionable under C.G.S. § 46b-36g(a)(2). The Parties acknowledge as foreseeable: dissolution, income fluctuations, workforce changes, ordinary health changes, market conditions, business performance, birth or adoption of children, caregiving, career sacrifice, and cost-of-living changes. This Section does not limit statutory unconscionability review.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for any child for whom support is sought, at the requesting Party's cost. Confirmed non-paternity terminates spousal support calculated by reference to that child but does not affect support for children already legally adopted by payor.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 </w:t>
      </w:r>
    </w:p>
    <w:p w:rsidR="00000000" w:rsidDel="00000000" w:rsidP="00000000" w:rsidRDefault="00000000" w:rsidRPr="00000000" w14:paraId="0000004C">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60% </w:t>
      </w:r>
    </w:p>
    <w:p w:rsidR="00000000" w:rsidDel="00000000" w:rsidP="00000000" w:rsidRDefault="00000000" w:rsidRPr="00000000" w14:paraId="0000004D">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100% </w:t>
      </w:r>
    </w:p>
    <w:p w:rsidR="00000000" w:rsidDel="00000000" w:rsidP="00000000" w:rsidRDefault="00000000" w:rsidRPr="00000000" w14:paraId="0000004E">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140%</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Per Dan v. Dan, 315 Conn. 1 (2014), an increase in payor's income after divorce filing — including promotions, bonuses, raises, business growth, investment returns, inheritances, gifts, or new employment — does not constitute a substantial change in circumstances under C.G.S. § 46b-86 sufficient to modify support. </w:t>
      </w:r>
    </w:p>
    <w:p w:rsidR="00000000" w:rsidDel="00000000" w:rsidP="00000000" w:rsidRDefault="00000000" w:rsidRPr="00000000" w14:paraId="0000005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following provisions express the Parties' shared values and aspirations for their marriage. The Parties acknowledge that Connecticut courts generally do not enforce lifestyle or behavioral provisions in prenuptial agreements through injunctive relief, but the Parties may invoke these provisions to inform the interpretation of enforceable obligations elsewhere in this Agreement (including without limitation Sections 8, 10, and 17). </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7">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8">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9">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A">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Connecticut General Statutes § 45a-436.</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5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and federal law requires spousal rights to be waived on each plan's forms only after marriage. Each Party shall execute any such waiver, spousal consent, or beneficiary designation within thirty (30) days of the other's written request made after the date of marriage.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6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7.4 </w:t>
      </w:r>
      <w:r w:rsidDel="00000000" w:rsidR="00000000" w:rsidRPr="00000000">
        <w:rPr>
          <w:rFonts w:ascii="Roboto" w:cs="Roboto" w:eastAsia="Roboto" w:hAnsi="Roboto"/>
          <w:b w:val="1"/>
          <w:bCs w:val="1"/>
          <w:sz w:val="24"/>
          <w:szCs w:val="24"/>
          <w:rtl w:val="0"/>
        </w:rPr>
        <w:t xml:space="preserve">Connecticut Dual-Review Acknowledgment</w:t>
      </w:r>
      <w:r w:rsidDel="00000000" w:rsidR="00000000" w:rsidRPr="00000000">
        <w:rPr>
          <w:rFonts w:ascii="Roboto" w:cs="Roboto" w:eastAsia="Roboto" w:hAnsi="Roboto"/>
          <w:sz w:val="24"/>
          <w:szCs w:val="24"/>
          <w:rtl w:val="0"/>
        </w:rPr>
        <w:t xml:space="preserve">: Each Party acknowledges Connecticut law permits courts to review this Agreement for unconscionability both at execution and at enforcement (CGS § 46b-36g(a)(2)). Each Party further acknowledges: </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Changed circumstances during marriage may affect enforceability </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Terms that appear fair now may be deemed unconscionable if circumstances change dramatically </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Each Party has considered potential future scenarios including: illness, disability, career changes, business failures, and childcare responsibilities </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Each Party believes this Agreement is fair and reasonable considering such potential changes </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This Agreement is designed to be enforceable even if circumstances change, but Connecticut courts retain discretion to modify unconscionable provisions</w:t>
      </w:r>
    </w:p>
    <w:p w:rsidR="00000000" w:rsidDel="00000000" w:rsidP="00000000" w:rsidRDefault="00000000" w:rsidRPr="00000000" w14:paraId="0000006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D">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 Arbitration shall not apply to child custody, parenting time, or child support matters, which remain subject to the jurisdiction of the Connecticut Superior Court under C.G.S. §§ 46b-56 and 46b-84. </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1">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If either Party challenges this Agreement's validity and the Agreement is upheld on all material grounds, the prevailing Party may seek reasonable attorney fees, subject to court discretion and only if fee award would not render this Agreement unconscionable.</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If a dispute is resolved within 30 days of initial filing, neither Party may seek attorney fees from the other under Sections 8.7 or 8.8. Either Party may request one 30-day suspension of proceedings for reflection and consultation. </w:t>
      </w:r>
    </w:p>
    <w:p w:rsidR="00000000" w:rsidDel="00000000" w:rsidP="00000000" w:rsidRDefault="00000000" w:rsidRPr="00000000" w14:paraId="00000077">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$2,000 per violation, or 2% of annual household income, whichever is lesser;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$2,000 per violation, or 2% of annual household income, whichever is lesser;</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A">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stipulate these amounts are a reasonable forecast of actual damages, which are inherently difficult to calculate, and are not intended as a penalty. </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Limitation</w:t>
      </w:r>
      <w:r w:rsidDel="00000000" w:rsidR="00000000" w:rsidRPr="00000000">
        <w:rPr>
          <w:rFonts w:ascii="Roboto" w:cs="Roboto" w:eastAsia="Roboto" w:hAnsi="Roboto"/>
          <w:sz w:val="24"/>
          <w:szCs w:val="24"/>
          <w:rtl w:val="0"/>
        </w:rPr>
        <w:t xml:space="preserve">: The Parties acknowledge receipt of fair and reasonable disclosure per C.G.S. § 46b-36g(a)(3) in Exhibits A and B. In proceedings challenging this Agreement, the Parties agree discovery is limited to: (a) execution circumstances (fraud, duress, coercion, incapacity, voluntariness); (b) adequacy of pre-execution disclosure; (c) opportunity for independent counsel; and (d) current financial circumstances solely as relevant to unconscionability review under C.G.S. § 46b-36g(a)(2). Discovery shall proceed by documents and interrogatories only, unless depositions are necessary to resolve a material factual dispute. Any Party seeking discovery beyond Exhibits A and B and the categories above bears all costs absent a court finding of good cause shown by clear and convincing evidence under Practice Book § 25-32. All discovery is confidential and limited to counsel, necessary experts, and the court. </w:t>
      </w:r>
    </w:p>
    <w:p w:rsidR="00000000" w:rsidDel="00000000" w:rsidP="00000000" w:rsidRDefault="00000000" w:rsidRPr="00000000" w14:paraId="0000009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DISCLOSURE ACKNOWLEDGMENT AND VOLUNTARY NATURE</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Receipt and Understanding</w:t>
      </w:r>
      <w:r w:rsidDel="00000000" w:rsidR="00000000" w:rsidRPr="00000000">
        <w:rPr>
          <w:rFonts w:ascii="Roboto" w:cs="Roboto" w:eastAsia="Roboto" w:hAnsi="Roboto"/>
          <w:sz w:val="24"/>
          <w:szCs w:val="24"/>
          <w:rtl w:val="0"/>
        </w:rPr>
        <w:t xml:space="preserve">: Each Party acknowledges receiving the other's financial disclosure before execution, having reasonable opportunity to review, investigate, and seek clarification, and understanding the other Party's approximate financial position. </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Voluntary Agreement Despite Disclosure</w:t>
      </w:r>
      <w:r w:rsidDel="00000000" w:rsidR="00000000" w:rsidRPr="00000000">
        <w:rPr>
          <w:rFonts w:ascii="Roboto" w:cs="Roboto" w:eastAsia="Roboto" w:hAnsi="Roboto"/>
          <w:sz w:val="24"/>
          <w:szCs w:val="24"/>
          <w:rtl w:val="0"/>
        </w:rPr>
        <w:t xml:space="preserve">: Each Party acknowledges this Agreement would remain binding even if the other Party's disclosure contained minor inaccuracies or omissions, provided such disclosure was made in good faith and provided reasonable approximation of financial circumstances. </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Reasonable Reliance</w:t>
      </w:r>
      <w:r w:rsidDel="00000000" w:rsidR="00000000" w:rsidRPr="00000000">
        <w:rPr>
          <w:rFonts w:ascii="Roboto" w:cs="Roboto" w:eastAsia="Roboto" w:hAnsi="Roboto"/>
          <w:sz w:val="24"/>
          <w:szCs w:val="24"/>
          <w:rtl w:val="0"/>
        </w:rPr>
        <w:t xml:space="preserve">: Each Party relied on the other's disclosure in executing this Agreement and believes it reasonably represents the other's financial position as of the disclosure date. </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Connecticut Statutory Compliance</w:t>
      </w:r>
      <w:r w:rsidDel="00000000" w:rsidR="00000000" w:rsidRPr="00000000">
        <w:rPr>
          <w:rFonts w:ascii="Roboto" w:cs="Roboto" w:eastAsia="Roboto" w:hAnsi="Roboto"/>
          <w:sz w:val="24"/>
          <w:szCs w:val="24"/>
          <w:rtl w:val="0"/>
        </w:rPr>
        <w:t xml:space="preserve">: This Section is intended to comply with C.G.S. § 46b-36g(a)(3)'s requirement of "fair and reasonable disclosure" and does not constitute a waiver of disclosure rights, which cannot be waived under Connecticut law. </w:t>
      </w:r>
    </w:p>
    <w:p w:rsidR="00000000" w:rsidDel="00000000" w:rsidP="00000000" w:rsidRDefault="00000000" w:rsidRPr="00000000" w14:paraId="0000009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9A">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C">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were advised to retain independent legal counsel, were provided reasonable opportunity to consult with counsel of their choosing, and were given adequate time (minimum 30 days) to seek such consultation. Each Party either: (a) retained independent counsel who reviewed this Agreement and provided advice; OR (b) voluntarily declined to retain counsel after being advised of the importance of independent legal review.</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declined independent counsel, they executed a separate "Waiver of Independent Counsel" (Exhibit C) acknowledging: (a) they were advised to retain counsel; (b) they understand the benefits of independent legal advice; (c) they voluntarily chose not to retain counsel; and (d) they understand the legal effect and consequences of this Agreement.</w:t>
      </w:r>
    </w:p>
    <w:p w:rsidR="00000000" w:rsidDel="00000000" w:rsidP="00000000" w:rsidRDefault="00000000" w:rsidRPr="00000000" w14:paraId="000000A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Connecticut Law</w:t>
      </w:r>
      <w:r w:rsidDel="00000000" w:rsidR="00000000" w:rsidRPr="00000000">
        <w:rPr>
          <w:rFonts w:ascii="Roboto" w:cs="Roboto" w:eastAsia="Roboto" w:hAnsi="Roboto"/>
          <w:sz w:val="24"/>
          <w:szCs w:val="24"/>
          <w:rtl w:val="0"/>
        </w:rPr>
        <w:t xml:space="preserve">: This Agreement is governed by Connecticut law, specifically the Connecticut Premarital Agreement Act (CGS §§ 46b-36a to 46b-36j), regardless of future domicile or asset location. This Agreement shall be enforced under CGS § 46b-36g.</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Connecticut jurisdiction and waives forum non conveniens defenses. Either Party may alternatively enforce this Agreement in any jurisdiction providing equal or stronger prenuptial protections than Connecticut. Judgments inconsistent with this Agreement are void. </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 — foreign or domestic — to weaken this Agreement's enforcement. Laws may only be invoked to strengthen enforcement beyond Connecticut standards. </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Connecticut. </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B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A">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the Connecticut Premarital Agreement Act (CGS §§ 46b-36a to 46b-36j) and Connecticut General Statutes.</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beyond what is required under C.G.S. § 46b-36g(a)(3); (c) duress, coercion, or undue influence; (d) retention of rights beyond those expressly preserved herein; or (e) any other challenge to this Agreement's validity or enforceability not preserved by statute. Nothing in this Section waives the statutory grounds preserved under C.G.S. § 46b-36g(a), which cannot be waived under Connecticut law. </w:t>
      </w:r>
    </w:p>
    <w:p w:rsidR="00000000" w:rsidDel="00000000" w:rsidP="00000000" w:rsidRDefault="00000000" w:rsidRPr="00000000" w14:paraId="000000C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E">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F">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0">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1">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2">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3">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4">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8">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A">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6">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7">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8">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9">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A">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C">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F0">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F2">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B">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E">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F">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