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DISTRICT OF COLUMBIA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District of Columbia and intend for it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  </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Homemaker/Contribution Waiver</w:t>
      </w:r>
      <w:r w:rsidDel="00000000" w:rsidR="00000000" w:rsidRPr="00000000">
        <w:rPr>
          <w:rFonts w:ascii="Roboto" w:cs="Roboto" w:eastAsia="Roboto" w:hAnsi="Roboto"/>
          <w:sz w:val="24"/>
          <w:szCs w:val="24"/>
          <w:rtl w:val="0"/>
        </w:rPr>
        <w:t xml:space="preserve">. Each Party expressly and reciprocally waives any equitable claim to the other's separate property based on homemaker services, domestic labor, caregiving, career sacrifice, or any other non-financial contribution during marriage, including any claim recognized under Macklin v. Johnson, 268 A.3d 1273 (D.C. 2022). Mortgage paydowns, capital improvements, repairs, and maintenance funded from joint funds during marriage create no ownership interest in the other Party's separate real property; the contributing Party's sole remedy is a dollar-for-dollar reimbursement of documented joint contributions, without interest, appreciation, or equity share. </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2.9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except as required by Section 4.8. Excess temporary support paid during validity challenges shall be credited or reimbursed to payor within 30 days of upholding.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or District of Columbia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1% of payor's net income</w:t>
      </w:r>
    </w:p>
    <w:p w:rsidR="00000000" w:rsidDel="00000000" w:rsidP="00000000" w:rsidRDefault="00000000" w:rsidRPr="00000000" w14:paraId="0000003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3% of payor's net income</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5%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7%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9% of payor's net income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11% of payor's net income</w:t>
      </w:r>
    </w:p>
    <w:p w:rsidR="00000000" w:rsidDel="00000000" w:rsidP="00000000" w:rsidRDefault="00000000" w:rsidRPr="00000000" w14:paraId="0000003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13%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$2,500 per 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3F">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0">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1">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2">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3">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 capped at 8 years total</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Public Assistance Floor (D.C. Code § 46-506(b))</w:t>
      </w:r>
      <w:r w:rsidDel="00000000" w:rsidR="00000000" w:rsidRPr="00000000">
        <w:rPr>
          <w:rFonts w:ascii="Roboto" w:cs="Roboto" w:eastAsia="Roboto" w:hAnsi="Roboto"/>
          <w:sz w:val="24"/>
          <w:szCs w:val="24"/>
          <w:rtl w:val="0"/>
        </w:rPr>
        <w:t xml:space="preserve">: If, and only if, strict application of Sections 4.6 and 4.7 would render recipient eligible for public assistance under a District of Columbia program at the time of separation or marital dissolution, support shall be increased solely to the extent necessary to defeat that eligibility, consistent with D.C. Code § 46-506(b). This is a reformation, not invalidation: the balance of Section 4 remains in full force. Any increase under this Section terminates immediately upon recipient's loss of eligibility. </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6">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5% of payor's net income</w:t>
      </w:r>
    </w:p>
    <w:p w:rsidR="00000000" w:rsidDel="00000000" w:rsidP="00000000" w:rsidRDefault="00000000" w:rsidRPr="00000000" w14:paraId="00000047">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10% of payor's net income</w:t>
      </w:r>
    </w:p>
    <w:p w:rsidR="00000000" w:rsidDel="00000000" w:rsidP="00000000" w:rsidRDefault="00000000" w:rsidRPr="00000000" w14:paraId="00000048">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15% of payor's net income</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250% of the most recent Federal Poverty Level guideline for a single person published by the U.S. Department of Health and Human Services at the time of divorce filing (illustratively, $39,125 in 2026), subject to Section 4.8.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4.7.</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Each Party expressly waives modification of this Section 4, acknowledging as reasonably foreseeable at execution: dissolution, workforce departures, income/employment changes, health issues, economic conditions, and childcare decisions. This waiver is enforceable under D.C. Code §§ 46-503(a)(4) and 46-506, subject only to Section 4.8.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spousal support obligations under this Section 4.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E">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50% </w:t>
      </w:r>
    </w:p>
    <w:p w:rsidR="00000000" w:rsidDel="00000000" w:rsidP="00000000" w:rsidRDefault="00000000" w:rsidRPr="00000000" w14:paraId="0000004F">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75% </w:t>
      </w:r>
    </w:p>
    <w:p w:rsidR="00000000" w:rsidDel="00000000" w:rsidP="00000000" w:rsidRDefault="00000000" w:rsidRPr="00000000" w14:paraId="00000050">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100%</w:t>
      </w:r>
    </w:p>
    <w:p w:rsidR="00000000" w:rsidDel="00000000" w:rsidP="00000000" w:rsidRDefault="00000000" w:rsidRPr="00000000" w14:paraId="00000051">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no event shall this Section 4.14 increase the amount otherwise calculated under Sections 4.6 and 4.7; this Section operates solely as an additional ceiling. </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childcare-related career breaks. Both Parties recognize that maintaining career skills strengthens long-term family financial security. </w:t>
      </w:r>
    </w:p>
    <w:p w:rsidR="00000000" w:rsidDel="00000000" w:rsidP="00000000" w:rsidRDefault="00000000" w:rsidRPr="00000000" w14:paraId="0000005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A">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C">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D">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D.C. Code § 19-113 (spousal election), § 19-101.02 (intestate share), and all other District of Columbia statutory inheritance rights. </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ERISA-governed retirement plans pass to the plan holder's designated beneficiaries, and federal law requires spousal rights to be waived on each plan's forms after marriage. Each Party shall execute any such waiver, spousal consent, or beneficiary designation within thirty (30) days of the other's written request. Failure to execute within thirty (30) days is a material breach entitling the requesting Party to (a) specific performance, (b) actual damages, including the value of any retirement benefits the requesting Party loses or is forced to share due to the breach, and (c) reasonable attorney fees and costs incurred in compelling compliance  </w:t>
      </w:r>
    </w:p>
    <w:p w:rsidR="00000000" w:rsidDel="00000000" w:rsidP="00000000" w:rsidRDefault="00000000" w:rsidRPr="00000000" w14:paraId="0000006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 </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on 30 days' written notice after the initial 60-day period, before a single AAA family-law arbitrator in the District of Columbia, judgment final except for fraud or arbitrator misconduct. The arbitrator shall apply this Agreement's terms as written; consistent with D.C. Code § 46-506(c), unconscionability remains a question of law reserved to the court.  </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 </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7">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stipulate these amounts are a reasonable forecast of actual damages, which are inherently difficult to calculate, and are not intended as a penalty. </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D.C. Code § 46-506(a)(2) and any other legal principle. </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expressly waives all rights to financial disclosure under D.C. Code § 46-506(a)(2)(A)–(C) and acknowledges this written waiver satisfies the disclosure requirements of that subsection irrespective of attached schedules. This waiver does not affect the independent voluntariness requirement of § 46-506(a)(1). </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and (d) insufficient review time. This waiver does not bar a claim of fraud, duress, or incapacity in execution, which each Party expressly retains. </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A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D.C. Law</w:t>
      </w:r>
      <w:r w:rsidDel="00000000" w:rsidR="00000000" w:rsidRPr="00000000">
        <w:rPr>
          <w:rFonts w:ascii="Roboto" w:cs="Roboto" w:eastAsia="Roboto" w:hAnsi="Roboto"/>
          <w:sz w:val="24"/>
          <w:szCs w:val="24"/>
          <w:rtl w:val="0"/>
        </w:rPr>
        <w:t xml:space="preserve">: This Agreement is governed by the law of the District of Columbia, specifically the D.C. Uniform Premarital Agreement Act, D.C. Code §§ 46-501 to 46-510, and controlling D.C. Court of Appeals precedent including Burtoff v. Burtoff, 418 A.2d 1085 (D.C. 1980), Critchell v. Critchell, 746 A.2d 282 (D.C. 2000), Macklin v. Johnson, 268 A.3d 1273 (D.C. 2022), and Simon v. Smith, 273 A.3d 321 (D.C. 2022), regardless of domicile or asset location. The Parties select District of Columbia law as of the execution date to govern the construction of this Agreement, and intend, to the fullest extent permitted by the Contract Clause and applicable limits on retroactive legislation, that later amendments not be applied to impair its enforceability as executed. </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jurisdiction of the Superior Court of the District of Columbia for disputes under this Agreement and waives any forum non conveniens objection to that forum. The Parties intend District of Columbia law to govern enforcement regardless of domicile or asset location.</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select District of Columbia law to govern the construction and enforcement of this Agreement, consistent with D.C. Code § 46-503(a)(7), and intend that no other jurisdiction's law govern its interpretation. </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and a challenging Party bears the burden of proving a statutory basis for non-enforcement under D.C. Code § 46-506. The Parties intend it to be enforced to the fullest extent permitted by District of Columbia law. </w:t>
      </w:r>
    </w:p>
    <w:p w:rsidR="00000000" w:rsidDel="00000000" w:rsidP="00000000" w:rsidRDefault="00000000" w:rsidRPr="00000000" w14:paraId="000000A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Consistent with D.C. Code § 46-505, this Agreement may only be amended or modified by a written instrument signed by both Parties (no consideration required), that additionally: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These requirements apply equally to any amendment of this Section 17.2. </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9">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D.C. Code §§ 46-501 to 46-510 and controlling D.C. case law, subject only to the public-assistance floor of D.C. Code § 46-506(b). </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C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A">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D">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E">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F">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0">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1">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2">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3">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9">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5">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9">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B">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F">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F1">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A">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D">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E">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