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HAWAII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respective assets, liabilities, income, and financial circumstances — including compensation, equity, and ownership interests — as set forth in Exhibits A and B; </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 </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provided this Agreement no fewer than 14 days before execution, which the Parties intend to support voluntariness under the multi-factor test adopted in L.R.O. v. N.D.O., SCWC-19-0000446 (Haw. Nov. 5, 2020), adopting In re Marriage of Bonds, 24 Cal. 4th 1 (2000); </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Hawaii and intend for it to be legally binding and enforceable;</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Limitation:</w:t>
      </w:r>
      <w:r w:rsidDel="00000000" w:rsidR="00000000" w:rsidRPr="00000000">
        <w:rPr>
          <w:rFonts w:ascii="Roboto" w:cs="Roboto" w:eastAsia="Roboto" w:hAnsi="Roboto"/>
          <w:sz w:val="24"/>
          <w:szCs w:val="24"/>
          <w:rtl w:val="0"/>
        </w:rPr>
        <w:t xml:space="preserve"> Both Parties limit, but do not categorically waive, spousal support, in recognition that under </w:t>
      </w:r>
      <w:r w:rsidDel="00000000" w:rsidR="00000000" w:rsidRPr="00000000">
        <w:rPr>
          <w:rFonts w:ascii="Roboto" w:cs="Roboto" w:eastAsia="Roboto" w:hAnsi="Roboto"/>
          <w:i w:val="1"/>
          <w:iCs w:val="1"/>
          <w:sz w:val="24"/>
          <w:szCs w:val="24"/>
          <w:rtl w:val="0"/>
        </w:rPr>
        <w:t xml:space="preserve">Lewis v. Lewis</w:t>
      </w:r>
      <w:r w:rsidDel="00000000" w:rsidR="00000000" w:rsidRPr="00000000">
        <w:rPr>
          <w:rFonts w:ascii="Roboto" w:cs="Roboto" w:eastAsia="Roboto" w:hAnsi="Roboto"/>
          <w:sz w:val="24"/>
          <w:szCs w:val="24"/>
          <w:rtl w:val="0"/>
        </w:rPr>
        <w:t xml:space="preserve">, 69 Haw. 497, 748 P.2d 1362 (1988), Hawaii courts review spousal support provisions for unconscionability at the time of divorce. The amounts and durations in this Section are set at levels the Parties intend to be conscionable both at execution and at dissolution, and to be enforced as written.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 Court's Role Preserved:</w:t>
      </w:r>
      <w:r w:rsidDel="00000000" w:rsidR="00000000" w:rsidRPr="00000000">
        <w:rPr>
          <w:rFonts w:ascii="Roboto" w:cs="Roboto" w:eastAsia="Roboto" w:hAnsi="Roboto"/>
          <w:sz w:val="24"/>
          <w:szCs w:val="24"/>
          <w:rtl w:val="0"/>
        </w:rPr>
        <w:t xml:space="preserve"> Support terms apply at all stages (temporary, pendente lite, interim, final, post-judgment). The Parties acknowledge that under HRS § 572D-6(c) unconscionability is decided by the court as a matter of law, and nothing herein removes that authority. Excess temporary support paid during a validity challenge that is ultimately resolved in the payor's favor shall be credited against, or reimbursed from, future obligations within 60 days.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 and any child both Parties jointly adopt.</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Expectation:</w:t>
      </w:r>
      <w:r w:rsidDel="00000000" w:rsidR="00000000" w:rsidRPr="00000000">
        <w:rPr>
          <w:rFonts w:ascii="Roboto" w:cs="Roboto" w:eastAsia="Roboto" w:hAnsi="Roboto"/>
          <w:sz w:val="24"/>
          <w:szCs w:val="24"/>
          <w:rtl w:val="0"/>
        </w:rPr>
        <w:t xml:space="preserve"> Support reduces by 50% if recipient has not obtained employment (earning at least $30,000 in annual gross income, verified by tax returns, W-2s, or equivalent) within 18 months of divorce, unless recipient is the primary caregiver of a Child of the Marriage under age 4. If recipient voluntarily reduces income or declines reasonable employment, the court may impute income based on earning capacity, education, and work history.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Each Party's net income is the average of that Party's three calendar years preceding the divorce filing; if a Party's most recent year is lower due to involuntary job loss, disability, or business closure beyond that Party's control, that Party's most recent year is used instead. </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spousal support shall equal the following percentage of payor's net income, reduced by 50% of recipient's net income: </w:t>
      </w:r>
    </w:p>
    <w:p w:rsidR="00000000" w:rsidDel="00000000" w:rsidP="00000000" w:rsidRDefault="00000000" w:rsidRPr="00000000" w14:paraId="00000037">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5% of payor's net income</w:t>
      </w:r>
    </w:p>
    <w:p w:rsidR="00000000" w:rsidDel="00000000" w:rsidP="00000000" w:rsidRDefault="00000000" w:rsidRPr="00000000" w14:paraId="00000038">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7% of payor's net income</w:t>
      </w:r>
    </w:p>
    <w:p w:rsidR="00000000" w:rsidDel="00000000" w:rsidP="00000000" w:rsidRDefault="00000000" w:rsidRPr="00000000" w14:paraId="00000039">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9% of payor's net income</w:t>
      </w:r>
    </w:p>
    <w:p w:rsidR="00000000" w:rsidDel="00000000" w:rsidP="00000000" w:rsidRDefault="00000000" w:rsidRPr="00000000" w14:paraId="0000003A">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11% of payor's net income</w:t>
      </w:r>
    </w:p>
    <w:p w:rsidR="00000000" w:rsidDel="00000000" w:rsidP="00000000" w:rsidRDefault="00000000" w:rsidRPr="00000000" w14:paraId="0000003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13% of payor's net income</w:t>
      </w:r>
    </w:p>
    <w:p w:rsidR="00000000" w:rsidDel="00000000" w:rsidP="00000000" w:rsidRDefault="00000000" w:rsidRPr="00000000" w14:paraId="0000003C">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15% of payor's net income</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15% of marriage length</w:t>
      </w:r>
    </w:p>
    <w:p w:rsidR="00000000" w:rsidDel="00000000" w:rsidP="00000000" w:rsidRDefault="00000000" w:rsidRPr="00000000" w14:paraId="0000003F">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20% of marriage length</w:t>
      </w:r>
    </w:p>
    <w:p w:rsidR="00000000" w:rsidDel="00000000" w:rsidP="00000000" w:rsidRDefault="00000000" w:rsidRPr="00000000" w14:paraId="00000040">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25% of marriage length</w:t>
      </w:r>
    </w:p>
    <w:p w:rsidR="00000000" w:rsidDel="00000000" w:rsidP="00000000" w:rsidRDefault="00000000" w:rsidRPr="00000000" w14:paraId="00000041">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30% of marriage length</w:t>
      </w:r>
    </w:p>
    <w:p w:rsidR="00000000" w:rsidDel="00000000" w:rsidP="00000000" w:rsidRDefault="00000000" w:rsidRPr="00000000" w14:paraId="00000042">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years: 35% of marriage length, capped at 10 years total</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Floor:</w:t>
      </w:r>
      <w:r w:rsidDel="00000000" w:rsidR="00000000" w:rsidRPr="00000000">
        <w:rPr>
          <w:rFonts w:ascii="Roboto" w:cs="Roboto" w:eastAsia="Roboto" w:hAnsi="Roboto"/>
          <w:sz w:val="24"/>
          <w:szCs w:val="24"/>
          <w:rtl w:val="0"/>
        </w:rPr>
        <w:t xml:space="preserve"> Notwithstanding any other provision of this Section, if Sections 4.6 and 4.7 would leave recipient's adjusted net income at or below 100% of the Hawaii-adjusted Federal Poverty Level for their household size — the cash-assistance eligibility threshold for TANF/TAONF under HRS Chapter 346 — support shall increase only as necessary to lift recipient just above that threshold, per HRS § 572D-6(b). </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is deemed unconscionable by a court, it shall be reformed to the following percentages of payor's net income, minus 50% of recipient's income:</w:t>
      </w:r>
    </w:p>
    <w:p w:rsidR="00000000" w:rsidDel="00000000" w:rsidP="00000000" w:rsidRDefault="00000000" w:rsidRPr="00000000" w14:paraId="00000045">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6">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7">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is payable if the payor's gross annual income is below the greater of (a) 75% of the payor's gross income in the year before executing this Agreement, or (b) 250% of the Federal Poverty Level for a single person, except that the Section 4.8 floor controls if a limitation would otherwise make recipient eligible for cash assistance.</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90+ consecutive days with shared domestic responsibilities or financial obligations; (c) Recipient's death; (d) Payor's death; or (e) Duration limit expiration under Section 4.7.</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Modification permitted only for catastrophic disability, terminal illness, or other extraordinary circumstances rendering recipient permanently unable to work, and only to extent necessary to prevent destitution. Both parties acknowledge as foreseeable: dissolution, workforce departures, income/employment changes, health issues, economic conditions, and childcare decisions.</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(at payor's cost) of any child counted under Section 4.6. If a child is shown not to be a Child of the Marriage, spousal support is recalculated at the corrected count from commencement, and any overpayment is credited against future spousal support or, if none remains, reimbursed within 60 days. This Section governs spousal support only, not child support.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D">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&lt;15 years: 50%</w:t>
      </w:r>
    </w:p>
    <w:p w:rsidR="00000000" w:rsidDel="00000000" w:rsidP="00000000" w:rsidRDefault="00000000" w:rsidRPr="00000000" w14:paraId="0000004E">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15-25 years: 100%</w:t>
      </w:r>
    </w:p>
    <w:p w:rsidR="00000000" w:rsidDel="00000000" w:rsidP="00000000" w:rsidRDefault="00000000" w:rsidRPr="00000000" w14:paraId="0000004F">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25+ years: 150%</w:t>
      </w:r>
    </w:p>
    <w:p w:rsidR="00000000" w:rsidDel="00000000" w:rsidP="00000000" w:rsidRDefault="00000000" w:rsidRPr="00000000" w14:paraId="0000005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7">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8">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9">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A">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Pursuant to HRS § 560:2-213, each Party waives all rights to the other's estate, including the elective share (HRS § 560:2-202), homestead allowance (§ 560:2-402), exempt property (§ 560:2-403), family allowance (§ 560:2-404), and any other statutory inheritance right under Hawaii law. </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plan survivor rights can be waived only by the participant's spouse after marriage on the plan's required form; this Agreement is not itself such a waiver. Each Party shall execute any required spousal consent or waiver within thirty (30) days of the other's written request. Failure to do so within thirty (30) days is a material breach entitling the requesting Party to specific performance, actual damages including lost retirement benefits, and reasonable attorney fees and costs. </w:t>
      </w:r>
    </w:p>
    <w:p w:rsidR="00000000" w:rsidDel="00000000" w:rsidP="00000000" w:rsidRDefault="00000000" w:rsidRPr="00000000" w14:paraId="0000006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from AAA's family law panel, in the county where the marital residence is located, with judgment final and non-appealable except for fraud or arbitrator misconduct. The arbitrator shall apply this Agreement's terms as written to the fullest extent permitted by HRS Chapter 658A and HRS § 572D-6(c). </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1">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D">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agree to limit discovery to what is reasonably necessary to adjudicate a claim of fraud, duress, incapacity, or unconscionability under HRS § 572D-6, or as otherwise required by law. The Parties waive broader discovery to the fullest extent permitted. </w:t>
      </w:r>
    </w:p>
    <w:p w:rsidR="00000000" w:rsidDel="00000000" w:rsidP="00000000" w:rsidRDefault="00000000" w:rsidRPr="00000000" w14:paraId="0000008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To the extent permitted by HRS § 572D-6(a)(2), and in addition to the full disclosures in Exhibits A and B, each Party voluntarily and in writing waives any right to further disclosure of the other's property or financial obligations beyond what has been provided. </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represents they have adequate knowledge of the other's property and financial obligations, whether through the attached schedules, this waiver, or independent knowledge, satisfying HRS § 572D-6(a)(2)(A)–(C). </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Future Claims:</w:t>
      </w:r>
      <w:r w:rsidDel="00000000" w:rsidR="00000000" w:rsidRPr="00000000">
        <w:rPr>
          <w:rFonts w:ascii="Roboto" w:cs="Roboto" w:eastAsia="Roboto" w:hAnsi="Roboto"/>
          <w:sz w:val="24"/>
          <w:szCs w:val="24"/>
          <w:rtl w:val="0"/>
        </w:rPr>
        <w:t xml:space="preserve"> To the extent permitted by law, each Party waives claims of inadequate disclosure or insufficient review time, acknowledging the disclosures in Exhibits A and B and the time afforded before execution. </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8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9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Hawaii Law:</w:t>
      </w:r>
      <w:r w:rsidDel="00000000" w:rsidR="00000000" w:rsidRPr="00000000">
        <w:rPr>
          <w:rFonts w:ascii="Roboto" w:cs="Roboto" w:eastAsia="Roboto" w:hAnsi="Roboto"/>
          <w:sz w:val="24"/>
          <w:szCs w:val="24"/>
          <w:rtl w:val="0"/>
        </w:rPr>
        <w:t xml:space="preserve"> This Agreement is governed by Hawaii law as of execution date, including HRS Chapter 572D and Hawaii Supreme Court precedent (</w:t>
      </w:r>
      <w:r w:rsidDel="00000000" w:rsidR="00000000" w:rsidRPr="00000000">
        <w:rPr>
          <w:rFonts w:ascii="Roboto" w:cs="Roboto" w:eastAsia="Roboto" w:hAnsi="Roboto"/>
          <w:i w:val="1"/>
          <w:iCs w:val="1"/>
          <w:sz w:val="24"/>
          <w:szCs w:val="24"/>
          <w:rtl w:val="0"/>
        </w:rPr>
        <w:t xml:space="preserve">Lewis v. Lewis</w:t>
      </w:r>
      <w:r w:rsidDel="00000000" w:rsidR="00000000" w:rsidRPr="00000000">
        <w:rPr>
          <w:rFonts w:ascii="Roboto" w:cs="Roboto" w:eastAsia="Roboto" w:hAnsi="Roboto"/>
          <w:sz w:val="24"/>
          <w:szCs w:val="24"/>
          <w:rtl w:val="0"/>
        </w:rPr>
        <w:t xml:space="preserve"> (1988), </w:t>
      </w:r>
      <w:r w:rsidDel="00000000" w:rsidR="00000000" w:rsidRPr="00000000">
        <w:rPr>
          <w:rFonts w:ascii="Roboto" w:cs="Roboto" w:eastAsia="Roboto" w:hAnsi="Roboto"/>
          <w:i w:val="1"/>
          <w:iCs w:val="1"/>
          <w:sz w:val="24"/>
          <w:szCs w:val="24"/>
          <w:rtl w:val="0"/>
        </w:rPr>
        <w:t xml:space="preserve">Balogh v. Balogh</w:t>
      </w:r>
      <w:r w:rsidDel="00000000" w:rsidR="00000000" w:rsidRPr="00000000">
        <w:rPr>
          <w:rFonts w:ascii="Roboto" w:cs="Roboto" w:eastAsia="Roboto" w:hAnsi="Roboto"/>
          <w:sz w:val="24"/>
          <w:szCs w:val="24"/>
          <w:rtl w:val="0"/>
        </w:rPr>
        <w:t xml:space="preserve"> (2014), and </w:t>
      </w:r>
      <w:r w:rsidDel="00000000" w:rsidR="00000000" w:rsidRPr="00000000">
        <w:rPr>
          <w:rFonts w:ascii="Roboto" w:cs="Roboto" w:eastAsia="Roboto" w:hAnsi="Roboto"/>
          <w:i w:val="1"/>
          <w:iCs w:val="1"/>
          <w:sz w:val="24"/>
          <w:szCs w:val="24"/>
          <w:rtl w:val="0"/>
        </w:rPr>
        <w:t xml:space="preserve">L.R.O. v. N.D.O.</w:t>
      </w:r>
      <w:r w:rsidDel="00000000" w:rsidR="00000000" w:rsidRPr="00000000">
        <w:rPr>
          <w:rFonts w:ascii="Roboto" w:cs="Roboto" w:eastAsia="Roboto" w:hAnsi="Roboto"/>
          <w:sz w:val="24"/>
          <w:szCs w:val="24"/>
          <w:rtl w:val="0"/>
        </w:rPr>
        <w:t xml:space="preserve"> (2020)), regardless of domicile or asset location. Future law amendments reducing enforceability shall not apply retroactively. </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jurisdiction of the Hawaii Family Court under HRS § 580-1 as the agreed forum and waives objections based on forum non conveniens. The Parties intend Hawaii law to govern enforcement to the fullest extent Hawaii's choice-of-law rules permit. </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intend Hawaii law to govern this Agreement and to apply uniformly regardless of where enforcement is sought, to the fullest extent Hawaii's choice-of-law rules permit. </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and enforceable, and the Party challenging it bears the burden under HRS § 572D-6. The Parties intend each provision to be enforced to the fullest extent permitted by Hawaii law. </w:t>
      </w:r>
    </w:p>
    <w:p w:rsidR="00000000" w:rsidDel="00000000" w:rsidP="00000000" w:rsidRDefault="00000000" w:rsidRPr="00000000" w14:paraId="000000A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either (i) written acknowledgment from each Party's independent counsel confirming review of the modification and the client's understanding of its terms and legal effect, or (ii) a written waiver of counsel by any unrepresented Party acknowledging the rights being relinquished, consistent with the </w:t>
      </w:r>
      <w:r w:rsidDel="00000000" w:rsidR="00000000" w:rsidRPr="00000000">
        <w:rPr>
          <w:rFonts w:ascii="Roboto" w:cs="Roboto" w:eastAsia="Roboto" w:hAnsi="Roboto"/>
          <w:i w:val="1"/>
          <w:iCs w:val="1"/>
          <w:sz w:val="24"/>
          <w:szCs w:val="24"/>
          <w:rtl w:val="0"/>
        </w:rPr>
        <w:t xml:space="preserve">Bonds</w:t>
      </w:r>
      <w:r w:rsidDel="00000000" w:rsidR="00000000" w:rsidRPr="00000000">
        <w:rPr>
          <w:rFonts w:ascii="Roboto" w:cs="Roboto" w:eastAsia="Roboto" w:hAnsi="Roboto"/>
          <w:sz w:val="24"/>
          <w:szCs w:val="24"/>
          <w:rtl w:val="0"/>
        </w:rPr>
        <w:t xml:space="preserve"> factors adopted in </w:t>
      </w:r>
      <w:r w:rsidDel="00000000" w:rsidR="00000000" w:rsidRPr="00000000">
        <w:rPr>
          <w:rFonts w:ascii="Roboto" w:cs="Roboto" w:eastAsia="Roboto" w:hAnsi="Roboto"/>
          <w:i w:val="1"/>
          <w:iCs w:val="1"/>
          <w:sz w:val="24"/>
          <w:szCs w:val="24"/>
          <w:rtl w:val="0"/>
        </w:rPr>
        <w:t xml:space="preserve">L.R.O. v. N.D.O.</w:t>
      </w:r>
      <w:r w:rsidDel="00000000" w:rsidR="00000000" w:rsidRPr="00000000">
        <w:rPr>
          <w:rFonts w:ascii="Roboto" w:cs="Roboto" w:eastAsia="Roboto" w:hAnsi="Roboto"/>
          <w:sz w:val="24"/>
          <w:szCs w:val="24"/>
          <w:rtl w:val="0"/>
        </w:rPr>
        <w:t xml:space="preserve"> (2020). </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limiting property-division rights under HRS § 580-47 and spousal support under Section 4 of this Agreement, waiving inheritance claims, and relinquishing other marital rights to the fullest extent permitted under Hawaii law. </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to the extent permitted by law, any future claim of: (a) lack of understanding; (b) inadequate disclosure; (c) duress, coercion, or undue influence; or (d) retention of rights beyond those expressly preserved herein. </w:t>
      </w:r>
    </w:p>
    <w:p w:rsidR="00000000" w:rsidDel="00000000" w:rsidP="00000000" w:rsidRDefault="00000000" w:rsidRPr="00000000" w14:paraId="000000B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0">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3">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4">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5">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9">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D">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F">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B">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C">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D">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E">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F">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0">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1">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5">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7">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3">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