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KENTUCKY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to the other of their respective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Kentucky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separate property. Marital claims arise only from: (a) direct documented capital contributions (money, property, or assets transferred to the business), or (b) formal legal co-ownership. Indirect contributions (consultation, advice, support, household management) create no marital interest unless both parties execute a written agreement during marriage specifying the contribution, value, and ownership percentage. Absent such documentation, no marital interest exists.</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Section 4 terms apply uniformly at all stages (temporary, pendente lite, interim, final, post-judgment), with no distinction between temporary and permanent support. The Parties intend Section 4 to govern all support determinations. Excess temporary support paid during validity challenges shall be credited or reimbursed to payor within 30 days of the Agreement being upheld.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children biologically of both Parties, whether conceived naturally or through IVF. For Section 4 spousal support only, any child not biologically payor's is excluded from the count. Payor may require genetic testing at any time at the requesting party's cost; a non-biological child is dropped and support recalculates prospectively. If recipient misrepresented or concealed parentage, payor may also recover the portion of prior support attributable to that child. This affects spousal support only — not child support, custody, or parentage, which a court decides separately under Kentucky law.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4">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4% of payor's net income</w:t>
      </w:r>
    </w:p>
    <w:p w:rsidR="00000000" w:rsidDel="00000000" w:rsidP="00000000" w:rsidRDefault="00000000" w:rsidRPr="00000000" w14:paraId="0000003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6% of payor's net income</w:t>
      </w:r>
    </w:p>
    <w:p w:rsidR="00000000" w:rsidDel="00000000" w:rsidP="00000000" w:rsidRDefault="00000000" w:rsidRPr="00000000" w14:paraId="0000003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8% of payor's net income</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10%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14% of payor's net income</w:t>
      </w:r>
    </w:p>
    <w:p w:rsidR="00000000" w:rsidDel="00000000" w:rsidP="00000000" w:rsidRDefault="00000000" w:rsidRPr="00000000" w14:paraId="0000003A">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16% of payor's net income</w:t>
      </w:r>
    </w:p>
    <w:p w:rsidR="00000000" w:rsidDel="00000000" w:rsidP="00000000" w:rsidRDefault="00000000" w:rsidRPr="00000000" w14:paraId="0000003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$4,000 per month</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D">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3E">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2">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w:t>
      </w:r>
      <w:r w:rsidDel="00000000" w:rsidR="00000000" w:rsidRPr="00000000">
        <w:rPr>
          <w:rFonts w:ascii="Roboto" w:cs="Roboto" w:eastAsia="Roboto" w:hAnsi="Roboto"/>
          <w:b w:val="1"/>
          <w:bCs w:val="1"/>
          <w:sz w:val="24"/>
          <w:szCs w:val="24"/>
          <w:rtl w:val="0"/>
        </w:rPr>
        <w:t xml:space="preserve"> Public-Assistance Floor.</w:t>
      </w:r>
      <w:r w:rsidDel="00000000" w:rsidR="00000000" w:rsidRPr="00000000">
        <w:rPr>
          <w:rFonts w:ascii="Roboto" w:cs="Roboto" w:eastAsia="Roboto" w:hAnsi="Roboto"/>
          <w:sz w:val="24"/>
          <w:szCs w:val="24"/>
          <w:rtl w:val="0"/>
        </w:rPr>
        <w:t xml:space="preserve"> Notwithstanding any other provision of this Section 4 (including Section 4.10), support shall never be reduced below the amount needed to keep recipient ineligible for means-tested public assistance. If Sections 4.6 and 4.7 would leave recipient below 100% of the Federal Poverty Level for recipient's household size (including dependent children), support increases to that threshold. This floor applies regardless of payor's income and survives any challenge to other provisions. </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held unconscionable, it shall be reformed — not discarded — to the following percentages of payor's net income, minus 50% of recipient's net income, which the parties stipulate is fair and reasonable: </w:t>
      </w:r>
    </w:p>
    <w:p w:rsidR="00000000" w:rsidDel="00000000" w:rsidP="00000000" w:rsidRDefault="00000000" w:rsidRPr="00000000" w14:paraId="00000045">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7">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8">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Duration shall be 40% of marriage length. The Section 4.8 floor and Section 4.13 cap continue to apply. If the court declines to apply this fallback, it shall reform the provision to the minimum extent necessary to render it enforceable, consistent with the parties' intent to limit support to the greatest degree Kentucky law allows.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w:t>
      </w:r>
      <w:r w:rsidDel="00000000" w:rsidR="00000000" w:rsidRPr="00000000">
        <w:rPr>
          <w:rFonts w:ascii="Roboto" w:cs="Roboto" w:eastAsia="Roboto" w:hAnsi="Roboto"/>
          <w:b w:val="1"/>
          <w:bCs w:val="1"/>
          <w:sz w:val="24"/>
          <w:szCs w:val="24"/>
          <w:rtl w:val="0"/>
        </w:rPr>
        <w:t xml:space="preserve"> Income Adjustment.</w:t>
      </w:r>
      <w:r w:rsidDel="00000000" w:rsidR="00000000" w:rsidRPr="00000000">
        <w:rPr>
          <w:rFonts w:ascii="Roboto" w:cs="Roboto" w:eastAsia="Roboto" w:hAnsi="Roboto"/>
          <w:sz w:val="24"/>
          <w:szCs w:val="24"/>
          <w:rtl w:val="0"/>
        </w:rPr>
        <w:t xml:space="preserve"> Support under Sections 4.6 and 4.7 abates during any period payor's gross annual income falls below the greater of (a) 75% of payor's gross income the year before execution, or (b) 250% of the Federal Poverty Level for a single person — but never below the Section 4.8 floor.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permanently ceases on the earliest of: (a) recipient's remarriage; (b) recipient's cohabitation with a romantic partner for 90+ consecutive days, where the parties either share household and financial responsibilities or hold themselves out as a couple — excluding mere shared residence with family members or caregivers; (c) recipient's death; (d) payor's death; or (e) expiration of the Section 4.7 duration limit.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absent clear and convincing evidence of circumstances not reasonably foreseeable at execution that would otherwise render a party eligible for means-tested public assistance or unable to meet basic needs. The parties acknowledge as foreseeable, and as non-grounds for modification: dissolution, voluntary or involuntary workforce departures, income or employment changes, health changes, economic conditions, and childcare decisions. Section 4.8 is not waived.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D">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4E">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4F">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increases in payor's income after the divorce filing — including promotions, bonuses, raises, business growth, investment returns, inheritances, gifts, or higher-paying employment. The parties intend that payor's post-filing earnings remain payor's alone and outside any support calculation. </w:t>
      </w:r>
    </w:p>
    <w:p w:rsidR="00000000" w:rsidDel="00000000" w:rsidP="00000000" w:rsidRDefault="00000000" w:rsidRPr="00000000" w14:paraId="0000005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3">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17.</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8">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9">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A">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B">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Kentucky law, including dower and curtesy rights under KRS Chapter 392, homestead allowances under KRS 427.060-427.090, and exempt property allowances under KRS 391.030.</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changed circumstances or domicile, to the fullest extent Kentucky law permits at the time of enforcement. </w:t>
      </w:r>
    </w:p>
    <w:p w:rsidR="00000000" w:rsidDel="00000000" w:rsidP="00000000" w:rsidRDefault="00000000" w:rsidRPr="00000000" w14:paraId="0000006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6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16 (Modification and Finality).</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to: (a) compel mediation or arbitration; (b) enforce or, to the limited extent law allows, review an award; (c) seek emergency relief; or (d) decide any matter a court may not delegate to arbitration, including issues affecting children. </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  Fees recoverable under this Section are reduced by any amount the losing Party already owes as reimbursement under Section 8.5, and shall not be awarded to the extent they would render this Agreement unconscionable. </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affirms they understood this Agreement's terms, had opportunity for translation or native-language counsel, and signed with comprehension. Nothing herein waives a Party's right to later assert a genuine lack of capacity or comprehension that Kentucky law does not permit to be waived. </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E">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w:t>
      </w:r>
      <w:r w:rsidDel="00000000" w:rsidR="00000000" w:rsidRPr="00000000">
        <w:rPr>
          <w:rFonts w:ascii="Roboto" w:cs="Roboto" w:eastAsia="Roboto" w:hAnsi="Roboto"/>
          <w:b w:val="1"/>
          <w:bCs w:val="1"/>
          <w:sz w:val="24"/>
          <w:szCs w:val="24"/>
          <w:rtl w:val="0"/>
        </w:rPr>
        <w:t xml:space="preserve"> Discovery Limitation:</w:t>
      </w:r>
      <w:r w:rsidDel="00000000" w:rsidR="00000000" w:rsidRPr="00000000">
        <w:rPr>
          <w:rFonts w:ascii="Roboto" w:cs="Roboto" w:eastAsia="Roboto" w:hAnsi="Roboto"/>
          <w:sz w:val="24"/>
          <w:szCs w:val="24"/>
          <w:rtl w:val="0"/>
        </w:rPr>
        <w:t xml:space="preserve"> The Parties have exchanged full disclosure in Exhibits A and B and agree no further pre-execution discovery is needed. This does not waive any discovery a court finds necessary to fairly adjudicate a claim of fraud, duress, or incapacity in execution. Each Party retains all discovery rights the law does not permit them to waive. </w:t>
      </w:r>
    </w:p>
    <w:p w:rsidR="00000000" w:rsidDel="00000000" w:rsidP="00000000" w:rsidRDefault="00000000" w:rsidRPr="00000000" w14:paraId="0000008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88">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9">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A">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ASSET CHANGES AND CONTINUED VALIDITY</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INDEPENDENT LEGAL COUNSEL</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GOVERNING LAW AND ENFORCEABILITY</w:t>
      </w:r>
    </w:p>
    <w:p w:rsidR="00000000" w:rsidDel="00000000" w:rsidP="00000000" w:rsidRDefault="00000000" w:rsidRPr="00000000" w14:paraId="00000097">
      <w:pPr>
        <w:spacing w:after="240" w:before="240" w:line="240" w:lineRule="auto"/>
        <w:ind w:left="0" w:right="60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Governing Law:</w:t>
      </w:r>
      <w:r w:rsidDel="00000000" w:rsidR="00000000" w:rsidRPr="00000000">
        <w:rPr>
          <w:rFonts w:ascii="Roboto" w:cs="Roboto" w:eastAsia="Roboto" w:hAnsi="Roboto"/>
          <w:sz w:val="24"/>
          <w:szCs w:val="24"/>
          <w:rtl w:val="0"/>
        </w:rPr>
        <w:t xml:space="preserve"> This Agreement is governed exclusively by Kentucky law, including KRS 403.190 and the standards of Edwardson v. Edwardson, 798 S.W.2d 941 (Ky. 1990) and Gentry v. Gentry, 798 S.W.2d 928 (Ky. 1990), regardless of the Parties' domicile, residence, or asset location. The Parties intend it to be valid under Kentucky law as in effect at execution and construed to give maximum effect to its terms to the fullest extent that law permits.</w:t>
      </w:r>
    </w:p>
    <w:p w:rsidR="00000000" w:rsidDel="00000000" w:rsidP="00000000" w:rsidRDefault="00000000" w:rsidRPr="00000000" w14:paraId="00000098">
      <w:pPr>
        <w:spacing w:after="240" w:before="240" w:line="240" w:lineRule="auto"/>
        <w:ind w:left="0" w:right="60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Jurisdiction and Venue:</w:t>
      </w:r>
      <w:r w:rsidDel="00000000" w:rsidR="00000000" w:rsidRPr="00000000">
        <w:rPr>
          <w:rFonts w:ascii="Roboto" w:cs="Roboto" w:eastAsia="Roboto" w:hAnsi="Roboto"/>
          <w:sz w:val="24"/>
          <w:szCs w:val="24"/>
          <w:rtl w:val="0"/>
        </w:rPr>
        <w:t xml:space="preserve"> The Parties consent to jurisdiction and venue in Kentucky for any dispute under this Agreement, agree Kentucky is a convenient forum, and waive any forum non conveniens objection. This does not deprive any court of jurisdiction the law confers on it.</w:t>
      </w:r>
    </w:p>
    <w:p w:rsidR="00000000" w:rsidDel="00000000" w:rsidP="00000000" w:rsidRDefault="00000000" w:rsidRPr="00000000" w14:paraId="00000099">
      <w:pPr>
        <w:spacing w:after="240" w:before="240" w:line="240" w:lineRule="auto"/>
        <w:ind w:left="0" w:right="60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Validity and Enforcement Elsewhere:</w:t>
      </w:r>
      <w:r w:rsidDel="00000000" w:rsidR="00000000" w:rsidRPr="00000000">
        <w:rPr>
          <w:rFonts w:ascii="Roboto" w:cs="Roboto" w:eastAsia="Roboto" w:hAnsi="Roboto"/>
          <w:sz w:val="24"/>
          <w:szCs w:val="24"/>
          <w:rtl w:val="0"/>
        </w:rPr>
        <w:t xml:space="preserve"> This Agreement is presumed valid, and each Party intends to be bound wherever enforcement is sought. If a court outside Kentucky declines to apply Kentucky law, the Parties intend enforcement to the greatest extent that forum permits. Each Party retains every remedy and defense the law affords.</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MODIFICATION AND FINALITY</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D">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This Section governs voluntary amendment by mutual agreement; court-ordered modification of support remains governed by Section 4.12. </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SEVERABILITY</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EFFECTIVE DATE AND TIMING</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A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COMPREHENSIVE ACKNOWLEDGMENTS</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with reasonable opportunity for verification. </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KRS 403.190 and the requirements established in Edwardson v. Edwardson, 798 S.W.2d 941 (Ky. 1990) and Gentry v. Gentry, 798 S.W.2d 928 (Ky. 1990).</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affirms, as a material inducement to the other, that they received and could verify full disclosure (Exhibits A and B), were advised to retain and had time to consult counsel, received this Agreement well before execution and the wedding, and signed knowingly and voluntarily. Each Party thus waives, to the fullest extent Kentucky law permits, any future claim of inadequate disclosure, insufficient time, or denial of counsel. This does not waive claims of fraud, duress, coercion, or incapacity — unwaivable in advance — but the above affirmations are evidence against any such claim. </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EXECUTION</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BB">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BC">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D">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BE">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BF">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1">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5">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7">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3">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6">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7">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9">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DF">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C">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