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LOUISIANA MATRIMONIAL AGREEMENT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to the other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were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and had adequate opportunity to do so, has carefully read and reviewed this Agreement, understands its terms and legal effect, enters into it voluntarily and without coercion, duress, or undue influence, and believes it fair and reasonable under the circumstances existing at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Louisiana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or divorce, referred to in Louisiana as "spousal support" or "alimony." </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Separate Property Regime Election</w:t>
      </w:r>
      <w:r w:rsidDel="00000000" w:rsidR="00000000" w:rsidRPr="00000000">
        <w:rPr>
          <w:rFonts w:ascii="Roboto" w:cs="Roboto" w:eastAsia="Roboto" w:hAnsi="Roboto"/>
          <w:sz w:val="24"/>
          <w:szCs w:val="24"/>
          <w:rtl w:val="0"/>
        </w:rPr>
        <w:t xml:space="preserve">: The Parties hereby elect to establish a separate property regime and opt out of Louisiana's community property system pursuant to Louisiana Civil Code Article 2331. Each Party retains sole and exclusive ownership, control, and management of their separate property as defined in Section 1.1. </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No Community Property</w:t>
      </w:r>
      <w:r w:rsidDel="00000000" w:rsidR="00000000" w:rsidRPr="00000000">
        <w:rPr>
          <w:rFonts w:ascii="Roboto" w:cs="Roboto" w:eastAsia="Roboto" w:hAnsi="Roboto"/>
          <w:sz w:val="24"/>
          <w:szCs w:val="24"/>
          <w:rtl w:val="0"/>
        </w:rPr>
        <w:t xml:space="preserve">: No community property shall exist between the Parties. All property acquired before or during marriage shall remain or become the separate property of the acquiring Party, except as expressly designated as Joint Property under Section 3 of this Agreement.</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2.9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2.10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final periodic spousal support, maintenance, or alimony, rehabilitative or permanent, except as provided in this Section 4. Any interim support paid during proceedings shall be credited dollar-for-dollar against the total final support obligation calculated under Sections 4.6 and 4.7, applied to monthly amount or duration at the payor's election. This credit reduces only the final support obligation and does not reduce or seek return of any interim support the court awards.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The amounts and duration in this Section define the Parties' entire final periodic support obligation at every post-judgment stage. The Parties acknowledge that a court retains authority to award interim spousal support under La. C.C. art. 113; such interim support is fully credited against, but does not enlarge, the final obligation under this Section. To the maximum extent permitted, no final periodic support beyond Section 4 shall be awarded.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the biological children of both Parties (natural or IVF). It is used solely to calculate spousal support under this Section and does not affect child support or custody, which are reserved to the court. The Payor may request genetic testing (at the requesting Party's cost) to confirm parentage. If a child is not the biological child of both Parties, the count is corrected, support is recalculated going forward under Section 4.6, and the Recipient repays any resulting spousal-support overpayment.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6">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8%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10% of payor's net income</w:t>
      </w:r>
    </w:p>
    <w:p w:rsidR="00000000" w:rsidDel="00000000" w:rsidP="00000000" w:rsidRDefault="00000000" w:rsidRPr="00000000" w14:paraId="0000003C">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12% of payor's net income</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$3,000 per month</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of marriage length (no support)</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25%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(or Section 4.9, if applicable) would leave the recipient with total income below 100% of the Federal Poverty Level for their household size (including dependent children), support shall be increased only to reach that threshold.</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 court finds the support under Section 4.6 or 4.7 unenforceable or unconscionable, and only then, support shall instead be the following percentage of payor's net income, minus 50% of recipient's income, with duration of 30% of marriage length: 0-1 Child: 5%; 2-3 Children: 10%; 4+ Children: 15%. Sections 4.8, 4.10, and 4.13 apply equally to support under this Section. </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while in a romantic relationship with, or holding themselves out as a couple with, that person; (c) Recipient's death; (d) Payor's death; or (e) expiration of the duration limit under Section 4.7.</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clear and convincing evidence that circumstances not reasonably foreseeable at execution would cause homelessness or inability to provide for basic needs. Both parties acknowledge as foreseeable: dissolution, workforce departures, income/employment changes, health issues, economic conditions, and childcare decisions.</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4.7, and 4.8; or (b) Payor's average annual net income multiplied by:</w:t>
      </w:r>
    </w:p>
    <w:p w:rsidR="00000000" w:rsidDel="00000000" w:rsidP="00000000" w:rsidRDefault="00000000" w:rsidRPr="00000000" w14:paraId="0000004B">
      <w:pPr>
        <w:numPr>
          <w:ilvl w:val="0"/>
          <w:numId w:val="3"/>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4C">
      <w:pPr>
        <w:numPr>
          <w:ilvl w:val="0"/>
          <w:numId w:val="3"/>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75% </w:t>
      </w:r>
    </w:p>
    <w:p w:rsidR="00000000" w:rsidDel="00000000" w:rsidP="00000000" w:rsidRDefault="00000000" w:rsidRPr="00000000" w14:paraId="0000004D">
      <w:pPr>
        <w:numPr>
          <w:ilvl w:val="0"/>
          <w:numId w:val="3"/>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100%</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4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1">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6">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8">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9">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to the maximum extent permitted, all rights to claim against the other's estate as a surviving spouse, including the marital portion (La. C.C. arts. 2432–2437), surviving-spouse usufruct, intestate succession rights (arts. 888–901), and homestead/spousal allowances. This waiver does not affect any forced-heirship right of a child, which belongs to the child and is not waived hereby. Each Party may inherit only if named in a testament or trust executed after this Agreement. </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5E">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5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C">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agree to limit discovery in any proceeding concerning this Agreement to what a court finds necessary for due process on claims of fraud, duress, or incapacity in its execution. This is a limitation, not a waiver of constitutionally required process. </w:t>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Louisiana law and any other legal principle.</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Louisiana law does not require financial disclosure for a matrimonial agreement's validity. This waiver is provided as additional protection and operates independently of the Exhibit A and B schedules.</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8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8E">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0">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changes in the Parties' assets or finances after execution, or on compliance with the optional update in Section 13. This does not affect the requirement that the Agreement be executed before marriage under Sections 19.1, 20.5, and 21.2, which is mandatory. </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Louisiana Law:</w:t>
      </w:r>
      <w:r w:rsidDel="00000000" w:rsidR="00000000" w:rsidRPr="00000000">
        <w:rPr>
          <w:rFonts w:ascii="Roboto" w:cs="Roboto" w:eastAsia="Roboto" w:hAnsi="Roboto"/>
          <w:sz w:val="24"/>
          <w:szCs w:val="24"/>
          <w:rtl w:val="0"/>
        </w:rPr>
        <w:t xml:space="preserve"> This Agreement is governed by Louisiana Civil Code Article 2331 and related provisions as of the execution date, regardless of the Parties' subsequent domicile or asset location. Future law amendments reducing enforceability shall not apply retroactively unless explicitly mandated by the Louisiana Legislature. </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Louisiana state court jurisdiction for any action involving this Agreement. Venue is proper in the parish where either Party resides at filing. Each Party waives forum non conveniens objections. Either Party may alternatively enforce this Agreement in jurisdictions providing equal or stronger matrimonial agreement protections than Louisiana, but only if Louisiana enforcement is impractical. </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other jurisdictions' laws to weaken this Agreement's enforcement or obtain greater rights than provided herein. Other laws may only be invoked to strengthen enforcement beyond Louisiana standards. </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(a) failure to comply with Louisiana Civil Code Article 2331 execution requirements; (b) fraud; (c) duress; or (d) mental incapacity at execution.</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 severed provision shall not be replaced by any term granting greater rights than the severed provision; the remaining provisions are enforced as written, consistent with the Parties' intent that invalid terms be severed rather than reformed against either Party. </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LOUISIANA-SPECIFIC ACKNOWLEDGMENTS </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 </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 </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Independent Legal Counsel</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 </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Separate Property Regime Election</w:t>
      </w:r>
      <w:r w:rsidDel="00000000" w:rsidR="00000000" w:rsidRPr="00000000">
        <w:rPr>
          <w:rFonts w:ascii="Roboto" w:cs="Roboto" w:eastAsia="Roboto" w:hAnsi="Roboto"/>
          <w:sz w:val="24"/>
          <w:szCs w:val="24"/>
          <w:rtl w:val="0"/>
        </w:rPr>
        <w:t xml:space="preserve">: By executing this Agreement, the Parties elect a separate property regime and opt out of Louisiana's community property system (La. Civ. Code Arts. 2325-2369.6). Each Party acknowledges that without this Agreement, most property acquired during marriage would be community property owned equally by both spouses. </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Louisiana Execution Requirements</w:t>
      </w:r>
      <w:r w:rsidDel="00000000" w:rsidR="00000000" w:rsidRPr="00000000">
        <w:rPr>
          <w:rFonts w:ascii="Roboto" w:cs="Roboto" w:eastAsia="Roboto" w:hAnsi="Roboto"/>
          <w:sz w:val="24"/>
          <w:szCs w:val="24"/>
          <w:rtl w:val="0"/>
        </w:rPr>
        <w:t xml:space="preserve">: Each Party acknowledges that Louisiana Civil Code Article 2331 requires this Agreement to be executed before marriage as either: (a) an authentic act (notary + two witnesses); or (b) a private signature duly acknowledged before a notary. Post-marriage execution renders this Agreement void. </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w:t>
      </w:r>
      <w:r w:rsidDel="00000000" w:rsidR="00000000" w:rsidRPr="00000000">
        <w:rPr>
          <w:rFonts w:ascii="Roboto" w:cs="Roboto" w:eastAsia="Roboto" w:hAnsi="Roboto"/>
          <w:b w:val="1"/>
          <w:bCs w:val="1"/>
          <w:sz w:val="24"/>
          <w:szCs w:val="24"/>
          <w:rtl w:val="0"/>
        </w:rPr>
        <w:t xml:space="preserve">Interim Support Cannot Be Waived</w:t>
      </w:r>
      <w:r w:rsidDel="00000000" w:rsidR="00000000" w:rsidRPr="00000000">
        <w:rPr>
          <w:rFonts w:ascii="Roboto" w:cs="Roboto" w:eastAsia="Roboto" w:hAnsi="Roboto"/>
          <w:sz w:val="24"/>
          <w:szCs w:val="24"/>
          <w:rtl w:val="0"/>
        </w:rPr>
        <w:t xml:space="preserve">: The Parties acknowledge that Louisiana Civil Code Article 113 prohibits waiver of interim spousal support during divorce proceedings. Section 4 governs only final periodic support awarded after divorce. </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20.7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other marital rights to the fullest extent permitted under Louisiana Civil Code Article 2331 and related provisions. </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20.8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waives future claims of lack of understanding, inadequate disclosure, or unfairness, to the extent permitted by law. This does not waive the right to challenge this Agreement for fraud, duress, incapacity, or failure to meet La. C.C. art. 2331 execution requirements, which cannot be waived. </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20.9 </w:t>
      </w:r>
      <w:r w:rsidDel="00000000" w:rsidR="00000000" w:rsidRPr="00000000">
        <w:rPr>
          <w:rFonts w:ascii="Roboto" w:cs="Roboto" w:eastAsia="Roboto" w:hAnsi="Roboto"/>
          <w:b w:val="1"/>
          <w:bCs w:val="1"/>
          <w:sz w:val="24"/>
          <w:szCs w:val="24"/>
          <w:rtl w:val="0"/>
        </w:rPr>
        <w:t xml:space="preserve">Parish Recording</w:t>
      </w:r>
      <w:r w:rsidDel="00000000" w:rsidR="00000000" w:rsidRPr="00000000">
        <w:rPr>
          <w:rFonts w:ascii="Roboto" w:cs="Roboto" w:eastAsia="Roboto" w:hAnsi="Roboto"/>
          <w:sz w:val="24"/>
          <w:szCs w:val="24"/>
          <w:rtl w:val="0"/>
        </w:rPr>
        <w:t xml:space="preserve">: To affect immovable property (real estate), this Agreement must be filed in the conveyance records of the parish where such property is located.</w:t>
      </w:r>
    </w:p>
    <w:p w:rsidR="00000000" w:rsidDel="00000000" w:rsidP="00000000" w:rsidRDefault="00000000" w:rsidRPr="00000000" w14:paraId="000000B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sz w:val="24"/>
          <w:szCs w:val="24"/>
          <w:rtl w:val="0"/>
        </w:rPr>
        <w:t xml:space="preserve">EXECUTION AND ACKNOWLEDGMENT</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21.1</w:t>
      </w:r>
      <w:r w:rsidDel="00000000" w:rsidR="00000000" w:rsidRPr="00000000">
        <w:rPr>
          <w:rFonts w:ascii="Roboto" w:cs="Roboto" w:eastAsia="Roboto" w:hAnsi="Roboto"/>
          <w:b w:val="1"/>
          <w:bCs w:val="1"/>
          <w:sz w:val="24"/>
          <w:szCs w:val="24"/>
          <w:rtl w:val="0"/>
        </w:rPr>
        <w:t xml:space="preserve"> Louisiana Formal Requirements:</w:t>
      </w:r>
      <w:r w:rsidDel="00000000" w:rsidR="00000000" w:rsidRPr="00000000">
        <w:rPr>
          <w:rFonts w:ascii="Roboto" w:cs="Roboto" w:eastAsia="Roboto" w:hAnsi="Roboto"/>
          <w:sz w:val="24"/>
          <w:szCs w:val="24"/>
          <w:rtl w:val="0"/>
        </w:rPr>
        <w:t xml:space="preserve"> This Matrimonial Agreement shall be executed in compliance with Louisiana Civil Code Article 2331 as an authentic act — signed by both Parties in the presence of a notary public and two witnesses.</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21.2 </w:t>
      </w:r>
      <w:r w:rsidDel="00000000" w:rsidR="00000000" w:rsidRPr="00000000">
        <w:rPr>
          <w:rFonts w:ascii="Roboto" w:cs="Roboto" w:eastAsia="Roboto" w:hAnsi="Roboto"/>
          <w:b w:val="1"/>
          <w:bCs w:val="1"/>
          <w:sz w:val="24"/>
          <w:szCs w:val="24"/>
          <w:rtl w:val="0"/>
        </w:rPr>
        <w:t xml:space="preserve">Pre-Marriage Execution Requirement:</w:t>
      </w:r>
      <w:r w:rsidDel="00000000" w:rsidR="00000000" w:rsidRPr="00000000">
        <w:rPr>
          <w:rFonts w:ascii="Roboto" w:cs="Roboto" w:eastAsia="Roboto" w:hAnsi="Roboto"/>
          <w:sz w:val="24"/>
          <w:szCs w:val="24"/>
          <w:rtl w:val="0"/>
        </w:rPr>
        <w:t xml:space="preserve"> All signatures and notarizations MUST be completed BEFORE the marriage ceremony. Any signature or notarization occurring after marriage renders this Agreement void under Louisiana law.</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21.3</w:t>
      </w:r>
      <w:r w:rsidDel="00000000" w:rsidR="00000000" w:rsidRPr="00000000">
        <w:rPr>
          <w:rFonts w:ascii="Roboto" w:cs="Roboto" w:eastAsia="Roboto" w:hAnsi="Roboto"/>
          <w:b w:val="1"/>
          <w:bCs w:val="1"/>
          <w:sz w:val="24"/>
          <w:szCs w:val="24"/>
          <w:rtl w:val="0"/>
        </w:rPr>
        <w:t xml:space="preserve"> Recording Requirement:</w:t>
      </w:r>
      <w:r w:rsidDel="00000000" w:rsidR="00000000" w:rsidRPr="00000000">
        <w:rPr>
          <w:rFonts w:ascii="Roboto" w:cs="Roboto" w:eastAsia="Roboto" w:hAnsi="Roboto"/>
          <w:sz w:val="24"/>
          <w:szCs w:val="24"/>
          <w:rtl w:val="0"/>
        </w:rPr>
        <w:t xml:space="preserve"> To affect immovable property (real estate), this Agreement must be filed in the conveyance records of the parish where such property is located.</w:t>
      </w:r>
    </w:p>
    <w:p w:rsidR="00000000" w:rsidDel="00000000" w:rsidP="00000000" w:rsidRDefault="00000000" w:rsidRPr="00000000" w14:paraId="000000C1">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sz w:val="24"/>
          <w:szCs w:val="24"/>
          <w:rtl w:val="0"/>
        </w:rPr>
        <w:t xml:space="preserve">21.4</w:t>
      </w:r>
      <w:r w:rsidDel="00000000" w:rsidR="00000000" w:rsidRPr="00000000">
        <w:rPr>
          <w:rFonts w:ascii="Roboto" w:cs="Roboto" w:eastAsia="Roboto" w:hAnsi="Roboto"/>
          <w:b w:val="1"/>
          <w:bCs w:val="1"/>
          <w:sz w:val="24"/>
          <w:szCs w:val="24"/>
          <w:rtl w:val="0"/>
        </w:rPr>
        <w:t xml:space="preserve"> EXECUTION</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execute this Matrimonial Agreement as an authentic act, freely and voluntarily, prior to and in contemplation of their marriage.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LOUISIANA</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Parish of ______________________________________________________________</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Before me, the undersigned Notary Public, and in the presence of the two undersigned witnesses, personally appeared [Party A Name] and [Party B Name], who declared that they have read this Agreement, understand its terms and the rights being waived, had the opportunity to consult independent counsel, and sign it voluntarily before their marriage.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THUS DONE AND SIGNED at _________________________________, Louisiana,</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__________ day of _________________</w:t>
      </w:r>
      <w:r w:rsidDel="00000000" w:rsidR="00000000" w:rsidRPr="00000000">
        <w:rPr>
          <w:rFonts w:ascii="Roboto" w:cs="Roboto" w:eastAsia="Roboto" w:hAnsi="Roboto"/>
          <w:b w:val="1"/>
          <w:bCs w:val="1"/>
          <w:sz w:val="24"/>
          <w:szCs w:val="24"/>
          <w:rtl w:val="0"/>
        </w:rPr>
        <w:t xml:space="preserve">, 20______</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C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 PARTIES</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Signature ______________________________________________________</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Printed Name __________________________________________________</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____________________________</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Signature ______________________________________________________</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Printed Name __________________________________________________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____________________________</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2 — WITNESSES</w:t>
      </w:r>
      <w:r w:rsidDel="00000000" w:rsidR="00000000" w:rsidRPr="00000000">
        <w:rPr>
          <w:rFonts w:ascii="Roboto" w:cs="Roboto" w:eastAsia="Roboto" w:hAnsi="Roboto"/>
          <w:sz w:val="24"/>
          <w:szCs w:val="24"/>
          <w:rtl w:val="0"/>
        </w:rPr>
        <w:t xml:space="preserve"> (two required; a witness may not also be the Notary)</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1 Signature ____________________________________________________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1 Printed Name ________________________________________________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2 Signature ____________________________________________________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2 Printed Name ________________________________________________</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3 — NOTARY PUBLIC</w:t>
      </w:r>
      <w:r w:rsidDel="00000000" w:rsidR="00000000" w:rsidRPr="00000000">
        <w:rPr>
          <w:rFonts w:ascii="Roboto" w:cs="Roboto" w:eastAsia="Roboto" w:hAnsi="Roboto"/>
          <w:sz w:val="24"/>
          <w:szCs w:val="24"/>
          <w:rtl w:val="0"/>
        </w:rPr>
        <w:t xml:space="preserve"> (may be an attorney of record, if commissioned)</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Signature _______________________________________________________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Printed Name ___________________________________________________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____________________________ Expires ____________________________</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Louisiana Bar Roll No. (if attorney) ___________________________________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4 — ATTORNEYS</w:t>
      </w:r>
      <w:r w:rsidDel="00000000" w:rsidR="00000000" w:rsidRPr="00000000">
        <w:rPr>
          <w:rFonts w:ascii="Roboto" w:cs="Roboto" w:eastAsia="Roboto" w:hAnsi="Roboto"/>
          <w:sz w:val="24"/>
          <w:szCs w:val="24"/>
          <w:rtl w:val="0"/>
        </w:rPr>
        <w:t xml:space="preserve"> (optional; complete for each party who had independent counsel)</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undersigned attorney certifies that they are independent counsel separately retained by their client; that they reviewed this Agreement in full with their client and explained its legal implications and the community property and other Louisiana Civil Code rights being waived; that they answered their client's questions; that their client had adequate time to review it before the marriage and appeared to have full capacity, free of duress, coercion, or undue influence; and that their client signed knowingly, voluntarily, and in the attorney's presence before the marriage.</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Counsel for Party A — Signature ______________________________________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Counsel for Party A — Printed Name __________________________________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Louisiana Bar Roll No. ___________________________________</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Counsel for Party B — Signature ______________________________________</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Counsel for Party B — Printed Name __________________________________</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Louisiana Bar Roll No. ___________________________________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FILING:</w:t>
      </w:r>
      <w:r w:rsidDel="00000000" w:rsidR="00000000" w:rsidRPr="00000000">
        <w:rPr>
          <w:rFonts w:ascii="Roboto" w:cs="Roboto" w:eastAsia="Roboto" w:hAnsi="Roboto"/>
          <w:sz w:val="24"/>
          <w:szCs w:val="24"/>
          <w:rtl w:val="0"/>
        </w:rPr>
        <w:t xml:space="preserve"> Record the original in the conveyance records of each parish where immovable property is owned (La. C.C. art. 2332). Each party retains a copy.</w:t>
      </w:r>
    </w:p>
    <w:p w:rsidR="00000000" w:rsidDel="00000000" w:rsidP="00000000" w:rsidRDefault="00000000" w:rsidRPr="00000000" w14:paraId="000000E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E5">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