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MAINE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respective assets, liabilities, income, and financial circumstances — including compensation, equity, and ownership interests — as set forth in Exhibits A and B; </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 </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acknowledge that under 19-A M.R.S. § 608, this Agreement is unenforceable only if the challenging Party proves either (A) that the Agreement was not executed voluntarily, or (B) that the Agreement was unconscionable when executed and the challenging Party was not provided fair and reasonable disclosure of the other's finances, did not voluntarily waive disclosure in writing, and did not have or reasonably could not have had adequate knowledge of the other's finances; the Parties intend this Agreement to satisfy all such requirements and affirm that execution is voluntary and fully informed; </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the State of Maine, including the Maine Uniform Premarital Agreement Act, 19-A M.R.S. §§ 601–611, and intend for it to be legally binding and enforceable; </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accounts (checking, savings, brokerage, retirement, investment); all employment compensation (wages, salary, bonuses, commissions, equity, stock options, RSUs, deferred compensation, severance); gifts; inheritances; digital assets (cryptocurrency, NFTs, wallets); intellectual property (patents, copyrights, trademarks, source code, websites); and all appreciation, income, returns, royalties, and proceeds thereof. This overrides the default treatment of earnings as marital property under 19-A M.R.S. § 953 as a "clear and unmistakable" waiver under </w:t>
      </w:r>
      <w:r w:rsidDel="00000000" w:rsidR="00000000" w:rsidRPr="00000000">
        <w:rPr>
          <w:rFonts w:ascii="Roboto" w:cs="Roboto" w:eastAsia="Roboto" w:hAnsi="Roboto"/>
          <w:i w:val="1"/>
          <w:iCs w:val="1"/>
          <w:sz w:val="24"/>
          <w:szCs w:val="24"/>
          <w:rtl w:val="0"/>
        </w:rPr>
        <w:t xml:space="preserve">Dow v. Billing</w:t>
      </w:r>
      <w:r w:rsidDel="00000000" w:rsidR="00000000" w:rsidRPr="00000000">
        <w:rPr>
          <w:rFonts w:ascii="Roboto" w:cs="Roboto" w:eastAsia="Roboto" w:hAnsi="Roboto"/>
          <w:sz w:val="24"/>
          <w:szCs w:val="24"/>
          <w:rtl w:val="0"/>
        </w:rPr>
        <w:t xml:space="preserve">, 2020 ME 10. </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2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Notwithstanding any provision of this Section 4, if and only to the extent enforcement of any spousal-support waiver or limitation would render recipient eligible for public assistance under 19-A M.R.S. § 608(2), a Maine court may require payor to provide support solely “to the extent necessary to avoid that eligibility,” and no greater. Any such court-ordered support shall be credited dollar-for-dollar against payor's obligations under this Section 4.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Sections 4.6 and 4.7 set the measure of support at all stages (temporary, pendente lite, interim, final, post-judgment), with no distinction between temporary and permanent support. Any interim support ordered under 19-A M.R.S. § 951-A(11) in excess of the amounts calculated under Sections 4.6 and 4.7 shall be credited dollar-for-dollar against Payor's remaining support obligations under this Section 4.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children, whether biological (by natural conception or IVF) or adopted, of both Parties.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Recipient has not obtained Employment within 24 months of divorce. "Employment" means gross income of at least $30,000 annually, verified by tax returns, W-2s, or equivalent. Either Party may request the other's annual income documentation relevant to support under this Section 4.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and state income tax, Social Security, and Medicare withholdings, excluding voluntary deductions. Payor's net income is the three-year average preceding the divorce filing — except, if the most recent year is lower due to involuntary job loss, disability, or business closure beyond Payor's control, the most recent year's net income controls. </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7">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2%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3% of payor's net income</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4% of payor's net income</w:t>
      </w:r>
    </w:p>
    <w:p w:rsidR="00000000" w:rsidDel="00000000" w:rsidP="00000000" w:rsidRDefault="00000000" w:rsidRPr="00000000" w14:paraId="0000003C">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5% of payor's net income</w:t>
      </w:r>
    </w:p>
    <w:p w:rsidR="00000000" w:rsidDel="00000000" w:rsidP="00000000" w:rsidRDefault="00000000" w:rsidRPr="00000000" w14:paraId="0000003D">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6% of payor's net income</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$2,500 per month.  In no event shall the amount calculated under this Section be less than zero. </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support)</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15%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20% of marriage length</w:t>
      </w:r>
    </w:p>
    <w:p w:rsidR="00000000" w:rsidDel="00000000" w:rsidP="00000000" w:rsidRDefault="00000000" w:rsidRPr="00000000" w14:paraId="00000045">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25% of marriage length</w:t>
      </w:r>
    </w:p>
    <w:p w:rsidR="00000000" w:rsidDel="00000000" w:rsidP="00000000" w:rsidRDefault="00000000" w:rsidRPr="00000000" w14:paraId="00000046">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30% of marriage length, capped at 10 years total</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Public Assistance Floor</w:t>
      </w:r>
      <w:r w:rsidDel="00000000" w:rsidR="00000000" w:rsidRPr="00000000">
        <w:rPr>
          <w:rFonts w:ascii="Roboto" w:cs="Roboto" w:eastAsia="Roboto" w:hAnsi="Roboto"/>
          <w:sz w:val="24"/>
          <w:szCs w:val="24"/>
          <w:rtl w:val="0"/>
        </w:rPr>
        <w:t xml:space="preserve">: If, and only if, strict application of Sections 4.6 and 4.7 would render Recipient eligible for public assistance under 19-A M.R.S. § 608(2) at separation or dissolution, support increases solely to the extent necessary to avoid that eligibility, and no greater. This is Payor's entire obligation to exceed Sections 4.6 and 4.7 and is non-waivable.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40% of marriage length.</w:t>
      </w:r>
    </w:p>
    <w:p w:rsidR="00000000" w:rsidDel="00000000" w:rsidP="00000000" w:rsidRDefault="00000000" w:rsidRPr="00000000" w14:paraId="00000049">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4% of payor's net income</w:t>
      </w:r>
    </w:p>
    <w:p w:rsidR="00000000" w:rsidDel="00000000" w:rsidP="00000000" w:rsidRDefault="00000000" w:rsidRPr="00000000" w14:paraId="0000004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8% of payor's net income</w:t>
      </w:r>
    </w:p>
    <w:p w:rsidR="00000000" w:rsidDel="00000000" w:rsidP="00000000" w:rsidRDefault="00000000" w:rsidRPr="00000000" w14:paraId="0000004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12% of payor's net income</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is payable while Payor's gross annual income is below the greater of (a) 80% of Payor's gross income in the year before execution, or (b) 350% of the Federal Poverty Level for one person as published by HHS. This Section is subject to Section 4.8. </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ceases upon the earliest of: (a) Recipient's remarriage; (b) Recipient's cohabitation with another person for 60+ consecutive days, where "cohabitation" means living together in a romantic relationship, sharing domestic or financial responsibilities, or holding out as a couple; (c) either Party's death; (d) expiration of the duration under Section 4.7; or (e) Recipient's gross annual income reaching 80%+ of Payor's for two consecutive years.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Limitation on Modification.</w:t>
      </w:r>
      <w:r w:rsidDel="00000000" w:rsidR="00000000" w:rsidRPr="00000000">
        <w:rPr>
          <w:rFonts w:ascii="Roboto" w:cs="Roboto" w:eastAsia="Roboto" w:hAnsi="Roboto"/>
          <w:sz w:val="24"/>
          <w:szCs w:val="24"/>
          <w:rtl w:val="0"/>
        </w:rPr>
        <w:t xml:space="preserve"> Support is non-modifiable except on clear and convincing evidence of changed circumstances that (i) were not reasonably foreseeable at execution and (ii) render enforcement unconscionable. The Parties agree the following are reasonably foreseeable and not grounds for modification: dissolution, workforce departures, income or employment changes, health issues, economic conditions, and childcare decisions. </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Parentage and the Support Formula.</w:t>
      </w:r>
      <w:r w:rsidDel="00000000" w:rsidR="00000000" w:rsidRPr="00000000">
        <w:rPr>
          <w:rFonts w:ascii="Roboto" w:cs="Roboto" w:eastAsia="Roboto" w:hAnsi="Roboto"/>
          <w:sz w:val="24"/>
          <w:szCs w:val="24"/>
          <w:rtl w:val="0"/>
        </w:rPr>
        <w:t xml:space="preserve"> Because the Section 4.6 percentage depends on the number of Children of the Marriage, either Party may request genetic testing to confirm parentage before support is finalized, with costs borne by the requesting Party. A child shown not to be a Child of the Marriage is excluded from the Section 4.6 count. This Section does not affect any child-support obligation, which cannot be waived (19-A M.R.S. § 604). </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51">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40% </w:t>
      </w:r>
    </w:p>
    <w:p w:rsidR="00000000" w:rsidDel="00000000" w:rsidP="00000000" w:rsidRDefault="00000000" w:rsidRPr="00000000" w14:paraId="00000052">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80% </w:t>
      </w:r>
    </w:p>
    <w:p w:rsidR="00000000" w:rsidDel="00000000" w:rsidP="00000000" w:rsidRDefault="00000000" w:rsidRPr="00000000" w14:paraId="00000053">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120%</w:t>
      </w:r>
    </w:p>
    <w:p w:rsidR="00000000" w:rsidDel="00000000" w:rsidP="00000000" w:rsidRDefault="00000000" w:rsidRPr="00000000" w14:paraId="00000054">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subject to Section 4.8. </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 This Section is subject to Section 4.8. </w:t>
      </w:r>
    </w:p>
    <w:p w:rsidR="00000000" w:rsidDel="00000000" w:rsidP="00000000" w:rsidRDefault="00000000" w:rsidRPr="00000000" w14:paraId="0000005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8">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D">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E">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F">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60">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under 18-C M.R.S. §§ 2-202 through 2-204, homestead allowance under 18-C M.R.S. § 2-402, exempt property under 18-C M.R.S. § 2-403, family allowance under 18-C M.R.S. § 2-404, and any other statutory inheritance rights under the Maine Probate Code. This waiver applies at death as well as at divorce or dissolution. </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The Parties acknowledge that ERISA spousal survivor rights cannot be waived before marriage and can be waived only by the participant's spouse on the plan's forms after marriage. Each Party agrees to execute any such spousal consent or beneficiary waiver within thirty (30) days of the other's written request. Failure to do so is a material breach entitling the requesting Party to specific performance, liquidated damages of $25,000, and reasonable attorney fees and costs.  </w:t>
      </w:r>
    </w:p>
    <w:p w:rsidR="00000000" w:rsidDel="00000000" w:rsidP="00000000" w:rsidRDefault="00000000" w:rsidRPr="00000000" w14:paraId="0000006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from AAA's family law panel, in the city where the marital residence was established, applying this Agreement's terms. Consistent with 19-A M.R.S. § 608(3), any question of unconscionability is reserved to a court of competent jurisdiction, and judgment on the award is otherwise final except for fraud or arbitrator misconduct. </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7">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3">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19-A M.R.S. § 608(1)(B) and any other legal principle.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19-A M.R.S. § 608(1)(B) and acknowledges this satisfies the statutory disclosure requirements irrespective of attached schedules. </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Future Claims Waiver:</w:t>
      </w:r>
      <w:r w:rsidDel="00000000" w:rsidR="00000000" w:rsidRPr="00000000">
        <w:rPr>
          <w:rFonts w:ascii="Roboto" w:cs="Roboto" w:eastAsia="Roboto" w:hAnsi="Roboto"/>
          <w:sz w:val="24"/>
          <w:szCs w:val="24"/>
          <w:rtl w:val="0"/>
        </w:rPr>
        <w:t xml:space="preserve"> To the fullest extent permitted by 19-A M.R.S. § 608, each Party waives claims of: (a) inadequate disclosure; (b) lack of investigation opportunity; and (c) insufficient review time. The Parties acknowledge that whether the Agreement was unconscionable when executed remains a question of law for the court under § 608(3) and is not waived by this Section. </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A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Maine Law:</w:t>
      </w:r>
      <w:r w:rsidDel="00000000" w:rsidR="00000000" w:rsidRPr="00000000">
        <w:rPr>
          <w:rFonts w:ascii="Roboto" w:cs="Roboto" w:eastAsia="Roboto" w:hAnsi="Roboto"/>
          <w:sz w:val="24"/>
          <w:szCs w:val="24"/>
          <w:rtl w:val="0"/>
        </w:rPr>
        <w:t xml:space="preserve"> This Agreement is governed by Maine law as of the execution date, including the Maine Uniform Premarital Agreement Act, 19-A M.R.S. §§ 601–611, regardless of domicile or asset location. Future law amendments reducing enforceability shall not apply retroactively. Any unconscionability challenge shall be evaluated solely as of the date of execution under 19-A M.R.S. § 608(1)(B), with no second-look or fairness-at-enforcement review. All waivers of statutory marital rights are intended to be "clear and unmistakable" under </w:t>
      </w:r>
      <w:r w:rsidDel="00000000" w:rsidR="00000000" w:rsidRPr="00000000">
        <w:rPr>
          <w:rFonts w:ascii="Roboto" w:cs="Roboto" w:eastAsia="Roboto" w:hAnsi="Roboto"/>
          <w:i w:val="1"/>
          <w:iCs w:val="1"/>
          <w:sz w:val="24"/>
          <w:szCs w:val="24"/>
          <w:rtl w:val="0"/>
        </w:rPr>
        <w:t xml:space="preserve">Dow v. Billing</w:t>
      </w:r>
      <w:r w:rsidDel="00000000" w:rsidR="00000000" w:rsidRPr="00000000">
        <w:rPr>
          <w:rFonts w:ascii="Roboto" w:cs="Roboto" w:eastAsia="Roboto" w:hAnsi="Roboto"/>
          <w:sz w:val="24"/>
          <w:szCs w:val="24"/>
          <w:rtl w:val="0"/>
        </w:rPr>
        <w:t xml:space="preserve">, 2020 ME 10, and to reach property "whenever acquired" as upheld in </w:t>
      </w:r>
      <w:r w:rsidDel="00000000" w:rsidR="00000000" w:rsidRPr="00000000">
        <w:rPr>
          <w:rFonts w:ascii="Roboto" w:cs="Roboto" w:eastAsia="Roboto" w:hAnsi="Roboto"/>
          <w:i w:val="1"/>
          <w:iCs w:val="1"/>
          <w:sz w:val="24"/>
          <w:szCs w:val="24"/>
          <w:rtl w:val="0"/>
        </w:rPr>
        <w:t xml:space="preserve">Estate of Barrows II</w:t>
      </w:r>
      <w:r w:rsidDel="00000000" w:rsidR="00000000" w:rsidRPr="00000000">
        <w:rPr>
          <w:rFonts w:ascii="Roboto" w:cs="Roboto" w:eastAsia="Roboto" w:hAnsi="Roboto"/>
          <w:sz w:val="24"/>
          <w:szCs w:val="24"/>
          <w:rtl w:val="0"/>
        </w:rPr>
        <w:t xml:space="preserve">, 2008 ME 62. </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consents to the jurisdiction of the Maine courts for disputes under this Agreement and agrees Maine is a convenient forum. The Parties intend Maine law and this Agreement to govern wherever enforcement is sought, to the fullest extent another forum's conflict-of-laws rules permit. </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The Parties select Maine law under 19-A M.R.S. § 604(7) to govern the construction and enforcement of this Agreement, to the fullest extent permitted by the forum in which enforcement is sought. </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enforceable unless a challenging Party proves a ground for non-enforcement under 19-A M.R.S. § 608. Each Party intends the Maine forum and choice-of-law provisions above to apply to any dispute under this Agreement. </w:t>
      </w:r>
    </w:p>
    <w:p w:rsidR="00000000" w:rsidDel="00000000" w:rsidP="00000000" w:rsidRDefault="00000000" w:rsidRPr="00000000" w14:paraId="000000A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Engage an attorney 4-6 months before the wedding. Adequate review time and access to independent counsel are factors Maine courts weigh in favor of enforcement (</w:t>
      </w:r>
      <w:r w:rsidDel="00000000" w:rsidR="00000000" w:rsidRPr="00000000">
        <w:rPr>
          <w:rFonts w:ascii="Roboto" w:cs="Roboto" w:eastAsia="Roboto" w:hAnsi="Roboto"/>
          <w:i w:val="1"/>
          <w:iCs w:val="1"/>
          <w:sz w:val="24"/>
          <w:szCs w:val="24"/>
          <w:rtl w:val="0"/>
        </w:rPr>
        <w:t xml:space="preserve">Hoag v. Dick</w:t>
      </w:r>
      <w:r w:rsidDel="00000000" w:rsidR="00000000" w:rsidRPr="00000000">
        <w:rPr>
          <w:rFonts w:ascii="Roboto" w:cs="Roboto" w:eastAsia="Roboto" w:hAnsi="Roboto"/>
          <w:sz w:val="24"/>
          <w:szCs w:val="24"/>
          <w:rtl w:val="0"/>
        </w:rPr>
        <w:t xml:space="preserve">, 2002 ME 92; </w:t>
      </w:r>
      <w:r w:rsidDel="00000000" w:rsidR="00000000" w:rsidRPr="00000000">
        <w:rPr>
          <w:rFonts w:ascii="Roboto" w:cs="Roboto" w:eastAsia="Roboto" w:hAnsi="Roboto"/>
          <w:i w:val="1"/>
          <w:iCs w:val="1"/>
          <w:sz w:val="24"/>
          <w:szCs w:val="24"/>
          <w:rtl w:val="0"/>
        </w:rPr>
        <w:t xml:space="preserve">Blanchard v. Blanchard</w:t>
      </w:r>
      <w:r w:rsidDel="00000000" w:rsidR="00000000" w:rsidRPr="00000000">
        <w:rPr>
          <w:rFonts w:ascii="Roboto" w:cs="Roboto" w:eastAsia="Roboto" w:hAnsi="Roboto"/>
          <w:sz w:val="24"/>
          <w:szCs w:val="24"/>
          <w:rtl w:val="0"/>
        </w:rPr>
        <w:t xml:space="preserve">, 2016 ME 140). </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19-A M.R.S. §§ 601–611 and Maine common law, including Blanchard v. Blanchard, 2016 ME 140; Estate of Martin, 2008 ME 7; Hoag v. Dick, 2002 ME 92; and Foley v. Ziegler, 2005 ME 117. </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or enforceability. Nothing in this Section waives the court's authority to determine unconscionability as a matter of law under 19-A M.R.S. § 608(3). </w:t>
      </w:r>
    </w:p>
    <w:p w:rsidR="00000000" w:rsidDel="00000000" w:rsidP="00000000" w:rsidRDefault="00000000" w:rsidRPr="00000000" w14:paraId="000000B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6">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9">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A">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B">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C">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D">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E">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F">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3">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5">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E1">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2">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3">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4">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5">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6">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7">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B">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D">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8">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A">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