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MARYLAND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and has had adequate opportunity to do so, has carefully read and reviewed this Agreement, understands its terms and legal effect, enters into it voluntarily and without coercion, duress, or undue influence, and believes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Maryland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Both parties acknowledge Maryland's equitable distribution does not require equal division (Md. Code Ann., Fam. Law § 8-205). Non-owner spouse waives claims to business appreciation, goodwill, or value increases during marriage, whether active or passive. This waiver applies even if non-owner provided indirect contributions to the business through homemaking, childcare, or other support, as parties agree any such contributions were compensated through the marital standard of living and any support provisions in Section 4.</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The Parties intend that the support terms in this Section 4 govern all stages of any dissolution proceeding, including temporary and final awards. Each Party agrees not to seek support exceeding the amounts provided in this Section. Any temporary support awarded by a court during a challenge to this Agreement's validity that exceeds Section 4 amounts shall be subject to reimbursement to payor upon a final determination upholding this Agreement.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biological children of both Parties (whether conceived naturally or through assisted reproduction) and any children jointly adopted by both Parties during the marriage.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4">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35">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10%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14% of payor's net income</w:t>
      </w:r>
    </w:p>
    <w:p w:rsidR="00000000" w:rsidDel="00000000" w:rsidP="00000000" w:rsidRDefault="00000000" w:rsidRPr="00000000" w14:paraId="0000003A">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16% of payor's net income</w:t>
      </w:r>
    </w:p>
    <w:p w:rsidR="00000000" w:rsidDel="00000000" w:rsidP="00000000" w:rsidRDefault="00000000" w:rsidRPr="00000000" w14:paraId="0000003B">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 support</w:t>
      </w:r>
      <w:r w:rsidDel="00000000" w:rsidR="00000000" w:rsidRPr="00000000">
        <w:rPr>
          <w:rFonts w:ascii="Roboto" w:cs="Roboto" w:eastAsia="Roboto" w:hAnsi="Roboto"/>
          <w:sz w:val="24"/>
          <w:szCs w:val="24"/>
          <w:rtl w:val="0"/>
        </w:rPr>
        <w:t xml:space="preserve">: $3,500/month</w:t>
      </w:r>
    </w:p>
    <w:p w:rsidR="00000000" w:rsidDel="00000000" w:rsidP="00000000" w:rsidRDefault="00000000" w:rsidRPr="00000000" w14:paraId="0000003C">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 support and child custody are unaffected and handled separately by a family law court.</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Support amounts under Sections 4.6 and 4.7 shall not be increased due to changes in recipient's financial circumstances, cost of living, or lifestyle expectations. However, if the recipient demonstrates by clear and convincing evidence that strict application of Sections 4.6 and 4.7 would render the recipient unable to meet basic needs (defined as housing, food, medical insurance, and transportation), payor shall pay the lesser of: (a) 150% of the amount calculated under Section 4.6, or (b) the amount necessary to meet documented basic needs, for a period not to exceed 12 months. This hardship provision may be invoked only once during or after the marriage. </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is deemed unconscionable, it shall be reformed to 5% of payor's net income for marriages under 15 years, or 10% for marriages 15+ years, minus 50% of recipient's income, for duration not exceeding 50% of marriage length.  This fallback reflects the Parties' intent that the court reform rather than void this Section.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the Federal Poverty Level for a single person.</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 unrelated adult in a romantic relationship for 60 or more consecutive days, including sharing financial or domestic responsibilities or holding out as a couple; (c) Recipient's death; (d) Payor's death; or (e) Duration limit expiration under Section 4.7.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of any Child of the Marriage at any time, with costs borne by the requesting party. If testing establishes that a child is not the biological child of both Parties, the support percentage under Section 4.6 shall be recalculated by reducing the child count.</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(including any hardship amounts under Section 4.8) shall not exceed the lesser of: (a) the aggregate of all amounts payable under Sections 4.6, 4.7, and 4.8; or (b) payor's average annual net income multiplied by: </w:t>
      </w:r>
    </w:p>
    <w:p w:rsidR="00000000" w:rsidDel="00000000" w:rsidP="00000000" w:rsidRDefault="00000000" w:rsidRPr="00000000" w14:paraId="0000004B">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4C">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100% </w:t>
      </w:r>
    </w:p>
    <w:p w:rsidR="00000000" w:rsidDel="00000000" w:rsidP="00000000" w:rsidRDefault="00000000" w:rsidRPr="00000000" w14:paraId="0000004D">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150%</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4.16 </w:t>
      </w:r>
      <w:r w:rsidDel="00000000" w:rsidR="00000000" w:rsidRPr="00000000">
        <w:rPr>
          <w:rFonts w:ascii="Roboto" w:cs="Roboto" w:eastAsia="Roboto" w:hAnsi="Roboto"/>
          <w:b w:val="1"/>
          <w:bCs w:val="1"/>
          <w:sz w:val="24"/>
          <w:szCs w:val="24"/>
          <w:rtl w:val="0"/>
        </w:rPr>
        <w:t xml:space="preserve">Maryland Unconscionability Standard</w:t>
      </w:r>
      <w:r w:rsidDel="00000000" w:rsidR="00000000" w:rsidRPr="00000000">
        <w:rPr>
          <w:rFonts w:ascii="Roboto" w:cs="Roboto" w:eastAsia="Roboto" w:hAnsi="Roboto"/>
          <w:sz w:val="24"/>
          <w:szCs w:val="24"/>
          <w:rtl w:val="0"/>
        </w:rPr>
        <w:t xml:space="preserve">: Both Parties acknowledge that under Knizhnik v. Knizhnik, No. 1732, Sept. Term 2022 (Md. App. Apr. 11, 2024) (unreported), unconscionability is reviewed at execution, not enforcement. Parties affirm this Agreement is not unconscionable at execution given: (a) both Parties' combined assets and earning capacity relative to support amounts herein; (b) opportunity for independent counsel; (c) complete financial disclosure per Exhibits A and B; (d) voluntary execution without duress; and (e) recipient's retention of support rights, unlike complete waivers Maryland courts have upheld. </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under Md. Code Ann., Est. &amp; Trusts § 3-203, homestead allowances, family allowances, and other statutory inheritance rights under Maryland law.</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Confirm or enforce an arbitration award; (c) Seek emergency relief where irreparable harm would occur absent immediate court intervention; (d) Resolve challenges to this Agreement's validity.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Limited Discovery</w:t>
      </w:r>
      <w:r w:rsidDel="00000000" w:rsidR="00000000" w:rsidRPr="00000000">
        <w:rPr>
          <w:rFonts w:ascii="Roboto" w:cs="Roboto" w:eastAsia="Roboto" w:hAnsi="Roboto"/>
          <w:sz w:val="24"/>
          <w:szCs w:val="24"/>
          <w:rtl w:val="0"/>
        </w:rPr>
        <w:t xml:space="preserve">: Each Party agrees not to initiate discovery proceedings related to this Agreement's financial disclosures except upon a specific judicial finding that such discovery is necessary to adjudicate a claim of fraud, duress, or incapacity in the execution of this Agreement. </w:t>
      </w:r>
    </w:p>
    <w:p w:rsidR="00000000" w:rsidDel="00000000" w:rsidP="00000000" w:rsidRDefault="00000000" w:rsidRPr="00000000" w14:paraId="0000008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Maryland common law and any other legal principle regarding financial disclosure in prenuptial agreements.</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to financial disclosure under Maryland common law governing prenuptial agreements and acknowledges this waiver satisfies any disclosure requirements irrespective of the completeness of attached schedules.</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lack of investigation opportunity; (c) insufficient review time; and (d) any claim that financial information available at execution was incomplete or misleading, except for affirmative fraud.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8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Maryland Law</w:t>
      </w:r>
      <w:r w:rsidDel="00000000" w:rsidR="00000000" w:rsidRPr="00000000">
        <w:rPr>
          <w:rFonts w:ascii="Roboto" w:cs="Roboto" w:eastAsia="Roboto" w:hAnsi="Roboto"/>
          <w:sz w:val="24"/>
          <w:szCs w:val="24"/>
          <w:rtl w:val="0"/>
        </w:rPr>
        <w:t xml:space="preserve">: This Agreement is governed by Maryland contract law and case law as of execution date, consistent with Cannon v. Cannon, 384 Md. 537 (2005) and Stewart v. Stewart, 214 Md. App. 458 (2013), regardless of domicile or asset location. Maryland courts review prenuptial agreements for unconscionability only at execution, not at enforcement. See Knizhnik v. Knizhnik, No. 1732, Sept. Term 2022 (Md. App. Apr. 11, 2024) (unreported).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Maryland jurisdiction and waives forum non conveniens defenses. Either Party may alternatively enforce this Agreement in any jurisdiction providing equal or stronger prenuptial protections than Maryland. </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intend Maryland law to govern interpretation and enforcement. If enforcement is sought in another jurisdiction, the forum court shall apply Maryland substantive law to the extent permitted by that jurisdiction's choice-of-law rules. </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fraud, duress, coercion, or incapacity at execution. </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w:t>
      </w:r>
      <w:r w:rsidDel="00000000" w:rsidR="00000000" w:rsidRPr="00000000">
        <w:rPr>
          <w:rFonts w:ascii="Roboto" w:cs="Roboto" w:eastAsia="Roboto" w:hAnsi="Roboto"/>
          <w:b w:val="1"/>
          <w:bCs w:val="1"/>
          <w:sz w:val="24"/>
          <w:szCs w:val="24"/>
          <w:rtl w:val="0"/>
        </w:rPr>
        <w:t xml:space="preserve"> Maryland Statutory Framework:</w:t>
      </w:r>
      <w:r w:rsidDel="00000000" w:rsidR="00000000" w:rsidRPr="00000000">
        <w:rPr>
          <w:rFonts w:ascii="Roboto" w:cs="Roboto" w:eastAsia="Roboto" w:hAnsi="Roboto"/>
          <w:sz w:val="24"/>
          <w:szCs w:val="24"/>
          <w:rtl w:val="0"/>
        </w:rPr>
        <w:t xml:space="preserve"> The parties acknowledge this Agreement is governed by Maryland common law principles applicable to prenuptial agreements, including but not limited to: (a) Maryland Family Law Code Title 8 (Marital Property); (b) Maryland Family Law Code Title 11 (Alimony); (c) Maryland Estates and Trusts Code Title 3 (Rights of Spouses); and (d) case law including Stewart v. Stewart, 214 Md. App. 458 (2013).</w:t>
      </w:r>
    </w:p>
    <w:p w:rsidR="00000000" w:rsidDel="00000000" w:rsidP="00000000" w:rsidRDefault="00000000" w:rsidRPr="00000000" w14:paraId="000000A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6">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Maryland Timing Standard</w:t>
      </w:r>
      <w:r w:rsidDel="00000000" w:rsidR="00000000" w:rsidRPr="00000000">
        <w:rPr>
          <w:rFonts w:ascii="Roboto" w:cs="Roboto" w:eastAsia="Roboto" w:hAnsi="Roboto"/>
          <w:sz w:val="24"/>
          <w:szCs w:val="24"/>
          <w:rtl w:val="0"/>
        </w:rPr>
        <w:t xml:space="preserve">: Maryland upheld prenuptial agreement signed four days before wedding (Stewart v. Stewart, 214 Md. App. 458 (2013)) but invalidated agreement signed six days before wedding under duress with language barriers and pressure. Parties acknowledge 60+ days between signing and wedding eliminates any duress claim and demonstrates voluntary, informed execution.</w:t>
      </w:r>
    </w:p>
    <w:p w:rsidR="00000000" w:rsidDel="00000000" w:rsidP="00000000" w:rsidRDefault="00000000" w:rsidRPr="00000000" w14:paraId="000000B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equitable distribution under Maryland's Marital Property Act (Md. Code Ann., Fam. Law §§ 8-201 to 8-214), spousal support under Maryland Family Law Code Title 11, inheritance claims under Maryland Estates and Trusts Code, and any other marital rights to the fullest extent permitted under Maryland contract law.</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not grounded in fraud, duress, or incapacity. </w:t>
      </w:r>
    </w:p>
    <w:p w:rsidR="00000000" w:rsidDel="00000000" w:rsidP="00000000" w:rsidRDefault="00000000" w:rsidRPr="00000000" w14:paraId="000000B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F">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1">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D">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E">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F">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0">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1">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2">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3">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9">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