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MINNESOTA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this Agreement is executed at least seven (7) days before the Parties' marriage ceremony, in compliance with Minnesota Statutes § 519.11, and the Parties acknowledge that agreements executed less than seven days before marriage are not presumed enforceable under Minnesota law;</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Minnesota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and all income, profits, distributions, and appreciation therefrom remain separate property, representing the Parties' agreement to classify such income as separate property under Minnesota Statutes § 519.11. Non-owner spouse acquires no ownership or marital property interest absent documented capital contributions or legal co-ownership.</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Limited Waiver</w:t>
      </w:r>
      <w:r w:rsidDel="00000000" w:rsidR="00000000" w:rsidRPr="00000000">
        <w:rPr>
          <w:rFonts w:ascii="Roboto" w:cs="Roboto" w:eastAsia="Roboto" w:hAnsi="Roboto"/>
          <w:sz w:val="24"/>
          <w:szCs w:val="24"/>
          <w:rtl w:val="0"/>
        </w:rPr>
        <w:t xml:space="preserve">: Both Parties acknowledge Minnesota Statutes § 518.552 governs spousal maintenance. The Parties agree to limit maintenance to amounts and durations below statutory presumptions, representing a limitation rather than elimination of maintenance rights, consistent with § 519.11, Subd. 1c(b).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Temporary Support and Crediting</w:t>
      </w:r>
      <w:r w:rsidDel="00000000" w:rsidR="00000000" w:rsidRPr="00000000">
        <w:rPr>
          <w:rFonts w:ascii="Roboto" w:cs="Roboto" w:eastAsia="Roboto" w:hAnsi="Roboto"/>
          <w:sz w:val="24"/>
          <w:szCs w:val="24"/>
          <w:rtl w:val="0"/>
        </w:rPr>
        <w:t xml:space="preserve">: Nothing in this Agreement limits a Party's statutory right to temporary maintenance during the pendency of a dissolution proceeding under § 518.131. All temporary support paid shall be credited against the Section 4.13 lifetime cap, and if this Agreement is upheld, any temporary support exceeding the amounts due under this Section 4 shall be reimbursed within 90 days of final judgment or offset against future payments.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biological children of both Parties (whether conceived naturally or through assisted reproduction) and any children legally adopted by both Parties during the marriage. Either Party may request genetic testing of any Child of the Marriage at the requesting Party's expense. If a child is not the biological child of both Parties and was not jointly adopted, the support multiplier in Section 4.6 shall be recalculated excluding that child, prospectively from the date of verified results. Child support obligations under Chapter 518A are unaffected.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Gross income minus federal income tax, state income tax, Social Security tax, and Medicare tax (excluding voluntary deductions such as retirement contributions, health insurance premiums, or flexible spending). Calculated as the three-year average preceding the date of filing, except if the most recent year is lower due to involuntary job loss, disability, or business closure, then the most recent year applies.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w:t>
      </w:r>
    </w:p>
    <w:p w:rsidR="00000000" w:rsidDel="00000000" w:rsidP="00000000" w:rsidRDefault="00000000" w:rsidRPr="00000000" w14:paraId="0000003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6%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8%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10%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14% of payor's net income</w:t>
      </w:r>
    </w:p>
    <w:p w:rsidR="00000000" w:rsidDel="00000000" w:rsidP="00000000" w:rsidRDefault="00000000" w:rsidRPr="00000000" w14:paraId="0000003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16%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$3,000 per month, adjusted annually by CPI-U from the date of this Agreement. </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Child support and child custody are unaffected and handled separately by a family law court.</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"Marriage length" means the period from the date of marriage to the date of commencement of the dissolution action (filing date); if no action is filed, the date the Parties cease residing together as spouses: </w:t>
      </w:r>
    </w:p>
    <w:p w:rsidR="00000000" w:rsidDel="00000000" w:rsidP="00000000" w:rsidRDefault="00000000" w:rsidRPr="00000000" w14:paraId="0000003F">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40">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1">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2">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3">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4">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the recipient with total household income (including all sources) below 150% of the Federal Poverty Level for their household size (including dependent Children of the Marriage), support shall be increased to achieve that threshold, but shall not exceed the amounts otherwise calculated under this Section 4 by more than 50%.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Sections 4.6 or 4.7 is deemed unconscionable by a court, it shall be reformed to the following percentages of payor's net income, minus 50% of recipient's income. Duration shall be 40% of marriage length.</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8%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12%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4A">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Maximum: $4,500 per month, adjusted annually by CPI-U from the date of this Agreement. This reformed formula constitutes the Parties' agreed outer boundary and shall be applied in lieu of statutory guidelines.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is payable if payor's gross annual income is below the greater of: (a) 75% of payor's gross income in the twelve months prior to executing this Agreement, or (b) 250% of the Federal Poverty Level for a single person.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Maintenance ceases upon earliest of: (a) recipient's remarriage; (b) recipient's cohabitation with another adult in a romantic relationship involving shared financial or domestic responsibilities for 60+ consecutive days, subject to § 518.552, Subd. 6 evaluation factors — a motion based on cohabitation may not be brought within one year of entry of the dissolution decree unless both Parties agree otherwise in writing or a court finds extreme hardship under Subd. 6(c); (c) death of either Party; (d) duration expiration.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Modification of this Section 4 is expressly limited under § 518.552, Subd. 5. Modification requires clear and convincing evidence that unforeseeable circumstances would cause inability to meet basic subsistence needs. The following are foreseeable: dissolution, workforce departures, income changes, health conditions, economic conditions, and childcare decisions. Any court-ordered modification shall not exceed the Reformed Formula in Section 4.9.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(including temporary support credited under Section 4.2) shall not exceed the lesser of: (a) the amounts calculated under Sections 4.7 and 4.8; or (b) payor's average annual net income multiplied by: </w:t>
      </w:r>
    </w:p>
    <w:p w:rsidR="00000000" w:rsidDel="00000000" w:rsidP="00000000" w:rsidRDefault="00000000" w:rsidRPr="00000000" w14:paraId="0000004F">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50">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51">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Post-Filing Income</w:t>
      </w:r>
      <w:r w:rsidDel="00000000" w:rsidR="00000000" w:rsidRPr="00000000">
        <w:rPr>
          <w:rFonts w:ascii="Roboto" w:cs="Roboto" w:eastAsia="Roboto" w:hAnsi="Roboto"/>
          <w:sz w:val="24"/>
          <w:szCs w:val="24"/>
          <w:rtl w:val="0"/>
        </w:rPr>
        <w:t xml:space="preserve">: Maintenance shall not be modified based on increases in payor's income after filing — including promotions, bonuses, business growth, investment returns, inheritances, or new employment. Post-filing decreases are addressed solely through Section 4.12.</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Public Assistance Override</w:t>
      </w:r>
      <w:r w:rsidDel="00000000" w:rsidR="00000000" w:rsidRPr="00000000">
        <w:rPr>
          <w:rFonts w:ascii="Roboto" w:cs="Roboto" w:eastAsia="Roboto" w:hAnsi="Roboto"/>
          <w:sz w:val="24"/>
          <w:szCs w:val="24"/>
          <w:rtl w:val="0"/>
        </w:rPr>
        <w:t xml:space="preserve">: If the recipient would qualify for means-tested public assistance absent maintenance, the court may override this Section 4 to the minimum extent necessary to prevent eligibility. Amounts awarded under this override count toward the Section 4.13 lifetime cap.</w:t>
      </w:r>
    </w:p>
    <w:p w:rsidR="00000000" w:rsidDel="00000000" w:rsidP="00000000" w:rsidRDefault="00000000" w:rsidRPr="00000000" w14:paraId="0000005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C">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D">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E">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60">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rights under Minnesota Statutes § 524.2-202 (elective share), § 524.2-402 (homestead allowance), § 524.2-403 (exempt property), § 524.2-404 (family allowance), and all other statutory inheritance rights under Minnesota law.</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If the Parties establish domicile outside Minnesota, they agree to re-execute any inheritance waivers required by the new domicile's law within 90 days of establishing residency. </w:t>
      </w:r>
    </w:p>
    <w:p w:rsidR="00000000" w:rsidDel="00000000" w:rsidP="00000000" w:rsidRDefault="00000000" w:rsidRPr="00000000" w14:paraId="0000006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3">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  Disclosures also include the basis for valuations including account statements, recent appraisals, tax returns, and business financial statements, in compliance with Minnesota Statutes § 519.11.</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DISCLOSURE ACKNOWLEDGMENT AND ESTOPPEL</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Disclosure Provided</w:t>
      </w:r>
      <w:r w:rsidDel="00000000" w:rsidR="00000000" w:rsidRPr="00000000">
        <w:rPr>
          <w:rFonts w:ascii="Roboto" w:cs="Roboto" w:eastAsia="Roboto" w:hAnsi="Roboto"/>
          <w:sz w:val="24"/>
          <w:szCs w:val="24"/>
          <w:rtl w:val="0"/>
        </w:rPr>
        <w:t xml:space="preserve">: Each Party has provided full and fair disclosure in compliance with § 519.11, Subd. 1b(a), including all material facts of income, good-faith property valuations, and the basis for those estimates. The right to disclosure under § 519.11 cannot be waived and has not been waived.</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Specific Acknowledgment</w:t>
      </w:r>
      <w:r w:rsidDel="00000000" w:rsidR="00000000" w:rsidRPr="00000000">
        <w:rPr>
          <w:rFonts w:ascii="Roboto" w:cs="Roboto" w:eastAsia="Roboto" w:hAnsi="Roboto"/>
          <w:sz w:val="24"/>
          <w:szCs w:val="24"/>
          <w:rtl w:val="0"/>
        </w:rPr>
        <w:t xml:space="preserve">: Each Party represents, as an admission against interest, that they received the other's complete disclosures (Exhibits A and B) with adequate time for review, reviewed them with independent counsel, had full opportunity to request additional documents and conduct independent verification, and are satisfied disclosure was full, fair, and complete.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Estoppel</w:t>
      </w:r>
      <w:r w:rsidDel="00000000" w:rsidR="00000000" w:rsidRPr="00000000">
        <w:rPr>
          <w:rFonts w:ascii="Roboto" w:cs="Roboto" w:eastAsia="Roboto" w:hAnsi="Roboto"/>
          <w:sz w:val="24"/>
          <w:szCs w:val="24"/>
          <w:rtl w:val="0"/>
        </w:rPr>
        <w:t xml:space="preserve">: Each Party is estopped from claiming the other's disclosures were inadequate except upon clear and convincing evidence of intentional fraud — meaning deliberate concealment or material misrepresentation of an asset, liability, or income source existing at execution. Valuation disagreements, negligent omissions, and post-execution changes do not constitute fraud.</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w:t>
      </w:r>
      <w:r w:rsidDel="00000000" w:rsidR="00000000" w:rsidRPr="00000000">
        <w:rPr>
          <w:rFonts w:ascii="Roboto" w:cs="Roboto" w:eastAsia="Roboto" w:hAnsi="Roboto"/>
          <w:b w:val="1"/>
          <w:bCs w:val="1"/>
          <w:sz w:val="24"/>
          <w:szCs w:val="24"/>
          <w:rtl w:val="0"/>
        </w:rPr>
        <w:t xml:space="preserve"> Independent Enforceability</w:t>
      </w:r>
      <w:r w:rsidDel="00000000" w:rsidR="00000000" w:rsidRPr="00000000">
        <w:rPr>
          <w:rFonts w:ascii="Roboto" w:cs="Roboto" w:eastAsia="Roboto" w:hAnsi="Roboto"/>
          <w:sz w:val="24"/>
          <w:szCs w:val="24"/>
          <w:rtl w:val="0"/>
        </w:rPr>
        <w:t xml:space="preserve">: If a court finds any disclosure inadequate despite this Section, only provisions directly affected by the inadequacy shall be severed; the remainder shall be enforced under Section 18.</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9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5">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Minnesota Law</w:t>
      </w:r>
      <w:r w:rsidDel="00000000" w:rsidR="00000000" w:rsidRPr="00000000">
        <w:rPr>
          <w:rFonts w:ascii="Roboto" w:cs="Roboto" w:eastAsia="Roboto" w:hAnsi="Roboto"/>
          <w:sz w:val="24"/>
          <w:szCs w:val="24"/>
          <w:rtl w:val="0"/>
        </w:rPr>
        <w:t xml:space="preserve">: This Agreement is governed by Minnesota law as of execution, including Minnesota Statutes § 519.11, Minnesota Statutes § 518.552, McKee-Johnson v. Johnson, 444 N.W.2d 259 (Minn. 1989), and Kremer v. Kremer, 912 N.W.2d 617 (Minn. 2018), regardless of domicile or asset location at time of enforcement. This Agreement shall be reviewed for substantive fairness both at execution and at enforcement under Minnesota's dual review standard.</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Minnesota jurisdiction and waives forum non conveniens defenses. Either Party may alternatively enforce this Agreement in any jurisdiction providing equal or stronger prenuptial protections than Minnesota.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intend Minnesota law to govern this Agreement's interpretation and enforcement. If a court applies the law of another jurisdiction, it shall apply whichever law provides stronger prenuptial enforcement. </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enforceable under § 519.11, Subd. 1b(c), and the Party challenging validity bears the burden of proof, provided this Agreement was executed at least seven days before the marriage. Neither Party may initiate proceedings in jurisdictions with weaker prenuptial enforcement than Minnesota. </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valid postnuptial agreement under § 519.11, Subd. 1d, executed as a written instrument that: (a) is presented in final form to the other Party at least thirty (30) days before execution; (b) is signed by both Parties in the presence of two witnesses and acknowledged before a notary public; (c) is executed while each Party is represented by separate legal counsel; and (d) is accompanied by written acknowledgment from each Party's counsel confirming review of the modification and the client's understanding of its terms and legal effect. </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Mandatory Seven-Day Requirement</w:t>
      </w:r>
      <w:r w:rsidDel="00000000" w:rsidR="00000000" w:rsidRPr="00000000">
        <w:rPr>
          <w:rFonts w:ascii="Roboto" w:cs="Roboto" w:eastAsia="Roboto" w:hAnsi="Roboto"/>
          <w:sz w:val="24"/>
          <w:szCs w:val="24"/>
          <w:rtl w:val="0"/>
        </w:rPr>
        <w:t xml:space="preserve">: This Agreement MUST be executed at least seven (7) days before the marriage ceremony to obtain the presumption of enforceability under Minnesota Statutes § 519.11. Agreements signed less than seven days before marriage are not presumed enforceable, and the party seeking enforcement bears the burden of proof.</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with reasonable opportunity for verification, as detailed in Sections 11 and 12. </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limiting (not eliminating) statutory rights to spousal maintenance under Minnesota Statutes § 518.552, waiving property division rights beyond those specified in Sections 2-3, waiving inheritance rights under Minnesota Statutes Chapter 524, and waiving other marital rights to the fullest extent permitted under Minnesota Statutes § 519.11 and Minnesota case law.</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represents, as an admission against interest, that they received complete financial disclosures with adequate review time, consulted independent counsel who explained all rights being limited, executed this Agreement free from threats or impairment, understand every provision, believe it fair and reasonable, and intend these representations to be relied upon in any future proceeding. </w:t>
      </w:r>
    </w:p>
    <w:p w:rsidR="00000000" w:rsidDel="00000000" w:rsidP="00000000" w:rsidRDefault="00000000" w:rsidRPr="00000000" w14:paraId="000000B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MINNESOTA-SPECIFIC REQUIREMENTS </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21.1</w:t>
      </w:r>
      <w:r w:rsidDel="00000000" w:rsidR="00000000" w:rsidRPr="00000000">
        <w:rPr>
          <w:rFonts w:ascii="Roboto" w:cs="Roboto" w:eastAsia="Roboto" w:hAnsi="Roboto"/>
          <w:b w:val="1"/>
          <w:bCs w:val="1"/>
          <w:sz w:val="24"/>
          <w:szCs w:val="24"/>
          <w:rtl w:val="0"/>
        </w:rPr>
        <w:t xml:space="preserve"> Witness and Notarization</w:t>
      </w:r>
      <w:r w:rsidDel="00000000" w:rsidR="00000000" w:rsidRPr="00000000">
        <w:rPr>
          <w:rFonts w:ascii="Roboto" w:cs="Roboto" w:eastAsia="Roboto" w:hAnsi="Roboto"/>
          <w:sz w:val="24"/>
          <w:szCs w:val="24"/>
          <w:rtl w:val="0"/>
        </w:rPr>
        <w:t xml:space="preserve">: This Agreement complies with Minnesota Statutes § 519.11, which requires: (a) written form; (b) signatures of both Parties; (c) two witness signatures; (d) notarization; and (e) execution at least seven days before marriage for presumption of enforceability.</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21.2 </w:t>
      </w:r>
      <w:r w:rsidDel="00000000" w:rsidR="00000000" w:rsidRPr="00000000">
        <w:rPr>
          <w:rFonts w:ascii="Roboto" w:cs="Roboto" w:eastAsia="Roboto" w:hAnsi="Roboto"/>
          <w:b w:val="1"/>
          <w:bCs w:val="1"/>
          <w:sz w:val="24"/>
          <w:szCs w:val="24"/>
          <w:rtl w:val="0"/>
        </w:rPr>
        <w:t xml:space="preserve">Substantive Fairness</w:t>
      </w:r>
      <w:r w:rsidDel="00000000" w:rsidR="00000000" w:rsidRPr="00000000">
        <w:rPr>
          <w:rFonts w:ascii="Roboto" w:cs="Roboto" w:eastAsia="Roboto" w:hAnsi="Roboto"/>
          <w:sz w:val="24"/>
          <w:szCs w:val="24"/>
          <w:rtl w:val="0"/>
        </w:rPr>
        <w:t xml:space="preserve">: The Parties acknowledge this Agreement will be reviewed for substantive fairness at both execution and enforcement. The Parties represent this Agreement is not unconscionable at execution and reasonably anticipate circumstances under which it would remain substantively fair at enforcement. </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21.3 </w:t>
      </w:r>
      <w:r w:rsidDel="00000000" w:rsidR="00000000" w:rsidRPr="00000000">
        <w:rPr>
          <w:rFonts w:ascii="Roboto" w:cs="Roboto" w:eastAsia="Roboto" w:hAnsi="Roboto"/>
          <w:b w:val="1"/>
          <w:bCs w:val="1"/>
          <w:sz w:val="24"/>
          <w:szCs w:val="24"/>
          <w:rtl w:val="0"/>
        </w:rPr>
        <w:t xml:space="preserve">Changed Circumstances</w:t>
      </w:r>
      <w:r w:rsidDel="00000000" w:rsidR="00000000" w:rsidRPr="00000000">
        <w:rPr>
          <w:rFonts w:ascii="Roboto" w:cs="Roboto" w:eastAsia="Roboto" w:hAnsi="Roboto"/>
          <w:sz w:val="24"/>
          <w:szCs w:val="24"/>
          <w:rtl w:val="0"/>
        </w:rPr>
        <w:t xml:space="preserve">: The Parties acknowledge Minnesota courts may refuse enforcement if circumstances change so drastically that enforcement would be unconscionable or would not match the Parties' reasonable expectations at execution. </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21.4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affirms execution is free from duress, coercion, or undue influence, with particular acknowledgment that execution at least seven days before marriage provides adequate time for reflection and consultation.</w:t>
      </w:r>
    </w:p>
    <w:p w:rsidR="00000000" w:rsidDel="00000000" w:rsidP="00000000" w:rsidRDefault="00000000" w:rsidRPr="00000000" w14:paraId="000000C4">
      <w:pPr>
        <w:spacing w:line="240" w:lineRule="auto"/>
        <w:rPr>
          <w:rFonts w:ascii="Roboto" w:cs="Roboto" w:eastAsia="Roboto" w:hAnsi="Roboto"/>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22. EXECUTION</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WITNESS SIGNATURES (REQUIRED UNDER MINNESOTA LAW) </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1: ______________________________________ </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______________ Printed Name: _________________________ </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Address: ______________________________ </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2: ______________________________________ </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______________ Printed Name: _________________________ </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Address: ______________________________ </w:t>
      </w:r>
    </w:p>
    <w:p w:rsidR="00000000" w:rsidDel="00000000" w:rsidP="00000000" w:rsidRDefault="00000000" w:rsidRPr="00000000" w14:paraId="000000D3">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Minnesota County of _______________ </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 day of __________, 20___, before me personally appeared [Party A Name] and [Party B Name], known to me to be the persons whose names are subscribed to the foregoing instrument, and acknowledged that they executed the same as their free act and deed. </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 </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Commission Expires: ________________</w:t>
      </w:r>
    </w:p>
    <w:p w:rsidR="00000000" w:rsidDel="00000000" w:rsidP="00000000" w:rsidRDefault="00000000" w:rsidRPr="00000000" w14:paraId="000000D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DD">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DE">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F">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with adequate time for review. This Agreement was executed at least seven (7) days before the wedding date, in compliance with § 519.11, Subd. 1b(b)(5). </w:t>
      </w:r>
    </w:p>
    <w:p w:rsidR="00000000" w:rsidDel="00000000" w:rsidP="00000000" w:rsidRDefault="00000000" w:rsidRPr="00000000" w14:paraId="000000E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2">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3">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A">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C">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D">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with adequate time for review. This Agreement was executed at least seven (7) days before the wedding date, in compliance with § 519.11, Subd. 1b(b)(5). </w:t>
      </w:r>
    </w:p>
    <w:p w:rsidR="00000000" w:rsidDel="00000000" w:rsidP="00000000" w:rsidRDefault="00000000" w:rsidRPr="00000000" w14:paraId="000000EE">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F">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F0">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F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F7">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