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MISSISSIPPI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retain independent legal counsel, has had adequate opportunity to consult with counsel of their choosing, has carefully read and reviewed this Agreement, understands its terms and legal effect, and enters into this Agreement voluntarily and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Mississippi measures substantive unconscionability at the time of execution only (</w:t>
      </w:r>
      <w:r w:rsidDel="00000000" w:rsidR="00000000" w:rsidRPr="00000000">
        <w:rPr>
          <w:rFonts w:ascii="Roboto" w:cs="Roboto" w:eastAsia="Roboto" w:hAnsi="Roboto"/>
          <w:i w:val="1"/>
          <w:iCs w:val="1"/>
          <w:sz w:val="24"/>
          <w:szCs w:val="24"/>
          <w:rtl w:val="0"/>
        </w:rPr>
        <w:t xml:space="preserve">Sanderson v. Sanderson</w:t>
      </w:r>
      <w:r w:rsidDel="00000000" w:rsidR="00000000" w:rsidRPr="00000000">
        <w:rPr>
          <w:rFonts w:ascii="Roboto" w:cs="Roboto" w:eastAsia="Roboto" w:hAnsi="Roboto"/>
          <w:sz w:val="24"/>
          <w:szCs w:val="24"/>
          <w:rtl w:val="0"/>
        </w:rPr>
        <w:t xml:space="preserve">, No. 2016-CA-01739-SCT (Miss. 2018)), and each Party affirms this Agreement is fair and reasonable as of the execution date irrespective of future circumstances;</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Mississippi and intend for it to be legally binding and enforceable under Mississippi common law, including </w:t>
      </w:r>
      <w:r w:rsidDel="00000000" w:rsidR="00000000" w:rsidRPr="00000000">
        <w:rPr>
          <w:rFonts w:ascii="Roboto" w:cs="Roboto" w:eastAsia="Roboto" w:hAnsi="Roboto"/>
          <w:i w:val="1"/>
          <w:iCs w:val="1"/>
          <w:sz w:val="24"/>
          <w:szCs w:val="24"/>
          <w:rtl w:val="0"/>
        </w:rPr>
        <w:t xml:space="preserve">Sanderson v. Sanderson</w:t>
      </w:r>
      <w:r w:rsidDel="00000000" w:rsidR="00000000" w:rsidRPr="00000000">
        <w:rPr>
          <w:rFonts w:ascii="Roboto" w:cs="Roboto" w:eastAsia="Roboto" w:hAnsi="Roboto"/>
          <w:sz w:val="24"/>
          <w:szCs w:val="24"/>
          <w:rtl w:val="0"/>
        </w:rPr>
        <w:t xml:space="preserve">, 170 So. 3d 430 (Miss. 2014), </w:t>
      </w:r>
      <w:r w:rsidDel="00000000" w:rsidR="00000000" w:rsidRPr="00000000">
        <w:rPr>
          <w:rFonts w:ascii="Roboto" w:cs="Roboto" w:eastAsia="Roboto" w:hAnsi="Roboto"/>
          <w:i w:val="1"/>
          <w:iCs w:val="1"/>
          <w:sz w:val="24"/>
          <w:szCs w:val="24"/>
          <w:rtl w:val="0"/>
        </w:rPr>
        <w:t xml:space="preserve">Mabus v. Mabus</w:t>
      </w:r>
      <w:r w:rsidDel="00000000" w:rsidR="00000000" w:rsidRPr="00000000">
        <w:rPr>
          <w:rFonts w:ascii="Roboto" w:cs="Roboto" w:eastAsia="Roboto" w:hAnsi="Roboto"/>
          <w:sz w:val="24"/>
          <w:szCs w:val="24"/>
          <w:rtl w:val="0"/>
        </w:rPr>
        <w:t xml:space="preserve">, 890 So. 2d 806 (Miss. 2003), and their progeny;</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and Family-Use Override:</w:t>
      </w:r>
      <w:r w:rsidDel="00000000" w:rsidR="00000000" w:rsidRPr="00000000">
        <w:rPr>
          <w:rFonts w:ascii="Roboto" w:cs="Roboto" w:eastAsia="Roboto" w:hAnsi="Roboto"/>
          <w:sz w:val="24"/>
          <w:szCs w:val="24"/>
          <w:rtl w:val="0"/>
        </w:rPr>
        <w:t xml:space="preserve"> The Parties expressly override Mississippi's commingling and family-use doctrines as applied in </w:t>
      </w:r>
      <w:r w:rsidDel="00000000" w:rsidR="00000000" w:rsidRPr="00000000">
        <w:rPr>
          <w:rFonts w:ascii="Roboto" w:cs="Roboto" w:eastAsia="Roboto" w:hAnsi="Roboto"/>
          <w:i w:val="1"/>
          <w:iCs w:val="1"/>
          <w:sz w:val="24"/>
          <w:szCs w:val="24"/>
          <w:rtl w:val="0"/>
        </w:rPr>
        <w:t xml:space="preserve">Sanderson v. Sanderson</w:t>
      </w:r>
      <w:r w:rsidDel="00000000" w:rsidR="00000000" w:rsidRPr="00000000">
        <w:rPr>
          <w:rFonts w:ascii="Roboto" w:cs="Roboto" w:eastAsia="Roboto" w:hAnsi="Roboto"/>
          <w:sz w:val="24"/>
          <w:szCs w:val="24"/>
          <w:rtl w:val="0"/>
        </w:rPr>
        <w:t xml:space="preserve">, 170 So. 3d 430 (Miss. 2014). Separate property deposited into joint accounts, used for familial purposes, or otherwise commingled retains its character as the contributing Party's separate property and is subject to tracing. The non-contributing Party acquires no marital interest by virtue of familial use, joint titling, or commingling. Reasonable evidence of the source — including bank statements, transfer records, or a sworn affidavit supported by contemporaneous documentation — shall be sufficient tracing evidence. </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fully waive all rights to alimony, spousal support, or maintenance of any kind — periodic, lump-sum, rehabilitative, reimbursement, or permanent — except the limited support expressly provided in this Section 4. Any temporary support paid during proceedings shall be credited dollar-for-dollar against any obligation under this Section 4, at payor's election.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 terms apply uniformly at all proceedings stages (temporary, pendente lite, interim, final, post-judgment). The Parties intend Section 4 to be the exclusive measure of spousal support, and request that no court award support exceeding or different from Section 4 amounts. Excess temporary support paid during validity challenges shall be credited or reimbursed to payor within 30 days of upholding.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legally adopted or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18 months of divorce. "Employment" means earning at least $30,000 annually in gross income, verified by tax returns, W-2s, or equivalent documentation. Payor may request annual verification of recipient's employment status.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3%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4%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5%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6%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$2,500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 payable)</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25% of marriage length</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Floor</w:t>
      </w:r>
      <w:r w:rsidDel="00000000" w:rsidR="00000000" w:rsidRPr="00000000">
        <w:rPr>
          <w:rFonts w:ascii="Roboto" w:cs="Roboto" w:eastAsia="Roboto" w:hAnsi="Roboto"/>
          <w:sz w:val="24"/>
          <w:szCs w:val="24"/>
          <w:rtl w:val="0"/>
        </w:rPr>
        <w:t xml:space="preserve">: If strict application of Sections 4.6 and 4.7 would leave recipient with total household income below 130% of Federal Poverty Level for their household size, monthly support shall be increased only to the minimum amount necessary to reach that threshold, and only for the duration calculated under Section 4.7. "Total household income" means all income received by or on behalf of the recipient's household, including earned income, child support, government benefits, investment income, and any other recurring cash payments. This floor is the Parties' voluntary concession and does not expand any other provision. </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30% of marriage length, capped at 4 years. </w:t>
      </w:r>
    </w:p>
    <w:p w:rsidR="00000000" w:rsidDel="00000000" w:rsidP="00000000" w:rsidRDefault="00000000" w:rsidRPr="00000000" w14:paraId="00000046">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5% of payor's net income</w:t>
      </w:r>
    </w:p>
    <w:p w:rsidR="00000000" w:rsidDel="00000000" w:rsidP="00000000" w:rsidRDefault="00000000" w:rsidRPr="00000000" w14:paraId="0000004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7% of payor's net income</w:t>
      </w:r>
    </w:p>
    <w:p w:rsidR="00000000" w:rsidDel="00000000" w:rsidP="00000000" w:rsidRDefault="00000000" w:rsidRPr="00000000" w14:paraId="00000048">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10% of payor's net income</w:t>
      </w:r>
    </w:p>
    <w:p w:rsidR="00000000" w:rsidDel="00000000" w:rsidP="00000000" w:rsidRDefault="00000000" w:rsidRPr="00000000" w14:paraId="00000049">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Maximum: $3,500 per month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250% of Federal Poverty Level for a single person ($31,300 in 2025), adjusted annually by CPI. Voluntary income reduction, early retirement before age 65, or underemployment does not trigger this floor; the three-year average under Section 4.5 continues to apply.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 romantic partner for 60+ consecutive days or 90+ non-consecutive days within any 12-month period; (c) Recipient's death; (d) Payor's death; or (e) Duration limit expiration under Section 4.7.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Both parties acknowledge that modification requires clear and convincing evidence of changed circumstances not reasonably foreseeable at execution that would make enforcement unconscionable, and specifically acknowledge as reasonably foreseeable: dissolution, workforce departures, income/employment changes, health issues, economic conditions, and childcare decisions.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F">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40% </w:t>
      </w:r>
    </w:p>
    <w:p w:rsidR="00000000" w:rsidDel="00000000" w:rsidP="00000000" w:rsidRDefault="00000000" w:rsidRPr="00000000" w14:paraId="00000050">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60% </w:t>
      </w:r>
    </w:p>
    <w:p w:rsidR="00000000" w:rsidDel="00000000" w:rsidP="00000000" w:rsidRDefault="00000000" w:rsidRPr="00000000" w14:paraId="00000051">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80%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A">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B">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C">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E">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expressly and irrevocably waives all rights to inherit from the other's estate, including the statutory elective share under Miss. Code Ann. § 91-5-25, homestead and exempt-property rights under Miss. Code Ann. §§ 91-1-19, 91-1-21, 91-1-23, 91-2-23, and 85-3-21, family allowance, spousal allowance, and any other statutory inheritance right under Mississippi law. This waiver is authorized by </w:t>
      </w:r>
      <w:r w:rsidDel="00000000" w:rsidR="00000000" w:rsidRPr="00000000">
        <w:rPr>
          <w:rFonts w:ascii="Roboto" w:cs="Roboto" w:eastAsia="Roboto" w:hAnsi="Roboto"/>
          <w:i w:val="1"/>
          <w:iCs w:val="1"/>
          <w:sz w:val="24"/>
          <w:szCs w:val="24"/>
          <w:rtl w:val="0"/>
        </w:rPr>
        <w:t xml:space="preserve">In re Estate of Bell</w:t>
      </w:r>
      <w:r w:rsidDel="00000000" w:rsidR="00000000" w:rsidRPr="00000000">
        <w:rPr>
          <w:rFonts w:ascii="Roboto" w:cs="Roboto" w:eastAsia="Roboto" w:hAnsi="Roboto"/>
          <w:sz w:val="24"/>
          <w:szCs w:val="24"/>
          <w:rtl w:val="0"/>
        </w:rPr>
        <w:t xml:space="preserve">, 372 So. 3d 1008 (Miss. Ct. App. 2023). </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6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Mississippi county where marital residence was established. The arbitrator shall strictly apply this Agreement's terms under Mississippi contract law and shall not find any provision unconscionable under a "results-based" or post-divorce standard (</w:t>
      </w:r>
      <w:r w:rsidDel="00000000" w:rsidR="00000000" w:rsidRPr="00000000">
        <w:rPr>
          <w:rFonts w:ascii="Roboto" w:cs="Roboto" w:eastAsia="Roboto" w:hAnsi="Roboto"/>
          <w:i w:val="1"/>
          <w:iCs w:val="1"/>
          <w:sz w:val="24"/>
          <w:szCs w:val="24"/>
          <w:rtl w:val="0"/>
        </w:rPr>
        <w:t xml:space="preserve">Sanderson v. Sanderson</w:t>
      </w:r>
      <w:r w:rsidDel="00000000" w:rsidR="00000000" w:rsidRPr="00000000">
        <w:rPr>
          <w:rFonts w:ascii="Roboto" w:cs="Roboto" w:eastAsia="Roboto" w:hAnsi="Roboto"/>
          <w:sz w:val="24"/>
          <w:szCs w:val="24"/>
          <w:rtl w:val="0"/>
        </w:rPr>
        <w:t xml:space="preserve">, No. 2016-CA-01739-SCT (Miss. 2018)). Judgment is final and non-appealable except for fraud or arbitrator misconduct. Note: Mississippi chancery courts retain exclusive jurisdiction over divorce itself; arbitration applies only to the financial terms governed by this Agreement. </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1">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Limitation:</w:t>
      </w:r>
      <w:r w:rsidDel="00000000" w:rsidR="00000000" w:rsidRPr="00000000">
        <w:rPr>
          <w:rFonts w:ascii="Roboto" w:cs="Roboto" w:eastAsia="Roboto" w:hAnsi="Roboto"/>
          <w:sz w:val="24"/>
          <w:szCs w:val="24"/>
          <w:rtl w:val="0"/>
        </w:rPr>
        <w:t xml:space="preserve"> The Parties agree that discovery in any proceeding arising under this Agreement shall be limited to what is necessary to resolve specific claims of fraud, duress, or incapacity in execution. The Parties waive broader discovery into post-execution financial circumstances, which are irrelevant under Mississippi's execution-only unconscionability rule (</w:t>
      </w:r>
      <w:r w:rsidDel="00000000" w:rsidR="00000000" w:rsidRPr="00000000">
        <w:rPr>
          <w:rFonts w:ascii="Roboto" w:cs="Roboto" w:eastAsia="Roboto" w:hAnsi="Roboto"/>
          <w:i w:val="1"/>
          <w:iCs w:val="1"/>
          <w:sz w:val="24"/>
          <w:szCs w:val="24"/>
          <w:rtl w:val="0"/>
        </w:rPr>
        <w:t xml:space="preserve">Sanderson v. Sanderson</w:t>
      </w:r>
      <w:r w:rsidDel="00000000" w:rsidR="00000000" w:rsidRPr="00000000">
        <w:rPr>
          <w:rFonts w:ascii="Roboto" w:cs="Roboto" w:eastAsia="Roboto" w:hAnsi="Roboto"/>
          <w:sz w:val="24"/>
          <w:szCs w:val="24"/>
          <w:rtl w:val="0"/>
        </w:rPr>
        <w:t xml:space="preserve">, No. 2016-CA-01739-SCT (Miss. 2018)).</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acknowledges that, independent of any disclosures provided under Section 11, each Party possesses sufficient independent knowledge of the other Party's financial circumstances — including income, assets, liabilities, and earning capacity — to evaluate this Agreement's fairness, satisfying the alternative basis for enforceability recognized in </w:t>
      </w:r>
      <w:r w:rsidDel="00000000" w:rsidR="00000000" w:rsidRPr="00000000">
        <w:rPr>
          <w:rFonts w:ascii="Roboto" w:cs="Roboto" w:eastAsia="Roboto" w:hAnsi="Roboto"/>
          <w:i w:val="1"/>
          <w:iCs w:val="1"/>
          <w:sz w:val="24"/>
          <w:szCs w:val="24"/>
          <w:rtl w:val="0"/>
        </w:rPr>
        <w:t xml:space="preserve">Mabus v. Mabus</w:t>
      </w:r>
      <w:r w:rsidDel="00000000" w:rsidR="00000000" w:rsidRPr="00000000">
        <w:rPr>
          <w:rFonts w:ascii="Roboto" w:cs="Roboto" w:eastAsia="Roboto" w:hAnsi="Roboto"/>
          <w:sz w:val="24"/>
          <w:szCs w:val="24"/>
          <w:rtl w:val="0"/>
        </w:rPr>
        <w:t xml:space="preserve">, 890 So. 2d 806 (Miss. 2003). </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Independent Knowledge Affirmation</w:t>
      </w:r>
      <w:r w:rsidDel="00000000" w:rsidR="00000000" w:rsidRPr="00000000">
        <w:rPr>
          <w:rFonts w:ascii="Roboto" w:cs="Roboto" w:eastAsia="Roboto" w:hAnsi="Roboto"/>
          <w:sz w:val="24"/>
          <w:szCs w:val="24"/>
          <w:rtl w:val="0"/>
        </w:rPr>
        <w:t xml:space="preserve">: Each Party affirms that their independent knowledge of the other Party's financial circumstances, combined with the disclosures in Exhibits A and B, provides an adequate basis to enter into this Agreement, and that no additional disclosure is necessary for informed consent. </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Lack of investigation opportunity; (c) Insufficient review time; and (d) Any challenge to this Agreement's validity based on the adequacy of financial disclosures exchanged at or before execution. </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(d) they chose not to do so voluntarily; and (e) Mississippi law does not require independent counsel for enforceability (</w:t>
      </w:r>
      <w:r w:rsidDel="00000000" w:rsidR="00000000" w:rsidRPr="00000000">
        <w:rPr>
          <w:rFonts w:ascii="Roboto" w:cs="Roboto" w:eastAsia="Roboto" w:hAnsi="Roboto"/>
          <w:i w:val="1"/>
          <w:iCs w:val="1"/>
          <w:sz w:val="24"/>
          <w:szCs w:val="24"/>
          <w:rtl w:val="0"/>
        </w:rPr>
        <w:t xml:space="preserve">Mabus v. Mabus</w:t>
      </w:r>
      <w:r w:rsidDel="00000000" w:rsidR="00000000" w:rsidRPr="00000000">
        <w:rPr>
          <w:rFonts w:ascii="Roboto" w:cs="Roboto" w:eastAsia="Roboto" w:hAnsi="Roboto"/>
          <w:sz w:val="24"/>
          <w:szCs w:val="24"/>
          <w:rtl w:val="0"/>
        </w:rPr>
        <w:t xml:space="preserve">, 890 So. 2d 806, 821 (Miss. 2003)). </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Mississippi Law</w:t>
      </w:r>
      <w:r w:rsidDel="00000000" w:rsidR="00000000" w:rsidRPr="00000000">
        <w:rPr>
          <w:rFonts w:ascii="Roboto" w:cs="Roboto" w:eastAsia="Roboto" w:hAnsi="Roboto"/>
          <w:sz w:val="24"/>
          <w:szCs w:val="24"/>
          <w:rtl w:val="0"/>
        </w:rPr>
        <w:t xml:space="preserve">: This Agreement is governed by Mississippi common law as of the execution date, including </w:t>
      </w:r>
      <w:r w:rsidDel="00000000" w:rsidR="00000000" w:rsidRPr="00000000">
        <w:rPr>
          <w:rFonts w:ascii="Roboto" w:cs="Roboto" w:eastAsia="Roboto" w:hAnsi="Roboto"/>
          <w:i w:val="1"/>
          <w:iCs w:val="1"/>
          <w:sz w:val="24"/>
          <w:szCs w:val="24"/>
          <w:rtl w:val="0"/>
        </w:rPr>
        <w:t xml:space="preserve">Sanderson v. Sanderson</w:t>
      </w:r>
      <w:r w:rsidDel="00000000" w:rsidR="00000000" w:rsidRPr="00000000">
        <w:rPr>
          <w:rFonts w:ascii="Roboto" w:cs="Roboto" w:eastAsia="Roboto" w:hAnsi="Roboto"/>
          <w:sz w:val="24"/>
          <w:szCs w:val="24"/>
          <w:rtl w:val="0"/>
        </w:rPr>
        <w:t xml:space="preserve">, 170 So. 3d 430 (Miss. 2014) and its progeny, regardless of the Parties' domicile or asset location. The Parties intend this Agreement to be interpreted under the law in effect at execution to the fullest extent permitted.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exclusive jurisdiction of the Mississippi chancery courts and waives forum non conveniens defenses. Either Party may alternatively enforce this Agreement in any jurisdiction with equal or stronger prenuptial protections than Mississippi. Inconsistent judgments are void.</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Where more than one jurisdiction's law could apply, the Parties intend that the law most favorable to enforcement shall govern, to the extent permitted by applicable conflict-of-laws principles. </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Single-Review Affirmation</w:t>
      </w:r>
      <w:r w:rsidDel="00000000" w:rsidR="00000000" w:rsidRPr="00000000">
        <w:rPr>
          <w:rFonts w:ascii="Roboto" w:cs="Roboto" w:eastAsia="Roboto" w:hAnsi="Roboto"/>
          <w:sz w:val="24"/>
          <w:szCs w:val="24"/>
          <w:rtl w:val="0"/>
        </w:rPr>
        <w:t xml:space="preserve">: Mississippi measures substantive unconscionability at execution only. Neither Party shall challenge this Agreement based on changed circumstances, hindsight, or post-execution results.</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a challenge ground recognized under Mississippi common law.</w:t>
      </w:r>
    </w:p>
    <w:p w:rsidR="00000000" w:rsidDel="00000000" w:rsidP="00000000" w:rsidRDefault="00000000" w:rsidRPr="00000000" w14:paraId="000000A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and keeps legal matters separate from wedding planning.</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Common-Law Waiver</w:t>
      </w:r>
      <w:r w:rsidDel="00000000" w:rsidR="00000000" w:rsidRPr="00000000">
        <w:rPr>
          <w:rFonts w:ascii="Roboto" w:cs="Roboto" w:eastAsia="Roboto" w:hAnsi="Roboto"/>
          <w:sz w:val="24"/>
          <w:szCs w:val="24"/>
          <w:rtl w:val="0"/>
        </w:rPr>
        <w:t xml:space="preserve">: Each Party understands they are waiving all rights to property division, spousal support, inheritance claims (including elective share, homestead, and family allowance), and any other marital or inheritance rights to the fullest extent permitted under Mississippi common law and the Mississippi Code. </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except as expressly permitted under Mississippi common law. </w:t>
      </w:r>
    </w:p>
    <w:p w:rsidR="00000000" w:rsidDel="00000000" w:rsidP="00000000" w:rsidRDefault="00000000" w:rsidRPr="00000000" w14:paraId="000000B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5">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8">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9">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B">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C">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D">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E">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4">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0">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1">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2">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3">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4">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5">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6">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A">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C">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8">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9">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