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NEVADA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independent legal counsel, has had adequate opportunity to consult with counsel of their choosing, has carefully read and reviewed this Agreement, understands its terms and legal effect, and enters into this Agreement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Nevada, including NRS Chapter 123A (Uniform Premarital Agreement Act), and intend for it to be legally binding and enforceable;</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 </w:t>
      </w:r>
      <w:r w:rsidDel="00000000" w:rsidR="00000000" w:rsidRPr="00000000">
        <w:rPr>
          <w:rFonts w:ascii="Roboto" w:cs="Roboto" w:eastAsia="Roboto" w:hAnsi="Roboto"/>
          <w:b w:val="1"/>
          <w:bCs w:val="1"/>
          <w:sz w:val="24"/>
          <w:szCs w:val="24"/>
          <w:rtl w:val="0"/>
        </w:rPr>
        <w:t xml:space="preserve">Community Property</w:t>
      </w:r>
      <w:r w:rsidDel="00000000" w:rsidR="00000000" w:rsidRPr="00000000">
        <w:rPr>
          <w:rFonts w:ascii="Roboto" w:cs="Roboto" w:eastAsia="Roboto" w:hAnsi="Roboto"/>
          <w:sz w:val="24"/>
          <w:szCs w:val="24"/>
          <w:rtl w:val="0"/>
        </w:rPr>
        <w:t xml:space="preserve">: All property and earnings acquired during marriage that, absent this Agreement, would be classified as community property under NRS Chapter 123. The Parties expressly opt out of community property treatment except as to Joint Property under Section 1.2. </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or community property, the contributing Party retains their interest to the full extent traceable. Inability to trace shall not create a community or joint property presumption; the burden remains on the non-contributing Party to prove transmutation by clear and convincing evidence. </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or community claim arises from business operations, growth, or increased value during marriage. All income, distributions, salary, dividends, and appreciation from separate business interests remain separate property, expressly opting out of community property characterization under NRS Chapter 123. </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rehabilitative or permanent, except as specifically provided herein. </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This Section 4 governs support at all stages of proceedings. Neither Party shall request support exceeding these amounts. Any pendente lite or temporary support awarded by a court shall be credited dollar-for-dollar against the total obligation under this Section, applied to monthly amounts or duration at payor's election. If a court awards excess support pending a validity challenge and this Agreement is upheld, the excess shall be credited against remaining obligations or, if no obligations remain, refunded within 30 days of the final enforceability ruling. </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legally adopted or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w:t>
      </w:r>
    </w:p>
    <w:p w:rsidR="00000000" w:rsidDel="00000000" w:rsidP="00000000" w:rsidRDefault="00000000" w:rsidRPr="00000000" w14:paraId="00000036">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 of payor's net income</w:t>
      </w:r>
    </w:p>
    <w:p w:rsidR="00000000" w:rsidDel="00000000" w:rsidP="00000000" w:rsidRDefault="00000000" w:rsidRPr="00000000" w14:paraId="00000037">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2% of payor's net income</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3%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4%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5% of payor's net income</w:t>
      </w:r>
    </w:p>
    <w:p w:rsidR="00000000" w:rsidDel="00000000" w:rsidP="00000000" w:rsidRDefault="00000000" w:rsidRPr="00000000" w14:paraId="0000003B">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6% of payor's net income</w:t>
      </w:r>
    </w:p>
    <w:p w:rsidR="00000000" w:rsidDel="00000000" w:rsidP="00000000" w:rsidRDefault="00000000" w:rsidRPr="00000000" w14:paraId="0000003C">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$3,000 per month</w:t>
      </w:r>
    </w:p>
    <w:p w:rsidR="00000000" w:rsidDel="00000000" w:rsidP="00000000" w:rsidRDefault="00000000" w:rsidRPr="00000000" w14:paraId="0000003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 support under NRS 125B is not affected by this Section and is determined independently by the court. </w:t>
      </w:r>
    </w:p>
    <w:p w:rsidR="00000000" w:rsidDel="00000000" w:rsidP="00000000" w:rsidRDefault="00000000" w:rsidRPr="00000000" w14:paraId="0000003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4">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years: 30% of marriage length, capped at 8 years total</w:t>
      </w:r>
    </w:p>
    <w:p w:rsidR="00000000" w:rsidDel="00000000" w:rsidP="00000000" w:rsidRDefault="00000000" w:rsidRPr="00000000" w14:paraId="0000004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and Public Assistance Floor</w:t>
      </w:r>
      <w:r w:rsidDel="00000000" w:rsidR="00000000" w:rsidRPr="00000000">
        <w:rPr>
          <w:rFonts w:ascii="Roboto" w:cs="Roboto" w:eastAsia="Roboto" w:hAnsi="Roboto"/>
          <w:sz w:val="24"/>
          <w:szCs w:val="24"/>
          <w:rtl w:val="0"/>
        </w:rPr>
        <w:t xml:space="preserve">: "Total Income" means the sum of support under this Section 4, child support, and earned income from all sources. If Total Income falls below 100% of the Federal Poverty Level for the recipient's household size, support shall be increased to that threshold but shall not exceed Section 4.6 amounts by more than 50%. Any support a court orders under NRS 123A.080(2) shall be credited against the total obligation under this Section. </w:t>
      </w:r>
    </w:p>
    <w:p w:rsidR="00000000" w:rsidDel="00000000" w:rsidP="00000000" w:rsidRDefault="00000000" w:rsidRPr="00000000" w14:paraId="0000004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under Section 4.6 or 4.7 is deemed unconscionable by a court, it shall be reformed to the following percentages of payor's net income, minus 50% of recipient's income.  Duration shall be 40% of marriage length.</w:t>
      </w:r>
    </w:p>
    <w:p w:rsidR="00000000" w:rsidDel="00000000" w:rsidP="00000000" w:rsidRDefault="00000000" w:rsidRPr="00000000" w14:paraId="00000047">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4% of payor's net income</w:t>
      </w:r>
    </w:p>
    <w:p w:rsidR="00000000" w:rsidDel="00000000" w:rsidP="00000000" w:rsidRDefault="00000000" w:rsidRPr="00000000" w14:paraId="00000048">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8% of payor's net income</w:t>
      </w:r>
    </w:p>
    <w:p w:rsidR="00000000" w:rsidDel="00000000" w:rsidP="00000000" w:rsidRDefault="00000000" w:rsidRPr="00000000" w14:paraId="00000049">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12% of payor's net income</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the Federal Poverty Level for a single person as published annually by the U.S. Department of Health and Human Services. </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4.7.</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Modification requires clear and convincing evidence of changed circumstances not reasonably foreseeable at execution that would render enforcement unconscionable as a matter of law under NRS 123A.080(3). The Parties acknowledge as foreseeable: dissolution, workforce departures, income/employment changes, health issues, economic conditions, and childcare decisions. </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of any Child of the Marriage at any time, with costs borne by the requesting Party. If testing establishes that a child is not the biological child of both Parties, that child shall be excluded from the count of Children of the Marriage for purposes of Section 4.6, and support shall be recalculated accordingly. This Section does not affect any independent child support obligation under NRS 125B.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4.6 and 4.7; or (b) Payor's average annual net income multiplied by:</w:t>
      </w:r>
    </w:p>
    <w:p w:rsidR="00000000" w:rsidDel="00000000" w:rsidP="00000000" w:rsidRDefault="00000000" w:rsidRPr="00000000" w14:paraId="0000004F">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50">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75% </w:t>
      </w:r>
    </w:p>
    <w:p w:rsidR="00000000" w:rsidDel="00000000" w:rsidP="00000000" w:rsidRDefault="00000000" w:rsidRPr="00000000" w14:paraId="00000051">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100%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  This reflects the parties' intent that post-divorce earnings remain separate property.</w:t>
      </w:r>
    </w:p>
    <w:p w:rsidR="00000000" w:rsidDel="00000000" w:rsidP="00000000" w:rsidRDefault="00000000" w:rsidRPr="00000000" w14:paraId="0000005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5">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aggregate contribution across financial and domestic domains. Each Party may lead in one domain (60-70%) while supporting in the other (30-40%), creating reciprocal balance. For example, one Party may contribute 60-70% financially and 30-40% domestically; the other 30-40% financially and 60-70% domestically. </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A">
      <w:pPr>
        <w:numPr>
          <w:ilvl w:val="0"/>
          <w:numId w:val="7"/>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B">
      <w:pPr>
        <w:numPr>
          <w:ilvl w:val="0"/>
          <w:numId w:val="7"/>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C">
      <w:pPr>
        <w:numPr>
          <w:ilvl w:val="0"/>
          <w:numId w:val="7"/>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E">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intestate succession rights under NRS Chapter 134, homestead allowances, family allowances under NRS 146.070, and all other statutory rights a surviving spouse may claim under Nevada law. </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or domicile, and to the fullest extent permitted by applicable law. </w:t>
      </w:r>
    </w:p>
    <w:p w:rsidR="00000000" w:rsidDel="00000000" w:rsidP="00000000" w:rsidRDefault="00000000" w:rsidRPr="00000000" w14:paraId="0000006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as provided under NRS 38.241. The arbitrator shall strictly apply this Agreement's terms without equitable modification. Any claim of unconscionability under NRS 123A.080(3) shall be reserved exclusively to a court of competent jurisdiction and is not subject to arbitration. </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This obligation is enforceable consistent with Kantor v. Kantor, 116 Nev. 886 (2000), which upheld a fee-shifting indemnity clause in a Nevada prenup. </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 </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and arbitration proceedings under this Agreement shall be confidential. Neither Party may disclose pleadings, testimony, exhibits, or settlement positions to third parties except counsel, financial advisors, or as required by law. Court proceedings are subject to applicable Nevada law, including NRS 125.080 et seq. as amended. Violations of mediation or arbitration confidentiality trigger the penalties in Section 10.4. </w:t>
      </w:r>
    </w:p>
    <w:p w:rsidR="00000000" w:rsidDel="00000000" w:rsidP="00000000" w:rsidRDefault="00000000" w:rsidRPr="00000000" w14:paraId="0000007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1">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NRS 123A.080(1)(c)(1)–(3), including any right to demand further disclosure or verification, and relinquishes any future claim of inadequate disclosure.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Lack of investigation opportunity; (c) Insufficient review time; or (d) Any challenge to this Agreement's validity not specifically authorized under NRS 123A.080(1).</w:t>
      </w:r>
    </w:p>
    <w:p w:rsidR="00000000" w:rsidDel="00000000" w:rsidP="00000000" w:rsidRDefault="00000000" w:rsidRPr="00000000" w14:paraId="0000008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Sogg/Fick Acknowledgment:</w:t>
      </w:r>
      <w:r w:rsidDel="00000000" w:rsidR="00000000" w:rsidRPr="00000000">
        <w:rPr>
          <w:rFonts w:ascii="Roboto" w:cs="Roboto" w:eastAsia="Roboto" w:hAnsi="Roboto"/>
          <w:sz w:val="24"/>
          <w:szCs w:val="24"/>
          <w:rtl w:val="0"/>
        </w:rPr>
        <w:t xml:space="preserve"> Each Party acknowledges (a) ample opportunity to consult independent counsel; (b) absence of coercion; (c) sufficient business acumen; (d) understanding of the other Party's financial resources and rights forfeited. This satisfies the four-factor test under Sogg v. Nevada State Bank, 108 Nev. 308 (1992), and Fick v. Fick, 109 Nev. 458 (1993).</w:t>
      </w:r>
    </w:p>
    <w:p w:rsidR="00000000" w:rsidDel="00000000" w:rsidP="00000000" w:rsidRDefault="00000000" w:rsidRPr="00000000" w14:paraId="0000009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OPTIONAL PRE-MARRIAGE ASSET UPDATE</w:t>
      </w:r>
    </w:p>
    <w:p w:rsidR="00000000" w:rsidDel="00000000" w:rsidP="00000000" w:rsidRDefault="00000000" w:rsidRPr="00000000" w14:paraId="0000009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3">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4">
      <w:pPr>
        <w:spacing w:after="240" w:before="240" w:line="240" w:lineRule="auto"/>
        <w:ind w:right="600"/>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that Party executed a separate written waiver attached as Exhibit C, acknowledging (a) they were expressly advised to obtain independent counsel; (b) they understand the rights being relinquished; (c) they had adequate time to seek counsel; and (d) they chose not to do so voluntarily. </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Nevada Law:</w:t>
      </w:r>
      <w:r w:rsidDel="00000000" w:rsidR="00000000" w:rsidRPr="00000000">
        <w:rPr>
          <w:rFonts w:ascii="Roboto" w:cs="Roboto" w:eastAsia="Roboto" w:hAnsi="Roboto"/>
          <w:sz w:val="24"/>
          <w:szCs w:val="24"/>
          <w:rtl w:val="0"/>
        </w:rPr>
        <w:t xml:space="preserve"> This Agreement is governed by Nevada law as of execution date, including NRS Chapter 123A, regardless of domicile or asset location. Future amendments reducing enforceability shall not apply retroactively. </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the exclusive jurisdiction of Nevada courts and waives forum non conveniens defenses. Either Party may alternatively enforce this Agreement in any jurisdiction providing equal or stronger prenuptial protections than Nevada.  </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w:t>
      </w:r>
    </w:p>
    <w:p w:rsidR="00000000" w:rsidDel="00000000" w:rsidP="00000000" w:rsidRDefault="00000000" w:rsidRPr="00000000" w14:paraId="000000A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Forum Selection Compliance</w:t>
      </w:r>
      <w:r w:rsidDel="00000000" w:rsidR="00000000" w:rsidRPr="00000000">
        <w:rPr>
          <w:rFonts w:ascii="Roboto" w:cs="Roboto" w:eastAsia="Roboto" w:hAnsi="Roboto"/>
          <w:sz w:val="24"/>
          <w:szCs w:val="24"/>
          <w:rtl w:val="0"/>
        </w:rPr>
        <w:t xml:space="preserve">: Each Party agrees to enforce this Agreement in Nevada courts or, if permitted under Section 16.2, an alternative jurisdiction with equal or stronger prenuptial protections. A Party who initiates enforcement proceedings in a jurisdiction that does not recognize prenuptial agreements or that applies a materially weaker enforceability standard than NRS 123A.080 shall be liable for the other Party's reasonable attorney fees in responding. </w:t>
      </w:r>
    </w:p>
    <w:p w:rsidR="00000000" w:rsidDel="00000000" w:rsidP="00000000" w:rsidRDefault="00000000" w:rsidRPr="00000000" w14:paraId="000000A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 </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Last-Minute Signing Bar</w:t>
      </w:r>
      <w:r w:rsidDel="00000000" w:rsidR="00000000" w:rsidRPr="00000000">
        <w:rPr>
          <w:rFonts w:ascii="Roboto" w:cs="Roboto" w:eastAsia="Roboto" w:hAnsi="Roboto"/>
          <w:sz w:val="24"/>
          <w:szCs w:val="24"/>
          <w:rtl w:val="0"/>
        </w:rPr>
        <w:t xml:space="preserve">: This Agreement shall not be executed within 14 days of the scheduled wedding date. Execution within that period creates a rebuttable presumption of coercion. See Sogg v. Nevada State Bank, 108 Nev. 308 (1992). </w:t>
      </w:r>
    </w:p>
    <w:p w:rsidR="00000000" w:rsidDel="00000000" w:rsidP="00000000" w:rsidRDefault="00000000" w:rsidRPr="00000000" w14:paraId="000000B6">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property division, spousal support, inheritance claims, community property characterization under NRS Chapter 123, and other marital rights to the fullest extent permitted under NRS Chapter 123A and Sogg, Fick, and Kantor v. Kantor, 116 Nev. 886 (2000).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duress, coercion, or undue influence; (d) retention of rights beyond those expressly preserved herein; or (e) any other challenge to this Agreement's validity not authorized under NRS 123A.080(1). </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On this _______ day of __________________</w:t>
      </w:r>
      <w:r w:rsidDel="00000000" w:rsidR="00000000" w:rsidRPr="00000000">
        <w:rPr>
          <w:rFonts w:ascii="Roboto" w:cs="Roboto" w:eastAsia="Roboto" w:hAnsi="Roboto"/>
          <w:b w:val="1"/>
          <w:bCs w:val="1"/>
          <w:i w:val="1"/>
          <w:iCs w:val="1"/>
          <w:sz w:val="24"/>
          <w:szCs w:val="24"/>
          <w:rtl w:val="0"/>
        </w:rPr>
        <w:t xml:space="preserve">, 20______</w:t>
      </w:r>
      <w:r w:rsidDel="00000000" w:rsidR="00000000" w:rsidRPr="00000000">
        <w:rPr>
          <w:rFonts w:ascii="Arial Unicode MS" w:cs="Arial Unicode MS" w:eastAsia="Arial Unicode MS" w:hAnsi="Arial Unicode MS"/>
          <w:sz w:val="24"/>
          <w:szCs w:val="24"/>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7">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F8">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