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NEW HAMPSHIRE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this Agreement is presented to each Party more than thirty (30) days before the contemplated wedding, consistent with </w:t>
      </w:r>
      <w:r w:rsidDel="00000000" w:rsidR="00000000" w:rsidRPr="00000000">
        <w:rPr>
          <w:rFonts w:ascii="Roboto" w:cs="Roboto" w:eastAsia="Roboto" w:hAnsi="Roboto"/>
          <w:i w:val="1"/>
          <w:iCs w:val="1"/>
          <w:sz w:val="24"/>
          <w:szCs w:val="24"/>
          <w:rtl w:val="0"/>
        </w:rPr>
        <w:t xml:space="preserve">In re Estate of Hollett</w:t>
      </w:r>
      <w:r w:rsidDel="00000000" w:rsidR="00000000" w:rsidRPr="00000000">
        <w:rPr>
          <w:rFonts w:ascii="Roboto" w:cs="Roboto" w:eastAsia="Roboto" w:hAnsi="Roboto"/>
          <w:sz w:val="24"/>
          <w:szCs w:val="24"/>
          <w:rtl w:val="0"/>
        </w:rPr>
        <w:t xml:space="preserve">, 150 N.H. 39 (2003); each Party has been advised to retain independent counsel and has had adequate opportunity to do so; each Party has carefully read and reviewed this Agreement, understands its terms and legal effect, and has had sufficient time to reflect; and any disparity in education, income, assets, or sophistication between the Parties has been addressed through independent counsel, advance execution, and full disclosure, satisfying the heightened-fairness standard of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enters this Agreement voluntarily, without coercion, duress, or undue influence, believing it fair and reasonable under the circumstances, and intends it to be governed by New Hampshire law — including RSA 460:2-a, RSA 458:16-a, and the </w:t>
      </w:r>
      <w:r w:rsidDel="00000000" w:rsidR="00000000" w:rsidRPr="00000000">
        <w:rPr>
          <w:rFonts w:ascii="Roboto" w:cs="Roboto" w:eastAsia="Roboto" w:hAnsi="Roboto"/>
          <w:i w:val="1"/>
          <w:iCs w:val="1"/>
          <w:sz w:val="24"/>
          <w:szCs w:val="24"/>
          <w:rtl w:val="0"/>
        </w:rPr>
        <w:t xml:space="preserve">MacFarlane</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iCs w:val="1"/>
          <w:sz w:val="24"/>
          <w:szCs w:val="24"/>
          <w:rtl w:val="0"/>
        </w:rPr>
        <w:t xml:space="preserve">Yannalfo</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iCs w:val="1"/>
          <w:sz w:val="24"/>
          <w:szCs w:val="24"/>
          <w:rtl w:val="0"/>
        </w:rPr>
        <w:t xml:space="preserve">Wilber</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iCs w:val="1"/>
          <w:sz w:val="24"/>
          <w:szCs w:val="24"/>
          <w:rtl w:val="0"/>
        </w:rPr>
        <w:t xml:space="preserve">Nizhnikov</w:t>
      </w:r>
      <w:r w:rsidDel="00000000" w:rsidR="00000000" w:rsidRPr="00000000">
        <w:rPr>
          <w:rFonts w:ascii="Roboto" w:cs="Roboto" w:eastAsia="Roboto" w:hAnsi="Roboto"/>
          <w:sz w:val="24"/>
          <w:szCs w:val="24"/>
          <w:rtl w:val="0"/>
        </w:rPr>
        <w:t xml:space="preserve"> line of cases — and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The support terms in this Section 4 govern all stages of proceedings (temporary, pendente lite, interim, final, and post-judgment). Any temporary support ordered during proceedings shall be credited dollar-for-dollar against the total obligation under Sections 4.6 and 4.7, applied at payor's election to monthly amounts or duration. If temporary support paid during a validity challenge exceeds the amounts ultimately upheld under this Section, the excess shall be reimbursed to payor within 30 days of final order. Both Parties agree that temporary support should not exceed Section 4.6 amounts absent a court finding of immediate, irreparable economic harm.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Parentage.</w:t>
      </w:r>
      <w:r w:rsidDel="00000000" w:rsidR="00000000" w:rsidRPr="00000000">
        <w:rPr>
          <w:rFonts w:ascii="Roboto" w:cs="Roboto" w:eastAsia="Roboto" w:hAnsi="Roboto"/>
          <w:sz w:val="24"/>
          <w:szCs w:val="24"/>
          <w:rtl w:val="0"/>
        </w:rPr>
        <w:t xml:space="preserve"> "Children of the Marriage" means biological or legally adopted children of both Parties. Support is scaled by child count as a proxy for caregiving burden, not as child support (governed exclusively by RSA 458-C). Either Party may request genetic testing at own cost. Confirmed non-paternity reduces the child count under Section 4.6 and support recalculates prospectively at the lower tier. This does not apply to adopted children or donor-conceived children to which both Parties consented.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4.4 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This reduction does not apply during any period in which the recipient is the primary residential parent of a Child of the Marriage under age 4.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4">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A">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$4,000 per month</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D">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E">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4.8 Public Assistance Floor (NH Unconscionability Safeguard).</w:t>
      </w:r>
      <w:r w:rsidDel="00000000" w:rsidR="00000000" w:rsidRPr="00000000">
        <w:rPr>
          <w:rFonts w:ascii="Roboto" w:cs="Roboto" w:eastAsia="Roboto" w:hAnsi="Roboto"/>
          <w:sz w:val="24"/>
          <w:szCs w:val="24"/>
          <w:rtl w:val="0"/>
        </w:rPr>
        <w:t xml:space="preserve"> If Sections 4.6 and 4.7 would leave recipient with total income below 100% of Federal Poverty Level for their household size, support increases to the minimum necessary to avoid such shortfall. "Total income" includes earned or imputed income, child support received, and spousal support under this Agreement. This provision addresses MacFarlane v. Rich, 132 N.H. 608 (1989), and shall be construed narrowly. </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7">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 If recipient would be eligible for public assistance under this suspension, payor shall pay only the minimum amount necessary to avoid such eligibility under Section 4.8, suspended when no longer needed.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 unrelated person in a marriage-like relationship for 60 or more consecutive days, including shared residence or financial interdependence; (c) recipient's death; (d) payor's death; (e) payor's attainment of full retirement age under the federal Social Security program or actual retirement, whichever is later, consistent with RSA 458:19-aa, IV; or (f) duration-limit expiration under Section 4.7.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and specifically acknowledge as reasonably foreseeable: dissolution, voluntary workforce departures, ordinary income and employment changes, general economic conditions, and childcare decisions.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C">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D">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4E">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income increases occurring after divorce filing, including promotions, bonuses, raises, business growth, investment returns, inheritances, gifts, or new employment at higher compensation. </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childcare-related career breaks. Both Parties recognize that maintaining career skills strengthens long-term family financial security. </w:t>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6">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7">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8">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A">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elective share rights under RSA 560:10, homestead rights under RSA 480, family allowances, and other statutory inheritance rights under New Hampshire law. </w:t>
      </w:r>
      <w:r w:rsidDel="00000000" w:rsidR="00000000" w:rsidRPr="00000000">
        <w:rPr>
          <w:rFonts w:ascii="Roboto" w:cs="Roboto" w:eastAsia="Roboto" w:hAnsi="Roboto"/>
          <w:i w:val="1"/>
          <w:iCs w:val="1"/>
          <w:sz w:val="24"/>
          <w:szCs w:val="24"/>
          <w:rtl w:val="0"/>
        </w:rPr>
        <w:t xml:space="preserve">In re Estate of Wilber</w:t>
      </w:r>
      <w:r w:rsidDel="00000000" w:rsidR="00000000" w:rsidRPr="00000000">
        <w:rPr>
          <w:rFonts w:ascii="Roboto" w:cs="Roboto" w:eastAsia="Roboto" w:hAnsi="Roboto"/>
          <w:sz w:val="24"/>
          <w:szCs w:val="24"/>
          <w:rtl w:val="0"/>
        </w:rPr>
        <w:t xml:space="preserve">, 165 N.H. 246 (2013), confirms that such waivers are enforceable when supported by mutual consideration and disclosure. </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preferably licensed in New Hampshire, with proceedings held in the New Hampshire county where marital residence was last established. Judgment shall be final and non-appealable except for fraud, arbitrator misconduct, or the arbitrator exceeding the authority defined herein, consistent with RSA 542:8. The arbitrator shall strictly apply this Agreement's terms and shall not modify them based on changed circumstances, perceived unfairness, or sympathy. The arbitrator's authority to find a provision unenforceable is limited to the three grounds in In re Estate of Hollett, 150 N.H. 39 (2003): (1) fraud, duress, mistake, misrepresentation, or nondisclosure of a material fact; (2) unconscionability at execution; or (3) facts and circumstances so changed since execution that enforcement would be unconscionable. Any reformation shall be the minimum necessary to cure the specific defect.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D">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Limitation</w:t>
      </w:r>
      <w:r w:rsidDel="00000000" w:rsidR="00000000" w:rsidRPr="00000000">
        <w:rPr>
          <w:rFonts w:ascii="Roboto" w:cs="Roboto" w:eastAsia="Roboto" w:hAnsi="Roboto"/>
          <w:sz w:val="24"/>
          <w:szCs w:val="24"/>
          <w:rtl w:val="0"/>
        </w:rPr>
        <w:t xml:space="preserve">: The parties agree to limit discovery to matters directly relevant to a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 three-prong challenge (fraud, duress, mistake, misrepresentation, nondisclosure of a material fact at execution; unconscionability at execution; or unconscionable hardship from changed circumstances). Routine financial discovery beyond Exhibits A and B is waived absent a specific judicial finding of necessity. </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FALLBACK DISCLOSURE WAIVER (NH — Subordinate to Section 11)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primary disclosure mechanism is the schedules attached as Exhibits A and B (Section 11). This Section 12 operates only as a fallback if Section 11 is later challenged as inadequate, consistent with </w:t>
      </w:r>
      <w:r w:rsidDel="00000000" w:rsidR="00000000" w:rsidRPr="00000000">
        <w:rPr>
          <w:rFonts w:ascii="Roboto" w:cs="Roboto" w:eastAsia="Roboto" w:hAnsi="Roboto"/>
          <w:i w:val="1"/>
          <w:iCs w:val="1"/>
          <w:sz w:val="24"/>
          <w:szCs w:val="24"/>
          <w:rtl w:val="0"/>
        </w:rPr>
        <w:t xml:space="preserve">In re Estate of Wilber</w:t>
      </w:r>
      <w:r w:rsidDel="00000000" w:rsidR="00000000" w:rsidRPr="00000000">
        <w:rPr>
          <w:rFonts w:ascii="Roboto" w:cs="Roboto" w:eastAsia="Roboto" w:hAnsi="Roboto"/>
          <w:sz w:val="24"/>
          <w:szCs w:val="24"/>
          <w:rtl w:val="0"/>
        </w:rPr>
        <w:t xml:space="preserve">, 165 N.H. 246 (2013), which recognized that knowing waivers can substitute for formal disclosure between spouses with comparable knowledge of each other's finances.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any further disclosure rights beyond those satisfied by Exhibits A and B, under RSA 460:2-a and any other applicable principle. </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any further disclosure rights under RSA 460:2-a and acknowledges that the disclosures in Exhibits A and B, together with each Party's independent knowledge of the other's financial circumstances, satisfy New Hampshire's disclosure requirements.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lack of investigation opportunity; (c) insufficient review time. </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to the property provisions of Sections 2 and 3 based solely on post-execution asset changes, market fluctuations, or failure to disclose changes occurring after execution.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Provided the Agreement satisfies the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 procedural-fairness factors at execution, enforceability does not depend on the exchange of updated schedules under Section 13. </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New Hampshire Law</w:t>
      </w:r>
      <w:r w:rsidDel="00000000" w:rsidR="00000000" w:rsidRPr="00000000">
        <w:rPr>
          <w:rFonts w:ascii="Roboto" w:cs="Roboto" w:eastAsia="Roboto" w:hAnsi="Roboto"/>
          <w:sz w:val="24"/>
          <w:szCs w:val="24"/>
          <w:rtl w:val="0"/>
        </w:rPr>
        <w:t xml:space="preserve">: This Agreement is governed by New Hampshire law as of the execution date, including RSA 460:2-a (Antenuptial Agreements), RSA 458:16-a (equitable division), RSA 506:2 (statute of frauds), and the controlling case law (</w:t>
      </w:r>
      <w:r w:rsidDel="00000000" w:rsidR="00000000" w:rsidRPr="00000000">
        <w:rPr>
          <w:rFonts w:ascii="Roboto" w:cs="Roboto" w:eastAsia="Roboto" w:hAnsi="Roboto"/>
          <w:i w:val="1"/>
          <w:iCs w:val="1"/>
          <w:sz w:val="24"/>
          <w:szCs w:val="24"/>
          <w:rtl w:val="0"/>
        </w:rPr>
        <w:t xml:space="preserve">MacFarlane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Yannalfo</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Wilber</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Nizhnikov</w:t>
      </w:r>
      <w:r w:rsidDel="00000000" w:rsidR="00000000" w:rsidRPr="00000000">
        <w:rPr>
          <w:rFonts w:ascii="Roboto" w:cs="Roboto" w:eastAsia="Roboto" w:hAnsi="Roboto"/>
          <w:sz w:val="24"/>
          <w:szCs w:val="24"/>
          <w:rtl w:val="0"/>
        </w:rPr>
        <w:t xml:space="preserve">, and the persuasive authority of </w:t>
      </w:r>
      <w:r w:rsidDel="00000000" w:rsidR="00000000" w:rsidRPr="00000000">
        <w:rPr>
          <w:rFonts w:ascii="Roboto" w:cs="Roboto" w:eastAsia="Roboto" w:hAnsi="Roboto"/>
          <w:i w:val="1"/>
          <w:iCs w:val="1"/>
          <w:sz w:val="24"/>
          <w:szCs w:val="24"/>
          <w:rtl w:val="0"/>
        </w:rPr>
        <w:t xml:space="preserve">Goddard</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i w:val="1"/>
          <w:iCs w:val="1"/>
          <w:sz w:val="24"/>
          <w:szCs w:val="24"/>
          <w:rtl w:val="0"/>
        </w:rPr>
        <w:t xml:space="preserve">Cicale</w:t>
      </w:r>
      <w:r w:rsidDel="00000000" w:rsidR="00000000" w:rsidRPr="00000000">
        <w:rPr>
          <w:rFonts w:ascii="Roboto" w:cs="Roboto" w:eastAsia="Roboto" w:hAnsi="Roboto"/>
          <w:sz w:val="24"/>
          <w:szCs w:val="24"/>
          <w:rtl w:val="0"/>
        </w:rPr>
        <w:t xml:space="preserve">), regardless of domicile or asset location at the time of any later proceeding.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New Hampshire jurisdiction for any dispute arising under this Agreement and waives forum non conveniens defenses. Either Party may alternatively enforce this Agreement in any jurisdiction whose prenuptial enforcement framework is at least as protective as New Hampshire's. </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other state's law or any foreign law to weaken this Agreement's enforcement, except where the alternative jurisdiction's law is more protective of enforcement. </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Under RSA 460:2-a and </w:t>
      </w:r>
      <w:r w:rsidDel="00000000" w:rsidR="00000000" w:rsidRPr="00000000">
        <w:rPr>
          <w:rFonts w:ascii="Roboto" w:cs="Roboto" w:eastAsia="Roboto" w:hAnsi="Roboto"/>
          <w:i w:val="1"/>
          <w:iCs w:val="1"/>
          <w:sz w:val="24"/>
          <w:szCs w:val="24"/>
          <w:rtl w:val="0"/>
        </w:rPr>
        <w:t xml:space="preserve">MacFarlane v. Rich</w:t>
      </w:r>
      <w:r w:rsidDel="00000000" w:rsidR="00000000" w:rsidRPr="00000000">
        <w:rPr>
          <w:rFonts w:ascii="Roboto" w:cs="Roboto" w:eastAsia="Roboto" w:hAnsi="Roboto"/>
          <w:sz w:val="24"/>
          <w:szCs w:val="24"/>
          <w:rtl w:val="0"/>
        </w:rPr>
        <w:t xml:space="preserve">, this Agreement is presumed valid. The challenging Party bears the burden of proving by a preponderance of evidence one of the three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 grounds for invalidation. </w:t>
      </w:r>
    </w:p>
    <w:p w:rsidR="00000000" w:rsidDel="00000000" w:rsidP="00000000" w:rsidRDefault="00000000" w:rsidRPr="00000000" w14:paraId="000000A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with two witnesses present; (c) is accompanied by written acknowledgment from each Party's independent counsel confirming review and informed consent; and (d) is supported by updated financial disclosures from both Parties dated within sixty (60) days of execution. Any post-marital modification (postnuptial) shall meet the standards in </w:t>
      </w:r>
      <w:r w:rsidDel="00000000" w:rsidR="00000000" w:rsidRPr="00000000">
        <w:rPr>
          <w:rFonts w:ascii="Roboto" w:cs="Roboto" w:eastAsia="Roboto" w:hAnsi="Roboto"/>
          <w:i w:val="1"/>
          <w:iCs w:val="1"/>
          <w:sz w:val="24"/>
          <w:szCs w:val="24"/>
          <w:rtl w:val="0"/>
        </w:rPr>
        <w:t xml:space="preserve">In re Estate of Wilber</w:t>
      </w:r>
      <w:r w:rsidDel="00000000" w:rsidR="00000000" w:rsidRPr="00000000">
        <w:rPr>
          <w:rFonts w:ascii="Roboto" w:cs="Roboto" w:eastAsia="Roboto" w:hAnsi="Roboto"/>
          <w:sz w:val="24"/>
          <w:szCs w:val="24"/>
          <w:rtl w:val="0"/>
        </w:rPr>
        <w:t xml:space="preserve">, 165 N.H. 246 (2013), and as further illustrated by </w:t>
      </w:r>
      <w:r w:rsidDel="00000000" w:rsidR="00000000" w:rsidRPr="00000000">
        <w:rPr>
          <w:rFonts w:ascii="Roboto" w:cs="Roboto" w:eastAsia="Roboto" w:hAnsi="Roboto"/>
          <w:i w:val="1"/>
          <w:iCs w:val="1"/>
          <w:sz w:val="24"/>
          <w:szCs w:val="24"/>
          <w:rtl w:val="0"/>
        </w:rPr>
        <w:t xml:space="preserve">In the Matter of Cicale</w:t>
      </w:r>
      <w:r w:rsidDel="00000000" w:rsidR="00000000" w:rsidRPr="00000000">
        <w:rPr>
          <w:rFonts w:ascii="Roboto" w:cs="Roboto" w:eastAsia="Roboto" w:hAnsi="Roboto"/>
          <w:sz w:val="24"/>
          <w:szCs w:val="24"/>
          <w:rtl w:val="0"/>
        </w:rPr>
        <w:t xml:space="preserve">, No. 2024-0370 (N.H. July 3, 2025) (Rule 20(3) order). </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The Parties are encouraged to execute this Agreement well in advance of any wedding date, and to update disclosures under Section 13 between thirty (30) and ninety (90) days before the wedding. </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New Hampshire Minimum Timeline</w:t>
      </w:r>
      <w:r w:rsidDel="00000000" w:rsidR="00000000" w:rsidRPr="00000000">
        <w:rPr>
          <w:rFonts w:ascii="Roboto" w:cs="Roboto" w:eastAsia="Roboto" w:hAnsi="Roboto"/>
          <w:sz w:val="24"/>
          <w:szCs w:val="24"/>
          <w:rtl w:val="0"/>
        </w:rPr>
        <w:t xml:space="preserve">: This Agreement should be executed at least thirty (30) days before the wedding, consistent with the </w:t>
      </w:r>
      <w:r w:rsidDel="00000000" w:rsidR="00000000" w:rsidRPr="00000000">
        <w:rPr>
          <w:rFonts w:ascii="Roboto" w:cs="Roboto" w:eastAsia="Roboto" w:hAnsi="Roboto"/>
          <w:i w:val="1"/>
          <w:iCs w:val="1"/>
          <w:sz w:val="24"/>
          <w:szCs w:val="24"/>
          <w:rtl w:val="0"/>
        </w:rPr>
        <w:t xml:space="preserve">Hollett</w:t>
      </w:r>
      <w:r w:rsidDel="00000000" w:rsidR="00000000" w:rsidRPr="00000000">
        <w:rPr>
          <w:rFonts w:ascii="Roboto" w:cs="Roboto" w:eastAsia="Roboto" w:hAnsi="Roboto"/>
          <w:sz w:val="24"/>
          <w:szCs w:val="24"/>
          <w:rtl w:val="0"/>
        </w:rPr>
        <w:t xml:space="preserve"> procedural-fairness norm. Sixty (60) days is recommended for typical cases; ninety (90) days where any disparity in assets, income, education, or sophistication exists between the Parties. </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i w:val="1"/>
          <w:iCs w:val="1"/>
          <w:sz w:val="24"/>
          <w:szCs w:val="24"/>
          <w:rtl w:val="0"/>
        </w:rPr>
        <w:t xml:space="preserve">Hollett</w:t>
      </w:r>
      <w:r w:rsidDel="00000000" w:rsidR="00000000" w:rsidRPr="00000000">
        <w:rPr>
          <w:rFonts w:ascii="Roboto" w:cs="Roboto" w:eastAsia="Roboto" w:hAnsi="Roboto"/>
          <w:b w:val="1"/>
          <w:bCs w:val="1"/>
          <w:sz w:val="24"/>
          <w:szCs w:val="24"/>
          <w:rtl w:val="0"/>
        </w:rPr>
        <w:t xml:space="preserve"> Compliance</w:t>
      </w:r>
      <w:r w:rsidDel="00000000" w:rsidR="00000000" w:rsidRPr="00000000">
        <w:rPr>
          <w:rFonts w:ascii="Roboto" w:cs="Roboto" w:eastAsia="Roboto" w:hAnsi="Roboto"/>
          <w:sz w:val="24"/>
          <w:szCs w:val="24"/>
          <w:rtl w:val="0"/>
        </w:rPr>
        <w:t xml:space="preserve">: Last-minute execution combined with bargaining-power disparity is the most successful invalidation ground in New Hampshire. The Parties confirm by signing that neither timing nor disparity exists at a level that would compromise voluntariness. </w:t>
      </w:r>
    </w:p>
    <w:p w:rsidR="00000000" w:rsidDel="00000000" w:rsidP="00000000" w:rsidRDefault="00000000" w:rsidRPr="00000000" w14:paraId="000000B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through Exhibits A and B with reasonable opportunity for verification (Section 11), and as a fallback have knowingly waived any further disclosure rights (Section 12).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under RSA 458:16-a, spousal support under RSA 458:19 and RSA 458:19-a, inheritance claims under RSA 560 (including the elective share), and all other marital rights to the fullest extent permitted under New Hampshire law and the MacFarlane/Hollett line of cases. </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challenges under the three Hollett grounds preserved by Section 16.4. </w:t>
      </w:r>
    </w:p>
    <w:p w:rsidR="00000000" w:rsidDel="00000000" w:rsidP="00000000" w:rsidRDefault="00000000" w:rsidRPr="00000000" w14:paraId="000000B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4">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5">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6">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7">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8">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A">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0">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C">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2">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8">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5">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