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NEW MEXICO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and has had adequate opportunity to do so, has carefully read and reviewed this Agreement, understands its terms and legal effect, and enters into it voluntarily and without coercion, duress, or undue influence, believing it fair and reasonable, in compliance with NMSA § 40-3A-7;</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intend for this Agreement to be governed by the laws of New Mexico and to be legally binding and enforceable under the Uniform Premarital Agreement Act, NMSA §§ 40-3A-1 to -10;</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and the marriage about to be solemnized,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clear and convincing tracing records exist to identify the separate contribution, consistent with New Mexico community-property tracing standards. </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1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SPOUSAL SUPPORT — NOT ADDRESSED BY AGREEMENT  </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No Modification of Statutory Support</w:t>
      </w:r>
      <w:r w:rsidDel="00000000" w:rsidR="00000000" w:rsidRPr="00000000">
        <w:rPr>
          <w:rFonts w:ascii="Roboto" w:cs="Roboto" w:eastAsia="Roboto" w:hAnsi="Roboto"/>
          <w:sz w:val="24"/>
          <w:szCs w:val="24"/>
          <w:rtl w:val="0"/>
        </w:rPr>
        <w:t xml:space="preserve">: The Parties acknowledge that NMSA § 40-3A-4(B) prohibits any premarital agreement from adversely affecting either Party's right to spousal support. Accordingly, this Agreement takes no position on, and makes no modification to, spousal support. Should either Party seek spousal support upon separation or divorce, the matter shall be determined exclusively under NMSA § 40-4-7 and applicable New Mexico case law.</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No Waiver Implied</w:t>
      </w:r>
      <w:r w:rsidDel="00000000" w:rsidR="00000000" w:rsidRPr="00000000">
        <w:rPr>
          <w:rFonts w:ascii="Roboto" w:cs="Roboto" w:eastAsia="Roboto" w:hAnsi="Roboto"/>
          <w:sz w:val="24"/>
          <w:szCs w:val="24"/>
          <w:rtl w:val="0"/>
        </w:rPr>
        <w:t xml:space="preserve">: Nothing in this Agreement shall be construed as a waiver, limitation, modification, cap, formula, or other adverse effect on either Party's right to 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Severability Cross-Reference</w:t>
      </w:r>
      <w:r w:rsidDel="00000000" w:rsidR="00000000" w:rsidRPr="00000000">
        <w:rPr>
          <w:rFonts w:ascii="Roboto" w:cs="Roboto" w:eastAsia="Roboto" w:hAnsi="Roboto"/>
          <w:sz w:val="24"/>
          <w:szCs w:val="24"/>
          <w:rtl w:val="0"/>
        </w:rPr>
        <w:t xml:space="preserve">: In the event any provision of this Agreement is deemed to adversely affect spousal support under NMSA § 40-3A-4(B), that provision shall be severed pursuant to Section 18 without affecting the validity of the remainder of this Agreement, including all property-related provisions in Sections 2 and 3. </w:t>
      </w:r>
    </w:p>
    <w:p w:rsidR="00000000" w:rsidDel="00000000" w:rsidP="00000000" w:rsidRDefault="00000000" w:rsidRPr="00000000" w14:paraId="0000003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32">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3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37">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39">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3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3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New Mexico law, including but not limited to NMSA §§ 45-2-201 through 45-2-214 (elective share provisions), § 45-2-402 (homestead allowance), § 45-2-403 (exempt property), and § 45-2-404 (family allowance) under the New Mexico Uniform Probate Code, pursuant to the waiver authority in NMSA § 45-2-213. </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4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4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in full, subject to the caps in Section 8.5 if the challenging Party is the recipient of Legal Representation Fund advances.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5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and arbitration proceedings under this Agreement shall be confidential. For any permitted court proceedings, the Parties shall jointly request sealing or protective orders to the extent allowed by applicable court rules and law. </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5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5E">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NMSA § 40-3A-7(A)(2)(b) and any other legal principle. </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NMSA § 40-3A-7(A)(2)(b) (written waiver of disclosure) and acknowledges this satisfies the statutory requirements irrespective of attached schedules. </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Scope of Waiver</w:t>
      </w:r>
      <w:r w:rsidDel="00000000" w:rsidR="00000000" w:rsidRPr="00000000">
        <w:rPr>
          <w:rFonts w:ascii="Roboto" w:cs="Roboto" w:eastAsia="Roboto" w:hAnsi="Roboto"/>
          <w:sz w:val="24"/>
          <w:szCs w:val="24"/>
          <w:rtl w:val="0"/>
        </w:rPr>
        <w:t xml:space="preserve">: Each Party acknowledges this waiver satisfies NMSA § 40-3A-7(A)(2)(b) and forecloses any challenge premised on inadequate disclosure or lack of opportunity to investigate. Nothing in this Section limits the court's authority to evaluate unconscionability or voluntariness under § 40-3A-7(A) as a matter of law.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6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7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7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72">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Timing</w:t>
      </w:r>
      <w:r w:rsidDel="00000000" w:rsidR="00000000" w:rsidRPr="00000000">
        <w:rPr>
          <w:rFonts w:ascii="Roboto" w:cs="Roboto" w:eastAsia="Roboto" w:hAnsi="Roboto"/>
          <w:sz w:val="24"/>
          <w:szCs w:val="24"/>
          <w:rtl w:val="0"/>
        </w:rPr>
        <w:t xml:space="preserve">: The Parties acknowledge that while no minimum period between execution and marriage is required under New Mexico law, signing well in advance of the wedding date strengthens enforceability against voluntariness challenges under NMSA § 40-3A-7(A)(1). Compliance with the timing recommendations in Section 19 is encouraged but is not a validity requirement. </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7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New Mexico Law</w:t>
      </w:r>
      <w:r w:rsidDel="00000000" w:rsidR="00000000" w:rsidRPr="00000000">
        <w:rPr>
          <w:rFonts w:ascii="Roboto" w:cs="Roboto" w:eastAsia="Roboto" w:hAnsi="Roboto"/>
          <w:sz w:val="24"/>
          <w:szCs w:val="24"/>
          <w:rtl w:val="0"/>
        </w:rPr>
        <w:t xml:space="preserve">: This Agreement is governed by New Mexico law as of execution date, including the New Mexico Uniform Premarital Agreement Act (NMSA §§ 40-3A-1 to -10) and New Mexico appellate precedent including Rivera v. Rivera, 2010-NMCA-106, and Lebeck v. Lebeck, 1994-NMCA-102, regardless of domicile or asset location. </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New Mexico jurisdiction and waives forum non conveniens defenses. Either Party may alternatively enforce this Agreement in any jurisdiction providing equal or stronger prenuptial protections than New Mexico.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agree that no party shall seek application of foreign or sister-state law for the purpose of avoiding or diminishing this Agreement's protections, except where mandatory conflict-of-law principles require application of another jurisdiction's law. </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Under NMSA § 40-3A-7, this Agreement is enforceable unless the challenging party proves either (a) involuntary execution, or (b) the Agreement was unconscionable when executed AND (i) no fair and reasonable disclosure was provided, (ii) no written waiver of disclosure, and (iii) the challenging party lacked adequate knowledge of the other's finances. Unconscionability and voluntariness are issues decided by the court as a matter of law under § 40-3A-7(B). </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 </w:t>
      </w:r>
      <w:r w:rsidDel="00000000" w:rsidR="00000000" w:rsidRPr="00000000">
        <w:rPr>
          <w:rFonts w:ascii="Roboto" w:cs="Roboto" w:eastAsia="Roboto" w:hAnsi="Roboto"/>
          <w:b w:val="1"/>
          <w:bCs w:val="1"/>
          <w:sz w:val="24"/>
          <w:szCs w:val="24"/>
          <w:rtl w:val="0"/>
        </w:rPr>
        <w:t xml:space="preserve">Single Review at Execution</w:t>
      </w:r>
      <w:r w:rsidDel="00000000" w:rsidR="00000000" w:rsidRPr="00000000">
        <w:rPr>
          <w:rFonts w:ascii="Roboto" w:cs="Roboto" w:eastAsia="Roboto" w:hAnsi="Roboto"/>
          <w:sz w:val="24"/>
          <w:szCs w:val="24"/>
          <w:rtl w:val="0"/>
        </w:rPr>
        <w:t xml:space="preserve">: The Parties acknowledge that New Mexico reviews premarital agreements for unconscionability only at execution, not at enforcement. Changed circumstances during marriage, including changes in income, assets, health, employment, or family status, shall not constitute grounds to invalidate this Agreement.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16.6 </w:t>
      </w:r>
      <w:r w:rsidDel="00000000" w:rsidR="00000000" w:rsidRPr="00000000">
        <w:rPr>
          <w:rFonts w:ascii="Roboto" w:cs="Roboto" w:eastAsia="Roboto" w:hAnsi="Roboto"/>
          <w:b w:val="1"/>
          <w:bCs w:val="1"/>
          <w:sz w:val="24"/>
          <w:szCs w:val="24"/>
          <w:rtl w:val="0"/>
        </w:rPr>
        <w:t xml:space="preserve">Public Policy Compliance</w:t>
      </w:r>
      <w:r w:rsidDel="00000000" w:rsidR="00000000" w:rsidRPr="00000000">
        <w:rPr>
          <w:rFonts w:ascii="Roboto" w:cs="Roboto" w:eastAsia="Roboto" w:hAnsi="Roboto"/>
          <w:sz w:val="24"/>
          <w:szCs w:val="24"/>
          <w:rtl w:val="0"/>
        </w:rPr>
        <w:t xml:space="preserve">: This Agreement does not adversely affect either Party's right to spousal support, child support, custody, visitation, choice of abode, or freedom to pursue career opportunities, consistent with NMSA § 40-3A-4(B). </w:t>
      </w:r>
    </w:p>
    <w:p w:rsidR="00000000" w:rsidDel="00000000" w:rsidP="00000000" w:rsidRDefault="00000000" w:rsidRPr="00000000" w14:paraId="0000008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Any amendment requires a written instrument (a) presented in final form at least thirty (30) days before execution; (b) signed and acknowledged (notarized) by both Parties as required by NMSA § 40-3A-3; (c) accompanied by written acknowledgment from each Party's independent counsel confirming review; and (d) expressly identifying any rights or protections being waived. </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Conduct-Based Revocation</w:t>
      </w:r>
      <w:r w:rsidDel="00000000" w:rsidR="00000000" w:rsidRPr="00000000">
        <w:rPr>
          <w:rFonts w:ascii="Roboto" w:cs="Roboto" w:eastAsia="Roboto" w:hAnsi="Roboto"/>
          <w:sz w:val="24"/>
          <w:szCs w:val="24"/>
          <w:rtl w:val="0"/>
        </w:rPr>
        <w:t xml:space="preserve">: Under NMSA § 40-3A-6, a premarital agreement may be amended or revoked by "a consistent and mutual course of conduct." No individual act — jointly titling property, refinancing, commingling funds, or designating beneficiaries — constitutes revocation unless accompanied by a written transmutation agreement per Sections 2.6 and 17.2. The Parties acknowledge that a sustained pattern of conduct inconsistent with this Agreement may nevertheless effect revocation under § 40-3A-6 regardless of this provision. </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 Under NMSA § 40-3A-3, a premarital agreement must be in writing, signed by both Parties, AND acknowledged (notarized). Under NMSA § 40-3A-5, it becomes effective upon marriage. </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most effectively defeats any involuntary-execution challenge under NMSA § 40-3A-7(A)(1). </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1-2 weeks for both parties to review the final version before signing. Reach out to an attorney at least 4-6 months before the wedding to begin the process.</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inheritance claims, and any other marital rights to the fullest extent permitted under NMSA §§ 40-3A-1 to -10 and New Mexico case law. The Parties acknowledge that spousal support cannot be waived or modified by premarital agreement under NMSA § 40-3A-4(B) and is NOT waived by this Agreement.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unconscionability beyond the two-prong test at execution under NMSA § 40-3A-7; (d) any claim not cognizable under NMSA § 40-3A-7(A); (e) breach of fiduciary duty in connection with the negotiation or execution of this Agreement, acknowledging that each Party has received full financial disclosure, adequate review time, and opportunity for independent counsel as required under New Mexico law; (f) retention of rights beyond those expressly preserved herein; or (g) any challenge to this Agreement's validity on grounds other than those cognizable under NMSA § 40-3A-7(A). </w:t>
      </w:r>
    </w:p>
    <w:p w:rsidR="00000000" w:rsidDel="00000000" w:rsidP="00000000" w:rsidRDefault="00000000" w:rsidRPr="00000000" w14:paraId="0000009D">
      <w:pPr>
        <w:spacing w:line="240" w:lineRule="auto"/>
        <w:rPr>
          <w:rFonts w:ascii="Roboto" w:cs="Roboto" w:eastAsia="Roboto" w:hAnsi="Roboto"/>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A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A7">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A8">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A9">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AA">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A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A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AD">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B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BF">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C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5">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C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8">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