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OKLAHOMA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independent legal counsel, has had sufficient opportunity to consult with counsel of their choosing, ask questions, and propose changes, and has had adequate time to review, consider, and negotiate this Agreement prior to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without coercion, duress, or undue influence;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Oklahoma and intend for it to be legally binding and enforceable;</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increased earning power (professional degrees, licenses, certifications, and earning capacity derived therefrom),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E">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Under Oklahoma law, equitable division under 43 O.S. § 121 is subject to a valid antenuptial contract (</w:t>
      </w:r>
      <w:r w:rsidDel="00000000" w:rsidR="00000000" w:rsidRPr="00000000">
        <w:rPr>
          <w:rFonts w:ascii="Roboto" w:cs="Roboto" w:eastAsia="Roboto" w:hAnsi="Roboto"/>
          <w:i w:val="1"/>
          <w:iCs w:val="1"/>
          <w:sz w:val="24"/>
          <w:szCs w:val="24"/>
          <w:rtl w:val="0"/>
        </w:rPr>
        <w:t xml:space="preserve">Hendrick v. Hendrick</w:t>
      </w:r>
      <w:r w:rsidDel="00000000" w:rsidR="00000000" w:rsidRPr="00000000">
        <w:rPr>
          <w:rFonts w:ascii="Roboto" w:cs="Roboto" w:eastAsia="Roboto" w:hAnsi="Roboto"/>
          <w:sz w:val="24"/>
          <w:szCs w:val="24"/>
          <w:rtl w:val="0"/>
        </w:rPr>
        <w:t xml:space="preserve">, 1999). Each Party acknowledges that generally accurate knowledge of business interests may satisfy disclosure requirements even without precise valuations (</w:t>
      </w:r>
      <w:r w:rsidDel="00000000" w:rsidR="00000000" w:rsidRPr="00000000">
        <w:rPr>
          <w:rFonts w:ascii="Roboto" w:cs="Roboto" w:eastAsia="Roboto" w:hAnsi="Roboto"/>
          <w:i w:val="1"/>
          <w:iCs w:val="1"/>
          <w:sz w:val="24"/>
          <w:szCs w:val="24"/>
          <w:rtl w:val="0"/>
        </w:rPr>
        <w:t xml:space="preserve">Griffin v. Griffin</w:t>
      </w:r>
      <w:r w:rsidDel="00000000" w:rsidR="00000000" w:rsidRPr="00000000">
        <w:rPr>
          <w:rFonts w:ascii="Roboto" w:cs="Roboto" w:eastAsia="Roboto" w:hAnsi="Roboto"/>
          <w:sz w:val="24"/>
          <w:szCs w:val="24"/>
          <w:rtl w:val="0"/>
        </w:rPr>
        <w:t xml:space="preserve">, 94 P.3d 96). </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2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whether rehabilitative or permanent, except as provided in this Section 4. The Section 4 formulas apply uniformly to temporary, pendente lite, and permanent support. Any temporary support awarded in excess of Section 4.5 shall be credited dollar-for-dollar against future support or refunded to payor within 90 days of this Agreement being upheld.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"Children of the Marriage" means biological children of both Parties (including IVF) and children legally adopted by both Parties. Either Party may request genetic testing at any time at the requesting Party's cost. A child who is neither biologically both Parties' nor legally adopted by both Parties is excluded from the Section 4.5 support calculation, and any excess payments are refunded or credited against future support.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recipient has not earned at least $30,000 in gross annual income within 24 months of divorce, verified by tax returns or W-2s. Payor may request annual verification. Both Parties acknowledge 24 months is adequate time to obtain such employment.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and state income tax, Social Security, and Medicare withholdings, excluding voluntary deductions. Net income is payor's three-year average preceding divorce filing, except if the most recent year is lower due to involuntary job loss, disability, or business closure beyond payor's control, in which case the most recent year applies.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6">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2%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4%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6%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8% of payor's net income</w:t>
      </w:r>
    </w:p>
    <w:p w:rsidR="00000000" w:rsidDel="00000000" w:rsidP="00000000" w:rsidRDefault="00000000" w:rsidRPr="00000000" w14:paraId="0000003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10% of payor's net income</w:t>
      </w:r>
    </w:p>
    <w:p w:rsidR="00000000" w:rsidDel="00000000" w:rsidP="00000000" w:rsidRDefault="00000000" w:rsidRPr="00000000" w14:paraId="0000003C">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12% of payor's net income</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$6,000 per month, indexed by CPI-U from the date of marriage to the date of first separation or dissolution filing.</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2">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3">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years: 25% of marriage length</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4.5 or 4.6 is deemed unconscionable by a court, it shall be reformed to the following percentages of payor's net income, minus 50% of recipient's income.  Duration shall be 40% of marriage length.</w:t>
      </w:r>
    </w:p>
    <w:p w:rsidR="00000000" w:rsidDel="00000000" w:rsidP="00000000" w:rsidRDefault="00000000" w:rsidRPr="00000000" w14:paraId="00000045">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5% of payor's net income</w:t>
      </w:r>
    </w:p>
    <w:p w:rsidR="00000000" w:rsidDel="00000000" w:rsidP="00000000" w:rsidRDefault="00000000" w:rsidRPr="00000000" w14:paraId="0000004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10% of payor's net income</w:t>
      </w:r>
    </w:p>
    <w:p w:rsidR="00000000" w:rsidDel="00000000" w:rsidP="00000000" w:rsidRDefault="00000000" w:rsidRPr="00000000" w14:paraId="00000047">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15% of payor's net income</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upon the earliest of: (a) recipient's remarriage; (b) recipient's cohabitation with another person in a romantic relationship for 60+ consecutive days; (c) either Party's death; or (d) duration expiration under Section 4.6.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Limited Modification</w:t>
      </w:r>
      <w:r w:rsidDel="00000000" w:rsidR="00000000" w:rsidRPr="00000000">
        <w:rPr>
          <w:rFonts w:ascii="Roboto" w:cs="Roboto" w:eastAsia="Roboto" w:hAnsi="Roboto"/>
          <w:sz w:val="24"/>
          <w:szCs w:val="24"/>
          <w:rtl w:val="0"/>
        </w:rPr>
        <w:t xml:space="preserve">: Modification requires clear and convincing evidence of changed circumstances rendering enforcement unconscionable. The Parties acknowledge as foreseeable at execution: dissolution, workforce departures, income changes, health issues, economic conditions, and childcare decisions.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4.5 and 4.6; or (b) Payor's average annual net income multiplied by:</w:t>
      </w:r>
    </w:p>
    <w:p w:rsidR="00000000" w:rsidDel="00000000" w:rsidP="00000000" w:rsidRDefault="00000000" w:rsidRPr="00000000" w14:paraId="0000004C">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4D">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4E">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income increases after divorce filing, including but not limited to new compensation, business growth, or investment returns. Post-divorce earnings are separate property. </w:t>
      </w:r>
    </w:p>
    <w:p w:rsidR="00000000" w:rsidDel="00000000" w:rsidP="00000000" w:rsidRDefault="00000000" w:rsidRPr="00000000" w14:paraId="0000005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2">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17. </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7">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8">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9">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B">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and other statutory inheritance rights under Oklahoma law, except homestead rights and statutory family allowances, which Oklahoma law does not permit to be waived by antenuptial agreement. </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0">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16 (Modification and Finality).</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governed by the Oklahoma Uniform Arbitration Act (Okla. Stat. tit. 12 § 1857 et seq.), conducted by a single arbitrator selected from AAA's family law panel in the city nearest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E">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Oklahoma Burgess Test Satisfaction</w:t>
      </w:r>
      <w:r w:rsidDel="00000000" w:rsidR="00000000" w:rsidRPr="00000000">
        <w:rPr>
          <w:rFonts w:ascii="Roboto" w:cs="Roboto" w:eastAsia="Roboto" w:hAnsi="Roboto"/>
          <w:sz w:val="24"/>
          <w:szCs w:val="24"/>
          <w:rtl w:val="0"/>
        </w:rPr>
        <w:t xml:space="preserve">: Each Party affirms this Agreement satisfies Oklahoma's enforceability requirements under the Burgess Test because: (a) each Party received full, fair, and frank disclosure of the other's financial circumstances; OR (b) each Party had generally accurate knowledge of the other's property and worth; OR (c) this Agreement provides fair and reasonable provisions for both Parties. </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11.4 </w:t>
      </w:r>
      <w:r w:rsidDel="00000000" w:rsidR="00000000" w:rsidRPr="00000000">
        <w:rPr>
          <w:rFonts w:ascii="Roboto" w:cs="Roboto" w:eastAsia="Roboto" w:hAnsi="Roboto"/>
          <w:b w:val="1"/>
          <w:bCs w:val="1"/>
          <w:sz w:val="24"/>
          <w:szCs w:val="24"/>
          <w:rtl w:val="0"/>
        </w:rPr>
        <w:t xml:space="preserve">Opportunity for Verification</w:t>
      </w:r>
      <w:r w:rsidDel="00000000" w:rsidR="00000000" w:rsidRPr="00000000">
        <w:rPr>
          <w:rFonts w:ascii="Roboto" w:cs="Roboto" w:eastAsia="Roboto" w:hAnsi="Roboto"/>
          <w:sz w:val="24"/>
          <w:szCs w:val="24"/>
          <w:rtl w:val="0"/>
        </w:rPr>
        <w:t xml:space="preserve">: Each Party had adequate opportunity and time to verify, investigate, and seek additional information regarding the other Party's financial disclosures, and voluntarily chose to proceed without demanding additional verification or documentation.</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11.5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except the constitutional minimum necessary to prove fraud, duress, coercion, incapacity, or forgery at execution by clear and convincing evidence; any permitted discovery is limited to execution-time circumstances only (not current finances, income, assets, or ability to pay), must be completed within 60 days, and subjects the requesting party to cost-shifting if unsuccessful.</w:t>
      </w:r>
    </w:p>
    <w:p w:rsidR="00000000" w:rsidDel="00000000" w:rsidP="00000000" w:rsidRDefault="00000000" w:rsidRPr="00000000" w14:paraId="0000008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OPTIONAL PRE-MARRIAGE ASSET UPDATE</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30 and 90 days before the marriage date. Any updates shall supplement Exhibits A and B.</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reaffirmation confirming this Agreement remains fully effective. Such reaffirmation does not modify any substantive term.</w:t>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Failure to exchange updates or execute any reaffirmation shall not invalidate or affect the enforceability of this Agreement. The disclosures in Exhibits A and B as of the execution date remain operative for all purposes.</w:t>
      </w:r>
      <w:r w:rsidDel="00000000" w:rsidR="00000000" w:rsidRPr="00000000">
        <w:rPr>
          <w:rtl w:val="0"/>
        </w:rPr>
      </w:r>
    </w:p>
    <w:p w:rsidR="00000000" w:rsidDel="00000000" w:rsidP="00000000" w:rsidRDefault="00000000" w:rsidRPr="00000000" w14:paraId="0000008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ASSET CHANGES AND CONTINUED VALIDITY</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INDEPENDENT LEGAL COUNSEL</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GOVERNING LAW AND ENFORCEABILITY</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Oklahoma Law</w:t>
      </w:r>
      <w:r w:rsidDel="00000000" w:rsidR="00000000" w:rsidRPr="00000000">
        <w:rPr>
          <w:rFonts w:ascii="Roboto" w:cs="Roboto" w:eastAsia="Roboto" w:hAnsi="Roboto"/>
          <w:sz w:val="24"/>
          <w:szCs w:val="24"/>
          <w:rtl w:val="0"/>
        </w:rPr>
        <w:t xml:space="preserve">: This Agreement is governed by Oklahoma law, including Okla. Stat. tit. 43 §§ 121, 204 and tit. 15 § 136, and applicable Oklahoma case law including the Burgess Test established in Matter of Estate of Burgess, 646 P.2d 623 (Okla. App. 1982), regardless of the parties' future domicile or location of assets.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Oklahoma jurisdiction and waives forum non conveniens defenses. Neither Party may initiate enforcement proceedings in a jurisdiction with weaker prenuptial protections than Oklahoma, only stronger. </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Choice of Law: </w:t>
      </w:r>
      <w:r w:rsidDel="00000000" w:rsidR="00000000" w:rsidRPr="00000000">
        <w:rPr>
          <w:rFonts w:ascii="Roboto" w:cs="Roboto" w:eastAsia="Roboto" w:hAnsi="Roboto"/>
          <w:sz w:val="24"/>
          <w:szCs w:val="24"/>
          <w:rtl w:val="0"/>
        </w:rPr>
        <w:t xml:space="preserve">In any proceeding involving this Agreement, the Parties intend Oklahoma law to apply and request that any court or arbitrator give maximum effect to the Parties' contractual intent. </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15.4 </w:t>
      </w:r>
      <w:r w:rsidDel="00000000" w:rsidR="00000000" w:rsidRPr="00000000">
        <w:rPr>
          <w:rFonts w:ascii="Roboto" w:cs="Roboto" w:eastAsia="Roboto" w:hAnsi="Roboto"/>
          <w:b w:val="1"/>
          <w:bCs w:val="1"/>
          <w:sz w:val="24"/>
          <w:szCs w:val="24"/>
          <w:rtl w:val="0"/>
        </w:rPr>
        <w:t xml:space="preserve">Enforceability Standard:</w:t>
      </w:r>
      <w:r w:rsidDel="00000000" w:rsidR="00000000" w:rsidRPr="00000000">
        <w:rPr>
          <w:rFonts w:ascii="Roboto" w:cs="Roboto" w:eastAsia="Roboto" w:hAnsi="Roboto"/>
          <w:sz w:val="24"/>
          <w:szCs w:val="24"/>
          <w:rtl w:val="0"/>
        </w:rPr>
        <w:t xml:space="preserve"> Oklahoma courts assess enforceability at execution under the </w:t>
      </w:r>
      <w:r w:rsidDel="00000000" w:rsidR="00000000" w:rsidRPr="00000000">
        <w:rPr>
          <w:rFonts w:ascii="Roboto" w:cs="Roboto" w:eastAsia="Roboto" w:hAnsi="Roboto"/>
          <w:i w:val="1"/>
          <w:iCs w:val="1"/>
          <w:sz w:val="24"/>
          <w:szCs w:val="24"/>
          <w:rtl w:val="0"/>
        </w:rPr>
        <w:t xml:space="preserve">Burgess</w:t>
      </w:r>
      <w:r w:rsidDel="00000000" w:rsidR="00000000" w:rsidRPr="00000000">
        <w:rPr>
          <w:rFonts w:ascii="Roboto" w:cs="Roboto" w:eastAsia="Roboto" w:hAnsi="Roboto"/>
          <w:sz w:val="24"/>
          <w:szCs w:val="24"/>
          <w:rtl w:val="0"/>
        </w:rPr>
        <w:t xml:space="preserve"> test. Each Party acknowledges this Agreement satisfies the test and was not unconscionable at the time of signing. </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15.5 </w:t>
      </w:r>
      <w:r w:rsidDel="00000000" w:rsidR="00000000" w:rsidRPr="00000000">
        <w:rPr>
          <w:rFonts w:ascii="Roboto" w:cs="Roboto" w:eastAsia="Roboto" w:hAnsi="Roboto"/>
          <w:b w:val="1"/>
          <w:bCs w:val="1"/>
          <w:sz w:val="24"/>
          <w:szCs w:val="24"/>
          <w:rtl w:val="0"/>
        </w:rPr>
        <w:t xml:space="preserve">Presumption of Validity</w:t>
      </w:r>
      <w:r w:rsidDel="00000000" w:rsidR="00000000" w:rsidRPr="00000000">
        <w:rPr>
          <w:rFonts w:ascii="Roboto" w:cs="Roboto" w:eastAsia="Roboto" w:hAnsi="Roboto"/>
          <w:sz w:val="24"/>
          <w:szCs w:val="24"/>
          <w:rtl w:val="0"/>
        </w:rPr>
        <w:t xml:space="preserve">: This Agreement is presumed valid and enforceable. Oklahoma courts favor enforcement of prenuptial agreements when properly executed.  </w:t>
      </w:r>
    </w:p>
    <w:p w:rsidR="00000000" w:rsidDel="00000000" w:rsidP="00000000" w:rsidRDefault="00000000" w:rsidRPr="00000000" w14:paraId="0000009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MODIFICATION AND FINALITY</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SEVERABILITY</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EFFECTIVE DATE AND TIMING</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  Oklahoma courts examine whether parties had adequate time to review without undue pressure. In Taylor v. Taylor, three months was deemed sufficient time. Avoid signing immediately before the wedding (e.g., "the night before"), as this may constitute duress under Oklahoma law.</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A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COMPREHENSIVE ACKNOWLEDGMENTS</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full, fair, and frank financial disclosure of the other's financial circumstances with reasonable opportunity for verification, or alternatively had generally accurate knowledge of the other's property and worth, satisfying the Oklahoma Burgess Test requirements.</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Maximum Statutory Waiver: </w:t>
      </w:r>
      <w:r w:rsidDel="00000000" w:rsidR="00000000" w:rsidRPr="00000000">
        <w:rPr>
          <w:rFonts w:ascii="Roboto" w:cs="Roboto" w:eastAsia="Roboto" w:hAnsi="Roboto"/>
          <w:sz w:val="24"/>
          <w:szCs w:val="24"/>
          <w:rtl w:val="0"/>
        </w:rPr>
        <w:t xml:space="preserve">Each Party understands they are waiving rights to equitable division of jointly acquired marital property, spousal support (except as provided in Section 4), inheritance claims, and other marital rights to the fullest extent permitted under Oklahoma law. </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B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EXECUTION</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C">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BF">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2">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3">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4">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5">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B">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7">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8">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9">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A">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C">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D">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0">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