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OREGON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Party A is employed by [Employer] as [Title] and Party B is employed by [Employer] as [Title];</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of their respective assets, liabilities, income, and financial circumstances — including compensation, equity, and ownership interests — as set forth in Exhibits A and B;</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the other's present earning capacity and agrees that future changes in employment, income, or earning capacity — including those resulting from caregiving, career sacrifice, or market conditions — are contemplated at execution and shall not constitute grounds to modify or invalidate this Agreement;</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had adequate time to review, consider, and negotiate this Agreement prior to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been advised of their right to independent legal counsel and has had sufficient opportunity to consult counsel of their choosing, ask questions, and propose changes;</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it voluntarily and without coercion, duress, or undue influence;</w:t>
      </w:r>
    </w:p>
    <w:p w:rsidR="00000000" w:rsidDel="00000000" w:rsidP="00000000" w:rsidRDefault="00000000" w:rsidRPr="00000000" w14:paraId="0000000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Oregon and intend for it to be legally binding and enforceable;</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11">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does not become joint property unless both Parties execute a written agreement specifically identifying the property and their intent to convert it. No deed, title change, account registration, or beneficiary designation — including adding a spouse to title — effects a transmutation without such written agreement. </w:t>
      </w:r>
    </w:p>
    <w:p w:rsidR="00000000" w:rsidDel="00000000" w:rsidP="00000000" w:rsidRDefault="00000000" w:rsidRPr="00000000" w14:paraId="0000002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w:t>
      </w:r>
      <w:r w:rsidDel="00000000" w:rsidR="00000000" w:rsidRPr="00000000">
        <w:rPr>
          <w:rFonts w:ascii="Roboto" w:cs="Roboto" w:eastAsia="Roboto" w:hAnsi="Roboto"/>
          <w:sz w:val="24"/>
          <w:szCs w:val="24"/>
          <w:rtl w:val="0"/>
        </w:rPr>
        <w:t xml:space="preserve"> Separate business interests remain separate property regardless of spousal involvement, consultation, or contribution during marriage, unless the non-owner spouse makes direct documented capital contributions or becomes a legal co-owner. Advice, consultation, or emotional support creates no property interest.  No marital claim arises from business operations, growth, or increased value during marriage.  All goodwill — whether personal, professional, or enterprise — associated with a Party's separate business remains that Party's separate property and is not subject to division. </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The non-settlor spouse waives all rights to distributions, principal, remainder interests, beneficiary designations, and any claim that trust assets constitute marital or community property — including assets held in discretionary, generation-skipping, and offshore asset protection trusts, whether domestic or foreign. Each Party's irrevocable trusts are not subject to division under this Agreement. </w:t>
      </w:r>
    </w:p>
    <w:p w:rsidR="00000000" w:rsidDel="00000000" w:rsidP="00000000" w:rsidRDefault="00000000" w:rsidRPr="00000000" w14:paraId="0000002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3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whether rehabilitative or permanent, except as provided in this Section 4. These formulas apply uniformly to temporary, pendente lite, and permanent support. Temporary support exceeding Section 4.5 shall be credited dollar-for-dollar against future support or refunded within 90 days of this Agreement being upheld. </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Children of the Marriage</w:t>
      </w:r>
      <w:r w:rsidDel="00000000" w:rsidR="00000000" w:rsidRPr="00000000">
        <w:rPr>
          <w:rFonts w:ascii="Roboto" w:cs="Roboto" w:eastAsia="Roboto" w:hAnsi="Roboto"/>
          <w:sz w:val="24"/>
          <w:szCs w:val="24"/>
          <w:rtl w:val="0"/>
        </w:rPr>
        <w:t xml:space="preserve">: Biological children of both Parties (including IVF) and children legally adopted by both Parties. Either Party may request genetic testing at any time at the requesting Party's cost. A child who does not meet this definition is excluded from the Section 4.5 support calculation, and any excess payments are refunded or credited against future support. </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50% if the recipient has not obtained employment within 24 months of divorce. "Employment" means gross annual income of at least $30,000, verified by tax returns or W-2s. Payor may request annual verification. </w:t>
      </w:r>
    </w:p>
    <w:p w:rsidR="00000000" w:rsidDel="00000000" w:rsidP="00000000" w:rsidRDefault="00000000" w:rsidRPr="00000000" w14:paraId="0000003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and state income tax, Social Security, and Medicare withholdings, excluding voluntary deductions. Net income is the three-year average preceding divorce filing, except that if the most recent year is lower due to involuntary job loss, disability, or business closure beyond payor's control, the most recent year's net income applies. </w:t>
      </w:r>
    </w:p>
    <w:p w:rsidR="00000000" w:rsidDel="00000000" w:rsidP="00000000" w:rsidRDefault="00000000" w:rsidRPr="00000000" w14:paraId="0000003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25% of recipient's net income, based on the number of Children of the Marriage:</w:t>
      </w:r>
    </w:p>
    <w:p w:rsidR="00000000" w:rsidDel="00000000" w:rsidP="00000000" w:rsidRDefault="00000000" w:rsidRPr="00000000" w14:paraId="00000037">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0% of payor's net income (no support)</w:t>
      </w:r>
    </w:p>
    <w:p w:rsidR="00000000" w:rsidDel="00000000" w:rsidP="00000000" w:rsidRDefault="00000000" w:rsidRPr="00000000" w14:paraId="00000038">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2% of payor's net income</w:t>
      </w:r>
    </w:p>
    <w:p w:rsidR="00000000" w:rsidDel="00000000" w:rsidP="00000000" w:rsidRDefault="00000000" w:rsidRPr="00000000" w14:paraId="00000039">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4% of payor's net income</w:t>
      </w:r>
    </w:p>
    <w:p w:rsidR="00000000" w:rsidDel="00000000" w:rsidP="00000000" w:rsidRDefault="00000000" w:rsidRPr="00000000" w14:paraId="0000003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6% of payor's net income</w:t>
      </w:r>
    </w:p>
    <w:p w:rsidR="00000000" w:rsidDel="00000000" w:rsidP="00000000" w:rsidRDefault="00000000" w:rsidRPr="00000000" w14:paraId="0000003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8% of payor's net income</w:t>
      </w:r>
    </w:p>
    <w:p w:rsidR="00000000" w:rsidDel="00000000" w:rsidP="00000000" w:rsidRDefault="00000000" w:rsidRPr="00000000" w14:paraId="0000003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10% of payor's net income</w:t>
      </w:r>
    </w:p>
    <w:p w:rsidR="00000000" w:rsidDel="00000000" w:rsidP="00000000" w:rsidRDefault="00000000" w:rsidRPr="00000000" w14:paraId="0000003D">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12% of payor's net income</w:t>
      </w:r>
    </w:p>
    <w:p w:rsidR="00000000" w:rsidDel="00000000" w:rsidP="00000000" w:rsidRDefault="00000000" w:rsidRPr="00000000" w14:paraId="0000003E">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w:t>
      </w:r>
      <w:r w:rsidDel="00000000" w:rsidR="00000000" w:rsidRPr="00000000">
        <w:rPr>
          <w:rFonts w:ascii="Roboto" w:cs="Roboto" w:eastAsia="Roboto" w:hAnsi="Roboto"/>
          <w:sz w:val="24"/>
          <w:szCs w:val="24"/>
          <w:rtl w:val="0"/>
        </w:rPr>
        <w:t xml:space="preserve"> $4,000 per month, adjusted annually by CPI-U from the date of marriage through the earlier of separation or dissolution filing. </w:t>
      </w:r>
    </w:p>
    <w:p w:rsidR="00000000" w:rsidDel="00000000" w:rsidP="00000000" w:rsidRDefault="00000000" w:rsidRPr="00000000" w14:paraId="0000003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0">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5% of marriage length</w:t>
      </w:r>
    </w:p>
    <w:p w:rsidR="00000000" w:rsidDel="00000000" w:rsidP="00000000" w:rsidRDefault="00000000" w:rsidRPr="00000000" w14:paraId="00000041">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2">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3">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4">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5">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30% of marriage length</w:t>
      </w:r>
    </w:p>
    <w:p w:rsidR="00000000" w:rsidDel="00000000" w:rsidP="00000000" w:rsidRDefault="00000000" w:rsidRPr="00000000" w14:paraId="00000046">
      <w:pPr>
        <w:numPr>
          <w:ilvl w:val="0"/>
          <w:numId w:val="2"/>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35% of marriage length</w:t>
      </w:r>
    </w:p>
    <w:p w:rsidR="00000000" w:rsidDel="00000000" w:rsidP="00000000" w:rsidRDefault="00000000" w:rsidRPr="00000000" w14:paraId="0000004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Public Assistance Override</w:t>
      </w:r>
      <w:r w:rsidDel="00000000" w:rsidR="00000000" w:rsidRPr="00000000">
        <w:rPr>
          <w:rFonts w:ascii="Roboto" w:cs="Roboto" w:eastAsia="Roboto" w:hAnsi="Roboto"/>
          <w:sz w:val="24"/>
          <w:szCs w:val="24"/>
          <w:rtl w:val="0"/>
        </w:rPr>
        <w:t xml:space="preserve">: If enforcement of this Section's spousal support provisions would make the recipient eligible for public assistance or medical assistance, the court may award support to the extent necessary to avoid that eligibility, per ORS 108.725(2). This override is mandatory under Oregon law and severable from all other provisions. </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calculation under Sections 4.5 or 4.6 is deemed unconscionable, it shall be reformed to the following percentages of payor's net income, minus 25% of recipient's net income, for a duration of 50% of marriage length: </w:t>
      </w:r>
    </w:p>
    <w:p w:rsidR="00000000" w:rsidDel="00000000" w:rsidP="00000000" w:rsidRDefault="00000000" w:rsidRPr="00000000" w14:paraId="00000049">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0-1 Child: 10% of payor's net income</w:t>
      </w:r>
    </w:p>
    <w:p w:rsidR="00000000" w:rsidDel="00000000" w:rsidP="00000000" w:rsidRDefault="00000000" w:rsidRPr="00000000" w14:paraId="0000004A">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2-3 Children: 15% of payor's net income</w:t>
      </w:r>
    </w:p>
    <w:p w:rsidR="00000000" w:rsidDel="00000000" w:rsidP="00000000" w:rsidRDefault="00000000" w:rsidRPr="00000000" w14:paraId="0000004B">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20% of payor's net income</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in a romantic relationship; (c) Recipient's death; (d) Payor's death; or (e) Duration limit expiration under Section 4.6, except as extended by court order under Section 4.7. </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Modification Standard</w:t>
      </w:r>
      <w:r w:rsidDel="00000000" w:rsidR="00000000" w:rsidRPr="00000000">
        <w:rPr>
          <w:rFonts w:ascii="Roboto" w:cs="Roboto" w:eastAsia="Roboto" w:hAnsi="Roboto"/>
          <w:sz w:val="24"/>
          <w:szCs w:val="24"/>
          <w:rtl w:val="0"/>
        </w:rPr>
        <w:t xml:space="preserve">: This Section may be modified only by written agreement per Section 17 or by court order showing enforcement would be unconscionable due to unforeseeable circumstances arising post-execution. Economic conditions, career changes, health issues, workforce departures, and caregiving decisions are expressly foreseeable. </w:t>
      </w:r>
    </w:p>
    <w:p w:rsidR="00000000" w:rsidDel="00000000" w:rsidP="00000000" w:rsidRDefault="00000000" w:rsidRPr="00000000" w14:paraId="0000004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aggregate of monthly amounts under Section 4.5 paid over the duration in Section 4.6; or (b) payor's average annual net income multiplied by: </w:t>
      </w:r>
    </w:p>
    <w:p w:rsidR="00000000" w:rsidDel="00000000" w:rsidP="00000000" w:rsidRDefault="00000000" w:rsidRPr="00000000" w14:paraId="00000050">
      <w:pPr>
        <w:numPr>
          <w:ilvl w:val="0"/>
          <w:numId w:val="6"/>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75% </w:t>
      </w:r>
    </w:p>
    <w:p w:rsidR="00000000" w:rsidDel="00000000" w:rsidP="00000000" w:rsidRDefault="00000000" w:rsidRPr="00000000" w14:paraId="00000051">
      <w:pPr>
        <w:numPr>
          <w:ilvl w:val="0"/>
          <w:numId w:val="6"/>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125% </w:t>
      </w:r>
    </w:p>
    <w:p w:rsidR="00000000" w:rsidDel="00000000" w:rsidP="00000000" w:rsidRDefault="00000000" w:rsidRPr="00000000" w14:paraId="00000052">
      <w:pPr>
        <w:numPr>
          <w:ilvl w:val="0"/>
          <w:numId w:val="6"/>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175%</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Support shall not be modified based on payor's income increases after divorce filing, including promotions, bonuses, raises, business growth, investment returns, inheritances, gifts, or new employment. Post-divorce earnings are separate property. </w:t>
      </w:r>
    </w:p>
    <w:p w:rsidR="00000000" w:rsidDel="00000000" w:rsidP="00000000" w:rsidRDefault="00000000" w:rsidRPr="00000000" w14:paraId="0000005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Child Support Non-Waiver</w:t>
      </w:r>
      <w:r w:rsidDel="00000000" w:rsidR="00000000" w:rsidRPr="00000000">
        <w:rPr>
          <w:rFonts w:ascii="Roboto" w:cs="Roboto" w:eastAsia="Roboto" w:hAnsi="Roboto"/>
          <w:sz w:val="24"/>
          <w:szCs w:val="24"/>
          <w:rtl w:val="0"/>
        </w:rPr>
        <w:t xml:space="preserve">: Nothing in this Agreement affects child support obligations. Child support shall be determined according to Oregon law (ORS 108.710(2), ORS 25.275-25.290). Any provision purporting to waive or limit child support is void and severable. This Section 4 addresses spousal support only.</w:t>
      </w:r>
    </w:p>
    <w:p w:rsidR="00000000" w:rsidDel="00000000" w:rsidP="00000000" w:rsidRDefault="00000000" w:rsidRPr="00000000" w14:paraId="0000005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7">
      <w:pPr>
        <w:spacing w:after="8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Section is precatory and aspirational only — it expresses the Parties' shared hopes and values, is not legally binding or enforceable, and carries no remedy. Its validity or invalidity has no bearing on any other provision, all of which remain fully effective and severable per Section 18. All uses of "aspire," "value," and "hope" in this Section are intentionally non-obligatory. </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 </w:t>
      </w:r>
      <w:r w:rsidDel="00000000" w:rsidR="00000000" w:rsidRPr="00000000">
        <w:rPr>
          <w:rFonts w:ascii="Roboto" w:cs="Roboto" w:eastAsia="Roboto" w:hAnsi="Roboto"/>
          <w:sz w:val="24"/>
          <w:szCs w:val="24"/>
          <w:rtl w:val="0"/>
        </w:rPr>
        <w:t xml:space="preserve">In case of marital difficulties, the Parties aspire to preserve family unity through creative living arrangements if necessary (sharing a home though different rooms, or nearby houses), to speak respectfully about each other publicly and privately, and to prioritize their children's relationships with both parents regardless of marital status. </w:t>
      </w:r>
    </w:p>
    <w:p w:rsidR="00000000" w:rsidDel="00000000" w:rsidP="00000000" w:rsidRDefault="00000000" w:rsidRPr="00000000" w14:paraId="0000005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values the mutual expectation of fidelity and ongoing intimacy as foundational to a happy and long-lived marriage. </w:t>
      </w:r>
    </w:p>
    <w:p w:rsidR="00000000" w:rsidDel="00000000" w:rsidP="00000000" w:rsidRDefault="00000000" w:rsidRPr="00000000" w14:paraId="0000005D">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5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inheritance rights under Oregon law, including: elective share (ORS 114.600–114.725, waiver per ORS 114.620); occupancy of principal dwelling (ORS 114.005); spousal and family support from estate (ORS 114.015–114.085); pretermitted spouse rights (ORS 112.305); and intestate succession rights (ORS 112.025–112.055). </w:t>
      </w:r>
    </w:p>
    <w:p w:rsidR="00000000" w:rsidDel="00000000" w:rsidP="00000000" w:rsidRDefault="00000000" w:rsidRPr="00000000" w14:paraId="0000006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2">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6.4 </w:t>
      </w:r>
      <w:r w:rsidDel="00000000" w:rsidR="00000000" w:rsidRPr="00000000">
        <w:rPr>
          <w:rFonts w:ascii="Roboto" w:cs="Roboto" w:eastAsia="Roboto" w:hAnsi="Roboto"/>
          <w:b w:val="1"/>
          <w:bCs w:val="1"/>
          <w:sz w:val="24"/>
          <w:szCs w:val="24"/>
          <w:rtl w:val="0"/>
        </w:rPr>
        <w:t xml:space="preserve">ERISA Retirement Rights</w:t>
      </w:r>
      <w:r w:rsidDel="00000000" w:rsidR="00000000" w:rsidRPr="00000000">
        <w:rPr>
          <w:rFonts w:ascii="Roboto" w:cs="Roboto" w:eastAsia="Roboto" w:hAnsi="Roboto"/>
          <w:sz w:val="24"/>
          <w:szCs w:val="24"/>
          <w:rtl w:val="0"/>
        </w:rPr>
        <w:t xml:space="preserve">: ERISA spousal rights cannot be waived before marriage. Each Party shall execute any required spousal consent or beneficiary waiver within 30 days of written request after marriage, and agrees not to seek a Qualified Domestic Relations Order or similar order against the other Party's retirement or deferred compensation plans, which remain separate property under Section 1.1. Failure to execute is a material breach entitling the requesting Party to specific performance, $25,000 liquidated damages, and reasonable attorney fees. </w:t>
      </w:r>
    </w:p>
    <w:p w:rsidR="00000000" w:rsidDel="00000000" w:rsidP="00000000" w:rsidRDefault="00000000" w:rsidRPr="00000000" w14:paraId="0000006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AFTER EXECUTION</w:t>
      </w:r>
    </w:p>
    <w:p w:rsidR="00000000" w:rsidDel="00000000" w:rsidP="00000000" w:rsidRDefault="00000000" w:rsidRPr="00000000" w14:paraId="0000006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This Agreement remains valid regardless of post-execution changes in assets, income, net worth, or financial circumstances, whether foreseeable or unforeseeable, disclosed or undisclosed. </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No change in circumstances shall modify, invalidate, or excuse performance unless modified per Section 17. Each Party waives challenges based on post-execution asset changes, market fluctuations, or failure to disclose changes occurring after execution. </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counsel for proceedings under this Agreement, the higher-earning Party shall advance reasonable attorney fees up to the lesser of (i) 2% of that Party's gross annual income, or (ii) $25,000 total across all proceedings. Advanced fees shall be reimbursed from any award or settlement received by the represented Party, or by offset against any property or support distributed to that Party. </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4">
      <w:pPr>
        <w:spacing w:after="240" w:before="240" w:line="240" w:lineRule="auto"/>
        <w:ind w:right="600"/>
        <w:rPr>
          <w:rFonts w:ascii="Roboto" w:cs="Roboto" w:eastAsia="Roboto" w:hAnsi="Roboto"/>
          <w:sz w:val="24"/>
          <w:szCs w:val="24"/>
        </w:rPr>
      </w:pPr>
      <w:r w:rsidDel="00000000" w:rsidR="00000000" w:rsidRPr="00000000">
        <w:rPr>
          <w:rFonts w:ascii="Roboto" w:cs="Roboto" w:eastAsia="Roboto" w:hAnsi="Roboto"/>
          <w:sz w:val="24"/>
          <w:szCs w:val="24"/>
          <w:rtl w:val="0"/>
        </w:rPr>
        <w:t xml:space="preserve">8.11 </w:t>
      </w:r>
      <w:r w:rsidDel="00000000" w:rsidR="00000000" w:rsidRPr="00000000">
        <w:rPr>
          <w:rFonts w:ascii="Roboto" w:cs="Roboto" w:eastAsia="Roboto" w:hAnsi="Roboto"/>
          <w:b w:val="1"/>
          <w:bCs w:val="1"/>
          <w:sz w:val="24"/>
          <w:szCs w:val="24"/>
          <w:rtl w:val="0"/>
        </w:rPr>
        <w:t xml:space="preserve">Confidentiality of Proceedings</w:t>
      </w:r>
      <w:r w:rsidDel="00000000" w:rsidR="00000000" w:rsidRPr="00000000">
        <w:rPr>
          <w:rFonts w:ascii="Roboto" w:cs="Roboto" w:eastAsia="Roboto" w:hAnsi="Roboto"/>
          <w:sz w:val="24"/>
          <w:szCs w:val="24"/>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9.4 </w:t>
      </w:r>
      <w:r w:rsidDel="00000000" w:rsidR="00000000" w:rsidRPr="00000000">
        <w:rPr>
          <w:rFonts w:ascii="Roboto" w:cs="Roboto" w:eastAsia="Roboto" w:hAnsi="Roboto"/>
          <w:b w:val="1"/>
          <w:bCs w:val="1"/>
          <w:sz w:val="24"/>
          <w:szCs w:val="24"/>
          <w:rtl w:val="0"/>
        </w:rPr>
        <w:t xml:space="preserve">Translation Available</w:t>
      </w:r>
      <w:r w:rsidDel="00000000" w:rsidR="00000000" w:rsidRPr="00000000">
        <w:rPr>
          <w:rFonts w:ascii="Roboto" w:cs="Roboto" w:eastAsia="Roboto" w:hAnsi="Roboto"/>
          <w:sz w:val="24"/>
          <w:szCs w:val="24"/>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80">
      <w:pPr>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Remedies:</w:t>
      </w:r>
      <w:r w:rsidDel="00000000" w:rsidR="00000000" w:rsidRPr="00000000">
        <w:rPr>
          <w:rFonts w:ascii="Roboto" w:cs="Roboto" w:eastAsia="Roboto" w:hAnsi="Roboto"/>
          <w:sz w:val="24"/>
          <w:szCs w:val="24"/>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10.7 </w:t>
      </w:r>
      <w:r w:rsidDel="00000000" w:rsidR="00000000" w:rsidRPr="00000000">
        <w:rPr>
          <w:rFonts w:ascii="Roboto" w:cs="Roboto" w:eastAsia="Roboto" w:hAnsi="Roboto"/>
          <w:b w:val="1"/>
          <w:bCs w:val="1"/>
          <w:sz w:val="24"/>
          <w:szCs w:val="24"/>
          <w:rtl w:val="0"/>
        </w:rPr>
        <w:t xml:space="preserve">Enforceability</w:t>
      </w:r>
      <w:r w:rsidDel="00000000" w:rsidR="00000000" w:rsidRPr="00000000">
        <w:rPr>
          <w:rFonts w:ascii="Roboto" w:cs="Roboto" w:eastAsia="Roboto" w:hAnsi="Roboto"/>
          <w:sz w:val="24"/>
          <w:szCs w:val="24"/>
          <w:rtl w:val="0"/>
        </w:rPr>
        <w:t xml:space="preserve">: Oregon courts retain discretion regarding liquidated damages in family law. Unenforceability of penalty provisions does not affect underlying confidentiality obligations or the remainder of this Agreement.</w:t>
      </w:r>
    </w:p>
    <w:p w:rsidR="00000000" w:rsidDel="00000000" w:rsidP="00000000" w:rsidRDefault="00000000" w:rsidRPr="00000000" w14:paraId="0000008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ORS 108.725(1)(b)(A)–(C) and any other legal principle. This waiver operates as a separate and independent basis for enforceability: this Agreement remains binding even if Section 11 disclosures are later deemed inadequate.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Scope</w:t>
      </w:r>
      <w:r w:rsidDel="00000000" w:rsidR="00000000" w:rsidRPr="00000000">
        <w:rPr>
          <w:rFonts w:ascii="Roboto" w:cs="Roboto" w:eastAsia="Roboto" w:hAnsi="Roboto"/>
          <w:sz w:val="24"/>
          <w:szCs w:val="24"/>
          <w:rtl w:val="0"/>
        </w:rPr>
        <w:t xml:space="preserve">: Each Party irrevocably waives all claims of inadequate disclosure, unconscionability based on financial surprise, lack of investigation opportunity, or insufficient review time. Each Party acknowledges independent counsel advisement regarding this waiver's significance.</w:t>
      </w:r>
    </w:p>
    <w:p w:rsidR="00000000" w:rsidDel="00000000" w:rsidP="00000000" w:rsidRDefault="00000000" w:rsidRPr="00000000" w14:paraId="0000008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OPTIONAL PRE-MARRIAGE ASSET UPDATE</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Recommended Update:</w:t>
      </w:r>
      <w:r w:rsidDel="00000000" w:rsidR="00000000" w:rsidRPr="00000000">
        <w:rPr>
          <w:rFonts w:ascii="Roboto" w:cs="Roboto" w:eastAsia="Roboto" w:hAnsi="Roboto"/>
          <w:sz w:val="24"/>
          <w:szCs w:val="24"/>
          <w:rtl w:val="0"/>
        </w:rPr>
        <w:t xml:space="preserve"> The Parties are encouraged, but not required, to exchange updated asset and liability schedules between 30 and 90 days before the marriage date. Any updates shall supplement Exhibits A and B.</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If updated schedules are exchanged, the Parties may execute a written reaffirmation confirming this Agreement remains fully effective. Such reaffirmation does not modify any substantive term.</w:t>
      </w:r>
    </w:p>
    <w:p w:rsidR="00000000" w:rsidDel="00000000" w:rsidP="00000000" w:rsidRDefault="00000000" w:rsidRPr="00000000" w14:paraId="0000009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No Effect on Enforceability:</w:t>
      </w:r>
      <w:r w:rsidDel="00000000" w:rsidR="00000000" w:rsidRPr="00000000">
        <w:rPr>
          <w:rFonts w:ascii="Roboto" w:cs="Roboto" w:eastAsia="Roboto" w:hAnsi="Roboto"/>
          <w:sz w:val="24"/>
          <w:szCs w:val="24"/>
          <w:rtl w:val="0"/>
        </w:rPr>
        <w:t xml:space="preserve"> Failure to exchange updates or execute any reaffirmation shall not invalidate or affect the enforceability of this Agreement. The disclosures in Exhibits A and B as of the execution date remain operative for all purposes.</w:t>
      </w:r>
      <w:r w:rsidDel="00000000" w:rsidR="00000000" w:rsidRPr="00000000">
        <w:rPr>
          <w:rtl w:val="0"/>
        </w:rPr>
      </w:r>
    </w:p>
    <w:p w:rsidR="00000000" w:rsidDel="00000000" w:rsidP="00000000" w:rsidRDefault="00000000" w:rsidRPr="00000000" w14:paraId="0000009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7">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Oregon Law</w:t>
      </w:r>
      <w:r w:rsidDel="00000000" w:rsidR="00000000" w:rsidRPr="00000000">
        <w:rPr>
          <w:rFonts w:ascii="Roboto" w:cs="Roboto" w:eastAsia="Roboto" w:hAnsi="Roboto"/>
          <w:sz w:val="24"/>
          <w:szCs w:val="24"/>
          <w:rtl w:val="0"/>
        </w:rPr>
        <w:t xml:space="preserve">: This Agreement is governed by Oregon law, including the Uniform Premarital Agreement Act (ORS 108.700-108.740) and ORS 107.105, regardless of future domicile or asset location.</w:t>
      </w:r>
    </w:p>
    <w:p w:rsidR="00000000" w:rsidDel="00000000" w:rsidP="00000000" w:rsidRDefault="00000000" w:rsidRPr="00000000" w14:paraId="0000009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Oregon jurisdiction and waives forum non conveniens defenses. Each Party waives the right to seek any judgment inconsistent with this Agreement's terms and agrees not to petition any court, domestic or foreign, to enter orders that would modify, circumvent, or nullify this Agreement except as expressly permitted herein. </w:t>
      </w:r>
    </w:p>
    <w:p w:rsidR="00000000" w:rsidDel="00000000" w:rsidP="00000000" w:rsidRDefault="00000000" w:rsidRPr="00000000" w14:paraId="000000A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The Parties intend that no foreign or domestic law be applied to diminish this Agreement's protections. If enforcement is sought in any jurisdiction, the enforcing court should apply whichever law — Oregon or local — provides stronger prenuptial enforcement. </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 Presumption</w:t>
      </w:r>
      <w:r w:rsidDel="00000000" w:rsidR="00000000" w:rsidRPr="00000000">
        <w:rPr>
          <w:rFonts w:ascii="Roboto" w:cs="Roboto" w:eastAsia="Roboto" w:hAnsi="Roboto"/>
          <w:sz w:val="24"/>
          <w:szCs w:val="24"/>
          <w:rtl w:val="0"/>
        </w:rPr>
        <w:t xml:space="preserve">: This Agreement is presumed valid unless the challenging Party proves by preponderance of evidence: (a) involuntary execution due to coercion, duress, undue influence, or lack of knowledge of terms; OR (b) unconscionability at execution AND inadequate disclosure without written waiver or adequate knowledge (ORS 108.725).</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 </w:t>
      </w:r>
      <w:r w:rsidDel="00000000" w:rsidR="00000000" w:rsidRPr="00000000">
        <w:rPr>
          <w:rFonts w:ascii="Roboto" w:cs="Roboto" w:eastAsia="Roboto" w:hAnsi="Roboto"/>
          <w:b w:val="1"/>
          <w:bCs w:val="1"/>
          <w:sz w:val="24"/>
          <w:szCs w:val="24"/>
          <w:rtl w:val="0"/>
        </w:rPr>
        <w:t xml:space="preserve">Choice of Law Scope</w:t>
      </w:r>
      <w:r w:rsidDel="00000000" w:rsidR="00000000" w:rsidRPr="00000000">
        <w:rPr>
          <w:rFonts w:ascii="Roboto" w:cs="Roboto" w:eastAsia="Roboto" w:hAnsi="Roboto"/>
          <w:sz w:val="24"/>
          <w:szCs w:val="24"/>
          <w:rtl w:val="0"/>
        </w:rPr>
        <w:t xml:space="preserve">: Per In re Marriage of Proctor, 203 Or App 499 (2005), this choice of law governs interpretation of separate and joint property designations but does not override Oregon's dissolution statutes.</w:t>
      </w:r>
    </w:p>
    <w:p w:rsidR="00000000" w:rsidDel="00000000" w:rsidP="00000000" w:rsidRDefault="00000000" w:rsidRPr="00000000" w14:paraId="000000A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A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A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30-90 days before the wedding. This ensures informed engagement decisions, keeps legal matters separate from wedding planning, and is legally preferred.</w:t>
      </w:r>
    </w:p>
    <w:p w:rsidR="00000000" w:rsidDel="00000000" w:rsidP="00000000" w:rsidRDefault="00000000" w:rsidRPr="00000000" w14:paraId="000000B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UPAA Compliance</w:t>
      </w:r>
      <w:r w:rsidDel="00000000" w:rsidR="00000000" w:rsidRPr="00000000">
        <w:rPr>
          <w:rFonts w:ascii="Roboto" w:cs="Roboto" w:eastAsia="Roboto" w:hAnsi="Roboto"/>
          <w:sz w:val="24"/>
          <w:szCs w:val="24"/>
          <w:rtl w:val="0"/>
        </w:rPr>
        <w:t xml:space="preserve">: This Agreement is governed by Oregon's Uniform Premarital Agreement Act (ORS 108.700-108.740). </w:t>
      </w:r>
    </w:p>
    <w:p w:rsidR="00000000" w:rsidDel="00000000" w:rsidP="00000000" w:rsidRDefault="00000000" w:rsidRPr="00000000" w14:paraId="000000B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Unconscionability Review</w:t>
      </w:r>
      <w:r w:rsidDel="00000000" w:rsidR="00000000" w:rsidRPr="00000000">
        <w:rPr>
          <w:rFonts w:ascii="Roboto" w:cs="Roboto" w:eastAsia="Roboto" w:hAnsi="Roboto"/>
          <w:sz w:val="24"/>
          <w:szCs w:val="24"/>
          <w:rtl w:val="0"/>
        </w:rPr>
        <w:t xml:space="preserve">: Unconscionability is reviewed at execution only, not at enforcement. Changed circumstances during marriage do not invalidate this Agreement unless enforcement would be unconscionable in conjunction with execution defects. </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Burden of Proof</w:t>
      </w:r>
      <w:r w:rsidDel="00000000" w:rsidR="00000000" w:rsidRPr="00000000">
        <w:rPr>
          <w:rFonts w:ascii="Roboto" w:cs="Roboto" w:eastAsia="Roboto" w:hAnsi="Roboto"/>
          <w:sz w:val="24"/>
          <w:szCs w:val="24"/>
          <w:rtl w:val="0"/>
        </w:rPr>
        <w:t xml:space="preserve">: The challenging Party bears the burden of proving invalidity by preponderance of evidence under ORS 108.725. </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affirms they are signing voluntarily, with full knowledge of terms, without coercion, duress, or time pressure due to wedding proximity. Each Party specifically acknowledges adequate time to review and consider this Agreement's implications. </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Financial Disclosure</w:t>
      </w:r>
      <w:r w:rsidDel="00000000" w:rsidR="00000000" w:rsidRPr="00000000">
        <w:rPr>
          <w:rFonts w:ascii="Roboto" w:cs="Roboto" w:eastAsia="Roboto" w:hAnsi="Roboto"/>
          <w:sz w:val="24"/>
          <w:szCs w:val="24"/>
          <w:rtl w:val="0"/>
        </w:rPr>
        <w:t xml:space="preserve">: Each Party affirms they either: (a) received fair and reasonable disclosure per Exhibits A and B; OR (b) knowingly waived disclosure rights per Section 12; OR (c) had adequate independent knowledge of the other Party's finances. </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20.6 </w:t>
      </w:r>
      <w:r w:rsidDel="00000000" w:rsidR="00000000" w:rsidRPr="00000000">
        <w:rPr>
          <w:rFonts w:ascii="Roboto" w:cs="Roboto" w:eastAsia="Roboto" w:hAnsi="Roboto"/>
          <w:b w:val="1"/>
          <w:bCs w:val="1"/>
          <w:sz w:val="24"/>
          <w:szCs w:val="24"/>
          <w:rtl w:val="0"/>
        </w:rPr>
        <w:t xml:space="preserve">Independent Counsel</w:t>
      </w:r>
      <w:r w:rsidDel="00000000" w:rsidR="00000000" w:rsidRPr="00000000">
        <w:rPr>
          <w:rFonts w:ascii="Roboto" w:cs="Roboto" w:eastAsia="Roboto" w:hAnsi="Roboto"/>
          <w:sz w:val="24"/>
          <w:szCs w:val="24"/>
          <w:rtl w:val="0"/>
        </w:rPr>
        <w:t xml:space="preserve">: Each Party acknowledges that Oregon courts scrutinize whether parties had meaningful opportunity for independent legal counsel (In re Marriage of Rudder, 230 Or App 437 (2009)). Each Party affirms they have had such opportunity and, if represented, their counsel has reviewed this Agreement and explained Oregon law's application. </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20.7 </w:t>
      </w:r>
      <w:r w:rsidDel="00000000" w:rsidR="00000000" w:rsidRPr="00000000">
        <w:rPr>
          <w:rFonts w:ascii="Roboto" w:cs="Roboto" w:eastAsia="Roboto" w:hAnsi="Roboto"/>
          <w:b w:val="1"/>
          <w:bCs w:val="1"/>
          <w:sz w:val="24"/>
          <w:szCs w:val="24"/>
          <w:rtl w:val="0"/>
        </w:rPr>
        <w:t xml:space="preserve">Oregon Law Waivers</w:t>
      </w:r>
      <w:r w:rsidDel="00000000" w:rsidR="00000000" w:rsidRPr="00000000">
        <w:rPr>
          <w:rFonts w:ascii="Roboto" w:cs="Roboto" w:eastAsia="Roboto" w:hAnsi="Roboto"/>
          <w:sz w:val="24"/>
          <w:szCs w:val="24"/>
          <w:rtl w:val="0"/>
        </w:rPr>
        <w:t xml:space="preserve">: Each Party waives: (a) equitable property distribution under ORS 107.105; (b) spousal support rights (subject to ORS 108.725(2)); (c) inheritance rights under ORS Chapter 114; (d) presumption of equal contribution to marital property; and (e) all other marital rights to the fullest extent permitted under ORS 108.700-108.740. </w:t>
      </w:r>
    </w:p>
    <w:p w:rsidR="00000000" w:rsidDel="00000000" w:rsidP="00000000" w:rsidRDefault="00000000" w:rsidRPr="00000000" w14:paraId="000000B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20.8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B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4">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A, certify that:</w:t>
      </w:r>
    </w:p>
    <w:p w:rsidR="00000000" w:rsidDel="00000000" w:rsidP="00000000" w:rsidRDefault="00000000" w:rsidRPr="00000000" w14:paraId="000000C7">
      <w:pPr>
        <w:numPr>
          <w:ilvl w:val="0"/>
          <w:numId w:val="5"/>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A, and do not represent Party B.</w:t>
      </w:r>
    </w:p>
    <w:p w:rsidR="00000000" w:rsidDel="00000000" w:rsidP="00000000" w:rsidRDefault="00000000" w:rsidRPr="00000000" w14:paraId="000000C8">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9">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A">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CB">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CC">
      <w:pPr>
        <w:numPr>
          <w:ilvl w:val="0"/>
          <w:numId w:val="5"/>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CD">
      <w:pPr>
        <w:numPr>
          <w:ilvl w:val="0"/>
          <w:numId w:val="5"/>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CE">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1">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D2">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A</w:t>
      </w:r>
    </w:p>
    <w:p w:rsidR="00000000" w:rsidDel="00000000" w:rsidP="00000000" w:rsidRDefault="00000000" w:rsidRPr="00000000" w14:paraId="000000D3">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A's attorney (if commissioned) or a separate notary public.</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A,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D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D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DB">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C">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ATTORNEY CERTIFICATION FOR PARTY B</w:t>
      </w:r>
    </w:p>
    <w:p w:rsidR="00000000" w:rsidDel="00000000" w:rsidP="00000000" w:rsidRDefault="00000000" w:rsidRPr="00000000" w14:paraId="000000D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___________________________________, attorney for Party B, certify that:</w:t>
      </w:r>
    </w:p>
    <w:p w:rsidR="00000000" w:rsidDel="00000000" w:rsidP="00000000" w:rsidRDefault="00000000" w:rsidRPr="00000000" w14:paraId="000000DF">
      <w:pPr>
        <w:numPr>
          <w:ilvl w:val="0"/>
          <w:numId w:val="1"/>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am independent counsel, separately retained by Party B, and do not represent Party A.</w:t>
      </w:r>
    </w:p>
    <w:p w:rsidR="00000000" w:rsidDel="00000000" w:rsidP="00000000" w:rsidRDefault="00000000" w:rsidRPr="00000000" w14:paraId="000000E0">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E1">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E2">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received this Agreement at least seven (7) days before execution and before the wedding date.</w:t>
      </w:r>
    </w:p>
    <w:p w:rsidR="00000000" w:rsidDel="00000000" w:rsidP="00000000" w:rsidRDefault="00000000" w:rsidRPr="00000000" w14:paraId="000000E3">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observed no indication of impaired mental capacity, intoxication, duress, undue influence, or coercion.</w:t>
      </w:r>
    </w:p>
    <w:p w:rsidR="00000000" w:rsidDel="00000000" w:rsidP="00000000" w:rsidRDefault="00000000" w:rsidRPr="00000000" w14:paraId="000000E4">
      <w:pPr>
        <w:numPr>
          <w:ilvl w:val="0"/>
          <w:numId w:val="1"/>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of this Agreement is knowing, voluntary, and informed.</w:t>
      </w:r>
    </w:p>
    <w:p w:rsidR="00000000" w:rsidDel="00000000" w:rsidP="00000000" w:rsidRDefault="00000000" w:rsidRPr="00000000" w14:paraId="000000E5">
      <w:pPr>
        <w:numPr>
          <w:ilvl w:val="0"/>
          <w:numId w:val="1"/>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signed this Agreement in my presence on the date shown below.</w:t>
      </w:r>
    </w:p>
    <w:p w:rsidR="00000000" w:rsidDel="00000000" w:rsidP="00000000" w:rsidRDefault="00000000" w:rsidRPr="00000000" w14:paraId="000000E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E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E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NOTARY ACKNOWLEDGMENT FOR PARTY B</w:t>
      </w:r>
    </w:p>
    <w:p w:rsidR="00000000" w:rsidDel="00000000" w:rsidP="00000000" w:rsidRDefault="00000000" w:rsidRPr="00000000" w14:paraId="000000EB">
      <w:pPr>
        <w:spacing w:after="240" w:before="240" w:line="240" w:lineRule="auto"/>
        <w:rPr>
          <w:rFonts w:ascii="Roboto" w:cs="Roboto" w:eastAsia="Roboto" w:hAnsi="Roboto"/>
          <w:i w:val="1"/>
          <w:iCs w:val="1"/>
          <w:sz w:val="24"/>
          <w:szCs w:val="24"/>
        </w:rPr>
      </w:pPr>
      <w:r w:rsidDel="00000000" w:rsidR="00000000" w:rsidRPr="00000000">
        <w:rPr>
          <w:rFonts w:ascii="Roboto" w:cs="Roboto" w:eastAsia="Roboto" w:hAnsi="Roboto"/>
          <w:i w:val="1"/>
          <w:iCs w:val="1"/>
          <w:sz w:val="24"/>
          <w:szCs w:val="24"/>
          <w:rtl w:val="0"/>
        </w:rPr>
        <w:t xml:space="preserve">The Notary below may be Party B's attorney (if commissioned) or a separate notary public.</w:t>
      </w:r>
    </w:p>
    <w:p w:rsidR="00000000" w:rsidDel="00000000" w:rsidP="00000000" w:rsidRDefault="00000000" w:rsidRPr="00000000" w14:paraId="000000E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State of ___________________ County of ___________________</w:t>
      </w:r>
    </w:p>
    <w:p w:rsidR="00000000" w:rsidDel="00000000" w:rsidP="00000000" w:rsidRDefault="00000000" w:rsidRPr="00000000" w14:paraId="000000ED">
      <w:pPr>
        <w:spacing w:after="240" w:before="240" w:line="240" w:lineRule="auto"/>
        <w:rPr>
          <w:rFonts w:ascii="Roboto" w:cs="Roboto" w:eastAsia="Roboto" w:hAnsi="Roboto"/>
          <w:sz w:val="24"/>
          <w:szCs w:val="24"/>
        </w:rPr>
      </w:pPr>
      <w:r w:rsidDel="00000000" w:rsidR="00000000" w:rsidRPr="00000000">
        <w:rPr>
          <w:rFonts w:ascii="Arial Unicode MS" w:cs="Arial Unicode MS" w:eastAsia="Arial Unicode MS" w:hAnsi="Arial Unicode MS"/>
          <w:sz w:val="24"/>
          <w:szCs w:val="24"/>
          <w:rtl w:val="0"/>
        </w:rPr>
        <w:t xml:space="preserve">On this _______ day of __________________, 20______, before me, the undersigned, personally appeared Party B, ☐ personally known to me or ☐ proved by satisfactory evidence to be the individual whose name is subscribed to the within instrument, and acknowledged to me that they executed the same voluntarily, as their free act and deed, in their capacity, and that by their signature on the instrument the individual executed the instrument. I certify under penalty of perjury under the laws of said state that the foregoing is true and correct. </w:t>
      </w:r>
    </w:p>
    <w:p w:rsidR="00000000" w:rsidDel="00000000" w:rsidP="00000000" w:rsidRDefault="00000000" w:rsidRPr="00000000" w14:paraId="000000E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Public Signature                   </w:t>
        <w:tab/>
        <w:tab/>
        <w:t xml:space="preserve">Date</w:t>
      </w:r>
    </w:p>
    <w:p w:rsidR="00000000" w:rsidDel="00000000" w:rsidP="00000000" w:rsidRDefault="00000000" w:rsidRPr="00000000" w14:paraId="000000F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Printed Name: _______________________________</w:t>
      </w:r>
    </w:p>
    <w:p w:rsidR="00000000" w:rsidDel="00000000" w:rsidP="00000000" w:rsidRDefault="00000000" w:rsidRPr="00000000" w14:paraId="000000F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Commission No.: ___________________ Expires: ___________________</w:t>
      </w:r>
    </w:p>
    <w:p w:rsidR="00000000" w:rsidDel="00000000" w:rsidP="00000000" w:rsidRDefault="00000000" w:rsidRPr="00000000" w14:paraId="000000F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[Notary Seal]</w:t>
      </w:r>
    </w:p>
    <w:p w:rsidR="00000000" w:rsidDel="00000000" w:rsidP="00000000" w:rsidRDefault="00000000" w:rsidRPr="00000000" w14:paraId="000000F3">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F4">
      <w:pPr>
        <w:spacing w:after="240" w:before="240"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F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F7">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2026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