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RHODE ISLAND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had adequate time to review, consider, and negotiate this Agreement prior to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has had adequate opportunity to consult with counsel of their choosing, ask questions, and propose changes;</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it voluntarily and without coercion, duress, or undue influence;</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the State of Rhode Island, including the Rhode Island Uniform Premarital Agreement Act, R.I. Gen. Laws § 15-17-1 et seq., and intend for it to be legally binding and enforceable;</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under R.I. Gen. Laws § 15-17-6, this Agreement is unenforceable only if the challenging Party proves, by clear and convincing evidence, BOTH (1) involuntary execution AND (2) substantive unconscionability at execution combined with lack of disclosure, lack of written disclosure waiver, and lack of adequate knowledge — and each Party affirms that none of these conditions exists;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increased earning power (professional degrees, licenses, certifications, and earning capacity derived therefrom), gifts, inheritances, digital assets (cryptocurrency, NFTs, digital wallets, online accounts), intellectual property (patents, copyrights, source code, websites whether active or dormant), and all appreciation, growth, income, returns, and future development or commercialization thereof. </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does not become joint property unless both Parties execute a written agreement specifically identifying the property and their intent to convert it. No deed, title change, account registration, or beneficiary designation — including adding a spouse to title — effects a transmutation without such written agreement. </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The non-settlor spouse waives all rights to distributions, principal, remainder interests, beneficiary designations, and any claim that trust assets constitute marital or community property — including assets held in discretionary, generation-skipping, and offshore asset protection trusts, whether domestic or foreign. Each Party's irrevocable trusts are not subject to division under this Agreement. </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2.9 </w:t>
      </w:r>
      <w:r w:rsidDel="00000000" w:rsidR="00000000" w:rsidRPr="00000000">
        <w:rPr>
          <w:rFonts w:ascii="Roboto" w:cs="Roboto" w:eastAsia="Roboto" w:hAnsi="Roboto"/>
          <w:b w:val="1"/>
          <w:bCs w:val="1"/>
          <w:sz w:val="24"/>
          <w:szCs w:val="24"/>
          <w:rtl w:val="0"/>
        </w:rPr>
        <w:t xml:space="preserve">Active Appreciation and Marital Income Exclusion</w:t>
      </w:r>
      <w:r w:rsidDel="00000000" w:rsidR="00000000" w:rsidRPr="00000000">
        <w:rPr>
          <w:rFonts w:ascii="Roboto" w:cs="Roboto" w:eastAsia="Roboto" w:hAnsi="Roboto"/>
          <w:sz w:val="24"/>
          <w:szCs w:val="24"/>
          <w:rtl w:val="0"/>
        </w:rPr>
        <w:t xml:space="preserve">: Pursuant to the Parties' right under R.I. Gen. Laws § 15-17-3(a)(1) to define their respective property rights, all income from and appreciation of premarital property — whether passive or active — remains the separate property of the owning Party. Each Party knowingly waives any claim to such income or appreciation under R.I. Gen. Laws § 15-5-16.1(b) or equitable principles. This provision is essential consideration for this Agreement. </w:t>
      </w:r>
    </w:p>
    <w:p w:rsidR="00000000" w:rsidDel="00000000" w:rsidP="00000000" w:rsidRDefault="00000000" w:rsidRPr="00000000" w14:paraId="0000002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whether rehabilitative or permanent, except as provided in this Section 4. The Section 4 formulas apply uniformly to temporary, pendente lite, and permanent support. Any temporary support awarded in excess of this Section 4 shall be credited dollar-for-dollar against future support or refunded to payor within 90 days of this Agreement being upheld. </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Children of the Marriage</w:t>
      </w:r>
      <w:r w:rsidDel="00000000" w:rsidR="00000000" w:rsidRPr="00000000">
        <w:rPr>
          <w:rFonts w:ascii="Roboto" w:cs="Roboto" w:eastAsia="Roboto" w:hAnsi="Roboto"/>
          <w:sz w:val="24"/>
          <w:szCs w:val="24"/>
          <w:rtl w:val="0"/>
        </w:rPr>
        <w:t xml:space="preserve">: Biological children of both Parties (including IVF) and children legally adopted by both Parties. Either Party may request genetic testing at any time at the requesting Party's cost. A child who does not meet this definition is excluded from the Section 4.5 calculation, and any excess support attributable to that child shall be refunded or credited against future support. </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or W-2s. Payor may request annual verification. </w:t>
      </w:r>
    </w:p>
    <w:p w:rsidR="00000000" w:rsidDel="00000000" w:rsidP="00000000" w:rsidRDefault="00000000" w:rsidRPr="00000000" w14:paraId="0000003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9">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 (no support)</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2% of payor's net income</w:t>
      </w:r>
    </w:p>
    <w:p w:rsidR="00000000" w:rsidDel="00000000" w:rsidP="00000000" w:rsidRDefault="00000000" w:rsidRPr="00000000" w14:paraId="0000003B">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4% of payor's net income</w:t>
      </w:r>
    </w:p>
    <w:p w:rsidR="00000000" w:rsidDel="00000000" w:rsidP="00000000" w:rsidRDefault="00000000" w:rsidRPr="00000000" w14:paraId="0000003C">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6% of payor's net income</w:t>
      </w:r>
    </w:p>
    <w:p w:rsidR="00000000" w:rsidDel="00000000" w:rsidP="00000000" w:rsidRDefault="00000000" w:rsidRPr="00000000" w14:paraId="0000003D">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8% of payor's net income</w:t>
      </w:r>
    </w:p>
    <w:p w:rsidR="00000000" w:rsidDel="00000000" w:rsidP="00000000" w:rsidRDefault="00000000" w:rsidRPr="00000000" w14:paraId="0000003E">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10% of payor's net income</w:t>
      </w:r>
    </w:p>
    <w:p w:rsidR="00000000" w:rsidDel="00000000" w:rsidP="00000000" w:rsidRDefault="00000000" w:rsidRPr="00000000" w14:paraId="0000003F">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12% of payor's net income</w:t>
      </w:r>
    </w:p>
    <w:p w:rsidR="00000000" w:rsidDel="00000000" w:rsidP="00000000" w:rsidRDefault="00000000" w:rsidRPr="00000000" w14:paraId="00000040">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$5,000 per month, adjusted annually by CPI-U from the date of marriage through the earlier of separation or dissolution filing. </w:t>
      </w:r>
    </w:p>
    <w:p w:rsidR="00000000" w:rsidDel="00000000" w:rsidP="00000000" w:rsidRDefault="00000000" w:rsidRPr="00000000" w14:paraId="0000004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5">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6">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7">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30% of marriage length, capped at 8 years total</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4.5 and 4.6 would leave the recipient eligible for support under a program of public assistance (including but not limited to Medicaid, SNAP, or TANF) for the recipient's household size, support shall be increased to the minimum extent necessary to avoid that eligibility. This subsection implements the floor required by R.I. Gen. Laws § 15-17-6(c). </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Total lifetime support shall not exceed the LESSER of: (a) The total support payable under Sections 4.5, 4.6, and 4.7; or (b) Payor's average annual net income multiplied by: Marriages &lt;15 years: 50% Marriages 15–25 years: 75% Marriages 25+ years: 100%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the Federal Poverty Level for a single person, as published by the U.S. Department of Health and Human Services for the year of divorce filing.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ceases upon the earliest of: (a) recipient's remarriage; (b) recipient's cohabitation with another person in a romantic relationship for 60+ consecutive days; (c) either Party's death; or (d) duration expiration under Section 4.6.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Both Parties acknowledge that modification requires clear and convincing evidence of changed circumstances not reasonably foreseeable at execution that would make enforcement unconscionable. The following are specifically acknowledged as reasonably foreseeable: dissolution, workforce departures, income or employment changes, health issues, economic conditions, and childcare decisions. </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E">
      <w:pPr>
        <w:numPr>
          <w:ilvl w:val="0"/>
          <w:numId w:val="3"/>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50% </w:t>
      </w:r>
    </w:p>
    <w:p w:rsidR="00000000" w:rsidDel="00000000" w:rsidP="00000000" w:rsidRDefault="00000000" w:rsidRPr="00000000" w14:paraId="0000004F">
      <w:pPr>
        <w:numPr>
          <w:ilvl w:val="0"/>
          <w:numId w:val="3"/>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75% </w:t>
      </w:r>
    </w:p>
    <w:p w:rsidR="00000000" w:rsidDel="00000000" w:rsidP="00000000" w:rsidRDefault="00000000" w:rsidRPr="00000000" w14:paraId="00000050">
      <w:pPr>
        <w:numPr>
          <w:ilvl w:val="0"/>
          <w:numId w:val="3"/>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100%</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A">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B">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C">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D">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elective share rights under R.I. Gen. Laws § 33-28-1 et seq.; the surviving spouse's life estate in real estate under R.I. Gen. Laws §§ 33-1-5 and 33-1-6; allowances under R.I. Gen. Laws § 33-10-3; homestead rights; family allowance; and any right to take against the will. Each Party acknowledges this waiver satisfies R.I. Gen. Laws § 33-28-3(a) and is executed voluntarily, with fair and reasonable disclosure, for the specific purpose of ensuring enforceability under the § 33-28-3(b) standard. </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6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and shall assess unconscionability only as of the date of execution, consistent with R.I. Gen. Laws § 15-17-6(a)(2) and Marsocci v. Marsocci, 911 A.2d 690 (R.I. 2006). The arbitrator shall not apply equitable modification, changed-circumstances analysis, or any post-execution fairness review. </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unsuccessfully challenges this Agreement's validity in any forum shall reimburse the other Party's reasonable attorney fees and costs. A challenge is "unsuccessful" if the Agreement remains enforceable as to its core property-division and alimony provisions, regardless of partial relief on collateral issues. This shifting applies unless a court finds in writing that it would render this Agreement unconscionable as applied. </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w:t>
      </w:r>
    </w:p>
    <w:p w:rsidR="00000000" w:rsidDel="00000000" w:rsidP="00000000" w:rsidRDefault="00000000" w:rsidRPr="00000000" w14:paraId="0000007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0">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Violations entitle the non-breaching Party to injunctive relief, actual damages, and reasonable attorney fees. Where actual damages are impractical to determine: (a) general violations — the greater of $4,000 or 2% of the breaching Party's gross annual income; (b) commercial exploitation or willful breach — the greater of actual damages, disgorgement, $10,000, or 5% of the breaching Party's gross annual income. These amounts are liquidated damages, not penalties. The arbitrator or court may adjust any amount it finds disproportionate. </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except discovery a court finds constitutionally required or necessary to adjudicate a specifically pleaded claim of fraud, duress, or incapacity at execution. Discovery for post-execution asset changes, lifestyle, or general financial review is expressly waived. </w:t>
      </w:r>
    </w:p>
    <w:p w:rsidR="00000000" w:rsidDel="00000000" w:rsidP="00000000" w:rsidRDefault="00000000" w:rsidRPr="00000000" w14:paraId="0000008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R.I. Gen. Laws § 15-17-6(a)(2)(ii) and any other legal principle. </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expressly and voluntarily waives, in writing, any right to disclosure of the property or financial obligations of the other Party beyond the disclosure provided, pursuant to R.I. Gen. Laws § 15-17-6(a)(2)(ii), and acknowledges this satisfies the statutory waiver requirement irrespective of attached schedules. </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either (a) consulted independent counsel regarding this waiver, or (b) was advised to do so and voluntarily declined under Section 15.3. Each Party knowingly accepts the consequences. </w:t>
      </w:r>
    </w:p>
    <w:p w:rsidR="00000000" w:rsidDel="00000000" w:rsidP="00000000" w:rsidRDefault="00000000" w:rsidRPr="00000000" w14:paraId="0000009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30 and 90 days before the marriage date. Any updates shall supplement Exhibits A and B.</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reaffirmation confirming this Agreement remains fully effective. Such reaffirmation does not modify any substantive term.</w:t>
      </w:r>
    </w:p>
    <w:p w:rsidR="00000000" w:rsidDel="00000000" w:rsidP="00000000" w:rsidRDefault="00000000" w:rsidRPr="00000000" w14:paraId="0000009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Failure to exchange updates or execute any reaffirmation shall not invalidate or affect the enforceability of this Agreement. The disclosures in Exhibits A and B as of the execution date remain operative for all purposes.</w:t>
      </w:r>
      <w:r w:rsidDel="00000000" w:rsidR="00000000" w:rsidRPr="00000000">
        <w:rPr>
          <w:rtl w:val="0"/>
        </w:rPr>
      </w:r>
    </w:p>
    <w:p w:rsidR="00000000" w:rsidDel="00000000" w:rsidP="00000000" w:rsidRDefault="00000000" w:rsidRPr="00000000" w14:paraId="0000009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15.4 </w:t>
      </w:r>
      <w:r w:rsidDel="00000000" w:rsidR="00000000" w:rsidRPr="00000000">
        <w:rPr>
          <w:rFonts w:ascii="Roboto" w:cs="Roboto" w:eastAsia="Roboto" w:hAnsi="Roboto"/>
          <w:b w:val="1"/>
          <w:bCs w:val="1"/>
          <w:sz w:val="24"/>
          <w:szCs w:val="24"/>
          <w:rtl w:val="0"/>
        </w:rPr>
        <w:t xml:space="preserve">Significance of Counsel Choice</w:t>
      </w:r>
      <w:r w:rsidDel="00000000" w:rsidR="00000000" w:rsidRPr="00000000">
        <w:rPr>
          <w:rFonts w:ascii="Roboto" w:cs="Roboto" w:eastAsia="Roboto" w:hAnsi="Roboto"/>
          <w:sz w:val="24"/>
          <w:szCs w:val="24"/>
          <w:rtl w:val="0"/>
        </w:rPr>
        <w:t xml:space="preserve">: The Parties acknowledge that under Marsocci v. Marsocci, 911 A.2d 690, 697 n.3 (R.I. 2006), absence of independent counsel is a significant — but not disqualifying — voluntariness factor. Any Party proceeding without counsel waives any future claim that such absence renders this Agreement involuntary. </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Rhode Island Law</w:t>
      </w:r>
      <w:r w:rsidDel="00000000" w:rsidR="00000000" w:rsidRPr="00000000">
        <w:rPr>
          <w:rFonts w:ascii="Roboto" w:cs="Roboto" w:eastAsia="Roboto" w:hAnsi="Roboto"/>
          <w:sz w:val="24"/>
          <w:szCs w:val="24"/>
          <w:rtl w:val="0"/>
        </w:rPr>
        <w:t xml:space="preserve">: This Agreement is governed by Rhode Island law, including R.I. Gen. Laws § 15-17-1 et seq. and controlling case law (Marsocci, Penhallow, Rubino), regardless of domicile or asset location. Subsequent law reducing enforceability shall not apply retroactively. </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the Rhode Island Family Court (R.I. Gen. Laws § 8-10-3) and waives forum non conveniens defenses. Either Party may alternatively enforce this Agreement in any jurisdiction with equal or stronger prenuptial protections. Inconsistent judgments are void. </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other state's law, foreign law, or equitable doctrine to weaken this Agreement's enforcement, except for the public assistance override at R.I. Gen. Laws § 15-17-6(c) and non-waivable child support obligations under § 15-5-16.2. </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file in any jurisdiction with weaker enforcement than Rhode Island. </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together with Exhibits A and B (disclosures) and Exhibit C (counsel waiver, if applicable), constitutes the entire understanding between the Parties and supersedes all prior agreements or representations, written or oral. </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Amendments require a written instrument (a) presented in final form at least 30 days before execution; (b) signed by both Parties before a notary, per R.I. Gen. Laws § 15-17-5; and (c) accompanied by written acknowledgment from each Party's independent counsel confirming review and understanding. </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Except as expressly provided in Sections 4 and 6, each Party waives all statutory rights to property division, spousal support, and inheritance to the fullest extent permitted under R.I. Gen. Laws § 15-17-1 et seq., §§ 15-5-16 and 15-5-16.1, and Marsocci v. Marsocci, 911 A.2d 690 (R.I. 2006). </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B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4">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7">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8">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9">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A">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B">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C">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D">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1">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3">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F">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0">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1">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2">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3">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4">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5">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B">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8">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