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SOUTH CAROLINA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 annexed hereto, and each Party acknowledges reviewing the other's statement and certifies their own statement is complete and accurate;</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independent legal counsel, has had sufficient opportunity to consult with counsel of their choosing, ask questions, and propose changes, and has had adequate time to review, consider, and negotiate this Agreement prior to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without coercion, duress, or undue influence;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South Carolina and intend for it to be legally binding and enforceable in accordance with S.C. Code § 20-3-630;</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Any business interest owned by either Party before marriage or acquired during marriage in that Party's sole name remains that Party's separate property. The non-owner spouse has no claim to the business, its value, appreciation, income, or goodwill, regardless of indirect contributions to the marriage, advice, consultation, emotional support, or any contribution not constituting direct documented capital contribution or legal co-ownership through written agreement executed by both Parties.</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any trust established by or for either Party — whether revocable, irrevocable, discretionary, generation-skipping, or offshore, domestic or foreign — are the settlor's separate property and not subject to division. The non-settlor spouse waives all rights to distributions, principal, remainder interests, and beneficiary designations, and any claim that trust assets constitute marital or community property. </w:t>
      </w:r>
    </w:p>
    <w:p w:rsidR="00000000" w:rsidDel="00000000" w:rsidP="00000000" w:rsidRDefault="00000000" w:rsidRPr="00000000" w14:paraId="0000002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except as provided in this Section 4. These formulas apply to temporary, pendente lite, and permanent support.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Biological children of both Parties (including IVF) and children legally adopted by both Parties. Either Party may request genetic testing at any time at the requesting Party's cost. A child not meeting this definition is excluded from the Section 4.5 calculation, and any excess payments are refunded or credited.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w:t>
      </w:r>
      <w:r w:rsidDel="00000000" w:rsidR="00000000" w:rsidRPr="00000000">
        <w:rPr>
          <w:rFonts w:ascii="Roboto" w:cs="Roboto" w:eastAsia="Roboto" w:hAnsi="Roboto"/>
          <w:sz w:val="24"/>
          <w:szCs w:val="24"/>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the most recent year's net income applies instead of the average.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6">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2%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4%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6%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8%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w:t>
      </w:r>
    </w:p>
    <w:p w:rsidR="00000000" w:rsidDel="00000000" w:rsidP="00000000" w:rsidRDefault="00000000" w:rsidRPr="00000000" w14:paraId="0000003C">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14% of payor's net income</w:t>
      </w:r>
    </w:p>
    <w:p w:rsidR="00000000" w:rsidDel="00000000" w:rsidP="00000000" w:rsidRDefault="00000000" w:rsidRPr="00000000" w14:paraId="0000003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$6,000 per month, adjusted annually by CPI-U from date of marriage through the earlier of separation or dissolution filing. </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of marriage length (no support)</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3">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25%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Sections 4.5 and 4.6 would leave recipient with total income below 100% of Federal Poverty Level for their household size (including dependent children), support shall be increased to that threshold but shall not exceed the Section 4.5 amount by more than 50%.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calculation under Sections 4.5 or 4.6 is deemed unconscionable, the court shall reform to the following percentages of payor's average annual net income (as defined in 4.4) minus 50% of recipient's net income, with duration at 40% of marriage length: </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if payor's gross annual income is below the greater of: (a) 75% of their gross income in the year prior to executing this Agreement, or (b) 250% of Federal Poverty Level for a single person.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with another person in a romantic relationship for 90 or more consecutive days, as defined in S.C. Code § 20-3-130(B); (c) either Party's death; or (d) duration expiration under Section 4.6.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Neither Party may seek modification except upon clear and convincing evidence of circumstances that were not reasonably foreseeable at execution, are substantial and continuing, and would render enforcement unconscionable under the </w:t>
      </w:r>
      <w:r w:rsidDel="00000000" w:rsidR="00000000" w:rsidRPr="00000000">
        <w:rPr>
          <w:rFonts w:ascii="Roboto" w:cs="Roboto" w:eastAsia="Roboto" w:hAnsi="Roboto"/>
          <w:i w:val="1"/>
          <w:iCs w:val="1"/>
          <w:sz w:val="24"/>
          <w:szCs w:val="24"/>
          <w:rtl w:val="0"/>
        </w:rPr>
        <w:t xml:space="preserve">Hardee v. Hardee</w:t>
      </w:r>
      <w:r w:rsidDel="00000000" w:rsidR="00000000" w:rsidRPr="00000000">
        <w:rPr>
          <w:rFonts w:ascii="Roboto" w:cs="Roboto" w:eastAsia="Roboto" w:hAnsi="Roboto"/>
          <w:sz w:val="24"/>
          <w:szCs w:val="24"/>
          <w:rtl w:val="0"/>
        </w:rPr>
        <w:t xml:space="preserve">, 355 S.C. 382 (2003) three-part test. Both Parties acknowledge as reasonably foreseeable: dissolution, workforce departures, income and employment changes, health issues not constituting total disability, economic conditions, inflation, and childcare decisions. No modification shall exceed the percentages in Section 4.5 or duration in Section 4.6.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4.5 and 4.6; or (b) Payor's average annual Net Income (as defined in Section 4.4) multiplied by: </w:t>
      </w:r>
    </w:p>
    <w:p w:rsidR="00000000" w:rsidDel="00000000" w:rsidP="00000000" w:rsidRDefault="00000000" w:rsidRPr="00000000" w14:paraId="0000004E">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4F">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125% </w:t>
      </w:r>
    </w:p>
    <w:p w:rsidR="00000000" w:rsidDel="00000000" w:rsidP="00000000" w:rsidRDefault="00000000" w:rsidRPr="00000000" w14:paraId="00000050">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175%</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post-filing income increases, including promotions, bonuses, raises, business growth, investment returns, inheritances, gifts, or higher compensation. Post-divorce earnings are separate property. Per S.C. Code § 20-3-130(G), the Parties agree this provision is nonmodifiable. </w:t>
      </w:r>
    </w:p>
    <w:p w:rsidR="00000000" w:rsidDel="00000000" w:rsidP="00000000" w:rsidRDefault="00000000" w:rsidRPr="00000000" w14:paraId="0000005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4">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9">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A">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B">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South Carolina law.</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apply this Agreement's terms as written. If the arbitrator finds any provision unenforceable, the Reformed Formula Fallback in Section 4.8 and the severability provisions in Section 18 shall govern.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S.C. Code § 20-3-630 and any other legal principle.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S.C. Code § 20-3-630 and acknowledges this satisfies the requirements irrespective of attached schedules. </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30 and 90 days before the marriage date. Any updates shall supplement Exhibits A and B.</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reaffirmation confirming this Agreement remains fully effective. Such reaffirmation does not modify any substantive term.</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Failure to exchange updates or execute any reaffirmation shall not invalidate or affect the enforceability of this Agreement. The disclosures in Exhibits A and B as of the execution date remain operative for all purposes.</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Both Parties acknowledge that under S.C. Code § 20-3-630, an agreement without separate counsel for both Parties does not receive the statutory presumption of fairness. </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South Carolina Law</w:t>
      </w:r>
      <w:r w:rsidDel="00000000" w:rsidR="00000000" w:rsidRPr="00000000">
        <w:rPr>
          <w:rFonts w:ascii="Roboto" w:cs="Roboto" w:eastAsia="Roboto" w:hAnsi="Roboto"/>
          <w:sz w:val="24"/>
          <w:szCs w:val="24"/>
          <w:rtl w:val="0"/>
        </w:rPr>
        <w:t xml:space="preserve">: This Agreement is governed by South Carolina law, including S.C. Code § 20-3-630 and the enforceability standards established in </w:t>
      </w:r>
      <w:r w:rsidDel="00000000" w:rsidR="00000000" w:rsidRPr="00000000">
        <w:rPr>
          <w:rFonts w:ascii="Roboto" w:cs="Roboto" w:eastAsia="Roboto" w:hAnsi="Roboto"/>
          <w:i w:val="1"/>
          <w:iCs w:val="1"/>
          <w:sz w:val="24"/>
          <w:szCs w:val="24"/>
          <w:rtl w:val="0"/>
        </w:rPr>
        <w:t xml:space="preserve">Hardee v. Hardee</w:t>
      </w:r>
      <w:r w:rsidDel="00000000" w:rsidR="00000000" w:rsidRPr="00000000">
        <w:rPr>
          <w:rFonts w:ascii="Roboto" w:cs="Roboto" w:eastAsia="Roboto" w:hAnsi="Roboto"/>
          <w:sz w:val="24"/>
          <w:szCs w:val="24"/>
          <w:rtl w:val="0"/>
        </w:rPr>
        <w:t xml:space="preserve">, 355 S.C. 382 (2003), regardless of domicile or asset location. Future law amendments reducing enforceability shall not apply retroactively to the extent permitted by law. </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South Carolina family court jurisdiction and waives forum non conveniens defenses. Either Party may alternatively enforce this Agreement in any jurisdiction providing equal or stronger prenuptial protections than South Carolina.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South Carolina standards.</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South Carolina.</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 This Agreement remains enforceable regardless of the timing between execution and marriage, provided the requirements of S.C. Code § 20-3-630 and the </w:t>
      </w:r>
      <w:r w:rsidDel="00000000" w:rsidR="00000000" w:rsidRPr="00000000">
        <w:rPr>
          <w:rFonts w:ascii="Roboto" w:cs="Roboto" w:eastAsia="Roboto" w:hAnsi="Roboto"/>
          <w:i w:val="1"/>
          <w:iCs w:val="1"/>
          <w:sz w:val="24"/>
          <w:szCs w:val="24"/>
          <w:rtl w:val="0"/>
        </w:rPr>
        <w:t xml:space="preserve">Hardee v. Hardee</w:t>
      </w:r>
      <w:r w:rsidDel="00000000" w:rsidR="00000000" w:rsidRPr="00000000">
        <w:rPr>
          <w:rFonts w:ascii="Roboto" w:cs="Roboto" w:eastAsia="Roboto" w:hAnsi="Roboto"/>
          <w:sz w:val="24"/>
          <w:szCs w:val="24"/>
          <w:rtl w:val="0"/>
        </w:rPr>
        <w:t xml:space="preserve">, 355 S.C. 382 (2003) enforceability standards are satisfied. </w:t>
      </w:r>
    </w:p>
    <w:p w:rsidR="00000000" w:rsidDel="00000000" w:rsidP="00000000" w:rsidRDefault="00000000" w:rsidRPr="00000000" w14:paraId="000000B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 AND SOUTH CAROLINA LAW</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this Agreement freely, voluntarily, and with complete understanding of its terms, legal effects, and binding nature, without fraud, duress, mistake, misrepresentation, or undue influence.</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w:t>
      </w:r>
      <w:r w:rsidDel="00000000" w:rsidR="00000000" w:rsidRPr="00000000">
        <w:rPr>
          <w:rFonts w:ascii="Roboto" w:cs="Roboto" w:eastAsia="Roboto" w:hAnsi="Roboto"/>
          <w:b w:val="1"/>
          <w:bCs w:val="1"/>
          <w:sz w:val="24"/>
          <w:szCs w:val="24"/>
          <w:rtl w:val="0"/>
        </w:rPr>
        <w:t xml:space="preserve"> Financial Disclosure:</w:t>
      </w:r>
      <w:r w:rsidDel="00000000" w:rsidR="00000000" w:rsidRPr="00000000">
        <w:rPr>
          <w:rFonts w:ascii="Roboto" w:cs="Roboto" w:eastAsia="Roboto" w:hAnsi="Roboto"/>
          <w:sz w:val="24"/>
          <w:szCs w:val="24"/>
          <w:rtl w:val="0"/>
        </w:rPr>
        <w:t xml:space="preserve"> Each Party confirms they received the other Party's annexed financial statement consistent with the disclosure requirements of S.C. Code § 20-3-630, had opportunity for verification and independent investigation, and possess adequate knowledge of the other Party's financial circumstances. </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w:t>
      </w:r>
      <w:r w:rsidDel="00000000" w:rsidR="00000000" w:rsidRPr="00000000">
        <w:rPr>
          <w:rFonts w:ascii="Roboto" w:cs="Roboto" w:eastAsia="Roboto" w:hAnsi="Roboto"/>
          <w:sz w:val="24"/>
          <w:szCs w:val="24"/>
          <w:rtl w:val="0"/>
        </w:rPr>
        <w:t xml:space="preserve"> Each Party either: (a) was represented by independent legal counsel; or (b) waived counsel in writing per Section 15 after being advised of the right and importance of independent representation.</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w:t>
      </w:r>
      <w:r w:rsidDel="00000000" w:rsidR="00000000" w:rsidRPr="00000000">
        <w:rPr>
          <w:rFonts w:ascii="Roboto" w:cs="Roboto" w:eastAsia="Roboto" w:hAnsi="Roboto"/>
          <w:b w:val="1"/>
          <w:bCs w:val="1"/>
          <w:sz w:val="24"/>
          <w:szCs w:val="24"/>
          <w:rtl w:val="0"/>
        </w:rPr>
        <w:t xml:space="preserve"> Rights Waived:</w:t>
      </w:r>
      <w:r w:rsidDel="00000000" w:rsidR="00000000" w:rsidRPr="00000000">
        <w:rPr>
          <w:rFonts w:ascii="Roboto" w:cs="Roboto" w:eastAsia="Roboto" w:hAnsi="Roboto"/>
          <w:sz w:val="24"/>
          <w:szCs w:val="24"/>
          <w:rtl w:val="0"/>
        </w:rPr>
        <w:t xml:space="preserve"> Each Party waives all statutory rights to property division, spousal support, inheritance, and other marital rights to the fullest extent permitted under S.C. Code § 20-3-630 and </w:t>
      </w:r>
      <w:r w:rsidDel="00000000" w:rsidR="00000000" w:rsidRPr="00000000">
        <w:rPr>
          <w:rFonts w:ascii="Roboto" w:cs="Roboto" w:eastAsia="Roboto" w:hAnsi="Roboto"/>
          <w:i w:val="1"/>
          <w:iCs w:val="1"/>
          <w:sz w:val="24"/>
          <w:szCs w:val="24"/>
          <w:rtl w:val="0"/>
        </w:rPr>
        <w:t xml:space="preserve">Hardee v. Hardee</w:t>
      </w:r>
      <w:r w:rsidDel="00000000" w:rsidR="00000000" w:rsidRPr="00000000">
        <w:rPr>
          <w:rFonts w:ascii="Roboto" w:cs="Roboto" w:eastAsia="Roboto" w:hAnsi="Roboto"/>
          <w:sz w:val="24"/>
          <w:szCs w:val="24"/>
          <w:rtl w:val="0"/>
        </w:rPr>
        <w:t xml:space="preserve">, 355 S.C. 382, 585 S.E.2d 501 (2003). </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Unconscionability Avoidance:</w:t>
      </w:r>
      <w:r w:rsidDel="00000000" w:rsidR="00000000" w:rsidRPr="00000000">
        <w:rPr>
          <w:rFonts w:ascii="Roboto" w:cs="Roboto" w:eastAsia="Roboto" w:hAnsi="Roboto"/>
          <w:sz w:val="24"/>
          <w:szCs w:val="24"/>
          <w:rtl w:val="0"/>
        </w:rPr>
        <w:t xml:space="preserve"> The Parties intend Section 4 — including the Hardship Exception (4.7) and Reformed Formula Fallback (4.8) — to provide reasonable means of support and avoid outcomes that would render this Agreement unconscionable under the </w:t>
      </w:r>
      <w:r w:rsidDel="00000000" w:rsidR="00000000" w:rsidRPr="00000000">
        <w:rPr>
          <w:rFonts w:ascii="Roboto" w:cs="Roboto" w:eastAsia="Roboto" w:hAnsi="Roboto"/>
          <w:i w:val="1"/>
          <w:iCs w:val="1"/>
          <w:sz w:val="24"/>
          <w:szCs w:val="24"/>
          <w:rtl w:val="0"/>
        </w:rPr>
        <w:t xml:space="preserve">Hardee v. Hardee</w:t>
      </w:r>
      <w:r w:rsidDel="00000000" w:rsidR="00000000" w:rsidRPr="00000000">
        <w:rPr>
          <w:rFonts w:ascii="Roboto" w:cs="Roboto" w:eastAsia="Roboto" w:hAnsi="Roboto"/>
          <w:sz w:val="24"/>
          <w:szCs w:val="24"/>
          <w:rtl w:val="0"/>
        </w:rPr>
        <w:t xml:space="preserve">, 355 S.C. 382 (2003) three-part test. </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Changed Circumstances:</w:t>
      </w:r>
      <w:r w:rsidDel="00000000" w:rsidR="00000000" w:rsidRPr="00000000">
        <w:rPr>
          <w:rFonts w:ascii="Roboto" w:cs="Roboto" w:eastAsia="Roboto" w:hAnsi="Roboto"/>
          <w:sz w:val="24"/>
          <w:szCs w:val="24"/>
          <w:rtl w:val="0"/>
        </w:rPr>
        <w:t xml:space="preserve"> Reasonably foreseeable changes (listed in Section 4.11) shall not constitute "changed circumstances" justifying non-enforcement under South Carolina law. </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20.7 </w:t>
      </w:r>
      <w:r w:rsidDel="00000000" w:rsidR="00000000" w:rsidRPr="00000000">
        <w:rPr>
          <w:rFonts w:ascii="Roboto" w:cs="Roboto" w:eastAsia="Roboto" w:hAnsi="Roboto"/>
          <w:b w:val="1"/>
          <w:bCs w:val="1"/>
          <w:sz w:val="24"/>
          <w:szCs w:val="24"/>
          <w:rtl w:val="0"/>
        </w:rPr>
        <w:t xml:space="preserve">Child Support and Custody:</w:t>
      </w:r>
      <w:r w:rsidDel="00000000" w:rsidR="00000000" w:rsidRPr="00000000">
        <w:rPr>
          <w:rFonts w:ascii="Roboto" w:cs="Roboto" w:eastAsia="Roboto" w:hAnsi="Roboto"/>
          <w:sz w:val="24"/>
          <w:szCs w:val="24"/>
          <w:rtl w:val="0"/>
        </w:rPr>
        <w:t xml:space="preserve"> This Agreement does not affect child support (governed by S.C. Code § 63-17-310 et seq.) or child custody (determined by the best interests standard under S.C. Code § 63-15-210 et seq.). Including child support or custody provisions could jeopardize the enforceability of the entire Agreement. </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20.8 </w:t>
      </w:r>
      <w:r w:rsidDel="00000000" w:rsidR="00000000" w:rsidRPr="00000000">
        <w:rPr>
          <w:rFonts w:ascii="Roboto" w:cs="Roboto" w:eastAsia="Roboto" w:hAnsi="Roboto"/>
          <w:b w:val="1"/>
          <w:bCs w:val="1"/>
          <w:sz w:val="24"/>
          <w:szCs w:val="24"/>
          <w:rtl w:val="0"/>
        </w:rPr>
        <w:t xml:space="preserve">Future Claims Waived:</w:t>
      </w:r>
      <w:r w:rsidDel="00000000" w:rsidR="00000000" w:rsidRPr="00000000">
        <w:rPr>
          <w:rFonts w:ascii="Roboto" w:cs="Roboto" w:eastAsia="Roboto" w:hAnsi="Roboto"/>
          <w:sz w:val="24"/>
          <w:szCs w:val="24"/>
          <w:rtl w:val="0"/>
        </w:rPr>
        <w:t xml:space="preserve"> Each Party irrevocably waives future claims of: lack of understanding, inadequate disclosure, duress, coercion, undue influence, retained rights beyond those preserved herein, or any other validity or enforceability challenge, except as permitted under the </w:t>
      </w:r>
      <w:r w:rsidDel="00000000" w:rsidR="00000000" w:rsidRPr="00000000">
        <w:rPr>
          <w:rFonts w:ascii="Roboto" w:cs="Roboto" w:eastAsia="Roboto" w:hAnsi="Roboto"/>
          <w:i w:val="1"/>
          <w:iCs w:val="1"/>
          <w:sz w:val="24"/>
          <w:szCs w:val="24"/>
          <w:rtl w:val="0"/>
        </w:rPr>
        <w:t xml:space="preserve">Hardee</w:t>
      </w:r>
      <w:r w:rsidDel="00000000" w:rsidR="00000000" w:rsidRPr="00000000">
        <w:rPr>
          <w:rFonts w:ascii="Roboto" w:cs="Roboto" w:eastAsia="Roboto" w:hAnsi="Roboto"/>
          <w:sz w:val="24"/>
          <w:szCs w:val="24"/>
          <w:rtl w:val="0"/>
        </w:rPr>
        <w:t xml:space="preserve"> three-part test. </w:t>
      </w:r>
    </w:p>
    <w:p w:rsidR="00000000" w:rsidDel="00000000" w:rsidP="00000000" w:rsidRDefault="00000000" w:rsidRPr="00000000" w14:paraId="000000B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9">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A">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C">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D">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E">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F">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5">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1">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7">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D">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A">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