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TENNESSEE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acknowledges that changed circumstances during marriage, including health deterioration, employment changes, or other life events, may affect enforcement, though both Parties intend this Agreement to remain binding through foreseeable changes;</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has had adequate time to review, consider, negotiate, and propose changes to this Agreement prior to execution;</w:t>
      </w:r>
    </w:p>
    <w:p w:rsidR="00000000" w:rsidDel="00000000" w:rsidP="00000000" w:rsidRDefault="00000000" w:rsidRPr="00000000" w14:paraId="0000000D">
      <w:pPr>
        <w:spacing w:after="240" w:before="240" w:lineRule="auto"/>
        <w:rPr/>
      </w:pPr>
      <w:r w:rsidDel="00000000" w:rsidR="00000000" w:rsidRPr="00000000">
        <w:rPr>
          <w:rtl w:val="0"/>
        </w:rPr>
        <w:t xml:space="preserve">WHEREAS, independent legal counsel is the "best assurance" that all legal requirements are met and dramatically strengthens enforceability (Randolph v. Randolph, 937 S.W.2d 815 (Tenn. 1996)), and each Party has either obtained independent counsel or knowingly waived this right as documented herein;</w:t>
      </w:r>
    </w:p>
    <w:p w:rsidR="00000000" w:rsidDel="00000000" w:rsidP="00000000" w:rsidRDefault="00000000" w:rsidRPr="00000000" w14:paraId="0000000E">
      <w:pPr>
        <w:spacing w:after="240" w:before="240" w:lineRule="auto"/>
        <w:rPr/>
      </w:pPr>
      <w:r w:rsidDel="00000000" w:rsidR="00000000" w:rsidRPr="00000000">
        <w:rPr>
          <w:rtl w:val="0"/>
        </w:rPr>
        <w:t xml:space="preserve">WHEREAS, each Party has carefully read and reviewed this Agreement, understands its terms and legal effect, and enters into it freely, knowledgeably, and in good faith, without coercion, duress, or undue influence, consistent with Tennessee Code Annotated § 36-3-501;</w:t>
      </w:r>
    </w:p>
    <w:p w:rsidR="00000000" w:rsidDel="00000000" w:rsidP="00000000" w:rsidRDefault="00000000" w:rsidRPr="00000000" w14:paraId="0000000F">
      <w:pPr>
        <w:spacing w:after="240" w:before="240" w:lineRule="auto"/>
        <w:rPr/>
      </w:pPr>
      <w:r w:rsidDel="00000000" w:rsidR="00000000" w:rsidRPr="00000000">
        <w:rPr>
          <w:rtl w:val="0"/>
        </w:rPr>
        <w:t xml:space="preserve">WHEREAS, each Party acknowledges Tennessee courts may examine the fairness of this Agreement both at execution and at enforcement, and both Parties affirm this Agreement is fair and reasonable under current circumstances;</w:t>
      </w:r>
    </w:p>
    <w:p w:rsidR="00000000" w:rsidDel="00000000" w:rsidP="00000000" w:rsidRDefault="00000000" w:rsidRPr="00000000" w14:paraId="00000010">
      <w:pPr>
        <w:spacing w:after="240" w:before="240" w:lineRule="auto"/>
        <w:rPr/>
      </w:pPr>
      <w:r w:rsidDel="00000000" w:rsidR="00000000" w:rsidRPr="00000000">
        <w:rPr>
          <w:rtl w:val="0"/>
        </w:rPr>
        <w:t xml:space="preserve">WHEREAS, the Parties desire that this Agreement be governed by the laws of Tennessee and intend for it to be legally binding and enforceable;</w:t>
      </w:r>
    </w:p>
    <w:p w:rsidR="00000000" w:rsidDel="00000000" w:rsidP="00000000" w:rsidRDefault="00000000" w:rsidRPr="00000000" w14:paraId="00000011">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4">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and goodwill; financial and securities accounts (checking, savings, brokerage, retirement, pension, money market, investment); employment income; stock options, RSUs, deferred compensation, carried interest, and equity incentives (whether vested or unvested, granted before or during marriage); professional degrees, licenses, certifications, and earning capacity derived therefrom; gifts, inheritances, and trust distributions; digital assets (cryptocurrency, NFTs, digital wallets, online accounts); intellectual property (patents, copyrights, trademarks, trade secrets, source code, royalties, websites whether active or dormant); legal claims, settlements, and insurance proceeds attributable to separate property or individual injury; and all appreciation, growth, income, returns, proceeds, replacements, and future development or commercialization thereof. </w:t>
      </w:r>
    </w:p>
    <w:p w:rsidR="00000000" w:rsidDel="00000000" w:rsidP="00000000" w:rsidRDefault="00000000" w:rsidRPr="00000000" w14:paraId="00000015">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6">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7">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8">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B">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C">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D">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E">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F">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20">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The Party claiming transmutation bears the burden of proving it by clear and convincing evidence. </w:t>
      </w:r>
    </w:p>
    <w:p w:rsidR="00000000" w:rsidDel="00000000" w:rsidP="00000000" w:rsidRDefault="00000000" w:rsidRPr="00000000" w14:paraId="00000021">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unless the non-owner spouse made direct documented capital contributions or became a legal co-owner of the business entity. No marital claim arises from business operations, growth, or increased value during marriage. This provision is consistent with Tennessee's principle that separate property remains separate absent clear intent to transmute it to marital property.</w:t>
      </w:r>
    </w:p>
    <w:p w:rsidR="00000000" w:rsidDel="00000000" w:rsidP="00000000" w:rsidRDefault="00000000" w:rsidRPr="00000000" w14:paraId="00000022">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5">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6">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7">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8">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9">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A">
      <w:pPr>
        <w:spacing w:after="240" w:before="240" w:lineRule="auto"/>
        <w:rPr/>
      </w:pPr>
      <w:r w:rsidDel="00000000" w:rsidR="00000000" w:rsidRPr="00000000">
        <w:rPr>
          <w:rtl w:val="0"/>
        </w:rPr>
        <w:t xml:space="preserve">(b) Records shall be maintained to document each Party's capital contributions;</w:t>
      </w:r>
    </w:p>
    <w:p w:rsidR="00000000" w:rsidDel="00000000" w:rsidP="00000000" w:rsidRDefault="00000000" w:rsidRPr="00000000" w14:paraId="0000002B">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C">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D">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E">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F">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0">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3">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except as provided in this Section 4. These formulas apply to temporary, pendente lite, and permanent support.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4">
      <w:pPr>
        <w:spacing w:after="240" w:before="240" w:lineRule="auto"/>
        <w:rPr/>
      </w:pPr>
      <w:r w:rsidDel="00000000" w:rsidR="00000000" w:rsidRPr="00000000">
        <w:rPr>
          <w:rtl w:val="0"/>
        </w:rPr>
        <w:t xml:space="preserve">4.2 </w:t>
      </w:r>
      <w:r w:rsidDel="00000000" w:rsidR="00000000" w:rsidRPr="00000000">
        <w:rPr>
          <w:b w:val="1"/>
          <w:bCs w:val="1"/>
          <w:rtl w:val="0"/>
        </w:rPr>
        <w:t xml:space="preserve">Children of the Marriage</w:t>
      </w:r>
      <w:r w:rsidDel="00000000" w:rsidR="00000000" w:rsidRPr="00000000">
        <w:rPr>
          <w:rtl w:val="0"/>
        </w:rPr>
        <w:t xml:space="preserve">: Biological children of both Parties (including IVF) and children legally adopted by both Parties. Either Party may request genetic testing at any time at the requesting Party's cost. A child not meeting this definition is excluded from the Section 4.5 calculation, and any excess payments are refunded or credited. </w:t>
      </w:r>
    </w:p>
    <w:p w:rsidR="00000000" w:rsidDel="00000000" w:rsidP="00000000" w:rsidRDefault="00000000" w:rsidRPr="00000000" w14:paraId="00000035">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Reduction</w:t>
      </w:r>
      <w:r w:rsidDel="00000000" w:rsidR="00000000" w:rsidRPr="00000000">
        <w:rPr>
          <w:rtl w:val="0"/>
        </w:rPr>
        <w:t xml:space="preserve">: Support reduces by 25%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6">
      <w:pPr>
        <w:spacing w:after="240" w:before="240" w:lineRule="auto"/>
        <w:rPr/>
      </w:pPr>
      <w:r w:rsidDel="00000000" w:rsidR="00000000" w:rsidRPr="00000000">
        <w:rPr>
          <w:rtl w:val="0"/>
        </w:rPr>
        <w:t xml:space="preserve">4.4 </w:t>
      </w:r>
      <w:r w:rsidDel="00000000" w:rsidR="00000000" w:rsidRPr="00000000">
        <w:rPr>
          <w:b w:val="1"/>
          <w:bCs w:val="1"/>
          <w:rtl w:val="0"/>
        </w:rPr>
        <w:t xml:space="preserve">Net Income:</w:t>
      </w:r>
      <w:r w:rsidDel="00000000" w:rsidR="00000000" w:rsidRPr="00000000">
        <w:rPr>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the most recent year's net income applies instead of the average. </w:t>
      </w:r>
    </w:p>
    <w:p w:rsidR="00000000" w:rsidDel="00000000" w:rsidP="00000000" w:rsidRDefault="00000000" w:rsidRPr="00000000" w14:paraId="00000037">
      <w:pPr>
        <w:spacing w:after="240" w:before="240" w:lineRule="auto"/>
        <w:rPr/>
      </w:pPr>
      <w:r w:rsidDel="00000000" w:rsidR="00000000" w:rsidRPr="00000000">
        <w:rPr>
          <w:rtl w:val="0"/>
        </w:rPr>
        <w:t xml:space="preserve">4.5 </w:t>
      </w:r>
      <w:r w:rsidDel="00000000" w:rsidR="00000000" w:rsidRPr="00000000">
        <w:rPr>
          <w:b w:val="1"/>
          <w:bCs w:val="1"/>
          <w:rtl w:val="0"/>
        </w:rPr>
        <w:t xml:space="preserve">Support Calculation</w:t>
      </w:r>
      <w:r w:rsidDel="00000000" w:rsidR="00000000" w:rsidRPr="00000000">
        <w:rPr>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8">
      <w:pPr>
        <w:numPr>
          <w:ilvl w:val="0"/>
          <w:numId w:val="1"/>
        </w:numPr>
        <w:spacing w:after="0" w:afterAutospacing="0" w:before="240" w:lineRule="auto"/>
        <w:ind w:left="720" w:hanging="360"/>
      </w:pPr>
      <w:r w:rsidDel="00000000" w:rsidR="00000000" w:rsidRPr="00000000">
        <w:rPr>
          <w:rtl w:val="0"/>
        </w:rPr>
        <w:t xml:space="preserve">0 Children: 2% of payor's net income</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1 Child: 4% of payor's net income</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2 Children: 6% of payor's net income</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3 Children: 8% of payor's net income</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4 Children: 10% of payor's net income</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5 Children: 12% of payor's net income</w:t>
      </w:r>
    </w:p>
    <w:p w:rsidR="00000000" w:rsidDel="00000000" w:rsidP="00000000" w:rsidRDefault="00000000" w:rsidRPr="00000000" w14:paraId="0000003E">
      <w:pPr>
        <w:numPr>
          <w:ilvl w:val="0"/>
          <w:numId w:val="1"/>
        </w:numPr>
        <w:spacing w:after="240" w:before="0" w:beforeAutospacing="0" w:lineRule="auto"/>
        <w:ind w:left="720" w:hanging="360"/>
      </w:pPr>
      <w:r w:rsidDel="00000000" w:rsidR="00000000" w:rsidRPr="00000000">
        <w:rPr>
          <w:rtl w:val="0"/>
        </w:rPr>
        <w:t xml:space="preserve">6+ Children: 14% of payor's net income</w:t>
      </w:r>
    </w:p>
    <w:p w:rsidR="00000000" w:rsidDel="00000000" w:rsidP="00000000" w:rsidRDefault="00000000" w:rsidRPr="00000000" w14:paraId="0000003F">
      <w:pPr>
        <w:spacing w:after="240" w:before="240" w:lineRule="auto"/>
        <w:ind w:right="600"/>
        <w:rPr/>
      </w:pPr>
      <w:r w:rsidDel="00000000" w:rsidR="00000000" w:rsidRPr="00000000">
        <w:rPr>
          <w:b w:val="1"/>
          <w:bCs w:val="1"/>
          <w:rtl w:val="0"/>
        </w:rPr>
        <w:t xml:space="preserve">Maximum:</w:t>
      </w:r>
      <w:r w:rsidDel="00000000" w:rsidR="00000000" w:rsidRPr="00000000">
        <w:rPr>
          <w:rtl w:val="0"/>
        </w:rPr>
        <w:t xml:space="preserve"> $6,000 per month, adjusted annually by CPI-U from date of marriage through the earlier of separation or dissolution filing. </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custody, and visitation are excluded from this Agreement. Tennessee courts retain sole authority over these matters under Tenn. Code Ann. § 36-5-101 and the Tennessee Child Support Guidelines, determined at the time of any proceeding based on the child's best interests. </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4.6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(from date of marriage to date of separation):</w:t>
      </w:r>
    </w:p>
    <w:p w:rsidR="00000000" w:rsidDel="00000000" w:rsidP="00000000" w:rsidRDefault="00000000" w:rsidRPr="00000000" w14:paraId="00000042">
      <w:pPr>
        <w:numPr>
          <w:ilvl w:val="0"/>
          <w:numId w:val="5"/>
        </w:numPr>
        <w:spacing w:after="0" w:lineRule="auto"/>
        <w:ind w:left="720" w:hanging="360"/>
      </w:pPr>
      <w:r w:rsidDel="00000000" w:rsidR="00000000" w:rsidRPr="00000000">
        <w:rPr>
          <w:rtl w:val="0"/>
        </w:rPr>
        <w:t xml:space="preserve">Less than 5 years: 5% of marriage length</w:t>
      </w:r>
    </w:p>
    <w:p w:rsidR="00000000" w:rsidDel="00000000" w:rsidP="00000000" w:rsidRDefault="00000000" w:rsidRPr="00000000" w14:paraId="00000043">
      <w:pPr>
        <w:numPr>
          <w:ilvl w:val="0"/>
          <w:numId w:val="5"/>
        </w:numPr>
        <w:spacing w:after="0" w:lineRule="auto"/>
        <w:ind w:left="720" w:hanging="360"/>
      </w:pPr>
      <w:r w:rsidDel="00000000" w:rsidR="00000000" w:rsidRPr="00000000">
        <w:rPr>
          <w:rtl w:val="0"/>
        </w:rPr>
        <w:t xml:space="preserve">5 to &lt;10 years: 10% of marriage length</w:t>
      </w:r>
    </w:p>
    <w:p w:rsidR="00000000" w:rsidDel="00000000" w:rsidP="00000000" w:rsidRDefault="00000000" w:rsidRPr="00000000" w14:paraId="00000044">
      <w:pPr>
        <w:numPr>
          <w:ilvl w:val="0"/>
          <w:numId w:val="5"/>
        </w:numPr>
        <w:spacing w:after="0" w:lineRule="auto"/>
        <w:ind w:left="720" w:hanging="360"/>
      </w:pPr>
      <w:r w:rsidDel="00000000" w:rsidR="00000000" w:rsidRPr="00000000">
        <w:rPr>
          <w:rtl w:val="0"/>
        </w:rPr>
        <w:t xml:space="preserve">10 to &lt;15 years: 15% of marriage length</w:t>
      </w:r>
    </w:p>
    <w:p w:rsidR="00000000" w:rsidDel="00000000" w:rsidP="00000000" w:rsidRDefault="00000000" w:rsidRPr="00000000" w14:paraId="00000045">
      <w:pPr>
        <w:numPr>
          <w:ilvl w:val="0"/>
          <w:numId w:val="5"/>
        </w:numPr>
        <w:spacing w:after="0" w:lineRule="auto"/>
        <w:ind w:left="720" w:hanging="360"/>
      </w:pPr>
      <w:r w:rsidDel="00000000" w:rsidR="00000000" w:rsidRPr="00000000">
        <w:rPr>
          <w:rtl w:val="0"/>
        </w:rPr>
        <w:t xml:space="preserve">15 to &lt;20 years: 20% of marriage length</w:t>
      </w:r>
    </w:p>
    <w:p w:rsidR="00000000" w:rsidDel="00000000" w:rsidP="00000000" w:rsidRDefault="00000000" w:rsidRPr="00000000" w14:paraId="00000046">
      <w:pPr>
        <w:numPr>
          <w:ilvl w:val="0"/>
          <w:numId w:val="5"/>
        </w:numPr>
        <w:spacing w:after="0" w:lineRule="auto"/>
        <w:ind w:left="720" w:hanging="360"/>
      </w:pPr>
      <w:r w:rsidDel="00000000" w:rsidR="00000000" w:rsidRPr="00000000">
        <w:rPr>
          <w:rtl w:val="0"/>
        </w:rPr>
        <w:t xml:space="preserve">20 to &lt;25 years: 25% of marriage length</w:t>
      </w:r>
    </w:p>
    <w:p w:rsidR="00000000" w:rsidDel="00000000" w:rsidP="00000000" w:rsidRDefault="00000000" w:rsidRPr="00000000" w14:paraId="00000047">
      <w:pPr>
        <w:numPr>
          <w:ilvl w:val="0"/>
          <w:numId w:val="5"/>
        </w:numPr>
        <w:spacing w:after="0" w:lineRule="auto"/>
        <w:ind w:left="720" w:hanging="360"/>
      </w:pPr>
      <w:r w:rsidDel="00000000" w:rsidR="00000000" w:rsidRPr="00000000">
        <w:rPr>
          <w:rtl w:val="0"/>
        </w:rPr>
        <w:t xml:space="preserve">25+ years: 30% of marriage length</w:t>
      </w:r>
    </w:p>
    <w:p w:rsidR="00000000" w:rsidDel="00000000" w:rsidP="00000000" w:rsidRDefault="00000000" w:rsidRPr="00000000" w14:paraId="00000048">
      <w:pPr>
        <w:spacing w:after="240" w:before="240" w:lineRule="auto"/>
        <w:rPr/>
      </w:pPr>
      <w:r w:rsidDel="00000000" w:rsidR="00000000" w:rsidRPr="00000000">
        <w:rPr>
          <w:rtl w:val="0"/>
        </w:rPr>
        <w:t xml:space="preserve">4.7</w:t>
      </w:r>
      <w:r w:rsidDel="00000000" w:rsidR="00000000" w:rsidRPr="00000000">
        <w:rPr>
          <w:b w:val="1"/>
          <w:bCs w:val="1"/>
          <w:rtl w:val="0"/>
        </w:rPr>
        <w:t xml:space="preserve"> Public Assistance Floor</w:t>
      </w:r>
      <w:r w:rsidDel="00000000" w:rsidR="00000000" w:rsidRPr="00000000">
        <w:rPr>
          <w:rtl w:val="0"/>
        </w:rPr>
        <w:t xml:space="preserve">: Consistent with Cary v. Cary, 937 S.W.2d 777 (Tenn. 1996), if enforcement of this waiver would render recipient a "public charge" requiring public assistance, the court may require payor to provide minimum support necessary to avoid public assistance eligibility. </w:t>
      </w:r>
    </w:p>
    <w:p w:rsidR="00000000" w:rsidDel="00000000" w:rsidP="00000000" w:rsidRDefault="00000000" w:rsidRPr="00000000" w14:paraId="00000049">
      <w:pPr>
        <w:spacing w:after="240" w:before="240" w:lineRule="auto"/>
        <w:rPr/>
      </w:pPr>
      <w:r w:rsidDel="00000000" w:rsidR="00000000" w:rsidRPr="00000000">
        <w:rPr>
          <w:rtl w:val="0"/>
        </w:rPr>
        <w:t xml:space="preserve">4.8 </w:t>
      </w:r>
      <w:r w:rsidDel="00000000" w:rsidR="00000000" w:rsidRPr="00000000">
        <w:rPr>
          <w:b w:val="1"/>
          <w:bCs w:val="1"/>
          <w:rtl w:val="0"/>
        </w:rPr>
        <w:t xml:space="preserve">Reformed Formula Fallback</w:t>
      </w:r>
      <w:r w:rsidDel="00000000" w:rsidR="00000000" w:rsidRPr="00000000">
        <w:rPr>
          <w:rtl w:val="0"/>
        </w:rPr>
        <w:t xml:space="preserve">: If any calculation under Sections 4.5 or 4.6 is deemed unconscionable, the court shall reform to the following percentages of payor's average annual net income (as defined in 4.4) minus 50% of recipient's net income, with duration at 40% of marriage length: </w:t>
      </w:r>
    </w:p>
    <w:p w:rsidR="00000000" w:rsidDel="00000000" w:rsidP="00000000" w:rsidRDefault="00000000" w:rsidRPr="00000000" w14:paraId="0000004A">
      <w:pPr>
        <w:numPr>
          <w:ilvl w:val="0"/>
          <w:numId w:val="4"/>
        </w:numPr>
        <w:spacing w:after="0" w:afterAutospacing="0" w:before="240" w:lineRule="auto"/>
        <w:ind w:left="720" w:hanging="360"/>
      </w:pPr>
      <w:r w:rsidDel="00000000" w:rsidR="00000000" w:rsidRPr="00000000">
        <w:rPr>
          <w:rtl w:val="0"/>
        </w:rPr>
        <w:t xml:space="preserve">0-1 Child: 10% of payor's net income</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2-3 Children: 15% of payor's net income</w:t>
      </w:r>
    </w:p>
    <w:p w:rsidR="00000000" w:rsidDel="00000000" w:rsidP="00000000" w:rsidRDefault="00000000" w:rsidRPr="00000000" w14:paraId="0000004C">
      <w:pPr>
        <w:numPr>
          <w:ilvl w:val="0"/>
          <w:numId w:val="4"/>
        </w:numPr>
        <w:spacing w:after="240" w:before="0" w:beforeAutospacing="0" w:lineRule="auto"/>
        <w:ind w:left="720" w:hanging="360"/>
      </w:pPr>
      <w:r w:rsidDel="00000000" w:rsidR="00000000" w:rsidRPr="00000000">
        <w:rPr>
          <w:rtl w:val="0"/>
        </w:rPr>
        <w:t xml:space="preserve">4+ Children: 20% of payor's net income</w:t>
      </w:r>
    </w:p>
    <w:p w:rsidR="00000000" w:rsidDel="00000000" w:rsidP="00000000" w:rsidRDefault="00000000" w:rsidRPr="00000000" w14:paraId="0000004D">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w:t>
      </w:r>
    </w:p>
    <w:p w:rsidR="00000000" w:rsidDel="00000000" w:rsidP="00000000" w:rsidRDefault="00000000" w:rsidRPr="00000000" w14:paraId="0000004E">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(b) Recipient's cohabitation for 90+ consecutive days in a romantic relationship; (c) Recipient's death; (d) Payor's death; or (e) Duration limit expiration.</w:t>
      </w:r>
    </w:p>
    <w:p w:rsidR="00000000" w:rsidDel="00000000" w:rsidP="00000000" w:rsidRDefault="00000000" w:rsidRPr="00000000" w14:paraId="0000004F">
      <w:pPr>
        <w:spacing w:after="240" w:before="240" w:lineRule="auto"/>
        <w:rPr/>
      </w:pPr>
      <w:r w:rsidDel="00000000" w:rsidR="00000000" w:rsidRPr="00000000">
        <w:rPr>
          <w:rtl w:val="0"/>
        </w:rPr>
        <w:t xml:space="preserve">4.11 </w:t>
      </w:r>
      <w:r w:rsidDel="00000000" w:rsidR="00000000" w:rsidRPr="00000000">
        <w:rPr>
          <w:b w:val="1"/>
          <w:bCs w:val="1"/>
          <w:rtl w:val="0"/>
        </w:rPr>
        <w:t xml:space="preserve">Limited Modification</w:t>
      </w:r>
      <w:r w:rsidDel="00000000" w:rsidR="00000000" w:rsidRPr="00000000">
        <w:rPr>
          <w:rtl w:val="0"/>
        </w:rPr>
        <w:t xml:space="preserve">: Support terms non-modifiable except as required by Tennessee law or court order upon showing of substantial and material change in circumstances that was not foreseeable at execution. Both Parties acknowledge as foreseeable: dissolution, income changes and growth, typical health issues, childcare decisions for children born during marriage, and career changes.</w:t>
      </w:r>
    </w:p>
    <w:p w:rsidR="00000000" w:rsidDel="00000000" w:rsidP="00000000" w:rsidRDefault="00000000" w:rsidRPr="00000000" w14:paraId="00000050">
      <w:pPr>
        <w:spacing w:after="240" w:before="240" w:lineRule="auto"/>
        <w:rPr/>
      </w:pPr>
      <w:r w:rsidDel="00000000" w:rsidR="00000000" w:rsidRPr="00000000">
        <w:rPr>
          <w:rtl w:val="0"/>
        </w:rPr>
        <w:t xml:space="preserve">4.12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4.4) multiplied by: 75% (marriages under 10 years), 125% (10–20 years), or 175% (20+ years). </w:t>
      </w:r>
    </w:p>
    <w:p w:rsidR="00000000" w:rsidDel="00000000" w:rsidP="00000000" w:rsidRDefault="00000000" w:rsidRPr="00000000" w14:paraId="00000051">
      <w:pPr>
        <w:spacing w:after="240" w:before="240" w:lineRule="auto"/>
        <w:rPr/>
      </w:pPr>
      <w:r w:rsidDel="00000000" w:rsidR="00000000" w:rsidRPr="00000000">
        <w:rPr>
          <w:rtl w:val="0"/>
        </w:rPr>
        <w:t xml:space="preserve">4.13 </w:t>
      </w:r>
      <w:r w:rsidDel="00000000" w:rsidR="00000000" w:rsidRPr="00000000">
        <w:rPr>
          <w:b w:val="1"/>
          <w:bCs w:val="1"/>
          <w:rtl w:val="0"/>
        </w:rPr>
        <w:t xml:space="preserve">Post-Divorce Income</w:t>
      </w:r>
      <w:r w:rsidDel="00000000" w:rsidR="00000000" w:rsidRPr="00000000">
        <w:rPr>
          <w:rtl w:val="0"/>
        </w:rPr>
        <w:t xml:space="preserve">: Support shall not be modified based on payor's post-filing income increases, including promotions, bonuses, raises, business growth, investment returns, inheritances, gifts, or higher compensation. Post-divorce earnings are separate property. </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4">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15. All uses of "aspire," "value," and "hope" in this Section are intentionally non-obligatory. </w:t>
      </w:r>
    </w:p>
    <w:p w:rsidR="00000000" w:rsidDel="00000000" w:rsidP="00000000" w:rsidRDefault="00000000" w:rsidRPr="00000000" w14:paraId="00000055">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intend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6">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7">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8">
      <w:pPr>
        <w:spacing w:after="240" w:before="240" w:lineRule="auto"/>
        <w:rPr/>
      </w:pPr>
      <w:r w:rsidDel="00000000" w:rsidR="00000000" w:rsidRPr="00000000">
        <w:rPr>
          <w:rtl w:val="0"/>
        </w:rPr>
        <w:t xml:space="preserve">5.3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9">
      <w:pPr>
        <w:spacing w:after="240" w:before="240" w:lineRule="auto"/>
        <w:rPr/>
      </w:pPr>
      <w:r w:rsidDel="00000000" w:rsidR="00000000" w:rsidRPr="00000000">
        <w:rPr>
          <w:rtl w:val="0"/>
        </w:rPr>
        <w:t xml:space="preserve">5.4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6. INHERITANCE AND ESTATE RIGHTS WAIVER</w:t>
      </w:r>
    </w:p>
    <w:p w:rsidR="00000000" w:rsidDel="00000000" w:rsidP="00000000" w:rsidRDefault="00000000" w:rsidRPr="00000000" w14:paraId="0000005C">
      <w:pPr>
        <w:spacing w:after="240" w:before="240" w:lineRule="auto"/>
        <w:rPr/>
      </w:pPr>
      <w:r w:rsidDel="00000000" w:rsidR="00000000" w:rsidRPr="00000000">
        <w:rPr>
          <w:rtl w:val="0"/>
        </w:rPr>
        <w:t xml:space="preserve">6.1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Tennessee law.</w:t>
      </w:r>
    </w:p>
    <w:p w:rsidR="00000000" w:rsidDel="00000000" w:rsidP="00000000" w:rsidRDefault="00000000" w:rsidRPr="00000000" w14:paraId="0000005D">
      <w:pPr>
        <w:spacing w:after="240" w:before="240" w:lineRule="auto"/>
        <w:rPr/>
      </w:pPr>
      <w:r w:rsidDel="00000000" w:rsidR="00000000" w:rsidRPr="00000000">
        <w:rPr>
          <w:rtl w:val="0"/>
        </w:rPr>
        <w:t xml:space="preserve">6.2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Rule="auto"/>
        <w:rPr/>
      </w:pPr>
      <w:r w:rsidDel="00000000" w:rsidR="00000000" w:rsidRPr="00000000">
        <w:rPr>
          <w:rtl w:val="0"/>
        </w:rPr>
        <w:t xml:space="preserve">6.3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5F">
      <w:pPr>
        <w:spacing w:after="240" w:before="240" w:lineRule="auto"/>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7. FINANCIAL CHANGES AND CONTINUED VALIDITY</w:t>
      </w:r>
    </w:p>
    <w:p w:rsidR="00000000" w:rsidDel="00000000" w:rsidP="00000000" w:rsidRDefault="00000000" w:rsidRPr="00000000" w14:paraId="00000062">
      <w:pPr>
        <w:spacing w:after="240" w:before="240" w:lineRule="auto"/>
        <w:rPr/>
      </w:pPr>
      <w:r w:rsidDel="00000000" w:rsidR="00000000" w:rsidRPr="00000000">
        <w:rPr>
          <w:rtl w:val="0"/>
        </w:rPr>
        <w:t xml:space="preserve">7.1 </w:t>
      </w:r>
      <w:r w:rsidDel="00000000" w:rsidR="00000000" w:rsidRPr="00000000">
        <w:rPr>
          <w:b w:val="1"/>
          <w:bCs w:val="1"/>
          <w:rtl w:val="0"/>
        </w:rPr>
        <w:t xml:space="preserve">Binding Regardless of Changes</w:t>
      </w:r>
      <w:r w:rsidDel="00000000" w:rsidR="00000000" w:rsidRPr="00000000">
        <w:rPr>
          <w:rtl w:val="0"/>
        </w:rPr>
        <w:t xml:space="preserve">: This Agreement remains valid regardless of post-execution changes in assets, income, net worth, or financial circumstances, whether foreseeable or unforeseeable. </w:t>
      </w:r>
    </w:p>
    <w:p w:rsidR="00000000" w:rsidDel="00000000" w:rsidP="00000000" w:rsidRDefault="00000000" w:rsidRPr="00000000" w14:paraId="00000063">
      <w:pPr>
        <w:spacing w:after="240" w:before="240" w:lineRule="auto"/>
        <w:rPr/>
      </w:pPr>
      <w:r w:rsidDel="00000000" w:rsidR="00000000" w:rsidRPr="00000000">
        <w:rPr>
          <w:rtl w:val="0"/>
        </w:rPr>
        <w:t xml:space="preserve">7.2 </w:t>
      </w:r>
      <w:r w:rsidDel="00000000" w:rsidR="00000000" w:rsidRPr="00000000">
        <w:rPr>
          <w:b w:val="1"/>
          <w:bCs w:val="1"/>
          <w:rtl w:val="0"/>
        </w:rPr>
        <w:t xml:space="preserve">No Implied Modifications</w:t>
      </w:r>
      <w:r w:rsidDel="00000000" w:rsidR="00000000" w:rsidRPr="00000000">
        <w:rPr>
          <w:rtl w:val="0"/>
        </w:rPr>
        <w:t xml:space="preserve">: No change in circumstances shall modify, invalidate, or excuse performance unless modified per Section 14. Each Party waives challenges based on post-execution asset changes, market fluctuations, or failure to disclose changes occurring after execution. </w:t>
      </w:r>
    </w:p>
    <w:p w:rsidR="00000000" w:rsidDel="00000000" w:rsidP="00000000" w:rsidRDefault="00000000" w:rsidRPr="00000000" w14:paraId="00000064">
      <w:pPr>
        <w:spacing w:after="240" w:before="240" w:lineRule="auto"/>
        <w:rPr/>
      </w:pPr>
      <w:r w:rsidDel="00000000" w:rsidR="00000000" w:rsidRPr="00000000">
        <w:rPr>
          <w:rtl w:val="0"/>
        </w:rPr>
        <w:t xml:space="preserve">7.3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w:t>
      </w:r>
    </w:p>
    <w:p w:rsidR="00000000" w:rsidDel="00000000" w:rsidP="00000000" w:rsidRDefault="00000000" w:rsidRPr="00000000" w14:paraId="00000065">
      <w:pPr>
        <w:spacing w:after="240" w:before="240" w:lineRule="auto"/>
        <w:rPr/>
      </w:pPr>
      <w:r w:rsidDel="00000000" w:rsidR="00000000" w:rsidRPr="00000000">
        <w:rPr>
          <w:rtl w:val="0"/>
        </w:rPr>
        <w:t xml:space="preserve">7.4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8">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under this Agreement must first be submitted to mediation with a qualified family law mediator. Both Parties must participate in good faith for at least three sessions over a minimum of 60 days. If mediation succeeds, the higher-earning Party pays all mediation costs up to the lesser of 2% of that Party's gross annual income or $10,000. If mediation fails, costs are shared equally. </w:t>
      </w:r>
    </w:p>
    <w:p w:rsidR="00000000" w:rsidDel="00000000" w:rsidP="00000000" w:rsidRDefault="00000000" w:rsidRPr="00000000" w14:paraId="00000069">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A">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B">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C">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D">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E">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F">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0">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5">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B">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highlight w:val="white"/>
        </w:rPr>
      </w:pPr>
      <w:r w:rsidDel="00000000" w:rsidR="00000000" w:rsidRPr="00000000">
        <w:rPr>
          <w:b w:val="1"/>
          <w:bCs w:val="1"/>
          <w:highlight w:val="white"/>
          <w:rtl w:val="0"/>
        </w:rPr>
        <w:t xml:space="preserve">11. FINANCIAL DISCLOSURE AND DISCOVERY LIMITATION</w:t>
      </w:r>
    </w:p>
    <w:p w:rsidR="00000000" w:rsidDel="00000000" w:rsidP="00000000" w:rsidRDefault="00000000" w:rsidRPr="00000000" w14:paraId="00000083">
      <w:pPr>
        <w:spacing w:after="240" w:before="240" w:lineRule="auto"/>
        <w:rPr>
          <w:highlight w:val="white"/>
        </w:rPr>
      </w:pPr>
      <w:r w:rsidDel="00000000" w:rsidR="00000000" w:rsidRPr="00000000">
        <w:rPr>
          <w:highlight w:val="white"/>
          <w:rtl w:val="0"/>
        </w:rPr>
        <w:t xml:space="preserve">11.1 </w:t>
      </w:r>
      <w:r w:rsidDel="00000000" w:rsidR="00000000" w:rsidRPr="00000000">
        <w:rPr>
          <w:b w:val="1"/>
          <w:bCs w:val="1"/>
          <w:highlight w:val="white"/>
          <w:rtl w:val="0"/>
        </w:rPr>
        <w:t xml:space="preserve">Complete Financial Disclosure:</w:t>
      </w:r>
      <w:r w:rsidDel="00000000" w:rsidR="00000000" w:rsidRPr="00000000">
        <w:rPr>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Rule="auto"/>
        <w:rPr>
          <w:highlight w:val="white"/>
        </w:rPr>
      </w:pPr>
      <w:r w:rsidDel="00000000" w:rsidR="00000000" w:rsidRPr="00000000">
        <w:rPr>
          <w:highlight w:val="white"/>
          <w:rtl w:val="0"/>
        </w:rPr>
        <w:t xml:space="preserve">11.2 </w:t>
      </w:r>
      <w:r w:rsidDel="00000000" w:rsidR="00000000" w:rsidRPr="00000000">
        <w:rPr>
          <w:b w:val="1"/>
          <w:bCs w:val="1"/>
          <w:highlight w:val="white"/>
          <w:rtl w:val="0"/>
        </w:rPr>
        <w:t xml:space="preserve">Reliance and Acknowledgement:</w:t>
      </w:r>
      <w:r w:rsidDel="00000000" w:rsidR="00000000" w:rsidRPr="00000000">
        <w:rPr>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highlight w:val="white"/>
        </w:rPr>
      </w:pPr>
      <w:r w:rsidDel="00000000" w:rsidR="00000000" w:rsidRPr="00000000">
        <w:rPr>
          <w:highlight w:val="white"/>
          <w:rtl w:val="0"/>
        </w:rPr>
        <w:t xml:space="preserve">11.3 </w:t>
      </w:r>
      <w:r w:rsidDel="00000000" w:rsidR="00000000" w:rsidRPr="00000000">
        <w:rPr>
          <w:b w:val="1"/>
          <w:bCs w:val="1"/>
          <w:highlight w:val="white"/>
          <w:rtl w:val="0"/>
        </w:rPr>
        <w:t xml:space="preserve">Discovery Limitation:</w:t>
      </w:r>
      <w:r w:rsidDel="00000000" w:rsidR="00000000" w:rsidRPr="00000000">
        <w:rPr>
          <w:highlight w:val="white"/>
          <w:rtl w:val="0"/>
        </w:rPr>
        <w:t xml:space="preserve"> In any proceeding to enforce or challenge this Agreement, discovery shall be limited to matters directly relevant to the validity of execution — specifically, allegations of fraud, duress, incapacity, or material nondisclosure at the time of signing. Neither Party may conduct discovery into the other's post-execution financial circumstances for purposes of challenging this Agreement's substantive terms. </w:t>
      </w:r>
    </w:p>
    <w:p w:rsidR="00000000" w:rsidDel="00000000" w:rsidP="00000000" w:rsidRDefault="00000000" w:rsidRPr="00000000" w14:paraId="00000086">
      <w:pPr>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12. INDEPENDENT LEGAL COUNSEL</w:t>
      </w:r>
    </w:p>
    <w:p w:rsidR="00000000" w:rsidDel="00000000" w:rsidP="00000000" w:rsidRDefault="00000000" w:rsidRPr="00000000" w14:paraId="00000088">
      <w:pPr>
        <w:spacing w:after="240" w:before="240" w:lineRule="auto"/>
        <w:rPr/>
      </w:pPr>
      <w:r w:rsidDel="00000000" w:rsidR="00000000" w:rsidRPr="00000000">
        <w:rPr>
          <w:rtl w:val="0"/>
        </w:rPr>
        <w:t xml:space="preserve">12.1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89">
      <w:pPr>
        <w:spacing w:after="240" w:before="240" w:lineRule="auto"/>
        <w:rPr/>
      </w:pPr>
      <w:r w:rsidDel="00000000" w:rsidR="00000000" w:rsidRPr="00000000">
        <w:rPr>
          <w:rtl w:val="0"/>
        </w:rPr>
        <w:t xml:space="preserve">12.2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8A">
      <w:pPr>
        <w:spacing w:after="240" w:before="240" w:lineRule="auto"/>
        <w:rPr/>
      </w:pPr>
      <w:r w:rsidDel="00000000" w:rsidR="00000000" w:rsidRPr="00000000">
        <w:rPr>
          <w:rtl w:val="0"/>
        </w:rPr>
        <w:t xml:space="preserve">12.3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8B">
      <w:pPr>
        <w:spacing w:after="240" w:before="240" w:lineRule="auto"/>
        <w:rPr/>
      </w:pPr>
      <w:r w:rsidDel="00000000" w:rsidR="00000000" w:rsidRPr="00000000">
        <w:rPr>
          <w:rtl w:val="0"/>
        </w:rPr>
        <w:t xml:space="preserve">12.4 </w:t>
      </w:r>
      <w:r w:rsidDel="00000000" w:rsidR="00000000" w:rsidRPr="00000000">
        <w:rPr>
          <w:b w:val="1"/>
          <w:bCs w:val="1"/>
          <w:rtl w:val="0"/>
        </w:rPr>
        <w:t xml:space="preserve">Tennessee Independent Counsel Standard</w:t>
      </w:r>
      <w:r w:rsidDel="00000000" w:rsidR="00000000" w:rsidRPr="00000000">
        <w:rPr>
          <w:rtl w:val="0"/>
        </w:rPr>
        <w:t xml:space="preserve">: While Tennessee does not require independent counsel, courts consider it the "best assurance" that all legal requirements are met (Randolph v. Randolph, 937 S.W.2d 815 (Tenn. 1996)). Independent counsel dramatically strengthens enforceability. Each Party acknowledges understanding this standard. </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13. GOVERNING LAW AND ENFORCEABILITY</w:t>
      </w:r>
    </w:p>
    <w:p w:rsidR="00000000" w:rsidDel="00000000" w:rsidP="00000000" w:rsidRDefault="00000000" w:rsidRPr="00000000" w14:paraId="0000008E">
      <w:pPr>
        <w:spacing w:after="240" w:before="240" w:lineRule="auto"/>
        <w:rPr/>
      </w:pPr>
      <w:r w:rsidDel="00000000" w:rsidR="00000000" w:rsidRPr="00000000">
        <w:rPr>
          <w:rtl w:val="0"/>
        </w:rPr>
        <w:t xml:space="preserve">13.1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8F">
      <w:pPr>
        <w:spacing w:after="240" w:before="240" w:lineRule="auto"/>
        <w:rPr/>
      </w:pPr>
      <w:r w:rsidDel="00000000" w:rsidR="00000000" w:rsidRPr="00000000">
        <w:rPr>
          <w:rtl w:val="0"/>
        </w:rPr>
        <w:t xml:space="preserve">13.2 </w:t>
      </w:r>
      <w:r w:rsidDel="00000000" w:rsidR="00000000" w:rsidRPr="00000000">
        <w:rPr>
          <w:b w:val="1"/>
          <w:bCs w:val="1"/>
          <w:rtl w:val="0"/>
        </w:rPr>
        <w:t xml:space="preserve">Tennessee Law</w:t>
      </w:r>
      <w:r w:rsidDel="00000000" w:rsidR="00000000" w:rsidRPr="00000000">
        <w:rPr>
          <w:rtl w:val="0"/>
        </w:rPr>
        <w:t xml:space="preserve">: This Agreement is governed by Tennessee law as of execution date, including Tennessee Code Annotated § 36-3-501 and the disclosure and voluntariness framework established by Randolph v. Randolph, 937 S.W.2d 815 (Tenn. 1996), regardless of domicile or asset location. Future law amendments reducing enforceability shall not apply retroactively. </w:t>
      </w:r>
    </w:p>
    <w:p w:rsidR="00000000" w:rsidDel="00000000" w:rsidP="00000000" w:rsidRDefault="00000000" w:rsidRPr="00000000" w14:paraId="00000090">
      <w:pPr>
        <w:spacing w:after="240" w:before="240" w:lineRule="auto"/>
        <w:rPr/>
      </w:pPr>
      <w:r w:rsidDel="00000000" w:rsidR="00000000" w:rsidRPr="00000000">
        <w:rPr>
          <w:rtl w:val="0"/>
        </w:rPr>
        <w:t xml:space="preserve">13.3 </w:t>
      </w:r>
      <w:r w:rsidDel="00000000" w:rsidR="00000000" w:rsidRPr="00000000">
        <w:rPr>
          <w:b w:val="1"/>
          <w:bCs w:val="1"/>
          <w:rtl w:val="0"/>
        </w:rPr>
        <w:t xml:space="preserve">Jurisdiction:</w:t>
      </w:r>
      <w:r w:rsidDel="00000000" w:rsidR="00000000" w:rsidRPr="00000000">
        <w:rPr>
          <w:rtl w:val="0"/>
        </w:rPr>
        <w:t xml:space="preserve"> Each Party submits to Tennessee jurisdiction and waives forum non conveniens defenses. Neither Party may initiate proceedings in jurisdictions with weaker prenuptial enforcement than Tennessee. </w:t>
      </w:r>
    </w:p>
    <w:p w:rsidR="00000000" w:rsidDel="00000000" w:rsidP="00000000" w:rsidRDefault="00000000" w:rsidRPr="00000000" w14:paraId="00000091">
      <w:pPr>
        <w:spacing w:after="240" w:before="240" w:lineRule="auto"/>
        <w:rPr/>
      </w:pPr>
      <w:r w:rsidDel="00000000" w:rsidR="00000000" w:rsidRPr="00000000">
        <w:rPr>
          <w:rtl w:val="0"/>
        </w:rPr>
        <w:t xml:space="preserve">13.4 </w:t>
      </w:r>
      <w:r w:rsidDel="00000000" w:rsidR="00000000" w:rsidRPr="00000000">
        <w:rPr>
          <w:b w:val="1"/>
          <w:bCs w:val="1"/>
          <w:rtl w:val="0"/>
        </w:rPr>
        <w:t xml:space="preserve">Law Selection:</w:t>
      </w:r>
      <w:r w:rsidDel="00000000" w:rsidR="00000000" w:rsidRPr="00000000">
        <w:rPr>
          <w:rtl w:val="0"/>
        </w:rPr>
        <w:t xml:space="preserve"> Neither Party may invoke any law—foreign or domestic—to weaken this Agreement's enforcement. </w:t>
      </w:r>
    </w:p>
    <w:p w:rsidR="00000000" w:rsidDel="00000000" w:rsidP="00000000" w:rsidRDefault="00000000" w:rsidRPr="00000000" w14:paraId="00000092">
      <w:pPr>
        <w:spacing w:after="240" w:before="240" w:lineRule="auto"/>
        <w:rPr/>
      </w:pPr>
      <w:r w:rsidDel="00000000" w:rsidR="00000000" w:rsidRPr="00000000">
        <w:rPr>
          <w:rtl w:val="0"/>
        </w:rPr>
        <w:t xml:space="preserve">13.5 </w:t>
      </w:r>
      <w:r w:rsidDel="00000000" w:rsidR="00000000" w:rsidRPr="00000000">
        <w:rPr>
          <w:b w:val="1"/>
          <w:bCs w:val="1"/>
          <w:rtl w:val="0"/>
        </w:rPr>
        <w:t xml:space="preserve">Validity:</w:t>
      </w:r>
      <w:r w:rsidDel="00000000" w:rsidR="00000000" w:rsidRPr="00000000">
        <w:rPr>
          <w:rtl w:val="0"/>
        </w:rPr>
        <w:t xml:space="preserve"> Both Parties affirm this Agreement meets all requirements of Tennessee Code Annotated § 36-3-501 and was entered into freely, knowledgeably, and in good faith. </w:t>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14. MODIFICATION AND FINALITY</w:t>
      </w:r>
    </w:p>
    <w:p w:rsidR="00000000" w:rsidDel="00000000" w:rsidP="00000000" w:rsidRDefault="00000000" w:rsidRPr="00000000" w14:paraId="00000095">
      <w:pPr>
        <w:spacing w:after="240" w:before="240" w:lineRule="auto"/>
        <w:rPr/>
      </w:pPr>
      <w:r w:rsidDel="00000000" w:rsidR="00000000" w:rsidRPr="00000000">
        <w:rPr>
          <w:rtl w:val="0"/>
        </w:rPr>
        <w:t xml:space="preserve">14.1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6">
      <w:pPr>
        <w:spacing w:after="240" w:before="240" w:lineRule="auto"/>
        <w:rPr/>
      </w:pPr>
      <w:r w:rsidDel="00000000" w:rsidR="00000000" w:rsidRPr="00000000">
        <w:rPr>
          <w:rtl w:val="0"/>
        </w:rPr>
        <w:t xml:space="preserve">14.2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97">
      <w:pPr>
        <w:spacing w:after="240" w:before="240" w:lineRule="auto"/>
        <w:rPr/>
      </w:pPr>
      <w:r w:rsidDel="00000000" w:rsidR="00000000" w:rsidRPr="00000000">
        <w:rPr>
          <w:rtl w:val="0"/>
        </w:rPr>
        <w:t xml:space="preserve">14.3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15. SEVERABILITY</w:t>
      </w:r>
    </w:p>
    <w:p w:rsidR="00000000" w:rsidDel="00000000" w:rsidP="00000000" w:rsidRDefault="00000000" w:rsidRPr="00000000" w14:paraId="0000009A">
      <w:pPr>
        <w:spacing w:after="240" w:before="240" w:lineRule="auto"/>
        <w:rPr/>
      </w:pPr>
      <w:r w:rsidDel="00000000" w:rsidR="00000000" w:rsidRPr="00000000">
        <w:rPr>
          <w:rtl w:val="0"/>
        </w:rPr>
        <w:t xml:space="preserve">15.1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9B">
      <w:pPr>
        <w:spacing w:after="240" w:before="240" w:lineRule="auto"/>
        <w:rPr/>
      </w:pPr>
      <w:r w:rsidDel="00000000" w:rsidR="00000000" w:rsidRPr="00000000">
        <w:rPr>
          <w:rtl w:val="0"/>
        </w:rPr>
        <w:t xml:space="preserve">15.2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9C">
      <w:pPr>
        <w:spacing w:after="240" w:before="240" w:lineRule="auto"/>
        <w:rPr/>
      </w:pPr>
      <w:r w:rsidDel="00000000" w:rsidR="00000000" w:rsidRPr="00000000">
        <w:rPr>
          <w:rtl w:val="0"/>
        </w:rPr>
        <w:t xml:space="preserve">15.3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16. COMPREHENSIVE ACKNOWLEDGMENTS</w:t>
      </w:r>
    </w:p>
    <w:p w:rsidR="00000000" w:rsidDel="00000000" w:rsidP="00000000" w:rsidRDefault="00000000" w:rsidRPr="00000000" w14:paraId="0000009F">
      <w:pPr>
        <w:spacing w:after="240" w:before="240" w:lineRule="auto"/>
        <w:rPr/>
      </w:pPr>
      <w:r w:rsidDel="00000000" w:rsidR="00000000" w:rsidRPr="00000000">
        <w:rPr>
          <w:rtl w:val="0"/>
        </w:rPr>
        <w:t xml:space="preserve">16.1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0">
      <w:pPr>
        <w:spacing w:after="240" w:before="240" w:lineRule="auto"/>
        <w:rPr/>
      </w:pPr>
      <w:r w:rsidDel="00000000" w:rsidR="00000000" w:rsidRPr="00000000">
        <w:rPr>
          <w:rtl w:val="0"/>
        </w:rPr>
        <w:t xml:space="preserve">16.2 </w:t>
      </w:r>
      <w:r w:rsidDel="00000000" w:rsidR="00000000" w:rsidRPr="00000000">
        <w:rPr>
          <w:b w:val="1"/>
          <w:bCs w:val="1"/>
          <w:rtl w:val="0"/>
        </w:rPr>
        <w:t xml:space="preserve">Financial Disclosure Confirmation:</w:t>
      </w:r>
      <w:r w:rsidDel="00000000" w:rsidR="00000000" w:rsidRPr="00000000">
        <w:rPr>
          <w:rtl w:val="0"/>
        </w:rPr>
        <w:t xml:space="preserve"> Each Party confirms they received full financial disclosure as set forth in Exhibits A and B, with reasonable opportunity for review and verification. </w:t>
      </w:r>
    </w:p>
    <w:p w:rsidR="00000000" w:rsidDel="00000000" w:rsidP="00000000" w:rsidRDefault="00000000" w:rsidRPr="00000000" w14:paraId="000000A1">
      <w:pPr>
        <w:spacing w:after="240" w:before="240" w:lineRule="auto"/>
        <w:rPr/>
      </w:pPr>
      <w:r w:rsidDel="00000000" w:rsidR="00000000" w:rsidRPr="00000000">
        <w:rPr>
          <w:rtl w:val="0"/>
        </w:rPr>
        <w:t xml:space="preserve">16.3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A2">
      <w:pPr>
        <w:spacing w:after="240" w:before="240" w:lineRule="auto"/>
        <w:rPr/>
      </w:pPr>
      <w:r w:rsidDel="00000000" w:rsidR="00000000" w:rsidRPr="00000000">
        <w:rPr>
          <w:rtl w:val="0"/>
        </w:rPr>
        <w:t xml:space="preserve">16.4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Tennessee Code Annotated § 36-3-501 and Cary v. Cary, 937 S.W.2d 777 (Tenn. 1996). </w:t>
      </w:r>
    </w:p>
    <w:p w:rsidR="00000000" w:rsidDel="00000000" w:rsidP="00000000" w:rsidRDefault="00000000" w:rsidRPr="00000000" w14:paraId="000000A3">
      <w:pPr>
        <w:spacing w:after="240" w:before="240" w:lineRule="auto"/>
        <w:rPr/>
      </w:pPr>
      <w:r w:rsidDel="00000000" w:rsidR="00000000" w:rsidRPr="00000000">
        <w:rPr>
          <w:rtl w:val="0"/>
        </w:rPr>
        <w:t xml:space="preserve">16.5 </w:t>
      </w:r>
      <w:r w:rsidDel="00000000" w:rsidR="00000000" w:rsidRPr="00000000">
        <w:rPr>
          <w:b w:val="1"/>
          <w:bCs w:val="1"/>
          <w:rtl w:val="0"/>
        </w:rPr>
        <w:t xml:space="preserve">Comprehensive Future Waiver:</w:t>
      </w:r>
      <w:r w:rsidDel="00000000" w:rsidR="00000000" w:rsidRPr="00000000">
        <w:rPr>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except as permitted by Tennessee law regarding alimony review at enforcement.</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17. EXECUTION</w:t>
      </w:r>
    </w:p>
    <w:p w:rsidR="00000000" w:rsidDel="00000000" w:rsidP="00000000" w:rsidRDefault="00000000" w:rsidRPr="00000000" w14:paraId="000000A6">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A7">
      <w:pPr>
        <w:spacing w:after="240" w:before="240" w:lineRule="auto"/>
        <w:rPr/>
      </w:pPr>
      <w:r w:rsidDel="00000000" w:rsidR="00000000" w:rsidRPr="00000000">
        <w:rPr>
          <w:rtl w:val="0"/>
        </w:rPr>
      </w:r>
    </w:p>
    <w:p w:rsidR="00000000" w:rsidDel="00000000" w:rsidP="00000000" w:rsidRDefault="00000000" w:rsidRPr="00000000" w14:paraId="000000A8">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A9">
      <w:pPr>
        <w:spacing w:after="240" w:before="240" w:lineRule="auto"/>
        <w:rPr/>
      </w:pPr>
      <w:r w:rsidDel="00000000" w:rsidR="00000000" w:rsidRPr="00000000">
        <w:rPr>
          <w:rtl w:val="0"/>
        </w:rPr>
      </w:r>
    </w:p>
    <w:p w:rsidR="00000000" w:rsidDel="00000000" w:rsidP="00000000" w:rsidRDefault="00000000" w:rsidRPr="00000000" w14:paraId="000000AA">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AB">
      <w:pPr>
        <w:spacing w:after="240" w:before="240" w:lineRule="auto"/>
        <w:rPr>
          <w:b w:val="1"/>
          <w:bCs w:val="1"/>
        </w:rPr>
      </w:pP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AD">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AE">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AF">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0">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B1">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B2">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B3">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B4">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B5">
      <w:pPr>
        <w:spacing w:after="240" w:before="240" w:lineRule="auto"/>
        <w:rPr/>
      </w:pPr>
      <w:r w:rsidDel="00000000" w:rsidR="00000000" w:rsidRPr="00000000">
        <w:rPr>
          <w:rtl w:val="0"/>
        </w:rPr>
      </w:r>
    </w:p>
    <w:p w:rsidR="00000000" w:rsidDel="00000000" w:rsidP="00000000" w:rsidRDefault="00000000" w:rsidRPr="00000000" w14:paraId="000000B6">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B7">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B8">
      <w:pPr>
        <w:spacing w:after="240" w:before="240" w:lineRule="auto"/>
        <w:rPr>
          <w:b w:val="1"/>
          <w:bCs w:val="1"/>
        </w:rPr>
      </w:pPr>
      <w:r w:rsidDel="00000000" w:rsidR="00000000" w:rsidRPr="00000000">
        <w:rPr>
          <w:rtl w:val="0"/>
        </w:rPr>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BA">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BB">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BC">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B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BE">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BF">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C0">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C1">
      <w:pPr>
        <w:spacing w:after="240" w:before="240" w:lineRule="auto"/>
        <w:rPr/>
      </w:pPr>
      <w:r w:rsidDel="00000000" w:rsidR="00000000" w:rsidRPr="00000000">
        <w:rPr>
          <w:rtl w:val="0"/>
        </w:rPr>
        <w:t xml:space="preserve">[Notary Seal]</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C5">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C6">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9">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A">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B">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C">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0">
      <w:pPr>
        <w:spacing w:after="240" w:before="240" w:lineRule="auto"/>
        <w:rPr>
          <w:b w:val="1"/>
          <w:bCs w:val="1"/>
        </w:rPr>
      </w:pPr>
      <w:r w:rsidDel="00000000" w:rsidR="00000000" w:rsidRPr="00000000">
        <w:rPr>
          <w:rtl w:val="0"/>
        </w:rPr>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D2">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D3">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4">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6">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7">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9">
      <w:pPr>
        <w:spacing w:after="240" w:before="240" w:lineRule="auto"/>
        <w:rPr/>
      </w:pPr>
      <w:r w:rsidDel="00000000" w:rsidR="00000000" w:rsidRPr="00000000">
        <w:rPr>
          <w:rtl w:val="0"/>
        </w:rPr>
        <w:t xml:space="preserve">[Notary Seal]</w:t>
      </w:r>
    </w:p>
    <w:p w:rsidR="00000000" w:rsidDel="00000000" w:rsidP="00000000" w:rsidRDefault="00000000" w:rsidRPr="00000000" w14:paraId="000000DA">
      <w:pPr>
        <w:spacing w:after="240" w:before="240" w:lineRule="auto"/>
        <w:rPr/>
      </w:pP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D">
      <w:pPr>
        <w:spacing w:after="240" w:before="240" w:lineRule="auto"/>
        <w:rPr>
          <w:b w:val="1"/>
          <w:bCs w:val="1"/>
          <w:sz w:val="32"/>
          <w:szCs w:val="32"/>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DE">
      <w:pPr>
        <w:spacing w:after="240" w:before="240" w:lineRule="auto"/>
        <w:rPr>
          <w:b w:val="1"/>
          <w:bCs w:val="1"/>
        </w:rPr>
      </w:pPr>
      <w:r w:rsidDel="00000000" w:rsidR="00000000" w:rsidRPr="00000000">
        <w:rPr>
          <w:rtl w:val="0"/>
        </w:rPr>
      </w:r>
    </w:p>
    <w:p w:rsidR="00000000" w:rsidDel="00000000" w:rsidP="00000000" w:rsidRDefault="00000000" w:rsidRPr="00000000" w14:paraId="000000DF">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