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UTAH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had adequate time to review, consider, and negotiate this Agreement prior to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they have been advised of their right to be represented by independent legal counsel in connection with this Agreement, has had adequate opportunity to consult with counsel of their choosing, ask questions, and propose changes;</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heightened fiduciary duty of "good faith, honesty, and candor" that Utah imposes on spouses negotiating premarital agreements under Matter of Estate of Beesley, 883 P.2d 1343 (Utah 1994) and Peirce v. Peirce, 2000 UT 7, and each Party represents they have fulfilled that duty through complete financial disclosure, adequate time for review, and opportunity for independent counsel;</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Utah and intend for it to be legally binding and enforceable;</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increased earning power (professional degrees, licenses, certifications, and earning capacity derived therefrom), gifts, inheritances, digital assets (cryptocurrency, NFTs, digital wallets, online accounts), intellectual property (patents, copyrights, source code, websites whether active or dormant), and all appreciation, growth, income, returns, and future development or commercialization thereof. </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does not become joint property unless both Parties execute a written agreement specifically identifying the property and their intent to convert it. No deed, title change, account registration, or beneficiary designation — including adding a spouse to title — effects a transmutation without such written agreement. </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trusts established by or for either Party before or during marriage — including revocable, irrevocable, discretionary, generation-skipping, and offshore asset protection trusts, whether domestic or foreign — remain the settlor's or beneficiary's separate property. The non-settlor spouse waives all rights to trust distributions, principal, remainder interests, beneficiary designations, and any claim that trust assets became marital property.  </w:t>
      </w:r>
    </w:p>
    <w:p w:rsidR="00000000" w:rsidDel="00000000" w:rsidP="00000000" w:rsidRDefault="00000000" w:rsidRPr="00000000" w14:paraId="0000002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financial contributions ÷ Combined financial contributions of both Parties) × 100.</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 temporary, pendente lite, and permanent — except as provided in this Section 4. Temporary support awarded in excess of Section 4.5 shall be credited dollar-for-dollar against future support or refunded to payor within 90 days of this Agreement being upheld.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"Children of the Marriage" means biological children of both Parties (including IVF) and children legally adopted by both Parties. Either Party may request genetic testing at any time at the requesting Party's cost. A child not meeting this definition is excluded from the Section 4.5 calculation; any excess payments attributable to that child are refunded or credited.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recipient has not earned at least $30,000 annually in gross income (verified by tax returns or W-2s) within 24 months of divorce, provided recipient is not the primary caregiver of a Child of the Marriage under the age of four. Payor may request annual verification. </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Net Income:</w:t>
      </w:r>
      <w:r w:rsidDel="00000000" w:rsidR="00000000" w:rsidRPr="00000000">
        <w:rPr>
          <w:rFonts w:ascii="Roboto" w:cs="Roboto" w:eastAsia="Roboto" w:hAnsi="Roboto"/>
          <w:sz w:val="24"/>
          <w:szCs w:val="24"/>
          <w:rtl w:val="0"/>
        </w:rPr>
        <w:t xml:space="preserve"> Payor's "net income" means gross income minus federal and state income tax, Social Security, and Medicare withholdings (excluding voluntary deductions), averaged over the three years preceding divorce filing. If the most recent year is lower due to involuntary job loss, disability, or business closure beyond payor's control, that year's income applies instead of the average. </w:t>
      </w:r>
    </w:p>
    <w:p w:rsidR="00000000" w:rsidDel="00000000" w:rsidP="00000000" w:rsidRDefault="00000000" w:rsidRPr="00000000" w14:paraId="0000003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8">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 of payor's net income</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2% of payor's net income</w:t>
      </w:r>
    </w:p>
    <w:p w:rsidR="00000000" w:rsidDel="00000000" w:rsidP="00000000" w:rsidRDefault="00000000" w:rsidRPr="00000000" w14:paraId="0000003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3% of payor's net income</w:t>
      </w:r>
    </w:p>
    <w:p w:rsidR="00000000" w:rsidDel="00000000" w:rsidP="00000000" w:rsidRDefault="00000000" w:rsidRPr="00000000" w14:paraId="0000003C">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4% of payor's net income</w:t>
      </w:r>
    </w:p>
    <w:p w:rsidR="00000000" w:rsidDel="00000000" w:rsidP="00000000" w:rsidRDefault="00000000" w:rsidRPr="00000000" w14:paraId="0000003D">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5% of payor's net income</w:t>
      </w:r>
    </w:p>
    <w:p w:rsidR="00000000" w:rsidDel="00000000" w:rsidP="00000000" w:rsidRDefault="00000000" w:rsidRPr="00000000" w14:paraId="0000003E">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6% of payor's net income</w:t>
      </w:r>
    </w:p>
    <w:p w:rsidR="00000000" w:rsidDel="00000000" w:rsidP="00000000" w:rsidRDefault="00000000" w:rsidRPr="00000000" w14:paraId="0000003F">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$4,000 per month, adjusted annually by CPI-U from date of marriage through the earlier of separation or dissolution filing. </w:t>
      </w:r>
    </w:p>
    <w:p w:rsidR="00000000" w:rsidDel="00000000" w:rsidP="00000000" w:rsidRDefault="00000000" w:rsidRPr="00000000" w14:paraId="000000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1">
      <w:pPr>
        <w:numPr>
          <w:ilvl w:val="0"/>
          <w:numId w:val="1"/>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of marriage length (no support)</w:t>
      </w:r>
    </w:p>
    <w:p w:rsidR="00000000" w:rsidDel="00000000" w:rsidP="00000000" w:rsidRDefault="00000000" w:rsidRPr="00000000" w14:paraId="00000042">
      <w:pPr>
        <w:numPr>
          <w:ilvl w:val="0"/>
          <w:numId w:val="1"/>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5% of marriage length</w:t>
      </w:r>
    </w:p>
    <w:p w:rsidR="00000000" w:rsidDel="00000000" w:rsidP="00000000" w:rsidRDefault="00000000" w:rsidRPr="00000000" w14:paraId="00000043">
      <w:pPr>
        <w:numPr>
          <w:ilvl w:val="0"/>
          <w:numId w:val="1"/>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10% of marriage length</w:t>
      </w:r>
    </w:p>
    <w:p w:rsidR="00000000" w:rsidDel="00000000" w:rsidP="00000000" w:rsidRDefault="00000000" w:rsidRPr="00000000" w14:paraId="00000044">
      <w:pPr>
        <w:numPr>
          <w:ilvl w:val="0"/>
          <w:numId w:val="1"/>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15% of marriage length</w:t>
      </w:r>
    </w:p>
    <w:p w:rsidR="00000000" w:rsidDel="00000000" w:rsidP="00000000" w:rsidRDefault="00000000" w:rsidRPr="00000000" w14:paraId="00000045">
      <w:pPr>
        <w:numPr>
          <w:ilvl w:val="0"/>
          <w:numId w:val="1"/>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20% of marriage length</w:t>
      </w:r>
    </w:p>
    <w:p w:rsidR="00000000" w:rsidDel="00000000" w:rsidP="00000000" w:rsidRDefault="00000000" w:rsidRPr="00000000" w14:paraId="00000046">
      <w:pPr>
        <w:numPr>
          <w:ilvl w:val="0"/>
          <w:numId w:val="1"/>
        </w:numP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25% of marriage length</w:t>
      </w:r>
      <w:r w:rsidDel="00000000" w:rsidR="00000000" w:rsidRPr="00000000">
        <w:rPr>
          <w:rtl w:val="0"/>
        </w:rPr>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Public Assistance Floor</w:t>
      </w:r>
      <w:r w:rsidDel="00000000" w:rsidR="00000000" w:rsidRPr="00000000">
        <w:rPr>
          <w:rFonts w:ascii="Roboto" w:cs="Roboto" w:eastAsia="Roboto" w:hAnsi="Roboto"/>
          <w:sz w:val="24"/>
          <w:szCs w:val="24"/>
          <w:rtl w:val="0"/>
        </w:rPr>
        <w:t xml:space="preserve">: Consistent with Utah Code § 81-3-205(2), if strict application of Sections 4.5 and 4.6 would render recipient eligible for public assistance at separation or divorce, support shall be increased only to the extent necessary to avoid that eligibility, and shall terminate when eligibility is no longer a factor. This is the exclusive hardship override.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ceases upon the earliest of: (a) recipient's remarriage; (b) recipient's cohabitation in a relationship akin to marriage as defined under Utah Code § 81-4-505, with a rebuttable presumption arising after 90+ consecutive days of shared residence; (c) death of either Party; or (d) duration limit expiration under Section 4.6.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Support amounts and duration under this Section 4 are non-modifiable, except as required by the public assistance floor in Section 4.7. The Parties acknowledge as foreseeable at execution: dissolution, workforce departures, income and employment changes, health issues, economic conditions, and childcare decisions. No subsequent circumstance shall constitute grounds for modification.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monthly support under Section 4.5 multiplied by the duration under Section 4.6; or (b) payor's average annual net income multiplied by: Marriages &lt;15 years: 50% Marriages 15–25 years: 100% Marriages 25+ years: 150%.  This cap does not apply to amounts required under Section 4.7 (Public Assistance Floor).</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payor's post-filing income increases, including promotions, bonuses, raises, business growth, investment returns, inheritances, gifts, or higher compensation. Post-divorce earnings are separate property. </w:t>
      </w:r>
    </w:p>
    <w:p w:rsidR="00000000" w:rsidDel="00000000" w:rsidP="00000000" w:rsidRDefault="00000000" w:rsidRPr="00000000" w14:paraId="0000004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4F">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16. All uses of "aspire," "value," and "hope" in this Section are intentionally non-obligatory. </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intend to build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 </w:t>
      </w:r>
      <w:r w:rsidDel="00000000" w:rsidR="00000000" w:rsidRPr="00000000">
        <w:rPr>
          <w:rFonts w:ascii="Roboto" w:cs="Roboto" w:eastAsia="Roboto" w:hAnsi="Roboto"/>
          <w:sz w:val="24"/>
          <w:szCs w:val="24"/>
          <w:rtl w:val="0"/>
        </w:rPr>
        <w:t xml:space="preserve">In case of marital difficulties, the Parties aspire to preserve family unity through creative living arrangements if necessary (sharing a home though different rooms, or nearby houses), to speak respectfully about each other publicly and privately, and to prioritize their children's relationships with both parents regardless of marital status. </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5">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Utah law, including but not limited to Utah Code §§ 75-2-201 through 75-2-214 (elective share), § 75-2-402 (homestead allowance), § 75-2-403 (exempt property), and § 75-2-404 (family allowance). </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5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AND CONTINUED VALIDITY</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This Agreement remains valid regardless of post-execution changes in assets, income, net worth, or financial circumstances, whether foreseeable or unforeseeable, disclosed or undisclosed.</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No change in circumstances shall modify, invalidate, or excuse performance unless modified per Section 15. Each Party waives challenges based on post-execution asset changes, market fluctuations, or failure to disclose changes occurring after execution.</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7.4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 and shall have no authority to find any provision unconscionable, unfair, or inequitable, consistent with Utah's adoption of the 1983 UPAA and rejection of the 2012 UPMAA under Utah Code § 81-3-205. </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in full.</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 Consistent with Utah Code § 81-3-205(3), any issue of fraud shall be decided by the court as a matter of law. </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D">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6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9">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7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r w:rsidDel="00000000" w:rsidR="00000000" w:rsidRPr="00000000">
        <w:rPr>
          <w:rtl w:val="0"/>
        </w:rPr>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11. FINANCIAL DISCLOSURE AND DISCOVERY LIMITATION</w:t>
      </w:r>
    </w:p>
    <w:p w:rsidR="00000000" w:rsidDel="00000000" w:rsidP="00000000" w:rsidRDefault="00000000" w:rsidRPr="00000000" w14:paraId="0000007E">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11.1 </w:t>
      </w:r>
      <w:r w:rsidDel="00000000" w:rsidR="00000000" w:rsidRPr="00000000">
        <w:rPr>
          <w:rFonts w:ascii="Roboto" w:cs="Roboto" w:eastAsia="Roboto" w:hAnsi="Roboto"/>
          <w:b w:val="1"/>
          <w:bCs w:val="1"/>
          <w:sz w:val="24"/>
          <w:szCs w:val="24"/>
          <w:highlight w:val="white"/>
          <w:rtl w:val="0"/>
        </w:rPr>
        <w:t xml:space="preserve">Complete Financial Disclosure:</w:t>
      </w:r>
      <w:r w:rsidDel="00000000" w:rsidR="00000000" w:rsidRPr="00000000">
        <w:rPr>
          <w:rFonts w:ascii="Roboto" w:cs="Roboto" w:eastAsia="Roboto" w:hAnsi="Roboto"/>
          <w:sz w:val="24"/>
          <w:szCs w:val="24"/>
          <w:highlight w:val="white"/>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7F">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11.2 </w:t>
      </w:r>
      <w:r w:rsidDel="00000000" w:rsidR="00000000" w:rsidRPr="00000000">
        <w:rPr>
          <w:rFonts w:ascii="Roboto" w:cs="Roboto" w:eastAsia="Roboto" w:hAnsi="Roboto"/>
          <w:b w:val="1"/>
          <w:bCs w:val="1"/>
          <w:sz w:val="24"/>
          <w:szCs w:val="24"/>
          <w:highlight w:val="white"/>
          <w:rtl w:val="0"/>
        </w:rPr>
        <w:t xml:space="preserve">Reliance and Acknowledgement:</w:t>
      </w:r>
      <w:r w:rsidDel="00000000" w:rsidR="00000000" w:rsidRPr="00000000">
        <w:rPr>
          <w:rFonts w:ascii="Roboto" w:cs="Roboto" w:eastAsia="Roboto" w:hAnsi="Roboto"/>
          <w:sz w:val="24"/>
          <w:szCs w:val="24"/>
          <w:highlight w:val="white"/>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highlight w:val="white"/>
          <w:rtl w:val="0"/>
        </w:rPr>
        <w:t xml:space="preserve">11.3 </w:t>
      </w:r>
      <w:r w:rsidDel="00000000" w:rsidR="00000000" w:rsidRPr="00000000">
        <w:rPr>
          <w:rFonts w:ascii="Roboto" w:cs="Roboto" w:eastAsia="Roboto" w:hAnsi="Roboto"/>
          <w:b w:val="1"/>
          <w:bCs w:val="1"/>
          <w:sz w:val="24"/>
          <w:szCs w:val="24"/>
          <w:highlight w:val="white"/>
          <w:rtl w:val="0"/>
        </w:rPr>
        <w:t xml:space="preserve">Discovery Limitation:</w:t>
      </w:r>
      <w:r w:rsidDel="00000000" w:rsidR="00000000" w:rsidRPr="00000000">
        <w:rPr>
          <w:rFonts w:ascii="Roboto" w:cs="Roboto" w:eastAsia="Roboto" w:hAnsi="Roboto"/>
          <w:sz w:val="24"/>
          <w:szCs w:val="24"/>
          <w:highlight w:val="white"/>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r w:rsidDel="00000000" w:rsidR="00000000" w:rsidRPr="00000000">
        <w:rPr>
          <w:rtl w:val="0"/>
        </w:rPr>
      </w:r>
    </w:p>
    <w:p w:rsidR="00000000" w:rsidDel="00000000" w:rsidP="00000000" w:rsidRDefault="00000000" w:rsidRPr="00000000" w14:paraId="0000008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highlight w:val="white"/>
          <w:rtl w:val="0"/>
        </w:rPr>
        <w:t xml:space="preserve">12. INDEPENDENT WAIVER OF DISCLOSURE RIGHTS </w:t>
      </w:r>
      <w:r w:rsidDel="00000000" w:rsidR="00000000" w:rsidRPr="00000000">
        <w:rPr>
          <w:rtl w:val="0"/>
        </w:rPr>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Utah Code § 81-3-205(1)(b) and any other legal principle. </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Utah Code § 81-3-205(1)(b)(ii) (written waiver of disclosure) and acknowledges this satisfies the statutory requirements irrespective of attached schedules. </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INDEPENDENT LEGAL COUNSEL</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8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GOVERNING LAW AND ENFORCEABILITY</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Utah Law</w:t>
      </w:r>
      <w:r w:rsidDel="00000000" w:rsidR="00000000" w:rsidRPr="00000000">
        <w:rPr>
          <w:rFonts w:ascii="Roboto" w:cs="Roboto" w:eastAsia="Roboto" w:hAnsi="Roboto"/>
          <w:sz w:val="24"/>
          <w:szCs w:val="24"/>
          <w:rtl w:val="0"/>
        </w:rPr>
        <w:t xml:space="preserve">: This Agreement is governed by Utah law as of execution date, including the Utah Uniform Premarital Agreement Act (Utah Code §§ 81-3-201 through 81-3-208) and Utah appellate precedent including Keyes v. Keyes, 2015 UT App 114, regardless of domicile or asset location. Future law amendments reducing enforceability shall not apply retroactively.</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Utah jurisdiction and waives forum non conveniens defenses. Either Party may alternatively enforce this Agreement in any jurisdiction providing equal or stronger prenuptial protections than Utah. Any judgment entered in a proceeding governed by this Agreement shall be consistent with its terms to the fullest extent permitted by law. </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14.4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 — foreign or domestic — to weaken this Agreement's enforcement. Laws may only be invoked to strengthen enforcement beyond Utah standards.</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14.5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Under Utah Code § 81-3-205, this Agreement is enforceable unless the challenging party proves either (a) involuntary execution, or (b) fraud at execution AND all three of (i) no fair and reasonable disclosure, (ii) no written waiver of disclosure, and (iii) lack of reasonable adequate knowledge of the other's finances. The Parties agree that any challenge to this Agreement shall be adjudicated under the clear-and-convincing-evidence standard, consistent with Utah's general treatment of fraud claims. Neither Party may initiate proceedings in jurisdictions with weaker prenuptial enforcement than Utah. </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14.6 </w:t>
      </w:r>
      <w:r w:rsidDel="00000000" w:rsidR="00000000" w:rsidRPr="00000000">
        <w:rPr>
          <w:rFonts w:ascii="Roboto" w:cs="Roboto" w:eastAsia="Roboto" w:hAnsi="Roboto"/>
          <w:b w:val="1"/>
          <w:bCs w:val="1"/>
          <w:sz w:val="24"/>
          <w:szCs w:val="24"/>
          <w:rtl w:val="0"/>
        </w:rPr>
        <w:t xml:space="preserve">No Unconscionability Review</w:t>
      </w:r>
      <w:r w:rsidDel="00000000" w:rsidR="00000000" w:rsidRPr="00000000">
        <w:rPr>
          <w:rFonts w:ascii="Roboto" w:cs="Roboto" w:eastAsia="Roboto" w:hAnsi="Roboto"/>
          <w:sz w:val="24"/>
          <w:szCs w:val="24"/>
          <w:rtl w:val="0"/>
        </w:rPr>
        <w:t xml:space="preserve">: The Parties acknowledge that Utah adopted the 1983 UPAA and rejected the 2012 UPMAA, and that Utah courts do not review premarital agreements for unconscionability at either execution or enforcement. Any challenge framed in unconscionability terms shall be dismissed as not cognizable under Utah law. </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MODIFICATION AND FINALITY</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Any amendment requires a written instrument (a) presented in final form at least thirty (30) days before execution; (b) signed and notarized by both Parties; (c) accompanied by written acknowledgment from each Party's independent counsel confirming review; and (d) expressly identifying any rights or protections being waived. Notarization is contractually required for modifications, though not statutorily required under Utah Code § 81-3-204. </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SEVERABILITY</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17</w:t>
      </w:r>
      <w:r w:rsidDel="00000000" w:rsidR="00000000" w:rsidRPr="00000000">
        <w:rPr>
          <w:rFonts w:ascii="Roboto" w:cs="Roboto" w:eastAsia="Roboto" w:hAnsi="Roboto"/>
          <w:b w:val="1"/>
          <w:bCs w:val="1"/>
          <w:sz w:val="24"/>
          <w:szCs w:val="24"/>
          <w:rtl w:val="0"/>
        </w:rPr>
        <w:t xml:space="preserve">. COMPREHENSIVE ACKNOWLEDGMENTS</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(subject only to the public-assistance floor in Utah Code § 81-3-205(2)), inheritance claims, and any other marital rights to the fullest extent permitted under Utah Code §§ 81-3-201 through 81-3-208 and Utah case law. </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(acknowledging that Utah does not recognize unconscionability as a ground for invalidation under § 81-3-205); (d) duress, coercion, or undue influence; (e) breach of fiduciary duty, acknowledging that each Party has been afforded the "highest degree of good faith, honesty, and candor" required under Beesley and Peirce; (f) retention of rights beyond those expressly preserved herein; or (g) any other challenge to this Agreement's validity or enforceability. </w:t>
      </w:r>
    </w:p>
    <w:p w:rsidR="00000000" w:rsidDel="00000000" w:rsidP="00000000" w:rsidRDefault="00000000" w:rsidRPr="00000000" w14:paraId="000000A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NO DIVORCE INCENTIVE </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w:t>
      </w:r>
      <w:r w:rsidDel="00000000" w:rsidR="00000000" w:rsidRPr="00000000">
        <w:rPr>
          <w:rFonts w:ascii="Roboto" w:cs="Roboto" w:eastAsia="Roboto" w:hAnsi="Roboto"/>
          <w:b w:val="1"/>
          <w:bCs w:val="1"/>
          <w:sz w:val="24"/>
          <w:szCs w:val="24"/>
          <w:rtl w:val="0"/>
        </w:rPr>
        <w:t xml:space="preserve"> Symmetry of Terms</w:t>
      </w:r>
      <w:r w:rsidDel="00000000" w:rsidR="00000000" w:rsidRPr="00000000">
        <w:rPr>
          <w:rFonts w:ascii="Roboto" w:cs="Roboto" w:eastAsia="Roboto" w:hAnsi="Roboto"/>
          <w:sz w:val="24"/>
          <w:szCs w:val="24"/>
          <w:rtl w:val="0"/>
        </w:rPr>
        <w:t xml:space="preserve">: The Parties acknowledge that Utah voids premarital provisions that economically incentivize divorce under Neilson v. Neilson, 780 P.2d 1264 (Utah Ct. App. 1989). The Parties represent that no provision in this Agreement creates an economic incentive for either Party to initiate divorce, and that all financial terms apply symmetrically regardless of which Party files.</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Severability Preserved</w:t>
      </w:r>
      <w:r w:rsidDel="00000000" w:rsidR="00000000" w:rsidRPr="00000000">
        <w:rPr>
          <w:rFonts w:ascii="Roboto" w:cs="Roboto" w:eastAsia="Roboto" w:hAnsi="Roboto"/>
          <w:sz w:val="24"/>
          <w:szCs w:val="24"/>
          <w:rtl w:val="0"/>
        </w:rPr>
        <w:t xml:space="preserve">: If any clause is later deemed to create such an incentive, it shall be severed under Section 16 without affecting the remainder of this Agreement.</w:t>
      </w:r>
    </w:p>
    <w:p w:rsidR="00000000" w:rsidDel="00000000" w:rsidP="00000000" w:rsidRDefault="00000000" w:rsidRPr="00000000" w14:paraId="000000AB">
      <w:pPr>
        <w:spacing w:line="240" w:lineRule="auto"/>
        <w:rPr>
          <w:rFonts w:ascii="Roboto" w:cs="Roboto" w:eastAsia="Roboto" w:hAnsi="Roboto"/>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EXECUTION</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B5">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B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7">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B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B9">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B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BB">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BF">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1">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CD">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CE">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F">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0">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1">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2">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3">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D9">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5">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6">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