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VERMONT ANTENUPTIAL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Antenuptial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and negotiate this Agreement, has been advised of their right to be represented by independent legal counsel, and has had sufficient opportunity to consult with counsel of their choosing, ask questions, and propose changes;</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Vermont, including 15 V.S.A. §§ 751 and 752 and the controlling case law of </w:t>
      </w:r>
      <w:r w:rsidDel="00000000" w:rsidR="00000000" w:rsidRPr="00000000">
        <w:rPr>
          <w:rFonts w:ascii="Roboto" w:cs="Roboto" w:eastAsia="Roboto" w:hAnsi="Roboto"/>
          <w:i w:val="1"/>
          <w:iCs w:val="1"/>
          <w:sz w:val="24"/>
          <w:szCs w:val="24"/>
          <w:rtl w:val="0"/>
        </w:rPr>
        <w:t xml:space="preserve">Bassler v. Bassler</w:t>
      </w:r>
      <w:r w:rsidDel="00000000" w:rsidR="00000000" w:rsidRPr="00000000">
        <w:rPr>
          <w:rFonts w:ascii="Roboto" w:cs="Roboto" w:eastAsia="Roboto" w:hAnsi="Roboto"/>
          <w:sz w:val="24"/>
          <w:szCs w:val="24"/>
          <w:rtl w:val="0"/>
        </w:rPr>
        <w:t xml:space="preserve">, 156 Vt. 353 (1991), </w:t>
      </w:r>
      <w:r w:rsidDel="00000000" w:rsidR="00000000" w:rsidRPr="00000000">
        <w:rPr>
          <w:rFonts w:ascii="Roboto" w:cs="Roboto" w:eastAsia="Roboto" w:hAnsi="Roboto"/>
          <w:i w:val="1"/>
          <w:iCs w:val="1"/>
          <w:sz w:val="24"/>
          <w:szCs w:val="24"/>
          <w:rtl w:val="0"/>
        </w:rPr>
        <w:t xml:space="preserve">Stalb v. Stalb</w:t>
      </w:r>
      <w:r w:rsidDel="00000000" w:rsidR="00000000" w:rsidRPr="00000000">
        <w:rPr>
          <w:rFonts w:ascii="Roboto" w:cs="Roboto" w:eastAsia="Roboto" w:hAnsi="Roboto"/>
          <w:sz w:val="24"/>
          <w:szCs w:val="24"/>
          <w:rtl w:val="0"/>
        </w:rPr>
        <w:t xml:space="preserve">, 168 Vt. 235 (1998), </w:t>
      </w:r>
      <w:r w:rsidDel="00000000" w:rsidR="00000000" w:rsidRPr="00000000">
        <w:rPr>
          <w:rFonts w:ascii="Roboto" w:cs="Roboto" w:eastAsia="Roboto" w:hAnsi="Roboto"/>
          <w:i w:val="1"/>
          <w:iCs w:val="1"/>
          <w:sz w:val="24"/>
          <w:szCs w:val="24"/>
          <w:rtl w:val="0"/>
        </w:rPr>
        <w:t xml:space="preserve">Rock v. Rock</w:t>
      </w:r>
      <w:r w:rsidDel="00000000" w:rsidR="00000000" w:rsidRPr="00000000">
        <w:rPr>
          <w:rFonts w:ascii="Roboto" w:cs="Roboto" w:eastAsia="Roboto" w:hAnsi="Roboto"/>
          <w:sz w:val="24"/>
          <w:szCs w:val="24"/>
          <w:rtl w:val="0"/>
        </w:rPr>
        <w:t xml:space="preserve">, 2023 VT 42, </w:t>
      </w:r>
      <w:r w:rsidDel="00000000" w:rsidR="00000000" w:rsidRPr="00000000">
        <w:rPr>
          <w:rFonts w:ascii="Roboto" w:cs="Roboto" w:eastAsia="Roboto" w:hAnsi="Roboto"/>
          <w:i w:val="1"/>
          <w:iCs w:val="1"/>
          <w:sz w:val="24"/>
          <w:szCs w:val="24"/>
          <w:rtl w:val="0"/>
        </w:rPr>
        <w:t xml:space="preserve">Lacroix v. Rysz</w:t>
      </w:r>
      <w:r w:rsidDel="00000000" w:rsidR="00000000" w:rsidRPr="00000000">
        <w:rPr>
          <w:rFonts w:ascii="Roboto" w:cs="Roboto" w:eastAsia="Roboto" w:hAnsi="Roboto"/>
          <w:sz w:val="24"/>
          <w:szCs w:val="24"/>
          <w:rtl w:val="0"/>
        </w:rPr>
        <w:t xml:space="preserve">, 2025 VT 16, and </w:t>
      </w:r>
      <w:r w:rsidDel="00000000" w:rsidR="00000000" w:rsidRPr="00000000">
        <w:rPr>
          <w:rFonts w:ascii="Roboto" w:cs="Roboto" w:eastAsia="Roboto" w:hAnsi="Roboto"/>
          <w:i w:val="1"/>
          <w:iCs w:val="1"/>
          <w:sz w:val="24"/>
          <w:szCs w:val="24"/>
          <w:rtl w:val="0"/>
        </w:rPr>
        <w:t xml:space="preserve">Gade v. Gade</w:t>
      </w:r>
      <w:r w:rsidDel="00000000" w:rsidR="00000000" w:rsidRPr="00000000">
        <w:rPr>
          <w:rFonts w:ascii="Roboto" w:cs="Roboto" w:eastAsia="Roboto" w:hAnsi="Roboto"/>
          <w:sz w:val="24"/>
          <w:szCs w:val="24"/>
          <w:rtl w:val="0"/>
        </w:rPr>
        <w:t xml:space="preserve">, 2025 VT 68, and intend for it to be legally binding and enforceable;</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acknowledge that under </w:t>
      </w:r>
      <w:r w:rsidDel="00000000" w:rsidR="00000000" w:rsidRPr="00000000">
        <w:rPr>
          <w:rFonts w:ascii="Roboto" w:cs="Roboto" w:eastAsia="Roboto" w:hAnsi="Roboto"/>
          <w:i w:val="1"/>
          <w:iCs w:val="1"/>
          <w:sz w:val="24"/>
          <w:szCs w:val="24"/>
          <w:rtl w:val="0"/>
        </w:rPr>
        <w:t xml:space="preserve">Rock v. Rock</w:t>
      </w:r>
      <w:r w:rsidDel="00000000" w:rsidR="00000000" w:rsidRPr="00000000">
        <w:rPr>
          <w:rFonts w:ascii="Roboto" w:cs="Roboto" w:eastAsia="Roboto" w:hAnsi="Roboto"/>
          <w:sz w:val="24"/>
          <w:szCs w:val="24"/>
          <w:rtl w:val="0"/>
        </w:rPr>
        <w:t xml:space="preserve">, 2023 VT 42, conduct inconsistent with this Agreement may be construed as abandonment, and the Parties expressly disclaim any such intent and agree that no course of conduct, commingling, or informal arrangement shall modify, waive, or abandon any term of this Agreement absent compliance with Section 15;</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and personal property; business interests and goodwill; financial accounts (savings, brokerage, retirement, pension, investment); employment income and equity compensation (stock options, RSUs, deferred compensation, carried interest, and similar incentives, whether vested or unvested); professional degrees, licenses, and earning capacity; gifts, inheritances, and trust distributions; digital assets (cryptocurrency, NFTs, digital wallets); intellectual property (patents, copyrights, trademarks, trade secrets, royalties, source code, and websites); legal claims, settlements, and insurance proceeds attributable to separate property or individual injury; and all appreciation, income, proceeds, replacements, and future development thereof. </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w:t>
      </w:r>
      <w:r w:rsidDel="00000000" w:rsidR="00000000" w:rsidRPr="00000000">
        <w:rPr>
          <w:rFonts w:ascii="Roboto" w:cs="Roboto" w:eastAsia="Roboto" w:hAnsi="Roboto"/>
          <w:b w:val="1"/>
          <w:bCs w:val="1"/>
          <w:sz w:val="24"/>
          <w:szCs w:val="24"/>
          <w:rtl w:val="0"/>
        </w:rPr>
        <w:t xml:space="preserve"> Separation</w:t>
      </w:r>
      <w:r w:rsidDel="00000000" w:rsidR="00000000" w:rsidRPr="00000000">
        <w:rPr>
          <w:rFonts w:ascii="Roboto" w:cs="Roboto" w:eastAsia="Roboto" w:hAnsi="Roboto"/>
          <w:sz w:val="24"/>
          <w:szCs w:val="24"/>
          <w:rtl w:val="0"/>
        </w:rPr>
        <w:t xml:space="preserve">: The date on which both Parties cease residing in the same household with the intent that the cessation is permanent, as evidenced by written notice from either Party to the other. </w:t>
      </w:r>
    </w:p>
    <w:p w:rsidR="00000000" w:rsidDel="00000000" w:rsidP="00000000" w:rsidRDefault="00000000" w:rsidRPr="00000000" w14:paraId="0000001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 Commingling, joint use, or informal sharing of separate property shall not constitute abandonment of this Agreement under </w:t>
      </w:r>
      <w:r w:rsidDel="00000000" w:rsidR="00000000" w:rsidRPr="00000000">
        <w:rPr>
          <w:rFonts w:ascii="Roboto" w:cs="Roboto" w:eastAsia="Roboto" w:hAnsi="Roboto"/>
          <w:i w:val="1"/>
          <w:iCs w:val="1"/>
          <w:sz w:val="24"/>
          <w:szCs w:val="24"/>
          <w:rtl w:val="0"/>
        </w:rPr>
        <w:t xml:space="preserve">Rock v. Rock</w:t>
      </w:r>
      <w:r w:rsidDel="00000000" w:rsidR="00000000" w:rsidRPr="00000000">
        <w:rPr>
          <w:rFonts w:ascii="Roboto" w:cs="Roboto" w:eastAsia="Roboto" w:hAnsi="Roboto"/>
          <w:sz w:val="24"/>
          <w:szCs w:val="24"/>
          <w:rtl w:val="0"/>
        </w:rPr>
        <w:t xml:space="preserve">, 2023 VT 42, and shall not transmute separate property into joint or marital property absent compliance with Section 2.6. </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financial contributions ÷ Combined financial contributions of both Parties) × 100.</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r w:rsidDel="00000000" w:rsidR="00000000" w:rsidRPr="00000000">
        <w:rPr>
          <w:rtl w:val="0"/>
        </w:rPr>
      </w:r>
    </w:p>
    <w:p w:rsidR="00000000" w:rsidDel="00000000" w:rsidP="00000000" w:rsidRDefault="00000000" w:rsidRPr="00000000" w14:paraId="0000003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 temporary, pendente lite, and permanent — except as provided in this Section 4.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biological children of both Parties (including IVF) and children legally adopted by both Parties. Either Party may request genetic testing at any time at the requesting Party's cost. A child not meeting this definition is excluded from the Section 4.5 calculation; any excess payments attributable to that child are refunded or credited.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w:t>
      </w:r>
      <w:r w:rsidDel="00000000" w:rsidR="00000000" w:rsidRPr="00000000">
        <w:rPr>
          <w:rFonts w:ascii="Roboto" w:cs="Roboto" w:eastAsia="Roboto" w:hAnsi="Roboto"/>
          <w:sz w:val="24"/>
          <w:szCs w:val="24"/>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that year's income applies instead of the average. </w:t>
      </w:r>
      <w:r w:rsidDel="00000000" w:rsidR="00000000" w:rsidRPr="00000000">
        <w:rPr>
          <w:rtl w:val="0"/>
        </w:rPr>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8">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2%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4%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6%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8% of payor's net income</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3D">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w:t>
      </w:r>
    </w:p>
    <w:p w:rsidR="00000000" w:rsidDel="00000000" w:rsidP="00000000" w:rsidRDefault="00000000" w:rsidRPr="00000000" w14:paraId="0000003E">
      <w:pPr>
        <w:numPr>
          <w:ilvl w:val="0"/>
          <w:numId w:val="2"/>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6+ Children: 14% of payor’s net income</w:t>
      </w:r>
    </w:p>
    <w:p w:rsidR="00000000" w:rsidDel="00000000" w:rsidP="00000000" w:rsidRDefault="00000000" w:rsidRPr="00000000" w14:paraId="0000003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 adjusted annually by CPI-U from date of marriage through the earlier of separation or dissolution filing. </w:t>
      </w:r>
    </w:p>
    <w:p w:rsidR="00000000" w:rsidDel="00000000" w:rsidP="00000000" w:rsidRDefault="00000000" w:rsidRPr="00000000" w14:paraId="0000004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Child support separate</w:t>
      </w:r>
      <w:r w:rsidDel="00000000" w:rsidR="00000000" w:rsidRPr="00000000">
        <w:rPr>
          <w:rFonts w:ascii="Roboto" w:cs="Roboto" w:eastAsia="Roboto" w:hAnsi="Roboto"/>
          <w:sz w:val="24"/>
          <w:szCs w:val="24"/>
          <w:rtl w:val="0"/>
        </w:rPr>
        <w:t xml:space="preserve">: This Agreement does not address child support, custody, or parental rights, which are determined under Vermont law at dissolution. </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 </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7">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8 years total</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Hardship Exception (Bassler Floor)</w:t>
      </w:r>
      <w:r w:rsidDel="00000000" w:rsidR="00000000" w:rsidRPr="00000000">
        <w:rPr>
          <w:rFonts w:ascii="Roboto" w:cs="Roboto" w:eastAsia="Roboto" w:hAnsi="Roboto"/>
          <w:sz w:val="24"/>
          <w:szCs w:val="24"/>
          <w:rtl w:val="0"/>
        </w:rPr>
        <w:t xml:space="preserve">: If application of Sections 4.5 and 4.6 would leave recipient's total household income (including dependent children) below 125% of Federal Poverty Level or otherwise eligible for means-tested public assistance in Vermont, support shall be increased to the minimum necessary to clear that threshold. This floor exists to comply with </w:t>
      </w:r>
      <w:r w:rsidDel="00000000" w:rsidR="00000000" w:rsidRPr="00000000">
        <w:rPr>
          <w:rFonts w:ascii="Roboto" w:cs="Roboto" w:eastAsia="Roboto" w:hAnsi="Roboto"/>
          <w:i w:val="1"/>
          <w:iCs w:val="1"/>
          <w:sz w:val="24"/>
          <w:szCs w:val="24"/>
          <w:rtl w:val="0"/>
        </w:rPr>
        <w:t xml:space="preserve">Bassler v. Bassler</w:t>
      </w:r>
      <w:r w:rsidDel="00000000" w:rsidR="00000000" w:rsidRPr="00000000">
        <w:rPr>
          <w:rFonts w:ascii="Roboto" w:cs="Roboto" w:eastAsia="Roboto" w:hAnsi="Roboto"/>
          <w:sz w:val="24"/>
          <w:szCs w:val="24"/>
          <w:rtl w:val="0"/>
        </w:rPr>
        <w:t xml:space="preserve">, 156 Vt. 353 (1991), and shall not expand support beyond that minimum.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4.5 or 4.6 is deemed unconscionable by a court, it shall be reformed to the following percentages of payor's net income.  Duration shall be 40% of marriage length, capped at 8 years.</w:t>
      </w:r>
    </w:p>
    <w:p w:rsidR="00000000" w:rsidDel="00000000" w:rsidP="00000000" w:rsidRDefault="00000000" w:rsidRPr="00000000" w14:paraId="0000004A">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8% of payor's net income</w:t>
      </w:r>
    </w:p>
    <w:p w:rsidR="00000000" w:rsidDel="00000000" w:rsidP="00000000" w:rsidRDefault="00000000" w:rsidRPr="00000000" w14:paraId="0000004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12% of payor's net income</w:t>
      </w:r>
    </w:p>
    <w:p w:rsidR="00000000" w:rsidDel="00000000" w:rsidP="00000000" w:rsidRDefault="00000000" w:rsidRPr="00000000" w14:paraId="0000004C">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under Sections 4.5, 4.6, or 4.8 if payor's gross annual income falls below the greater of (a) 75% of payor's gross income in the year preceding execution of this Agreement, or (b) 250% of Federal Poverty Level for a single person. This floor does not override the Bassler floor in Section 4.7.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with another person in a romantic relationship for 90+ consecutive days; (c) either Party's death; or (d) expiration of the duration limit under Section 4.6.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under </w:t>
      </w:r>
      <w:r w:rsidDel="00000000" w:rsidR="00000000" w:rsidRPr="00000000">
        <w:rPr>
          <w:rFonts w:ascii="Roboto" w:cs="Roboto" w:eastAsia="Roboto" w:hAnsi="Roboto"/>
          <w:i w:val="1"/>
          <w:iCs w:val="1"/>
          <w:sz w:val="24"/>
          <w:szCs w:val="24"/>
          <w:rtl w:val="0"/>
        </w:rPr>
        <w:t xml:space="preserve">Lacroix v. Rysz</w:t>
      </w:r>
      <w:r w:rsidDel="00000000" w:rsidR="00000000" w:rsidRPr="00000000">
        <w:rPr>
          <w:rFonts w:ascii="Roboto" w:cs="Roboto" w:eastAsia="Roboto" w:hAnsi="Roboto"/>
          <w:sz w:val="24"/>
          <w:szCs w:val="24"/>
          <w:rtl w:val="0"/>
        </w:rPr>
        <w:t xml:space="preserve">, 2025 VT 16, unconscionability is measured at the time of execution and not at the time of enforcement. Modification requires clear and convincing evidence of changed circumstances not reasonably foreseeable at execution that would render enforcement unconscionable as of the execution date, and the Parties specifically acknowledge as reasonably foreseeable at execution: dissolution, workforce departures, income/employment changes, health issues, economic conditions, caregiving responsibilities, and childcare decisions.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4.5 and 4.6; or (b) Payor's average annual net income multiplied by:</w:t>
      </w:r>
    </w:p>
    <w:p w:rsidR="00000000" w:rsidDel="00000000" w:rsidP="00000000" w:rsidRDefault="00000000" w:rsidRPr="00000000" w14:paraId="00000051">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40% </w:t>
      </w:r>
    </w:p>
    <w:p w:rsidR="00000000" w:rsidDel="00000000" w:rsidP="00000000" w:rsidRDefault="00000000" w:rsidRPr="00000000" w14:paraId="00000052">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60% </w:t>
      </w:r>
    </w:p>
    <w:p w:rsidR="00000000" w:rsidDel="00000000" w:rsidP="00000000" w:rsidRDefault="00000000" w:rsidRPr="00000000" w14:paraId="00000053">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80%</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post-filing income changes, including promotions, bonuses, business growth, investment returns, inheritances, or new employment at higher compensation. </w:t>
      </w:r>
    </w:p>
    <w:p w:rsidR="00000000" w:rsidDel="00000000" w:rsidP="00000000" w:rsidRDefault="00000000" w:rsidRPr="00000000" w14:paraId="0000005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7">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"value," and "hope" in this Section are intentionally non-obligatory. </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 </w:t>
      </w:r>
      <w:r w:rsidDel="00000000" w:rsidR="00000000" w:rsidRPr="00000000">
        <w:rPr>
          <w:rFonts w:ascii="Roboto" w:cs="Roboto" w:eastAsia="Roboto" w:hAnsi="Roboto"/>
          <w:sz w:val="24"/>
          <w:szCs w:val="24"/>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the surviving spouse's elective share under 14 V.S.A. § 319, the homestead exemption under 27 V.S.A. § 101, the household furnishings allowance under 14 V.S.A. § 312, the family support allowance under 14 V.S.A. § 316 , and all other statutory inheritance rights under Vermont law.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automatic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liquidated damages of $25,000, and (c) reasonable attorney fees and costs incurred in compelling compliance.   </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AND CONTINUED VALIDITY</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w:t>
      </w:r>
    </w:p>
    <w:p w:rsidR="00000000" w:rsidDel="00000000" w:rsidP="00000000" w:rsidRDefault="00000000" w:rsidRPr="00000000" w14:paraId="0000006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r w:rsidDel="00000000" w:rsidR="00000000" w:rsidRPr="00000000">
        <w:rPr>
          <w:rtl w:val="0"/>
        </w:rPr>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elect binding arbitration after the initial 60-day mediation period with 30 days' written notice. Arbitration shall be conducted by a single arbitrator from AAA's family law panel. The arbitrator shall apply this Agreement's terms, Vermont law, and the execution-timing rule of </w:t>
      </w:r>
      <w:r w:rsidDel="00000000" w:rsidR="00000000" w:rsidRPr="00000000">
        <w:rPr>
          <w:rFonts w:ascii="Roboto" w:cs="Roboto" w:eastAsia="Roboto" w:hAnsi="Roboto"/>
          <w:i w:val="1"/>
          <w:iCs w:val="1"/>
          <w:sz w:val="24"/>
          <w:szCs w:val="24"/>
          <w:rtl w:val="0"/>
        </w:rPr>
        <w:t xml:space="preserve">Lacroix v. Rysz</w:t>
      </w:r>
      <w:r w:rsidDel="00000000" w:rsidR="00000000" w:rsidRPr="00000000">
        <w:rPr>
          <w:rFonts w:ascii="Roboto" w:cs="Roboto" w:eastAsia="Roboto" w:hAnsi="Roboto"/>
          <w:sz w:val="24"/>
          <w:szCs w:val="24"/>
          <w:rtl w:val="0"/>
        </w:rPr>
        <w:t xml:space="preserve">, 2025 VT 16. The arbitrator's judgment is final and non-appealable except for fraud or misconduct.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r w:rsidDel="00000000" w:rsidR="00000000" w:rsidRPr="00000000">
        <w:rPr>
          <w:rtl w:val="0"/>
        </w:rPr>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11. FINANCIAL DISCLOSURE AND DISCOVERY LIMITATION</w:t>
      </w:r>
    </w:p>
    <w:p w:rsidR="00000000" w:rsidDel="00000000" w:rsidP="00000000" w:rsidRDefault="00000000" w:rsidRPr="00000000" w14:paraId="00000086">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11.1 </w:t>
      </w:r>
      <w:r w:rsidDel="00000000" w:rsidR="00000000" w:rsidRPr="00000000">
        <w:rPr>
          <w:rFonts w:ascii="Roboto" w:cs="Roboto" w:eastAsia="Roboto" w:hAnsi="Roboto"/>
          <w:b w:val="1"/>
          <w:bCs w:val="1"/>
          <w:sz w:val="24"/>
          <w:szCs w:val="24"/>
          <w:highlight w:val="white"/>
          <w:rtl w:val="0"/>
        </w:rPr>
        <w:t xml:space="preserve">Complete Financial Disclosure:</w:t>
      </w:r>
      <w:r w:rsidDel="00000000" w:rsidR="00000000" w:rsidRPr="00000000">
        <w:rPr>
          <w:rFonts w:ascii="Roboto" w:cs="Roboto" w:eastAsia="Roboto" w:hAnsi="Roboto"/>
          <w:sz w:val="24"/>
          <w:szCs w:val="24"/>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11.2 </w:t>
      </w:r>
      <w:r w:rsidDel="00000000" w:rsidR="00000000" w:rsidRPr="00000000">
        <w:rPr>
          <w:rFonts w:ascii="Roboto" w:cs="Roboto" w:eastAsia="Roboto" w:hAnsi="Roboto"/>
          <w:b w:val="1"/>
          <w:bCs w:val="1"/>
          <w:sz w:val="24"/>
          <w:szCs w:val="24"/>
          <w:highlight w:val="white"/>
          <w:rtl w:val="0"/>
        </w:rPr>
        <w:t xml:space="preserve">Reliance and Acknowledgement:</w:t>
      </w:r>
      <w:r w:rsidDel="00000000" w:rsidR="00000000" w:rsidRPr="00000000">
        <w:rPr>
          <w:rFonts w:ascii="Roboto" w:cs="Roboto" w:eastAsia="Roboto" w:hAnsi="Roboto"/>
          <w:sz w:val="24"/>
          <w:szCs w:val="24"/>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highlight w:val="white"/>
          <w:rtl w:val="0"/>
        </w:rPr>
        <w:t xml:space="preserve">11.3 </w:t>
      </w:r>
      <w:r w:rsidDel="00000000" w:rsidR="00000000" w:rsidRPr="00000000">
        <w:rPr>
          <w:rFonts w:ascii="Roboto" w:cs="Roboto" w:eastAsia="Roboto" w:hAnsi="Roboto"/>
          <w:b w:val="1"/>
          <w:bCs w:val="1"/>
          <w:sz w:val="24"/>
          <w:szCs w:val="24"/>
          <w:highlight w:val="white"/>
          <w:rtl w:val="0"/>
        </w:rPr>
        <w:t xml:space="preserve">Discovery Limitation:</w:t>
      </w:r>
      <w:r w:rsidDel="00000000" w:rsidR="00000000" w:rsidRPr="00000000">
        <w:rPr>
          <w:rFonts w:ascii="Roboto" w:cs="Roboto" w:eastAsia="Roboto" w:hAnsi="Roboto"/>
          <w:sz w:val="24"/>
          <w:szCs w:val="24"/>
          <w:highlight w:val="white"/>
          <w:rtl w:val="0"/>
        </w:rPr>
        <w:t xml:space="preserve"> In any proceeding to enforce this Agreement, discovery shall be limited to the issues of fraud, duress, or incapacity at execution. Neither Party may conduct discovery into the other's post-execution financial circumstances except as necessary to calculate support under Section 4. </w:t>
      </w:r>
      <w:r w:rsidDel="00000000" w:rsidR="00000000" w:rsidRPr="00000000">
        <w:rPr>
          <w:rtl w:val="0"/>
        </w:rPr>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Acknowledgment of Sufficient Disclosure</w:t>
      </w:r>
      <w:r w:rsidDel="00000000" w:rsidR="00000000" w:rsidRPr="00000000">
        <w:rPr>
          <w:rFonts w:ascii="Roboto" w:cs="Roboto" w:eastAsia="Roboto" w:hAnsi="Roboto"/>
          <w:sz w:val="24"/>
          <w:szCs w:val="24"/>
          <w:rtl w:val="0"/>
        </w:rPr>
        <w:t xml:space="preserve">: Each Party expressly, knowingly, and voluntarily acknowledges that the disclosures provided in Exhibits A and B satisfy the "fair and reasonable disclosure" requirement of </w:t>
      </w:r>
      <w:r w:rsidDel="00000000" w:rsidR="00000000" w:rsidRPr="00000000">
        <w:rPr>
          <w:rFonts w:ascii="Roboto" w:cs="Roboto" w:eastAsia="Roboto" w:hAnsi="Roboto"/>
          <w:i w:val="1"/>
          <w:iCs w:val="1"/>
          <w:sz w:val="24"/>
          <w:szCs w:val="24"/>
          <w:rtl w:val="0"/>
        </w:rPr>
        <w:t xml:space="preserve">Bassler v. Bassler</w:t>
      </w:r>
      <w:r w:rsidDel="00000000" w:rsidR="00000000" w:rsidRPr="00000000">
        <w:rPr>
          <w:rFonts w:ascii="Roboto" w:cs="Roboto" w:eastAsia="Roboto" w:hAnsi="Roboto"/>
          <w:sz w:val="24"/>
          <w:szCs w:val="24"/>
          <w:rtl w:val="0"/>
        </w:rPr>
        <w:t xml:space="preserve">, 156 Vt. 353 (1991), and confirms that no further disclosure was requested or required for an informed decision.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Adequacy and Voluntary Choice</w:t>
      </w:r>
      <w:r w:rsidDel="00000000" w:rsidR="00000000" w:rsidRPr="00000000">
        <w:rPr>
          <w:rFonts w:ascii="Roboto" w:cs="Roboto" w:eastAsia="Roboto" w:hAnsi="Roboto"/>
          <w:sz w:val="24"/>
          <w:szCs w:val="24"/>
          <w:rtl w:val="0"/>
        </w:rPr>
        <w:t xml:space="preserve">: Each Party confirms the disclosures are adequate under Vermont law and that they had a full opportunity to request additional information, verification, or documentation, and either did so to their satisfaction or knowingly chose not to.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INDEPENDENT LEGAL COUNSEL</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GOVERNING LAW AND ENFORCEABILITY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Vermont Law</w:t>
      </w:r>
      <w:r w:rsidDel="00000000" w:rsidR="00000000" w:rsidRPr="00000000">
        <w:rPr>
          <w:rFonts w:ascii="Roboto" w:cs="Roboto" w:eastAsia="Roboto" w:hAnsi="Roboto"/>
          <w:sz w:val="24"/>
          <w:szCs w:val="24"/>
          <w:rtl w:val="0"/>
        </w:rPr>
        <w:t xml:space="preserve">: This Agreement is governed by Vermont law as of the execution date, including 15 V.S.A. §§ 751 and 752 and the controlling case law of </w:t>
      </w:r>
      <w:r w:rsidDel="00000000" w:rsidR="00000000" w:rsidRPr="00000000">
        <w:rPr>
          <w:rFonts w:ascii="Roboto" w:cs="Roboto" w:eastAsia="Roboto" w:hAnsi="Roboto"/>
          <w:i w:val="1"/>
          <w:iCs w:val="1"/>
          <w:sz w:val="24"/>
          <w:szCs w:val="24"/>
          <w:rtl w:val="0"/>
        </w:rPr>
        <w:t xml:space="preserve">Bassler</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Stalb</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Rock</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Lacroix</w:t>
      </w:r>
      <w:r w:rsidDel="00000000" w:rsidR="00000000" w:rsidRPr="00000000">
        <w:rPr>
          <w:rFonts w:ascii="Roboto" w:cs="Roboto" w:eastAsia="Roboto" w:hAnsi="Roboto"/>
          <w:sz w:val="24"/>
          <w:szCs w:val="24"/>
          <w:rtl w:val="0"/>
        </w:rPr>
        <w:t xml:space="preserve">, and </w:t>
      </w:r>
      <w:r w:rsidDel="00000000" w:rsidR="00000000" w:rsidRPr="00000000">
        <w:rPr>
          <w:rFonts w:ascii="Roboto" w:cs="Roboto" w:eastAsia="Roboto" w:hAnsi="Roboto"/>
          <w:i w:val="1"/>
          <w:iCs w:val="1"/>
          <w:sz w:val="24"/>
          <w:szCs w:val="24"/>
          <w:rtl w:val="0"/>
        </w:rPr>
        <w:t xml:space="preserve">Gade</w:t>
      </w:r>
      <w:r w:rsidDel="00000000" w:rsidR="00000000" w:rsidRPr="00000000">
        <w:rPr>
          <w:rFonts w:ascii="Roboto" w:cs="Roboto" w:eastAsia="Roboto" w:hAnsi="Roboto"/>
          <w:sz w:val="24"/>
          <w:szCs w:val="24"/>
          <w:rtl w:val="0"/>
        </w:rPr>
        <w:t xml:space="preserve">, regardless of domicile or asset location. Future law amendments reducing enforceability shall not apply retroactively.</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exclusive jurisdiction of the Vermont Superior Court, Family Division, which has plenary authority over this Agreement under 4 V.S.A. § 33(a)(4) and 15 V.S.A. § 751(a) per </w:t>
      </w:r>
      <w:r w:rsidDel="00000000" w:rsidR="00000000" w:rsidRPr="00000000">
        <w:rPr>
          <w:rFonts w:ascii="Roboto" w:cs="Roboto" w:eastAsia="Roboto" w:hAnsi="Roboto"/>
          <w:i w:val="1"/>
          <w:iCs w:val="1"/>
          <w:sz w:val="24"/>
          <w:szCs w:val="24"/>
          <w:rtl w:val="0"/>
        </w:rPr>
        <w:t xml:space="preserve">Gade v. Gade</w:t>
      </w:r>
      <w:r w:rsidDel="00000000" w:rsidR="00000000" w:rsidRPr="00000000">
        <w:rPr>
          <w:rFonts w:ascii="Roboto" w:cs="Roboto" w:eastAsia="Roboto" w:hAnsi="Roboto"/>
          <w:sz w:val="24"/>
          <w:szCs w:val="24"/>
          <w:rtl w:val="0"/>
        </w:rPr>
        <w:t xml:space="preserve">, 2025 VT 68. Each Party waives forum non conveniens defenses. Either Party may alternatively enforce this Agreement in any jurisdiction providing equal or stronger antenuptial protections than Vermont. </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14.4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14.5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failure of one or more </w:t>
      </w:r>
      <w:r w:rsidDel="00000000" w:rsidR="00000000" w:rsidRPr="00000000">
        <w:rPr>
          <w:rFonts w:ascii="Roboto" w:cs="Roboto" w:eastAsia="Roboto" w:hAnsi="Roboto"/>
          <w:i w:val="1"/>
          <w:iCs w:val="1"/>
          <w:sz w:val="24"/>
          <w:szCs w:val="24"/>
          <w:rtl w:val="0"/>
        </w:rPr>
        <w:t xml:space="preserve">Bassler</w:t>
      </w:r>
      <w:r w:rsidDel="00000000" w:rsidR="00000000" w:rsidRPr="00000000">
        <w:rPr>
          <w:rFonts w:ascii="Roboto" w:cs="Roboto" w:eastAsia="Roboto" w:hAnsi="Roboto"/>
          <w:sz w:val="24"/>
          <w:szCs w:val="24"/>
          <w:rtl w:val="0"/>
        </w:rPr>
        <w:t xml:space="preserve"> factors at execution. Neither Party may initiate proceedings in jurisdictions with weaker antenuptial enforcement than Vermont.</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MODIFICATION AND FINALITY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SEVERABILITY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COMPREHENSIVE ACKNOWLEDGMENTS</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rights to property division under 15 V.S.A. § 751, spousal maintenance under 15 V.S.A. § 752, inheritance claims under 14 V.S.A. §§ 312, 316, and 319 and 27 V.S.A. § 101, and any other marital rights to the fullest extent permitted under Vermont law and the </w:t>
      </w:r>
      <w:r w:rsidDel="00000000" w:rsidR="00000000" w:rsidRPr="00000000">
        <w:rPr>
          <w:rFonts w:ascii="Roboto" w:cs="Roboto" w:eastAsia="Roboto" w:hAnsi="Roboto"/>
          <w:i w:val="1"/>
          <w:iCs w:val="1"/>
          <w:sz w:val="24"/>
          <w:szCs w:val="24"/>
          <w:rtl w:val="0"/>
        </w:rPr>
        <w:t xml:space="preserve">Bassler</w:t>
      </w:r>
      <w:r w:rsidDel="00000000" w:rsidR="00000000" w:rsidRPr="00000000">
        <w:rPr>
          <w:rFonts w:ascii="Roboto" w:cs="Roboto" w:eastAsia="Roboto" w:hAnsi="Roboto"/>
          <w:sz w:val="24"/>
          <w:szCs w:val="24"/>
          <w:rtl w:val="0"/>
        </w:rPr>
        <w:t xml:space="preserve"> line of cases, subject only to the public-charge override recognized in </w:t>
      </w:r>
      <w:r w:rsidDel="00000000" w:rsidR="00000000" w:rsidRPr="00000000">
        <w:rPr>
          <w:rFonts w:ascii="Roboto" w:cs="Roboto" w:eastAsia="Roboto" w:hAnsi="Roboto"/>
          <w:i w:val="1"/>
          <w:iCs w:val="1"/>
          <w:sz w:val="24"/>
          <w:szCs w:val="24"/>
          <w:rtl w:val="0"/>
        </w:rPr>
        <w:t xml:space="preserve">Bassler v. Bassler</w:t>
      </w:r>
      <w:r w:rsidDel="00000000" w:rsidR="00000000" w:rsidRPr="00000000">
        <w:rPr>
          <w:rFonts w:ascii="Roboto" w:cs="Roboto" w:eastAsia="Roboto" w:hAnsi="Roboto"/>
          <w:sz w:val="24"/>
          <w:szCs w:val="24"/>
          <w:rtl w:val="0"/>
        </w:rPr>
        <w:t xml:space="preserve">, 156 Vt. 353 (1991). </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subject to the Bassler public-charge floor in Section 4.7 and the Reformed Formula Fallback in Section 4.8. </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EXECUTION</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7">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B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B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B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BD">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CF">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0">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1">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2">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3">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4">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5">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D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9">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