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WASHINGTON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of their respective assets, liabilities, income, and financial circumstances — including compensation, equity, and ownership interests — as set forth in Exhibits A and B;</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had adequate time to review, consider, negotiate, ask questions, and propose changes to this Agreement prior to execution;</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was represented by independent legal counsel who advised them regarding Washington community property law, the two-prong fairness test established in </w:t>
      </w:r>
      <w:r w:rsidDel="00000000" w:rsidR="00000000" w:rsidRPr="00000000">
        <w:rPr>
          <w:rFonts w:ascii="Roboto" w:cs="Roboto" w:eastAsia="Roboto" w:hAnsi="Roboto"/>
          <w:i w:val="1"/>
          <w:iCs w:val="1"/>
          <w:sz w:val="24"/>
          <w:szCs w:val="24"/>
          <w:rtl w:val="0"/>
        </w:rPr>
        <w:t xml:space="preserve">In re Marriage of Matson</w:t>
      </w:r>
      <w:r w:rsidDel="00000000" w:rsidR="00000000" w:rsidRPr="00000000">
        <w:rPr>
          <w:rFonts w:ascii="Roboto" w:cs="Roboto" w:eastAsia="Roboto" w:hAnsi="Roboto"/>
          <w:sz w:val="24"/>
          <w:szCs w:val="24"/>
          <w:rtl w:val="0"/>
        </w:rPr>
        <w:t xml:space="preserve">, 107 Wash.2d 479 (1986), and the circumstances under which this Agreement could be challenged;</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it voluntarily and without coercion, duress, or undue influence;</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the State of Washington and intend for it to be legally binding and enforceable;</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1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and personal property; business interests and goodwill; financial accounts (savings, brokerage, retirement, pension, investment); employment income and equity compensation (stock options, RSUs, deferred compensation, carried interest, and similar incentives, whether vested or unvested); professional degrees, licenses, and earning capacity; gifts, inheritances, and trust distributions; digital assets (cryptocurrency, NFTs, digital wallets); intellectual property (patents, copyrights, trademarks, trade secrets, royalties, source code, and websites); legal claims, settlements, and insurance proceeds attributable to separate property or individual injury; and all appreciation, income, proceeds, replacements, and future development thereof. </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to the extent traceable. Each Party shall maintain records sufficient to trace separate property contributions. Commingling does not extinguish separate classification unless the contribution is untraceable by any reasonable method. </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  </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trusts established by or for either Party before or during marriage — including revocable, irrevocable, discretionary, generation-skipping, and offshore asset protection trusts, whether domestic or foreign — remain the settlor's or beneficiary's separate property. The non-settlor spouse waives all rights to trust distributions, principal, remainder interests, beneficiary designations, and any claim that trust assets became marital property. </w:t>
      </w:r>
    </w:p>
    <w:p w:rsidR="00000000" w:rsidDel="00000000" w:rsidP="00000000" w:rsidRDefault="00000000" w:rsidRPr="00000000" w14:paraId="0000002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financial contributions ÷ Combined financial contributions of both Parties) × 100.</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3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 temporary, pendente lite, and permanent — except as provided in this Section 4. Temporary support awarded in excess of Section 4.5 shall be credited dollar-for-dollar against future support or refunded within 90 days of this Agreement being upheld. </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Children of the Marriage</w:t>
      </w:r>
      <w:r w:rsidDel="00000000" w:rsidR="00000000" w:rsidRPr="00000000">
        <w:rPr>
          <w:rFonts w:ascii="Roboto" w:cs="Roboto" w:eastAsia="Roboto" w:hAnsi="Roboto"/>
          <w:sz w:val="24"/>
          <w:szCs w:val="24"/>
          <w:rtl w:val="0"/>
        </w:rPr>
        <w:t xml:space="preserve">: "Children of the Marriage" means biological children of both Parties (including via IVF) and children legally adopted by both Parties. Either Party may request genetic testing at the requesting Party's cost. A child not meeting this definition is excluded from the Section 4.5 calculation; excess payments attributable to that child are refunded or credited. </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25% if recipient has not earned at least $30,000 annually in gross income (verified by tax returns or W-2s) within 24 months of divorce, provided recipient is not the primary caregiver of a Child of the Marriage under the age of four. Payor may request annual verification. </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Net Income:</w:t>
      </w:r>
      <w:r w:rsidDel="00000000" w:rsidR="00000000" w:rsidRPr="00000000">
        <w:rPr>
          <w:rFonts w:ascii="Roboto" w:cs="Roboto" w:eastAsia="Roboto" w:hAnsi="Roboto"/>
          <w:sz w:val="24"/>
          <w:szCs w:val="24"/>
          <w:rtl w:val="0"/>
        </w:rPr>
        <w:t xml:space="preserve"> "Net income" for either Party means gross income minus federal and state income tax, Social Security, and Medicare withholdings (excluding voluntary deductions), averaged over the three years preceding divorce filing. If the most recent year is lower due to involuntary job loss, disability, or business closure beyond the affected Party's control, that year's income applies instead of the average. </w:t>
      </w:r>
    </w:p>
    <w:p w:rsidR="00000000" w:rsidDel="00000000" w:rsidP="00000000" w:rsidRDefault="00000000" w:rsidRPr="00000000" w14:paraId="0000003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25% of recipient's net income, based on the number of Children of the Marriage:</w:t>
      </w:r>
    </w:p>
    <w:p w:rsidR="00000000" w:rsidDel="00000000" w:rsidP="00000000" w:rsidRDefault="00000000" w:rsidRPr="00000000" w14:paraId="00000037">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4% of payor's net income</w:t>
      </w:r>
    </w:p>
    <w:p w:rsidR="00000000" w:rsidDel="00000000" w:rsidP="00000000" w:rsidRDefault="00000000" w:rsidRPr="00000000" w14:paraId="00000038">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6% of payor's net income</w:t>
      </w:r>
    </w:p>
    <w:p w:rsidR="00000000" w:rsidDel="00000000" w:rsidP="00000000" w:rsidRDefault="00000000" w:rsidRPr="00000000" w14:paraId="00000039">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8% of payor's net income</w:t>
      </w:r>
    </w:p>
    <w:p w:rsidR="00000000" w:rsidDel="00000000" w:rsidP="00000000" w:rsidRDefault="00000000" w:rsidRPr="00000000" w14:paraId="0000003A">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10% of payor's net income</w:t>
      </w:r>
    </w:p>
    <w:p w:rsidR="00000000" w:rsidDel="00000000" w:rsidP="00000000" w:rsidRDefault="00000000" w:rsidRPr="00000000" w14:paraId="0000003B">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12% of payor's net income</w:t>
      </w:r>
    </w:p>
    <w:p w:rsidR="00000000" w:rsidDel="00000000" w:rsidP="00000000" w:rsidRDefault="00000000" w:rsidRPr="00000000" w14:paraId="0000003C">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14% of payor's net income</w:t>
      </w:r>
    </w:p>
    <w:p w:rsidR="00000000" w:rsidDel="00000000" w:rsidP="00000000" w:rsidRDefault="00000000" w:rsidRPr="00000000" w14:paraId="0000003D">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16% of payor's net income</w:t>
      </w:r>
    </w:p>
    <w:p w:rsidR="00000000" w:rsidDel="00000000" w:rsidP="00000000" w:rsidRDefault="00000000" w:rsidRPr="00000000" w14:paraId="0000003E">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b w:val="1"/>
          <w:bCs w:val="1"/>
          <w:sz w:val="24"/>
          <w:szCs w:val="24"/>
          <w:rtl w:val="0"/>
        </w:rPr>
        <w:t xml:space="preserve">$8,000</w:t>
      </w:r>
      <w:r w:rsidDel="00000000" w:rsidR="00000000" w:rsidRPr="00000000">
        <w:rPr>
          <w:rFonts w:ascii="Roboto" w:cs="Roboto" w:eastAsia="Roboto" w:hAnsi="Roboto"/>
          <w:sz w:val="24"/>
          <w:szCs w:val="24"/>
          <w:rtl w:val="0"/>
        </w:rPr>
        <w:t xml:space="preserve"> per month, adjusted annually by CPI-U from date of marriage through the earlier of separation or dissolution filing. </w:t>
      </w:r>
    </w:p>
    <w:p w:rsidR="00000000" w:rsidDel="00000000" w:rsidP="00000000" w:rsidRDefault="00000000" w:rsidRPr="00000000" w14:paraId="0000003F">
      <w:pPr>
        <w:spacing w:after="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Child Support Separate</w:t>
      </w:r>
      <w:r w:rsidDel="00000000" w:rsidR="00000000" w:rsidRPr="00000000">
        <w:rPr>
          <w:rFonts w:ascii="Roboto" w:cs="Roboto" w:eastAsia="Roboto" w:hAnsi="Roboto"/>
          <w:sz w:val="24"/>
          <w:szCs w:val="24"/>
          <w:rtl w:val="0"/>
        </w:rPr>
        <w:t xml:space="preserve">: This provision governs spousal support only. Child support is determined separately and cannot be limited by this Agreement.</w:t>
      </w:r>
    </w:p>
    <w:p w:rsidR="00000000" w:rsidDel="00000000" w:rsidP="00000000" w:rsidRDefault="00000000" w:rsidRPr="00000000" w14:paraId="0000004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41">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5% of marriage length</w:t>
      </w:r>
    </w:p>
    <w:p w:rsidR="00000000" w:rsidDel="00000000" w:rsidP="00000000" w:rsidRDefault="00000000" w:rsidRPr="00000000" w14:paraId="00000042">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43">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44">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45">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years: 25% of marriage length</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Hardship Exception</w:t>
      </w:r>
      <w:r w:rsidDel="00000000" w:rsidR="00000000" w:rsidRPr="00000000">
        <w:rPr>
          <w:rFonts w:ascii="Roboto" w:cs="Roboto" w:eastAsia="Roboto" w:hAnsi="Roboto"/>
          <w:sz w:val="24"/>
          <w:szCs w:val="24"/>
          <w:rtl w:val="0"/>
        </w:rPr>
        <w:t xml:space="preserve">: If Sections 4.5 and 4.6 would leave recipient with total income below 150% of Federal Poverty Level for their household size (including dependent children), support shall be increased to that threshold but shall not exceed the Section 4.5 amount by more than 50%. </w:t>
      </w:r>
    </w:p>
    <w:p w:rsidR="00000000" w:rsidDel="00000000" w:rsidP="00000000" w:rsidRDefault="00000000" w:rsidRPr="00000000" w14:paraId="000000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calculation under Sections 4.5 or 4.6 is deemed unconscionable, the court shall reform to the following percentages of payor's average annual net income (as defined in 4.4) minus 25% of recipient's net income, with duration at 40% of marriage length: </w:t>
      </w:r>
    </w:p>
    <w:p w:rsidR="00000000" w:rsidDel="00000000" w:rsidP="00000000" w:rsidRDefault="00000000" w:rsidRPr="00000000" w14:paraId="00000048">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10% of payor's net income</w:t>
      </w:r>
    </w:p>
    <w:p w:rsidR="00000000" w:rsidDel="00000000" w:rsidP="00000000" w:rsidRDefault="00000000" w:rsidRPr="00000000" w14:paraId="00000049">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15% of payor's net income</w:t>
      </w:r>
    </w:p>
    <w:p w:rsidR="00000000" w:rsidDel="00000000" w:rsidP="00000000" w:rsidRDefault="00000000" w:rsidRPr="00000000" w14:paraId="0000004A">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20% of payor's net income</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is payable if payor's gross annual income is below the greater of: (a) 75% of their gross income in the year prior to executing this Agreement, or (b) 250% of Federal Poverty Level for a single person. </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ceases upon the earliest of: (a) recipient's remarriage; (b) recipient's cohabitation with another person in a romantic relationship for 60 or more consecutive days; (c) either Party's death; or (d) duration expiration under Section 4.6. </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Limited Modification</w:t>
      </w:r>
      <w:r w:rsidDel="00000000" w:rsidR="00000000" w:rsidRPr="00000000">
        <w:rPr>
          <w:rFonts w:ascii="Roboto" w:cs="Roboto" w:eastAsia="Roboto" w:hAnsi="Roboto"/>
          <w:sz w:val="24"/>
          <w:szCs w:val="24"/>
          <w:rtl w:val="0"/>
        </w:rPr>
        <w:t xml:space="preserve">: Neither Party may seek modification except upon clear and convincing evidence of circumstances that (a) were not reasonably foreseeable at execution, (b) are substantial and continuing, and (c) would render enforcement unconscionable under RCW 26.09.170. Both Parties acknowledge as reasonably foreseeable: dissolution, workforce departures, income changes, health issues not constituting total disability, economic conditions, inflation, and childcare decisions. No modification shall exceed the percentages in Section 4.5 or duration in Section 4.6. </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4.5 and 4.6; or (b) Payor's net income multiplied by:</w:t>
      </w:r>
    </w:p>
    <w:p w:rsidR="00000000" w:rsidDel="00000000" w:rsidP="00000000" w:rsidRDefault="00000000" w:rsidRPr="00000000" w14:paraId="0000004F">
      <w:pPr>
        <w:numPr>
          <w:ilvl w:val="0"/>
          <w:numId w:val="6"/>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Marriages &lt;15 years: 100% </w:t>
      </w:r>
    </w:p>
    <w:p w:rsidR="00000000" w:rsidDel="00000000" w:rsidP="00000000" w:rsidRDefault="00000000" w:rsidRPr="00000000" w14:paraId="00000050">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Marriages 15-25 years: 150% </w:t>
      </w:r>
    </w:p>
    <w:p w:rsidR="00000000" w:rsidDel="00000000" w:rsidP="00000000" w:rsidRDefault="00000000" w:rsidRPr="00000000" w14:paraId="00000051">
      <w:pPr>
        <w:numPr>
          <w:ilvl w:val="0"/>
          <w:numId w:val="6"/>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Marriages 25+ years: 200%</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Support shall not be modified based on payor's post-filing income increases, including promotions, bonuses, raises, business growth, investment returns, inheritances, gifts, or higher compensation. Post-divorce earnings are separate property. </w:t>
      </w:r>
    </w:p>
    <w:p w:rsidR="00000000" w:rsidDel="00000000" w:rsidP="00000000" w:rsidRDefault="00000000" w:rsidRPr="00000000" w14:paraId="0000005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5">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16. All uses of "aspire," “intend”, “hope”, and "value" in this Section are intentionally non-obligatory. </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intend to build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 </w:t>
      </w:r>
      <w:r w:rsidDel="00000000" w:rsidR="00000000" w:rsidRPr="00000000">
        <w:rPr>
          <w:rFonts w:ascii="Roboto" w:cs="Roboto" w:eastAsia="Roboto" w:hAnsi="Roboto"/>
          <w:sz w:val="24"/>
          <w:szCs w:val="24"/>
          <w:rtl w:val="0"/>
        </w:rPr>
        <w:t xml:space="preserve">In case of marital difficulties, the Parties aspire to preserve family unity through creative living arrangements if necessary (sharing a home though different rooms, or nearby houses), to speak respectfully about each other publicly and privately, and to prioritize their children's relationships with both parents regardless of marital status. </w:t>
      </w:r>
    </w:p>
    <w:p w:rsidR="00000000" w:rsidDel="00000000" w:rsidP="00000000" w:rsidRDefault="00000000" w:rsidRPr="00000000" w14:paraId="0000005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values the mutual expectation of fidelity and ongoing intimacy as foundational to a happy and long-lived marriage. </w:t>
      </w:r>
    </w:p>
    <w:p w:rsidR="00000000" w:rsidDel="00000000" w:rsidP="00000000" w:rsidRDefault="00000000" w:rsidRPr="00000000" w14:paraId="0000005B">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election rights, homestead allowances under RCW 11.52, family allowances, and other statutory inheritance rights under Washington law. </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 spousal rights cannot be waived before marriage. Each Party shall execute any required spousal consent or beneficiary waiver within 30 days of written request after marriage, and agrees not to seek a Qualified Domestic Relations Order or similar order against the other Party's retirement or deferred compensation plans, which remain separate property under Section 1.1. Failure to execute is a material breach entitling the requesting Party to specific performance, $25,000 liquidated damages, and reasonable attorney fees.  </w:t>
      </w:r>
    </w:p>
    <w:p w:rsidR="00000000" w:rsidDel="00000000" w:rsidP="00000000" w:rsidRDefault="00000000" w:rsidRPr="00000000" w14:paraId="0000006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AND CONTINUED VALIDITY</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This Agreement remains valid regardless of post-execution changes in assets, income, net worth, or financial circumstances, whether foreseeable or unforeseeable, disclosed or undisclosed.</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No change in circumstances shall modify, invalidate, or excuse performance unless modified per Section 15. Each Party waives challenges based on post-execution asset changes, market fluctuations, or failure to disclose changes occurring after execution.</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Adequate Time</w:t>
      </w:r>
      <w:r w:rsidDel="00000000" w:rsidR="00000000" w:rsidRPr="00000000">
        <w:rPr>
          <w:rFonts w:ascii="Roboto" w:cs="Roboto" w:eastAsia="Roboto" w:hAnsi="Roboto"/>
          <w:sz w:val="24"/>
          <w:szCs w:val="24"/>
          <w:rtl w:val="0"/>
        </w:rPr>
        <w:t xml:space="preserve">: Both Parties confirm adequate time elapsed between receipt of this Agreement and execution, and between execution and the wedding, for meaningful review, negotiation, and consultation with independent counsel. </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7.4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apply this Agreement's terms as written. If the arbitrator finds any provision unenforceable, the arbitrator shall reform it to the nearest enforceable equivalent consistent with the Parties' intent, applying the fallback provisions in Section 4.8 where applicable. </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3">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r w:rsidDel="00000000" w:rsidR="00000000" w:rsidRPr="00000000">
        <w:rPr>
          <w:rtl w:val="0"/>
        </w:rPr>
      </w:r>
    </w:p>
    <w:p w:rsidR="00000000" w:rsidDel="00000000" w:rsidP="00000000" w:rsidRDefault="00000000" w:rsidRPr="00000000" w14:paraId="0000007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F">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Violations entitle the non-breaching Party to injunctive relief, actual damages, and reasonable attorney fees. Where actual damages are impractical to determine: (a) general violations — the greater of $4,000 or 2% of the breaching Party's gross annual income; (b) commercial exploitation or willful breach — the greater of actual damages, disgorgement, $10,000, or 5% of the breaching Party's gross annual income. These amounts are liquidated damages, not penalties. The arbitrator or court may adjust any amount it finds disproportionate. </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spacing w:after="240" w:before="240" w:line="240" w:lineRule="auto"/>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highlight w:val="white"/>
          <w:rtl w:val="0"/>
        </w:rPr>
        <w:t xml:space="preserve">11. FINANCIAL DISCLOSURE AND DISCOVERY LIMITATION</w:t>
      </w:r>
    </w:p>
    <w:p w:rsidR="00000000" w:rsidDel="00000000" w:rsidP="00000000" w:rsidRDefault="00000000" w:rsidRPr="00000000" w14:paraId="00000084">
      <w:pPr>
        <w:spacing w:after="240" w:before="240"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11.1 </w:t>
      </w:r>
      <w:r w:rsidDel="00000000" w:rsidR="00000000" w:rsidRPr="00000000">
        <w:rPr>
          <w:rFonts w:ascii="Roboto" w:cs="Roboto" w:eastAsia="Roboto" w:hAnsi="Roboto"/>
          <w:b w:val="1"/>
          <w:bCs w:val="1"/>
          <w:sz w:val="24"/>
          <w:szCs w:val="24"/>
          <w:highlight w:val="white"/>
          <w:rtl w:val="0"/>
        </w:rPr>
        <w:t xml:space="preserve">Complete Financial Disclosure:</w:t>
      </w:r>
      <w:r w:rsidDel="00000000" w:rsidR="00000000" w:rsidRPr="00000000">
        <w:rPr>
          <w:rFonts w:ascii="Roboto" w:cs="Roboto" w:eastAsia="Roboto" w:hAnsi="Roboto"/>
          <w:sz w:val="24"/>
          <w:szCs w:val="24"/>
          <w:highlight w:val="white"/>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5">
      <w:pPr>
        <w:spacing w:after="240" w:before="240"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11.2 </w:t>
      </w:r>
      <w:r w:rsidDel="00000000" w:rsidR="00000000" w:rsidRPr="00000000">
        <w:rPr>
          <w:rFonts w:ascii="Roboto" w:cs="Roboto" w:eastAsia="Roboto" w:hAnsi="Roboto"/>
          <w:b w:val="1"/>
          <w:bCs w:val="1"/>
          <w:sz w:val="24"/>
          <w:szCs w:val="24"/>
          <w:highlight w:val="white"/>
          <w:rtl w:val="0"/>
        </w:rPr>
        <w:t xml:space="preserve">Reliance and Acknowledgement:</w:t>
      </w:r>
      <w:r w:rsidDel="00000000" w:rsidR="00000000" w:rsidRPr="00000000">
        <w:rPr>
          <w:rFonts w:ascii="Roboto" w:cs="Roboto" w:eastAsia="Roboto" w:hAnsi="Roboto"/>
          <w:sz w:val="24"/>
          <w:szCs w:val="24"/>
          <w:highlight w:val="white"/>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6">
      <w:pPr>
        <w:spacing w:after="240" w:before="240"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11.3 </w:t>
      </w:r>
      <w:r w:rsidDel="00000000" w:rsidR="00000000" w:rsidRPr="00000000">
        <w:rPr>
          <w:rFonts w:ascii="Roboto" w:cs="Roboto" w:eastAsia="Roboto" w:hAnsi="Roboto"/>
          <w:b w:val="1"/>
          <w:bCs w:val="1"/>
          <w:sz w:val="24"/>
          <w:szCs w:val="24"/>
          <w:highlight w:val="white"/>
          <w:rtl w:val="0"/>
        </w:rPr>
        <w:t xml:space="preserve">Discovery Limitation:</w:t>
      </w:r>
      <w:r w:rsidDel="00000000" w:rsidR="00000000" w:rsidRPr="00000000">
        <w:rPr>
          <w:rFonts w:ascii="Roboto" w:cs="Roboto" w:eastAsia="Roboto" w:hAnsi="Roboto"/>
          <w:sz w:val="24"/>
          <w:szCs w:val="24"/>
          <w:highlight w:val="white"/>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 If this limitation is struck, discovery shall be limited to the narrowest scope ordered by the court, and no broader discovery shall be deemed consented to. </w:t>
      </w:r>
    </w:p>
    <w:p w:rsidR="00000000" w:rsidDel="00000000" w:rsidP="00000000" w:rsidRDefault="00000000" w:rsidRPr="00000000" w14:paraId="0000008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spacing w:after="240" w:before="240" w:line="240" w:lineRule="auto"/>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highlight w:val="white"/>
          <w:rtl w:val="0"/>
        </w:rPr>
        <w:t xml:space="preserve">12. DISCLOSURE SUFFICIENCY ACKNOWLEDGMENT </w:t>
      </w:r>
    </w:p>
    <w:p w:rsidR="00000000" w:rsidDel="00000000" w:rsidP="00000000" w:rsidRDefault="00000000" w:rsidRPr="00000000" w14:paraId="00000089">
      <w:pPr>
        <w:spacing w:after="240" w:before="240"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12.1 </w:t>
      </w:r>
      <w:r w:rsidDel="00000000" w:rsidR="00000000" w:rsidRPr="00000000">
        <w:rPr>
          <w:rFonts w:ascii="Roboto" w:cs="Roboto" w:eastAsia="Roboto" w:hAnsi="Roboto"/>
          <w:b w:val="1"/>
          <w:bCs w:val="1"/>
          <w:sz w:val="24"/>
          <w:szCs w:val="24"/>
          <w:highlight w:val="white"/>
          <w:rtl w:val="0"/>
        </w:rPr>
        <w:t xml:space="preserve">Sufficiency</w:t>
      </w:r>
      <w:r w:rsidDel="00000000" w:rsidR="00000000" w:rsidRPr="00000000">
        <w:rPr>
          <w:rFonts w:ascii="Roboto" w:cs="Roboto" w:eastAsia="Roboto" w:hAnsi="Roboto"/>
          <w:sz w:val="24"/>
          <w:szCs w:val="24"/>
          <w:highlight w:val="white"/>
          <w:rtl w:val="0"/>
        </w:rPr>
        <w:t xml:space="preserve">: Each Party acknowledges that the financial disclosures in Exhibits A and B are sufficient to form a reasonable understanding of the other Party's financial circumstances. Each Party waives any claim that disclosure was inadequate, provided the disclosures were materially accurate at execution. </w:t>
      </w:r>
    </w:p>
    <w:p w:rsidR="00000000" w:rsidDel="00000000" w:rsidP="00000000" w:rsidRDefault="00000000" w:rsidRPr="00000000" w14:paraId="0000008A">
      <w:pPr>
        <w:spacing w:after="240" w:before="240"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12.2 </w:t>
      </w:r>
      <w:r w:rsidDel="00000000" w:rsidR="00000000" w:rsidRPr="00000000">
        <w:rPr>
          <w:rFonts w:ascii="Roboto" w:cs="Roboto" w:eastAsia="Roboto" w:hAnsi="Roboto"/>
          <w:b w:val="1"/>
          <w:bCs w:val="1"/>
          <w:sz w:val="24"/>
          <w:szCs w:val="24"/>
          <w:highlight w:val="white"/>
          <w:rtl w:val="0"/>
        </w:rPr>
        <w:t xml:space="preserve">Reformation for Inaccuracy</w:t>
      </w:r>
      <w:r w:rsidDel="00000000" w:rsidR="00000000" w:rsidRPr="00000000">
        <w:rPr>
          <w:rFonts w:ascii="Roboto" w:cs="Roboto" w:eastAsia="Roboto" w:hAnsi="Roboto"/>
          <w:sz w:val="24"/>
          <w:szCs w:val="24"/>
          <w:highlight w:val="white"/>
          <w:rtl w:val="0"/>
        </w:rPr>
        <w:t xml:space="preserve">: If any disclosure is later found materially inaccurate, the affected provisions shall be reformed to reflect what the Parties would have agreed to with accurate information, rather than voiding this Agreement. </w:t>
      </w:r>
    </w:p>
    <w:p w:rsidR="00000000" w:rsidDel="00000000" w:rsidP="00000000" w:rsidRDefault="00000000" w:rsidRPr="00000000" w14:paraId="0000008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INDEPENDENT LEGAL COUNSEL</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Independent Representation Required</w:t>
      </w:r>
      <w:r w:rsidDel="00000000" w:rsidR="00000000" w:rsidRPr="00000000">
        <w:rPr>
          <w:rFonts w:ascii="Roboto" w:cs="Roboto" w:eastAsia="Roboto" w:hAnsi="Roboto"/>
          <w:sz w:val="24"/>
          <w:szCs w:val="24"/>
          <w:rtl w:val="0"/>
        </w:rPr>
        <w:t xml:space="preserve">: Each Party has retained separate, independent legal counsel to review this Agreement and provide advice regarding its terms, effects, and alternatives under Washington law. </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Counsel Certification</w:t>
      </w:r>
      <w:r w:rsidDel="00000000" w:rsidR="00000000" w:rsidRPr="00000000">
        <w:rPr>
          <w:rFonts w:ascii="Roboto" w:cs="Roboto" w:eastAsia="Roboto" w:hAnsi="Roboto"/>
          <w:sz w:val="24"/>
          <w:szCs w:val="24"/>
          <w:rtl w:val="0"/>
        </w:rPr>
        <w:t xml:space="preserve">: Each Party's attorney has certified below that they: (a) Reviewed this Agreement with their client; (b) Explained Washington community property law and rights being waived; (c) Advised their client regarding fairness and enforceability; (d) Confirmed adequate time for review and voluntary execution. </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Shared Counsel</w:t>
      </w:r>
      <w:r w:rsidDel="00000000" w:rsidR="00000000" w:rsidRPr="00000000">
        <w:rPr>
          <w:rFonts w:ascii="Roboto" w:cs="Roboto" w:eastAsia="Roboto" w:hAnsi="Roboto"/>
          <w:sz w:val="24"/>
          <w:szCs w:val="24"/>
          <w:rtl w:val="0"/>
        </w:rPr>
        <w:t xml:space="preserve">: The Parties confirm they did not share legal counsel and each attorney represented only one Party's interests. </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13.4 </w:t>
      </w:r>
      <w:r w:rsidDel="00000000" w:rsidR="00000000" w:rsidRPr="00000000">
        <w:rPr>
          <w:rFonts w:ascii="Roboto" w:cs="Roboto" w:eastAsia="Roboto" w:hAnsi="Roboto"/>
          <w:b w:val="1"/>
          <w:bCs w:val="1"/>
          <w:sz w:val="24"/>
          <w:szCs w:val="24"/>
          <w:rtl w:val="0"/>
        </w:rPr>
        <w:t xml:space="preserve">Washington Law Advisement</w:t>
      </w:r>
      <w:r w:rsidDel="00000000" w:rsidR="00000000" w:rsidRPr="00000000">
        <w:rPr>
          <w:rFonts w:ascii="Roboto" w:cs="Roboto" w:eastAsia="Roboto" w:hAnsi="Roboto"/>
          <w:sz w:val="24"/>
          <w:szCs w:val="24"/>
          <w:rtl w:val="0"/>
        </w:rPr>
        <w:t xml:space="preserve">: Each attorney advised their client regarding Washington's two-prong fairness test and the circumstances under which this Agreement could be challenged.</w:t>
      </w:r>
    </w:p>
    <w:p w:rsidR="00000000" w:rsidDel="00000000" w:rsidP="00000000" w:rsidRDefault="00000000" w:rsidRPr="00000000" w14:paraId="0000009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GOVERNING LAW AND ENFORCEABILITY</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Washington Law</w:t>
      </w:r>
      <w:r w:rsidDel="00000000" w:rsidR="00000000" w:rsidRPr="00000000">
        <w:rPr>
          <w:rFonts w:ascii="Roboto" w:cs="Roboto" w:eastAsia="Roboto" w:hAnsi="Roboto"/>
          <w:sz w:val="24"/>
          <w:szCs w:val="24"/>
          <w:rtl w:val="0"/>
        </w:rPr>
        <w:t xml:space="preserve">: This Agreement is governed by Washington law as of execution date, applying principles established in </w:t>
      </w:r>
      <w:r w:rsidDel="00000000" w:rsidR="00000000" w:rsidRPr="00000000">
        <w:rPr>
          <w:rFonts w:ascii="Roboto" w:cs="Roboto" w:eastAsia="Roboto" w:hAnsi="Roboto"/>
          <w:i w:val="1"/>
          <w:iCs w:val="1"/>
          <w:sz w:val="24"/>
          <w:szCs w:val="24"/>
          <w:rtl w:val="0"/>
        </w:rPr>
        <w:t xml:space="preserve">In re Marriage of Matson</w:t>
      </w:r>
      <w:r w:rsidDel="00000000" w:rsidR="00000000" w:rsidRPr="00000000">
        <w:rPr>
          <w:rFonts w:ascii="Roboto" w:cs="Roboto" w:eastAsia="Roboto" w:hAnsi="Roboto"/>
          <w:sz w:val="24"/>
          <w:szCs w:val="24"/>
          <w:rtl w:val="0"/>
        </w:rPr>
        <w:t xml:space="preserve">, 107 Wash.2d 479 (1986) and </w:t>
      </w:r>
      <w:r w:rsidDel="00000000" w:rsidR="00000000" w:rsidRPr="00000000">
        <w:rPr>
          <w:rFonts w:ascii="Roboto" w:cs="Roboto" w:eastAsia="Roboto" w:hAnsi="Roboto"/>
          <w:i w:val="1"/>
          <w:iCs w:val="1"/>
          <w:sz w:val="24"/>
          <w:szCs w:val="24"/>
          <w:rtl w:val="0"/>
        </w:rPr>
        <w:t xml:space="preserve">In re Marriage of Bernard</w:t>
      </w:r>
      <w:r w:rsidDel="00000000" w:rsidR="00000000" w:rsidRPr="00000000">
        <w:rPr>
          <w:rFonts w:ascii="Roboto" w:cs="Roboto" w:eastAsia="Roboto" w:hAnsi="Roboto"/>
          <w:sz w:val="24"/>
          <w:szCs w:val="24"/>
          <w:rtl w:val="0"/>
        </w:rPr>
        <w:t xml:space="preserve">, 165 Wash.2d 895 (2009), regardless of domicile or asset location. Under Washington's two-prong fairness test, this Agreement is enforceable if it satisfies either substantive fairness or procedural fairness. </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Washington jurisdiction. Either Party may enforce this Agreement in any jurisdiction where valid under local law. </w:t>
      </w:r>
    </w:p>
    <w:p w:rsidR="00000000" w:rsidDel="00000000" w:rsidP="00000000" w:rsidRDefault="00000000" w:rsidRPr="00000000" w14:paraId="0000009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14.4 </w:t>
      </w:r>
      <w:r w:rsidDel="00000000" w:rsidR="00000000" w:rsidRPr="00000000">
        <w:rPr>
          <w:rFonts w:ascii="Roboto" w:cs="Roboto" w:eastAsia="Roboto" w:hAnsi="Roboto"/>
          <w:b w:val="1"/>
          <w:bCs w:val="1"/>
          <w:sz w:val="24"/>
          <w:szCs w:val="24"/>
          <w:rtl w:val="0"/>
        </w:rPr>
        <w:t xml:space="preserve">Washington Standards Apply</w:t>
      </w:r>
      <w:r w:rsidDel="00000000" w:rsidR="00000000" w:rsidRPr="00000000">
        <w:rPr>
          <w:rFonts w:ascii="Roboto" w:cs="Roboto" w:eastAsia="Roboto" w:hAnsi="Roboto"/>
          <w:sz w:val="24"/>
          <w:szCs w:val="24"/>
          <w:rtl w:val="0"/>
        </w:rPr>
        <w:t xml:space="preserve">: This Agreement is enforceable if either prong of Washington's fairness test is satisfied: (1) the Agreement makes fair and reasonable provision for the Party not seeking enforcement; OR (2) if not, the Agreement was executed with full disclosure, independent counsel, and voluntary consent. Both prongs are assessed at execution. </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14.5 </w:t>
      </w:r>
      <w:r w:rsidDel="00000000" w:rsidR="00000000" w:rsidRPr="00000000">
        <w:rPr>
          <w:rFonts w:ascii="Roboto" w:cs="Roboto" w:eastAsia="Roboto" w:hAnsi="Roboto"/>
          <w:b w:val="1"/>
          <w:bCs w:val="1"/>
          <w:sz w:val="24"/>
          <w:szCs w:val="24"/>
          <w:rtl w:val="0"/>
        </w:rPr>
        <w:t xml:space="preserve">Validity Presumption</w:t>
      </w:r>
      <w:r w:rsidDel="00000000" w:rsidR="00000000" w:rsidRPr="00000000">
        <w:rPr>
          <w:rFonts w:ascii="Roboto" w:cs="Roboto" w:eastAsia="Roboto" w:hAnsi="Roboto"/>
          <w:sz w:val="24"/>
          <w:szCs w:val="24"/>
          <w:rtl w:val="0"/>
        </w:rPr>
        <w:t xml:space="preserve">: This Agreement is presumed valid absent clear and convincing evidence of unfairness, fraud, duress, or lack of disclosure as established under Washington law.</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14.6 </w:t>
      </w:r>
      <w:r w:rsidDel="00000000" w:rsidR="00000000" w:rsidRPr="00000000">
        <w:rPr>
          <w:rFonts w:ascii="Roboto" w:cs="Roboto" w:eastAsia="Roboto" w:hAnsi="Roboto"/>
          <w:b w:val="1"/>
          <w:bCs w:val="1"/>
          <w:sz w:val="24"/>
          <w:szCs w:val="24"/>
          <w:rtl w:val="0"/>
        </w:rPr>
        <w:t xml:space="preserve">Anti-Retroactivity</w:t>
      </w:r>
      <w:r w:rsidDel="00000000" w:rsidR="00000000" w:rsidRPr="00000000">
        <w:rPr>
          <w:rFonts w:ascii="Roboto" w:cs="Roboto" w:eastAsia="Roboto" w:hAnsi="Roboto"/>
          <w:sz w:val="24"/>
          <w:szCs w:val="24"/>
          <w:rtl w:val="0"/>
        </w:rPr>
        <w:t xml:space="preserve">: Future amendments to Washington law reducing prenuptial enforceability shall not apply retroactively to this Agreement. This Agreement is governed by the law in effect at execution.</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14.7 </w:t>
      </w:r>
      <w:r w:rsidDel="00000000" w:rsidR="00000000" w:rsidRPr="00000000">
        <w:rPr>
          <w:rFonts w:ascii="Roboto" w:cs="Roboto" w:eastAsia="Roboto" w:hAnsi="Roboto"/>
          <w:b w:val="1"/>
          <w:bCs w:val="1"/>
          <w:sz w:val="24"/>
          <w:szCs w:val="24"/>
          <w:rtl w:val="0"/>
        </w:rPr>
        <w:t xml:space="preserve">Forum and Law Selection</w:t>
      </w:r>
      <w:r w:rsidDel="00000000" w:rsidR="00000000" w:rsidRPr="00000000">
        <w:rPr>
          <w:rFonts w:ascii="Roboto" w:cs="Roboto" w:eastAsia="Roboto" w:hAnsi="Roboto"/>
          <w:sz w:val="24"/>
          <w:szCs w:val="24"/>
          <w:rtl w:val="0"/>
        </w:rPr>
        <w:t xml:space="preserve">: Each Party waives forum non conveniens defenses. Neither Party may invoke any law — foreign or domestic — or initiate proceedings in any jurisdiction for the purpose of weakening this Agreement's enforcement below what Washington law would provide.</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14.8 </w:t>
      </w:r>
      <w:r w:rsidDel="00000000" w:rsidR="00000000" w:rsidRPr="00000000">
        <w:rPr>
          <w:rFonts w:ascii="Roboto" w:cs="Roboto" w:eastAsia="Roboto" w:hAnsi="Roboto"/>
          <w:b w:val="1"/>
          <w:bCs w:val="1"/>
          <w:sz w:val="24"/>
          <w:szCs w:val="24"/>
          <w:rtl w:val="0"/>
        </w:rPr>
        <w:t xml:space="preserve">Relocation Fallback</w:t>
      </w:r>
      <w:r w:rsidDel="00000000" w:rsidR="00000000" w:rsidRPr="00000000">
        <w:rPr>
          <w:rFonts w:ascii="Roboto" w:cs="Roboto" w:eastAsia="Roboto" w:hAnsi="Roboto"/>
          <w:sz w:val="24"/>
          <w:szCs w:val="24"/>
          <w:rtl w:val="0"/>
        </w:rPr>
        <w:t xml:space="preserve">: If any court declines to apply Washington law or applies a more restrictive standard, this Agreement shall be enforced to the maximum extent that jurisdiction permits, with any limited provision reformed to its closest permissible equivalent. Section 4.8 governs any spousal support provision found unenforceable.</w:t>
      </w:r>
    </w:p>
    <w:p w:rsidR="00000000" w:rsidDel="00000000" w:rsidP="00000000" w:rsidRDefault="00000000" w:rsidRPr="00000000" w14:paraId="0000009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MODIFICATION AND FINALITY</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 </w:t>
      </w:r>
    </w:p>
    <w:p w:rsidR="00000000" w:rsidDel="00000000" w:rsidP="00000000" w:rsidRDefault="00000000" w:rsidRPr="00000000" w14:paraId="0000009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r w:rsidDel="00000000" w:rsidR="00000000" w:rsidRPr="00000000">
        <w:rPr>
          <w:rtl w:val="0"/>
        </w:rPr>
      </w:r>
    </w:p>
    <w:p w:rsidR="00000000" w:rsidDel="00000000" w:rsidP="00000000" w:rsidRDefault="00000000" w:rsidRPr="00000000" w14:paraId="000000A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SEVERABILITY</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r w:rsidDel="00000000" w:rsidR="00000000" w:rsidRPr="00000000">
        <w:rPr>
          <w:rtl w:val="0"/>
        </w:rPr>
      </w:r>
    </w:p>
    <w:p w:rsidR="00000000" w:rsidDel="00000000" w:rsidP="00000000" w:rsidRDefault="00000000" w:rsidRPr="00000000" w14:paraId="000000A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COMPREHENSIVE ACKNOWLEDGMENTS</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received full financial disclosure with reasonable opportunity for verification, and acknowledges the sufficiency of that disclosure as detailed in Section 12. </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spousal support, inheritance claims, and any other marital rights to the fullest extent permitted under Washington law, including community property rights under RCW 26.16 and maintenance rights under RCW 26.09.090. </w:t>
      </w:r>
    </w:p>
    <w:p w:rsidR="00000000" w:rsidDel="00000000" w:rsidP="00000000" w:rsidRDefault="00000000" w:rsidRPr="00000000" w14:paraId="000000A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17.5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unfairness or unconscionability; (d) duress, coercion, or undue influence; (e) retention of rights beyond those expressly preserved herein; or (f) any other challenge to this Agreement's validity or enforceability.</w:t>
      </w:r>
      <w:r w:rsidDel="00000000" w:rsidR="00000000" w:rsidRPr="00000000">
        <w:rPr>
          <w:rtl w:val="0"/>
        </w:rPr>
      </w:r>
    </w:p>
    <w:p w:rsidR="00000000" w:rsidDel="00000000" w:rsidP="00000000" w:rsidRDefault="00000000" w:rsidRPr="00000000" w14:paraId="000000A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EXECUTION</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B3">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B6">
      <w:pPr>
        <w:numPr>
          <w:ilvl w:val="0"/>
          <w:numId w:val="1"/>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B7">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B8">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B9">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at least thirty (30) days before the wedding date.</w:t>
      </w:r>
    </w:p>
    <w:p w:rsidR="00000000" w:rsidDel="00000000" w:rsidP="00000000" w:rsidRDefault="00000000" w:rsidRPr="00000000" w14:paraId="000000BA">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BB">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BC">
      <w:pPr>
        <w:numPr>
          <w:ilvl w:val="0"/>
          <w:numId w:val="1"/>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C0">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C2">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On this _______ day of __________________, 20______, before me, the undersigned, personally appeared Party A,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B">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CE">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CF">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0">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1">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at least thirty (30) days before the wedding date.</w:t>
      </w:r>
    </w:p>
    <w:p w:rsidR="00000000" w:rsidDel="00000000" w:rsidP="00000000" w:rsidRDefault="00000000" w:rsidRPr="00000000" w14:paraId="000000D2">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D3">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D4">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8">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DA">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On this _______ day of __________________, 20______, before me, the undersigned, personally appeared Party B,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D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E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E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E2">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3">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5">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E6">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7">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8">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