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WEST VIRGINIA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specifically acknowledge W. Va. Code § 48-1A-601(d)(2) and expressly contemplate at execution that material changes in circumstances during marriage — including but not limited to changes in income, earning capacity, health, employment status, caregiving obligations, career sacrifice, market conditions, geographic relocation, and business outcomes — were foreseen, discussed, and agreed to be insufficient grounds to invalidate or modify any term of this Agreement, and that the alimony formulas in Section 4 were specifically negotiated to account for such changes in advance;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and negotiate this Agreement prior to execution, has been advised of their right to be represented by independent legal counsel, and has had sufficient opportunity to consult with counsel of their choosing, ask questions, and propose changes;</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West Virginia, including the West Virginia Uniform Premarital Agreement Act, W. Va. Code §§ 48-1A-101 through 48-1A-1101 (enacted 2023), and intend for it to be legally binding and enforceable to the maximum extent permitted thereunder;</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and personal property; business interests and goodwill; financial accounts (savings, brokerage, retirement, pension, investment); employment income and equity compensation (stock options, RSUs, deferred compensation, carried interest, and similar incentives, whether vested or unvested); professional degrees, licenses, and earning capacity; gifts, inheritances, and trust distributions; digital assets (cryptocurrency, NFTs, digital wallets); intellectual property (patents, copyrights, trademarks, trade secrets, royalties, source code, and websites); legal claims, settlements, and insurance proceeds attributable to separate property or individual injury; and all appreciation, income, proceeds, replacements, and future development thereof. </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jointly-held property, the contributing Party retains full ownership interest. The Party asserting that commingling extinguished separate classification bears the burden of proving the contribution is untraceable.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  </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financial contributions ÷ Combined financial contributions of both Parties) × 100.</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 temporary, pendente lite, rehabilitative, permanent, and in gross — except as provided in this Section 4. Neither Party's marital fault or misconduct shall modify or override any formula in this Section, notwithstanding W. Va. Code § 48-8-104. Temporary support awarded in excess of Section 4.5 shall be credited dollar-for-dollar against future support or refunded within 90 days of this Agreement being upheld.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biological children of both Parties (including IVF) and children legally adopted by both Parties. Either Party may request genetic testing at any time at the requesting Party's cost. A child not meeting this definition is excluded from the Section 4.5 calculation; any excess payments attributable to that child are refunded or credited.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recipient has not earned at least $30,000 in gross annual income (adjusted annually by CPI-U from date of marriage), verified by tax returns or W-2s, within 24 months of divorce — unless recipient is primary caregiver of a Child of the Marriage under age four. Payor may request annual verification.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w:t>
      </w:r>
      <w:r w:rsidDel="00000000" w:rsidR="00000000" w:rsidRPr="00000000">
        <w:rPr>
          <w:rFonts w:ascii="Roboto" w:cs="Roboto" w:eastAsia="Roboto" w:hAnsi="Roboto"/>
          <w:sz w:val="24"/>
          <w:szCs w:val="24"/>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that year's income applies instead of the average.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 </w:t>
      </w:r>
    </w:p>
    <w:p w:rsidR="00000000" w:rsidDel="00000000" w:rsidP="00000000" w:rsidRDefault="00000000" w:rsidRPr="00000000" w14:paraId="00000037">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10%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14% of payor's net income</w:t>
      </w:r>
    </w:p>
    <w:p w:rsidR="00000000" w:rsidDel="00000000" w:rsidP="00000000" w:rsidRDefault="00000000" w:rsidRPr="00000000" w14:paraId="0000003D">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16% of payor's net income</w:t>
      </w:r>
    </w:p>
    <w:p w:rsidR="00000000" w:rsidDel="00000000" w:rsidP="00000000" w:rsidRDefault="00000000" w:rsidRPr="00000000" w14:paraId="0000003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$6,000</w:t>
      </w:r>
      <w:r w:rsidDel="00000000" w:rsidR="00000000" w:rsidRPr="00000000">
        <w:rPr>
          <w:rFonts w:ascii="Roboto" w:cs="Roboto" w:eastAsia="Roboto" w:hAnsi="Roboto"/>
          <w:sz w:val="24"/>
          <w:szCs w:val="24"/>
          <w:rtl w:val="0"/>
        </w:rPr>
        <w:t xml:space="preserve"> per month, adjusted annually by CPI-U from date of marriage through the earlier of separation or dissolution filing. </w:t>
      </w:r>
    </w:p>
    <w:p w:rsidR="00000000" w:rsidDel="00000000" w:rsidP="00000000" w:rsidRDefault="00000000" w:rsidRPr="00000000" w14:paraId="0000003F">
      <w:pPr>
        <w:spacing w:after="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Child Support Separate</w:t>
      </w:r>
      <w:r w:rsidDel="00000000" w:rsidR="00000000" w:rsidRPr="00000000">
        <w:rPr>
          <w:rFonts w:ascii="Roboto" w:cs="Roboto" w:eastAsia="Roboto" w:hAnsi="Roboto"/>
          <w:sz w:val="24"/>
          <w:szCs w:val="24"/>
          <w:rtl w:val="0"/>
        </w:rPr>
        <w:t xml:space="preserve">: This provision governs spousal support only. Child support is determined separately and cannot be limited by this Agreement.</w:t>
      </w:r>
      <w:r w:rsidDel="00000000" w:rsidR="00000000" w:rsidRPr="00000000">
        <w:rPr>
          <w:rtl w:val="0"/>
        </w:rPr>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9 years total</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Sections 4.5 and 4.6 would leave recipient with total income below 100% of Federal Poverty Level for their household size (including dependent children), support shall be increased to that threshold but shall not exceed the Section 4.5 amount by more than 50%.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calculation under Sections 4.5 or 4.6 is deemed unconscionable, the court shall reform to the following percentages of payor's average annual net income (as defined in 4.4) minus 25% of recipient's net income, with duration at 40% of marriage length: </w:t>
      </w:r>
    </w:p>
    <w:p w:rsidR="00000000" w:rsidDel="00000000" w:rsidP="00000000" w:rsidRDefault="00000000" w:rsidRPr="00000000" w14:paraId="00000049">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B">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except that support may be ordered to the minimum extent necessary to prevent recipient's eligibility for public assistance under W. Va. Code § 48-1A-601(c).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in a de facto marriage, as described in W. Va. Code § 48-5-707, for 90 or more consecutive days; (c) recipient's death; (d) payor's death; or (e) duration limit expiration under Section 4.6.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Neither Party may seek modification except upon clear and convincing evidence of circumstances that (a) were not reasonably foreseeable at execution, (b) are substantial and continuing, and (c) would render enforcement unconscionable under W. Va. Code § 48-1A-601(d). Both Parties acknowledge as reasonably foreseeable: dissolution, workforce departures, income and employment changes, health issues not constituting total disability, economic conditions, inflation, and caregiving decisions. No modification shall exceed the amounts in Section 4.5 or duration in Section 4.6.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4.5 and 4.6; or (b) Payor's Net Income multiplied by:</w:t>
      </w:r>
    </w:p>
    <w:p w:rsidR="00000000" w:rsidDel="00000000" w:rsidP="00000000" w:rsidRDefault="00000000" w:rsidRPr="00000000" w14:paraId="00000050">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51">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15-25 years: 125% </w:t>
      </w:r>
    </w:p>
    <w:p w:rsidR="00000000" w:rsidDel="00000000" w:rsidP="00000000" w:rsidRDefault="00000000" w:rsidRPr="00000000" w14:paraId="00000052">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25+ years: 175%</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post-filing income increases, including promotions, bonuses, raises, business growth, investment returns, inheritances, gifts, or higher compensation. Post-divorce earnings are separate property. </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6">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"value," and "hope" in this Section are intentionally non-obligatory. </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 </w:t>
      </w:r>
      <w:r w:rsidDel="00000000" w:rsidR="00000000" w:rsidRPr="00000000">
        <w:rPr>
          <w:rFonts w:ascii="Roboto" w:cs="Roboto" w:eastAsia="Roboto" w:hAnsi="Roboto"/>
          <w:sz w:val="24"/>
          <w:szCs w:val="24"/>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C">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under West Virginia law, including but not limited to: the elective share and supplemental elective-share amount under W. Va. Code § 42-3-1 et seq.; intestate succession rights under § 42-1-3; any right to serve as personal representative of the other's estate; and any other statutory or common-law right to share in the other's estate by reason of the marriage. </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 and are intended to satisfy the written-waiver requirements of W. Va. Code § 42-3-1 et seq. </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automatic spousal rights to be waived on each plan's forms after marriage. Each Party shall execute any such waiver, spousal consent, or beneficiary designation within thirty (30) days of the other's written request. Failure to do so is a material breach. This obligation supplements but does not replace the waiver of elective-share and inheritance rights in Sections 6.1 through 6.3. </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AND CONTINUED VALIDITY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w:t>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r w:rsidDel="00000000" w:rsidR="00000000" w:rsidRPr="00000000">
        <w:rPr>
          <w:rtl w:val="0"/>
        </w:rPr>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Unconscionability and substantial-hardship determinations under W. Va. Code § 48-1A-601(d) and (e) are reserved exclusively to the family court and are not subject to arbitration.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240" w:lineRule="auto"/>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11. FINANCIAL DISCLOSURE AND DISCOVERY LIMITATION</w:t>
      </w:r>
    </w:p>
    <w:p w:rsidR="00000000" w:rsidDel="00000000" w:rsidP="00000000" w:rsidRDefault="00000000" w:rsidRPr="00000000" w14:paraId="00000085">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11.1 </w:t>
      </w:r>
      <w:r w:rsidDel="00000000" w:rsidR="00000000" w:rsidRPr="00000000">
        <w:rPr>
          <w:rFonts w:ascii="Roboto" w:cs="Roboto" w:eastAsia="Roboto" w:hAnsi="Roboto"/>
          <w:b w:val="1"/>
          <w:bCs w:val="1"/>
          <w:sz w:val="24"/>
          <w:szCs w:val="24"/>
          <w:highlight w:val="white"/>
          <w:rtl w:val="0"/>
        </w:rPr>
        <w:t xml:space="preserve">Complete Financial Disclosure:</w:t>
      </w:r>
      <w:r w:rsidDel="00000000" w:rsidR="00000000" w:rsidRPr="00000000">
        <w:rPr>
          <w:rFonts w:ascii="Roboto" w:cs="Roboto" w:eastAsia="Roboto" w:hAnsi="Roboto"/>
          <w:sz w:val="24"/>
          <w:szCs w:val="24"/>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6">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11.2 </w:t>
      </w:r>
      <w:r w:rsidDel="00000000" w:rsidR="00000000" w:rsidRPr="00000000">
        <w:rPr>
          <w:rFonts w:ascii="Roboto" w:cs="Roboto" w:eastAsia="Roboto" w:hAnsi="Roboto"/>
          <w:b w:val="1"/>
          <w:bCs w:val="1"/>
          <w:sz w:val="24"/>
          <w:szCs w:val="24"/>
          <w:highlight w:val="white"/>
          <w:rtl w:val="0"/>
        </w:rPr>
        <w:t xml:space="preserve">Reliance and Acknowledgement:</w:t>
      </w:r>
      <w:r w:rsidDel="00000000" w:rsidR="00000000" w:rsidRPr="00000000">
        <w:rPr>
          <w:rFonts w:ascii="Roboto" w:cs="Roboto" w:eastAsia="Roboto" w:hAnsi="Roboto"/>
          <w:sz w:val="24"/>
          <w:szCs w:val="24"/>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highlight w:val="white"/>
          <w:rtl w:val="0"/>
        </w:rPr>
        <w:t xml:space="preserve">11.3 </w:t>
      </w:r>
      <w:r w:rsidDel="00000000" w:rsidR="00000000" w:rsidRPr="00000000">
        <w:rPr>
          <w:rFonts w:ascii="Roboto" w:cs="Roboto" w:eastAsia="Roboto" w:hAnsi="Roboto"/>
          <w:b w:val="1"/>
          <w:bCs w:val="1"/>
          <w:sz w:val="24"/>
          <w:szCs w:val="24"/>
          <w:highlight w:val="white"/>
          <w:rtl w:val="0"/>
        </w:rPr>
        <w:t xml:space="preserve">Discovery Limitation:</w:t>
      </w:r>
      <w:r w:rsidDel="00000000" w:rsidR="00000000" w:rsidRPr="00000000">
        <w:rPr>
          <w:rFonts w:ascii="Roboto" w:cs="Roboto" w:eastAsia="Roboto" w:hAnsi="Roboto"/>
          <w:sz w:val="24"/>
          <w:szCs w:val="24"/>
          <w:highlight w:val="white"/>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r w:rsidDel="00000000" w:rsidR="00000000" w:rsidRPr="00000000">
        <w:rPr>
          <w:rtl w:val="0"/>
        </w:rPr>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12. INDEPENDENT WAIVER OF DISCLOSURE RIGHTS </w:t>
      </w:r>
    </w:p>
    <w:p w:rsidR="00000000" w:rsidDel="00000000" w:rsidP="00000000" w:rsidRDefault="00000000" w:rsidRPr="00000000" w14:paraId="0000008A">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12.1 </w:t>
      </w:r>
      <w:r w:rsidDel="00000000" w:rsidR="00000000" w:rsidRPr="00000000">
        <w:rPr>
          <w:rFonts w:ascii="Roboto" w:cs="Roboto" w:eastAsia="Roboto" w:hAnsi="Roboto"/>
          <w:b w:val="1"/>
          <w:bCs w:val="1"/>
          <w:sz w:val="24"/>
          <w:szCs w:val="24"/>
          <w:highlight w:val="white"/>
          <w:rtl w:val="0"/>
        </w:rPr>
        <w:t xml:space="preserve">Knowing and Voluntary Waiver:</w:t>
      </w:r>
      <w:r w:rsidDel="00000000" w:rsidR="00000000" w:rsidRPr="00000000">
        <w:rPr>
          <w:rFonts w:ascii="Roboto" w:cs="Roboto" w:eastAsia="Roboto" w:hAnsi="Roboto"/>
          <w:sz w:val="24"/>
          <w:szCs w:val="24"/>
          <w:highlight w:val="white"/>
          <w:rtl w:val="0"/>
        </w:rPr>
        <w:t xml:space="preserve"> Each Party expressly, knowingly, and voluntarily waives all disclosure rights under W. Va. Code § 48-1A-601(a)(3)(B) and any other legal principle requiring financial disclosure beyond what was provided. </w:t>
      </w:r>
    </w:p>
    <w:p w:rsidR="00000000" w:rsidDel="00000000" w:rsidP="00000000" w:rsidRDefault="00000000" w:rsidRPr="00000000" w14:paraId="0000008B">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12.2 </w:t>
      </w:r>
      <w:r w:rsidDel="00000000" w:rsidR="00000000" w:rsidRPr="00000000">
        <w:rPr>
          <w:rFonts w:ascii="Roboto" w:cs="Roboto" w:eastAsia="Roboto" w:hAnsi="Roboto"/>
          <w:b w:val="1"/>
          <w:bCs w:val="1"/>
          <w:sz w:val="24"/>
          <w:szCs w:val="24"/>
          <w:highlight w:val="white"/>
          <w:rtl w:val="0"/>
        </w:rPr>
        <w:t xml:space="preserve">Independent Enforceability:</w:t>
      </w:r>
      <w:r w:rsidDel="00000000" w:rsidR="00000000" w:rsidRPr="00000000">
        <w:rPr>
          <w:rFonts w:ascii="Roboto" w:cs="Roboto" w:eastAsia="Roboto" w:hAnsi="Roboto"/>
          <w:sz w:val="24"/>
          <w:szCs w:val="24"/>
          <w:highlight w:val="white"/>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C">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12.3 </w:t>
      </w:r>
      <w:r w:rsidDel="00000000" w:rsidR="00000000" w:rsidRPr="00000000">
        <w:rPr>
          <w:rFonts w:ascii="Roboto" w:cs="Roboto" w:eastAsia="Roboto" w:hAnsi="Roboto"/>
          <w:b w:val="1"/>
          <w:bCs w:val="1"/>
          <w:sz w:val="24"/>
          <w:szCs w:val="24"/>
          <w:highlight w:val="white"/>
          <w:rtl w:val="0"/>
        </w:rPr>
        <w:t xml:space="preserve">Specific Statutory Waiver:</w:t>
      </w:r>
      <w:r w:rsidDel="00000000" w:rsidR="00000000" w:rsidRPr="00000000">
        <w:rPr>
          <w:rFonts w:ascii="Roboto" w:cs="Roboto" w:eastAsia="Roboto" w:hAnsi="Roboto"/>
          <w:sz w:val="24"/>
          <w:szCs w:val="24"/>
          <w:highlight w:val="white"/>
          <w:rtl w:val="0"/>
        </w:rPr>
        <w:t xml:space="preserve"> Each Party waives the right to disclosure of the property or financial obligations of the other Party beyond the disclosure provided, in satisfaction of W. Va. Code § 48-1A-601(a)(3)(A)–(C) and (b), irrespective of the completeness of attached schedules. </w:t>
      </w:r>
    </w:p>
    <w:p w:rsidR="00000000" w:rsidDel="00000000" w:rsidP="00000000" w:rsidRDefault="00000000" w:rsidRPr="00000000" w14:paraId="0000008D">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12.4 </w:t>
      </w:r>
      <w:r w:rsidDel="00000000" w:rsidR="00000000" w:rsidRPr="00000000">
        <w:rPr>
          <w:rFonts w:ascii="Roboto" w:cs="Roboto" w:eastAsia="Roboto" w:hAnsi="Roboto"/>
          <w:b w:val="1"/>
          <w:bCs w:val="1"/>
          <w:sz w:val="24"/>
          <w:szCs w:val="24"/>
          <w:highlight w:val="white"/>
          <w:rtl w:val="0"/>
        </w:rPr>
        <w:t xml:space="preserve">Voluntary Relinquishment:</w:t>
      </w:r>
      <w:r w:rsidDel="00000000" w:rsidR="00000000" w:rsidRPr="00000000">
        <w:rPr>
          <w:rFonts w:ascii="Roboto" w:cs="Roboto" w:eastAsia="Roboto" w:hAnsi="Roboto"/>
          <w:sz w:val="24"/>
          <w:szCs w:val="24"/>
          <w:highlight w:val="white"/>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E">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12.5 </w:t>
      </w:r>
      <w:r w:rsidDel="00000000" w:rsidR="00000000" w:rsidRPr="00000000">
        <w:rPr>
          <w:rFonts w:ascii="Roboto" w:cs="Roboto" w:eastAsia="Roboto" w:hAnsi="Roboto"/>
          <w:b w:val="1"/>
          <w:bCs w:val="1"/>
          <w:sz w:val="24"/>
          <w:szCs w:val="24"/>
          <w:highlight w:val="white"/>
          <w:rtl w:val="0"/>
        </w:rPr>
        <w:t xml:space="preserve">Irrevocable Future Claims Waiver:</w:t>
      </w:r>
      <w:r w:rsidDel="00000000" w:rsidR="00000000" w:rsidRPr="00000000">
        <w:rPr>
          <w:rFonts w:ascii="Roboto" w:cs="Roboto" w:eastAsia="Roboto" w:hAnsi="Roboto"/>
          <w:sz w:val="24"/>
          <w:szCs w:val="24"/>
          <w:highlight w:val="white"/>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highlight w:val="white"/>
          <w:rtl w:val="0"/>
        </w:rPr>
        <w:t xml:space="preserve">12.6 </w:t>
      </w:r>
      <w:r w:rsidDel="00000000" w:rsidR="00000000" w:rsidRPr="00000000">
        <w:rPr>
          <w:rFonts w:ascii="Roboto" w:cs="Roboto" w:eastAsia="Roboto" w:hAnsi="Roboto"/>
          <w:b w:val="1"/>
          <w:bCs w:val="1"/>
          <w:sz w:val="24"/>
          <w:szCs w:val="24"/>
          <w:highlight w:val="white"/>
          <w:rtl w:val="0"/>
        </w:rPr>
        <w:t xml:space="preserve">Counsel Acknowledgement:</w:t>
      </w:r>
      <w:r w:rsidDel="00000000" w:rsidR="00000000" w:rsidRPr="00000000">
        <w:rPr>
          <w:rFonts w:ascii="Roboto" w:cs="Roboto" w:eastAsia="Roboto" w:hAnsi="Roboto"/>
          <w:sz w:val="24"/>
          <w:szCs w:val="24"/>
          <w:highlight w:val="white"/>
          <w:rtl w:val="0"/>
        </w:rPr>
        <w:t xml:space="preserve"> Each Party acknowledges independent counsel advisement regarding this waiver's significance.</w:t>
      </w:r>
      <w:r w:rsidDel="00000000" w:rsidR="00000000" w:rsidRPr="00000000">
        <w:rPr>
          <w:rtl w:val="0"/>
        </w:rPr>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INDEPENDENT LEGAL COUNSEL</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 as required by W. Va. Code § 48-1A-201. The Parties further acknowledge that under </w:t>
      </w:r>
      <w:r w:rsidDel="00000000" w:rsidR="00000000" w:rsidRPr="00000000">
        <w:rPr>
          <w:rFonts w:ascii="Roboto" w:cs="Roboto" w:eastAsia="Roboto" w:hAnsi="Roboto"/>
          <w:i w:val="1"/>
          <w:iCs w:val="1"/>
          <w:sz w:val="24"/>
          <w:szCs w:val="24"/>
          <w:rtl w:val="0"/>
        </w:rPr>
        <w:t xml:space="preserve">Ware v. Ware</w:t>
      </w:r>
      <w:r w:rsidDel="00000000" w:rsidR="00000000" w:rsidRPr="00000000">
        <w:rPr>
          <w:rFonts w:ascii="Roboto" w:cs="Roboto" w:eastAsia="Roboto" w:hAnsi="Roboto"/>
          <w:sz w:val="24"/>
          <w:szCs w:val="24"/>
          <w:rtl w:val="0"/>
        </w:rPr>
        <w:t xml:space="preserve">, 224 W. Va. 599, 687 S.E.2d 382 (2009) and </w:t>
      </w:r>
      <w:r w:rsidDel="00000000" w:rsidR="00000000" w:rsidRPr="00000000">
        <w:rPr>
          <w:rFonts w:ascii="Roboto" w:cs="Roboto" w:eastAsia="Roboto" w:hAnsi="Roboto"/>
          <w:i w:val="1"/>
          <w:iCs w:val="1"/>
          <w:sz w:val="24"/>
          <w:szCs w:val="24"/>
          <w:rtl w:val="0"/>
        </w:rPr>
        <w:t xml:space="preserve">Owen v. Owen</w:t>
      </w:r>
      <w:r w:rsidDel="00000000" w:rsidR="00000000" w:rsidRPr="00000000">
        <w:rPr>
          <w:rFonts w:ascii="Roboto" w:cs="Roboto" w:eastAsia="Roboto" w:hAnsi="Roboto"/>
          <w:sz w:val="24"/>
          <w:szCs w:val="24"/>
          <w:rtl w:val="0"/>
        </w:rPr>
        <w:t xml:space="preserve">, 233 W. Va. 521, 759 S.E.2d 468 (2014), independent counsel for each Party is strongly advised for the presumption of validity to apply, and each Party has been advised to retain counsel. </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written advice to obtain counsel and an offer of reasonable funds to do so; (b) understanding of the rights waived under W. Va. Code §§ 48-7-101 et seq. and 42-3-1 et seq.; (c) at least thirty (30) days to seek counsel; (d) voluntary declination; and (e) heightened scrutiny under </w:t>
      </w:r>
      <w:r w:rsidDel="00000000" w:rsidR="00000000" w:rsidRPr="00000000">
        <w:rPr>
          <w:rFonts w:ascii="Roboto" w:cs="Roboto" w:eastAsia="Roboto" w:hAnsi="Roboto"/>
          <w:i w:val="1"/>
          <w:iCs w:val="1"/>
          <w:sz w:val="24"/>
          <w:szCs w:val="24"/>
          <w:rtl w:val="0"/>
        </w:rPr>
        <w:t xml:space="preserve">Ware</w:t>
      </w:r>
      <w:r w:rsidDel="00000000" w:rsidR="00000000" w:rsidRPr="00000000">
        <w:rPr>
          <w:rFonts w:ascii="Roboto" w:cs="Roboto" w:eastAsia="Roboto" w:hAnsi="Roboto"/>
          <w:sz w:val="24"/>
          <w:szCs w:val="24"/>
          <w:rtl w:val="0"/>
        </w:rPr>
        <w:t xml:space="preserve"> and </w:t>
      </w:r>
      <w:r w:rsidDel="00000000" w:rsidR="00000000" w:rsidRPr="00000000">
        <w:rPr>
          <w:rFonts w:ascii="Roboto" w:cs="Roboto" w:eastAsia="Roboto" w:hAnsi="Roboto"/>
          <w:i w:val="1"/>
          <w:iCs w:val="1"/>
          <w:sz w:val="24"/>
          <w:szCs w:val="24"/>
          <w:rtl w:val="0"/>
        </w:rPr>
        <w:t xml:space="preserve">Owen</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GOVERNING LAW AND ENFORCEABILITY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West Virginia Law</w:t>
      </w:r>
      <w:r w:rsidDel="00000000" w:rsidR="00000000" w:rsidRPr="00000000">
        <w:rPr>
          <w:rFonts w:ascii="Roboto" w:cs="Roboto" w:eastAsia="Roboto" w:hAnsi="Roboto"/>
          <w:sz w:val="24"/>
          <w:szCs w:val="24"/>
          <w:rtl w:val="0"/>
        </w:rPr>
        <w:t xml:space="preserve">: This Agreement is governed by West Virginia law as of the execution date, including the West Virginia Uniform Premarital Agreement Act, W. Va. Code §§ 48-1A-101 through 48-1A-1101, regardless of domicile or asset location. Future amendments to West Virginia law that would reduce the enforceability of this Agreement shall not apply retroactively.</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West Virginia jurisdiction and waives forum non conveniens defenses. Either Party may alternatively enforce this Agreement in any jurisdiction providing equal or stronger premarital-agreement protections than West Virginia. The Parties agree to seek specific performance and contractual enforcement of this Agreement over any inconsistent judicial award, to the maximum extent permitted under West Virginia law. </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14.4</w:t>
      </w:r>
      <w:r w:rsidDel="00000000" w:rsidR="00000000" w:rsidRPr="00000000">
        <w:rPr>
          <w:rFonts w:ascii="Roboto" w:cs="Roboto" w:eastAsia="Roboto" w:hAnsi="Roboto"/>
          <w:b w:val="1"/>
          <w:bCs w:val="1"/>
          <w:sz w:val="24"/>
          <w:szCs w:val="24"/>
          <w:rtl w:val="0"/>
        </w:rPr>
        <w:t xml:space="preserve"> Law Selection</w:t>
      </w:r>
      <w:r w:rsidDel="00000000" w:rsidR="00000000" w:rsidRPr="00000000">
        <w:rPr>
          <w:rFonts w:ascii="Roboto" w:cs="Roboto" w:eastAsia="Roboto" w:hAnsi="Roboto"/>
          <w:sz w:val="24"/>
          <w:szCs w:val="24"/>
          <w:rtl w:val="0"/>
        </w:rPr>
        <w:t xml:space="preserve">: Neither Party may invoke any law — foreign or domestic — to weaken this Agreement's enforcement below the standards of W. Va. Code § 48-1A-601.</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14.5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a statutory ground for unenforceability under W. Va. Code § 48-1A-601. Neither Party may initiate proceedings in a jurisdiction with weaker prenuptial-agreement enforcement than West Virginia.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14.6</w:t>
      </w:r>
      <w:r w:rsidDel="00000000" w:rsidR="00000000" w:rsidRPr="00000000">
        <w:rPr>
          <w:rFonts w:ascii="Roboto" w:cs="Roboto" w:eastAsia="Roboto" w:hAnsi="Roboto"/>
          <w:b w:val="1"/>
          <w:bCs w:val="1"/>
          <w:sz w:val="24"/>
          <w:szCs w:val="24"/>
          <w:rtl w:val="0"/>
        </w:rPr>
        <w:t xml:space="preserve"> Relocation Fallback.</w:t>
      </w:r>
      <w:r w:rsidDel="00000000" w:rsidR="00000000" w:rsidRPr="00000000">
        <w:rPr>
          <w:rFonts w:ascii="Roboto" w:cs="Roboto" w:eastAsia="Roboto" w:hAnsi="Roboto"/>
          <w:sz w:val="24"/>
          <w:szCs w:val="24"/>
          <w:rtl w:val="0"/>
        </w:rPr>
        <w:t xml:space="preserve"> If any court declines to apply West Virginia law or applies a more restrictive standard, this Agreement shall be enforced to the maximum extent that jurisdiction permits, with any limited provision reformed to its closest permissible equivalent. Section 4.8 governs any spousal-support provision found unenforceable. </w:t>
      </w:r>
    </w:p>
    <w:p w:rsidR="00000000" w:rsidDel="00000000" w:rsidP="00000000" w:rsidRDefault="00000000" w:rsidRPr="00000000" w14:paraId="0000009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MODIFICATION AND FINALITY</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SEVERABILITY</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COMPREHENSIVE ACKNOWLEDGMENTS</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under W. Va. Code § 48-7-101 et seq., spousal support, inheritance and elective-share claims under § 42-3-1 et seq., and any other marital rights to the fullest extent permitted under W. Va. Code § 48-1A-101 et seq. and West Virginia case law including </w:t>
      </w:r>
      <w:r w:rsidDel="00000000" w:rsidR="00000000" w:rsidRPr="00000000">
        <w:rPr>
          <w:rFonts w:ascii="Roboto" w:cs="Roboto" w:eastAsia="Roboto" w:hAnsi="Roboto"/>
          <w:i w:val="1"/>
          <w:iCs w:val="1"/>
          <w:sz w:val="24"/>
          <w:szCs w:val="24"/>
          <w:rtl w:val="0"/>
        </w:rPr>
        <w:t xml:space="preserve">Ware v. Ware</w:t>
      </w:r>
      <w:r w:rsidDel="00000000" w:rsidR="00000000" w:rsidRPr="00000000">
        <w:rPr>
          <w:rFonts w:ascii="Roboto" w:cs="Roboto" w:eastAsia="Roboto" w:hAnsi="Roboto"/>
          <w:sz w:val="24"/>
          <w:szCs w:val="24"/>
          <w:rtl w:val="0"/>
        </w:rPr>
        <w:t xml:space="preserve"> and </w:t>
      </w:r>
      <w:r w:rsidDel="00000000" w:rsidR="00000000" w:rsidRPr="00000000">
        <w:rPr>
          <w:rFonts w:ascii="Roboto" w:cs="Roboto" w:eastAsia="Roboto" w:hAnsi="Roboto"/>
          <w:i w:val="1"/>
          <w:iCs w:val="1"/>
          <w:sz w:val="24"/>
          <w:szCs w:val="24"/>
          <w:rtl w:val="0"/>
        </w:rPr>
        <w:t xml:space="preserve">Owen v. Owen</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not expressly authorized by W. Va. Code § 48-1A-601. </w:t>
      </w:r>
    </w:p>
    <w:p w:rsidR="00000000" w:rsidDel="00000000" w:rsidP="00000000" w:rsidRDefault="00000000" w:rsidRPr="00000000" w14:paraId="000000A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EXECUTION</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8">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B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at least thirty (30) days before the wedding date.</w:t>
      </w:r>
    </w:p>
    <w:p w:rsidR="00000000" w:rsidDel="00000000" w:rsidP="00000000" w:rsidRDefault="00000000" w:rsidRPr="00000000" w14:paraId="000000B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B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BE">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4">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0">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1">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2">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3">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at least thirty (30) days before the wedding date.</w:t>
      </w:r>
    </w:p>
    <w:p w:rsidR="00000000" w:rsidDel="00000000" w:rsidP="00000000" w:rsidRDefault="00000000" w:rsidRPr="00000000" w14:paraId="000000D4">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5">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6">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DC">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