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ALASKA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Alaska, including the three-factor enforceability test articulated in </w:t>
      </w:r>
      <w:r w:rsidDel="00000000" w:rsidR="00000000" w:rsidRPr="00000000">
        <w:rPr>
          <w:rFonts w:ascii="Roboto" w:cs="Roboto" w:eastAsia="Roboto" w:hAnsi="Roboto"/>
          <w:i w:val="1"/>
          <w:iCs w:val="1"/>
          <w:sz w:val="24"/>
          <w:szCs w:val="24"/>
          <w:rtl w:val="0"/>
        </w:rPr>
        <w:t xml:space="preserve">Brooks v. Brooks</w:t>
      </w:r>
      <w:r w:rsidDel="00000000" w:rsidR="00000000" w:rsidRPr="00000000">
        <w:rPr>
          <w:rFonts w:ascii="Roboto" w:cs="Roboto" w:eastAsia="Roboto" w:hAnsi="Roboto"/>
          <w:sz w:val="24"/>
          <w:szCs w:val="24"/>
          <w:rtl w:val="0"/>
        </w:rPr>
        <w:t xml:space="preserve">, 733 P.2d 1044 (Alaska 1987), and its progeny,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specifically acknowledge that Alaska reviews prenuptial agreements at both execution and enforcement under </w:t>
      </w:r>
      <w:r w:rsidDel="00000000" w:rsidR="00000000" w:rsidRPr="00000000">
        <w:rPr>
          <w:rFonts w:ascii="Roboto" w:cs="Roboto" w:eastAsia="Roboto" w:hAnsi="Roboto"/>
          <w:i w:val="1"/>
          <w:iCs w:val="1"/>
          <w:sz w:val="24"/>
          <w:szCs w:val="24"/>
          <w:rtl w:val="0"/>
        </w:rPr>
        <w:t xml:space="preserve">Brooks</w:t>
      </w:r>
      <w:r w:rsidDel="00000000" w:rsidR="00000000" w:rsidRPr="00000000">
        <w:rPr>
          <w:rFonts w:ascii="Roboto" w:cs="Roboto" w:eastAsia="Roboto" w:hAnsi="Roboto"/>
          <w:sz w:val="24"/>
          <w:szCs w:val="24"/>
          <w:rtl w:val="0"/>
        </w:rPr>
        <w:t xml:space="preserve"> and </w:t>
      </w:r>
      <w:r w:rsidDel="00000000" w:rsidR="00000000" w:rsidRPr="00000000">
        <w:rPr>
          <w:rFonts w:ascii="Roboto" w:cs="Roboto" w:eastAsia="Roboto" w:hAnsi="Roboto"/>
          <w:i w:val="1"/>
          <w:iCs w:val="1"/>
          <w:sz w:val="24"/>
          <w:szCs w:val="24"/>
          <w:rtl w:val="0"/>
        </w:rPr>
        <w:t xml:space="preserve">Kilkenny v. Kilkenny</w:t>
      </w:r>
      <w:r w:rsidDel="00000000" w:rsidR="00000000" w:rsidRPr="00000000">
        <w:rPr>
          <w:rFonts w:ascii="Roboto" w:cs="Roboto" w:eastAsia="Roboto" w:hAnsi="Roboto"/>
          <w:sz w:val="24"/>
          <w:szCs w:val="24"/>
          <w:rtl w:val="0"/>
        </w:rPr>
        <w:t xml:space="preserve">, S-18602 (Alaska Sept. 19, 2025), and each Party affirms that the terms herein — including the alimony formulas in Section 4 — are objectively fair and reasonable at execution and intended to remain so notwithstanding foreseeable changes in circumstances;</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trusts validly established under applicable law, including discretionary and generation-skipping trusts. </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w:t>
      </w:r>
      <w:r w:rsidDel="00000000" w:rsidR="00000000" w:rsidRPr="00000000">
        <w:rPr>
          <w:rFonts w:ascii="Roboto" w:cs="Roboto" w:eastAsia="Roboto" w:hAnsi="Roboto"/>
          <w:b w:val="1"/>
          <w:bCs w:val="1"/>
          <w:sz w:val="24"/>
          <w:szCs w:val="24"/>
          <w:rtl w:val="0"/>
        </w:rPr>
        <w:t xml:space="preserve"> 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reorientation, or permanent, except as specifically provided in Sections 4.6 through 4.14. The Parties intend this Section 4 to constitute the exclusive and complete spousal-support framework between them.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 Adopted children are addressed separately under Alaska child support guidelines (AS 25.27) and do not affect the alimony calculation under this Section 4. The Parties intend the alimony framework to operate as a single financial mechanism untied to family-formation choices made during marriage.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Social Security, and Medicare withholdings, excluding voluntary deductions and any state income tax (Alaska imposes none).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6% of payor's net income</w:t>
      </w:r>
    </w:p>
    <w:p w:rsidR="00000000" w:rsidDel="00000000" w:rsidP="00000000" w:rsidRDefault="00000000" w:rsidRPr="00000000" w14:paraId="0000003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8%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10%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12%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14%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16% of payor's net income</w:t>
      </w:r>
    </w:p>
    <w:p w:rsidR="00000000" w:rsidDel="00000000" w:rsidP="00000000" w:rsidRDefault="00000000" w:rsidRPr="00000000" w14:paraId="0000003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18%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$3,500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10%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20%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30%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35% of marriage length, capped at 10 years total</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150% of Federal Poverty Level for their household size (including dependent children), support shall be increased to achieve that threshold, but shall not exceed the amounts calculated under Section 4.6 by more than 50%. </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unenforceable by a court applying the third factor of </w:t>
      </w:r>
      <w:r w:rsidDel="00000000" w:rsidR="00000000" w:rsidRPr="00000000">
        <w:rPr>
          <w:rFonts w:ascii="Roboto" w:cs="Roboto" w:eastAsia="Roboto" w:hAnsi="Roboto"/>
          <w:i w:val="1"/>
          <w:iCs w:val="1"/>
          <w:sz w:val="24"/>
          <w:szCs w:val="24"/>
          <w:rtl w:val="0"/>
        </w:rPr>
        <w:t xml:space="preserve">Brooks v. Brooks</w:t>
      </w:r>
      <w:r w:rsidDel="00000000" w:rsidR="00000000" w:rsidRPr="00000000">
        <w:rPr>
          <w:rFonts w:ascii="Roboto" w:cs="Roboto" w:eastAsia="Roboto" w:hAnsi="Roboto"/>
          <w:sz w:val="24"/>
          <w:szCs w:val="24"/>
          <w:rtl w:val="0"/>
        </w:rPr>
        <w:t xml:space="preserve">, 733 P.2d 1044 (Alaska 1987), it shall be reformed to the following percentages of payor's net income, minus 50% of recipient's income. Duration shall be 50% of marriage length. </w:t>
      </w:r>
    </w:p>
    <w:p w:rsidR="00000000" w:rsidDel="00000000" w:rsidP="00000000" w:rsidRDefault="00000000" w:rsidRPr="00000000" w14:paraId="00000046">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7">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8">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Support reduces proportionally if payor's gross annual income falls below 75% of their gross income in the year prior to executing this Agreement, calculated as: (current income ÷ baseline income) × scheduled support. Support shall not be eliminated entirely except upon payor's bona fide disability, involuntary unemployment exceeding 12 months, or income below 200% of Federal Poverty Level for a single person.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 romantic partner in a marriage-like relationship for 90 or more consecutive days, evidenced by shared residence and either shared finances or holding out as a couple; (c) Recipient's death; (d) Payor's death; or (e) Duration limit expiration under Section 4.7.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Defined Scope of "Changed Circumstances."</w:t>
      </w:r>
      <w:r w:rsidDel="00000000" w:rsidR="00000000" w:rsidRPr="00000000">
        <w:rPr>
          <w:rFonts w:ascii="Roboto" w:cs="Roboto" w:eastAsia="Roboto" w:hAnsi="Roboto"/>
          <w:sz w:val="24"/>
          <w:szCs w:val="24"/>
          <w:rtl w:val="0"/>
        </w:rPr>
        <w:t xml:space="preserve"> The third factor of </w:t>
      </w:r>
      <w:r w:rsidDel="00000000" w:rsidR="00000000" w:rsidRPr="00000000">
        <w:rPr>
          <w:rFonts w:ascii="Roboto" w:cs="Roboto" w:eastAsia="Roboto" w:hAnsi="Roboto"/>
          <w:i w:val="1"/>
          <w:iCs w:val="1"/>
          <w:sz w:val="24"/>
          <w:szCs w:val="24"/>
          <w:rtl w:val="0"/>
        </w:rPr>
        <w:t xml:space="preserve">Brooks v. Brooks</w:t>
      </w:r>
      <w:r w:rsidDel="00000000" w:rsidR="00000000" w:rsidRPr="00000000">
        <w:rPr>
          <w:rFonts w:ascii="Roboto" w:cs="Roboto" w:eastAsia="Roboto" w:hAnsi="Roboto"/>
          <w:sz w:val="24"/>
          <w:szCs w:val="24"/>
          <w:rtl w:val="0"/>
        </w:rPr>
        <w:t xml:space="preserve">, 733 P.2d 1044 (Alaska 1987), is limited to material adverse financial changes affecting the recipient that were not foreseeable at execution. The Parties acknowledge the following as foreseeable at execution and not grounds for modification, reformation, or invalidation: (a) marriage duration; (b) workforce withdrawals or career sacrifices for any reason, including caregiving; (c) income or employment changes; (d) routine health issues, disability, or illness compensated by Section 4.8 (hardship) or available through insurance, disability benefits, or public programs; (e) economic or market conditions; (f) childcare or parenting decisions; (g) lifestyle or standard-of-living changes; and (h) any other non-financial conduct during marriage.</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Sections 4.6 through 4.10 already account for foreseeable financial variation and include a hardship floor (Section 4.8), satisfying the third factor of </w:t>
      </w:r>
      <w:r w:rsidDel="00000000" w:rsidR="00000000" w:rsidRPr="00000000">
        <w:rPr>
          <w:rFonts w:ascii="Roboto" w:cs="Roboto" w:eastAsia="Roboto" w:hAnsi="Roboto"/>
          <w:i w:val="1"/>
          <w:iCs w:val="1"/>
          <w:sz w:val="24"/>
          <w:szCs w:val="24"/>
          <w:rtl w:val="0"/>
        </w:rPr>
        <w:t xml:space="preserve">Brooks</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E">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4F">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100% </w:t>
      </w:r>
    </w:p>
    <w:p w:rsidR="00000000" w:rsidDel="00000000" w:rsidP="00000000" w:rsidRDefault="00000000" w:rsidRPr="00000000" w14:paraId="00000050">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125%</w:t>
      </w:r>
    </w:p>
    <w:p w:rsidR="00000000" w:rsidDel="00000000" w:rsidP="00000000" w:rsidRDefault="00000000" w:rsidRPr="00000000" w14:paraId="00000051">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that the cap in subsection (b) provides a safety ceiling against extreme outcomes and is intended to ensure the recipient receives a meaningful proportion of payor's earning capacity in long marriages. </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 </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B">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C">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D">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E">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Alaska law, including</w:t>
      </w:r>
      <w:hyperlink r:id="rId6">
        <w:r w:rsidDel="00000000" w:rsidR="00000000" w:rsidRPr="00000000">
          <w:rPr>
            <w:rFonts w:ascii="Roboto" w:cs="Roboto" w:eastAsia="Roboto" w:hAnsi="Roboto"/>
            <w:sz w:val="24"/>
            <w:szCs w:val="24"/>
            <w:rtl w:val="0"/>
          </w:rPr>
          <w:t xml:space="preserve"> </w:t>
        </w:r>
      </w:hyperlink>
      <w:hyperlink r:id="rId7">
        <w:r w:rsidDel="00000000" w:rsidR="00000000" w:rsidRPr="00000000">
          <w:rPr>
            <w:rFonts w:ascii="Roboto" w:cs="Roboto" w:eastAsia="Roboto" w:hAnsi="Roboto"/>
            <w:color w:val="1155cc"/>
            <w:sz w:val="24"/>
            <w:szCs w:val="24"/>
            <w:u w:val="single"/>
            <w:rtl w:val="0"/>
          </w:rPr>
          <w:t xml:space="preserve">AS 13.12.213</w:t>
        </w:r>
      </w:hyperlink>
      <w:r w:rsidDel="00000000" w:rsidR="00000000" w:rsidRPr="00000000">
        <w:rPr>
          <w:rFonts w:ascii="Roboto" w:cs="Roboto" w:eastAsia="Roboto" w:hAnsi="Roboto"/>
          <w:sz w:val="24"/>
          <w:szCs w:val="24"/>
          <w:rtl w:val="0"/>
        </w:rPr>
        <w:t xml:space="preserve"> (waiver of elective share, homestead allowance, exempt property, and family allowance).</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and shall not reform or modify the Section 4 alimony framework except as expressly permitted by Section 4.9. Awards shall be enforceable under AS 09.43.300-595 (Revised Uniform Arbitration Act), subject to the limited grounds for vacatur thereunder. </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be unfair and unreasonable under the circumstances.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 with cumulative damages under this subsection capped at 10% of breaching Party's gross annual income per calendar year; </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 with the same annual cap as (b); </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Backup Waiver Only — Section 11 Controls</w:t>
      </w:r>
      <w:r w:rsidDel="00000000" w:rsidR="00000000" w:rsidRPr="00000000">
        <w:rPr>
          <w:rFonts w:ascii="Roboto" w:cs="Roboto" w:eastAsia="Roboto" w:hAnsi="Roboto"/>
          <w:sz w:val="24"/>
          <w:szCs w:val="24"/>
          <w:rtl w:val="0"/>
        </w:rPr>
        <w:t xml:space="preserve">. This Section 12 operates solely as a backup waiver and is not relied upon by either Party as the primary disclosure mechanism. The Parties' actual financial disclosures, set forth in Exhibits A and B and acknowledged in Section 11, remain the operative disclosures for all purposes. To the extent Section 11 is later challenged or held inadequate, each Party expressly, knowingly, and voluntarily waives all remaining disclosure rights under AS 13.12.213(b), the three-factor enforceability test of </w:t>
      </w:r>
      <w:r w:rsidDel="00000000" w:rsidR="00000000" w:rsidRPr="00000000">
        <w:rPr>
          <w:rFonts w:ascii="Roboto" w:cs="Roboto" w:eastAsia="Roboto" w:hAnsi="Roboto"/>
          <w:i w:val="1"/>
          <w:iCs w:val="1"/>
          <w:sz w:val="24"/>
          <w:szCs w:val="24"/>
          <w:rtl w:val="0"/>
        </w:rPr>
        <w:t xml:space="preserve">Brooks v. Brooks</w:t>
      </w:r>
      <w:r w:rsidDel="00000000" w:rsidR="00000000" w:rsidRPr="00000000">
        <w:rPr>
          <w:rFonts w:ascii="Roboto" w:cs="Roboto" w:eastAsia="Roboto" w:hAnsi="Roboto"/>
          <w:sz w:val="24"/>
          <w:szCs w:val="24"/>
          <w:rtl w:val="0"/>
        </w:rPr>
        <w:t xml:space="preserve">, 733 P.2d 1044 (Alaska 1987), and any other Alaska legal principle. </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AS 13.12.213(b) and Alaska common law under the three-factor </w:t>
      </w:r>
      <w:r w:rsidDel="00000000" w:rsidR="00000000" w:rsidRPr="00000000">
        <w:rPr>
          <w:rFonts w:ascii="Roboto" w:cs="Roboto" w:eastAsia="Roboto" w:hAnsi="Roboto"/>
          <w:i w:val="1"/>
          <w:iCs w:val="1"/>
          <w:sz w:val="24"/>
          <w:szCs w:val="24"/>
          <w:rtl w:val="0"/>
        </w:rPr>
        <w:t xml:space="preserve">Brooks</w:t>
      </w:r>
      <w:r w:rsidDel="00000000" w:rsidR="00000000" w:rsidRPr="00000000">
        <w:rPr>
          <w:rFonts w:ascii="Roboto" w:cs="Roboto" w:eastAsia="Roboto" w:hAnsi="Roboto"/>
          <w:sz w:val="24"/>
          <w:szCs w:val="24"/>
          <w:rtl w:val="0"/>
        </w:rPr>
        <w:t xml:space="preserve"> test, and acknowledges this satisfies the requirements irrespective of attached schedules. </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98">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9">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A">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16.1 Default Governing Law.</w:t>
      </w:r>
      <w:r w:rsidDel="00000000" w:rsidR="00000000" w:rsidRPr="00000000">
        <w:rPr>
          <w:rFonts w:ascii="Roboto" w:cs="Roboto" w:eastAsia="Roboto" w:hAnsi="Roboto"/>
          <w:sz w:val="24"/>
          <w:szCs w:val="24"/>
          <w:rtl w:val="0"/>
        </w:rPr>
        <w:t xml:space="preserve"> This Agreement is governed by Alaska law as of execution date, including </w:t>
      </w:r>
      <w:r w:rsidDel="00000000" w:rsidR="00000000" w:rsidRPr="00000000">
        <w:rPr>
          <w:rFonts w:ascii="Roboto" w:cs="Roboto" w:eastAsia="Roboto" w:hAnsi="Roboto"/>
          <w:i w:val="1"/>
          <w:iCs w:val="1"/>
          <w:sz w:val="24"/>
          <w:szCs w:val="24"/>
          <w:rtl w:val="0"/>
        </w:rPr>
        <w:t xml:space="preserve">Brooks v. Brooks</w:t>
      </w:r>
      <w:r w:rsidDel="00000000" w:rsidR="00000000" w:rsidRPr="00000000">
        <w:rPr>
          <w:rFonts w:ascii="Roboto" w:cs="Roboto" w:eastAsia="Roboto" w:hAnsi="Roboto"/>
          <w:sz w:val="24"/>
          <w:szCs w:val="24"/>
          <w:rtl w:val="0"/>
        </w:rPr>
        <w:t xml:space="preserve">, 733 P.2d 1044 (Alaska 1987); </w:t>
      </w:r>
      <w:r w:rsidDel="00000000" w:rsidR="00000000" w:rsidRPr="00000000">
        <w:rPr>
          <w:rFonts w:ascii="Roboto" w:cs="Roboto" w:eastAsia="Roboto" w:hAnsi="Roboto"/>
          <w:i w:val="1"/>
          <w:iCs w:val="1"/>
          <w:sz w:val="24"/>
          <w:szCs w:val="24"/>
          <w:rtl w:val="0"/>
        </w:rPr>
        <w:t xml:space="preserve">Compton v. Compton</w:t>
      </w:r>
      <w:r w:rsidDel="00000000" w:rsidR="00000000" w:rsidRPr="00000000">
        <w:rPr>
          <w:rFonts w:ascii="Roboto" w:cs="Roboto" w:eastAsia="Roboto" w:hAnsi="Roboto"/>
          <w:sz w:val="24"/>
          <w:szCs w:val="24"/>
          <w:rtl w:val="0"/>
        </w:rPr>
        <w:t xml:space="preserve">, 902 P.2d 805 (Alaska 1995); </w:t>
      </w:r>
      <w:r w:rsidDel="00000000" w:rsidR="00000000" w:rsidRPr="00000000">
        <w:rPr>
          <w:rFonts w:ascii="Roboto" w:cs="Roboto" w:eastAsia="Roboto" w:hAnsi="Roboto"/>
          <w:i w:val="1"/>
          <w:iCs w:val="1"/>
          <w:sz w:val="24"/>
          <w:szCs w:val="24"/>
          <w:rtl w:val="0"/>
        </w:rPr>
        <w:t xml:space="preserve">Andrew B. v. Abbie B.</w:t>
      </w:r>
      <w:r w:rsidDel="00000000" w:rsidR="00000000" w:rsidRPr="00000000">
        <w:rPr>
          <w:rFonts w:ascii="Roboto" w:cs="Roboto" w:eastAsia="Roboto" w:hAnsi="Roboto"/>
          <w:sz w:val="24"/>
          <w:szCs w:val="24"/>
          <w:rtl w:val="0"/>
        </w:rPr>
        <w:t xml:space="preserve">, 494 P.3d 522 (Alaska 2021); </w:t>
      </w:r>
      <w:r w:rsidDel="00000000" w:rsidR="00000000" w:rsidRPr="00000000">
        <w:rPr>
          <w:rFonts w:ascii="Roboto" w:cs="Roboto" w:eastAsia="Roboto" w:hAnsi="Roboto"/>
          <w:i w:val="1"/>
          <w:iCs w:val="1"/>
          <w:sz w:val="24"/>
          <w:szCs w:val="24"/>
          <w:rtl w:val="0"/>
        </w:rPr>
        <w:t xml:space="preserve">Kilkenny v. Kilkenny</w:t>
      </w:r>
      <w:r w:rsidDel="00000000" w:rsidR="00000000" w:rsidRPr="00000000">
        <w:rPr>
          <w:rFonts w:ascii="Roboto" w:cs="Roboto" w:eastAsia="Roboto" w:hAnsi="Roboto"/>
          <w:sz w:val="24"/>
          <w:szCs w:val="24"/>
          <w:rtl w:val="0"/>
        </w:rPr>
        <w:t xml:space="preserve">, S-18602 (Alaska Sept. 19, 2025); AS 13.12.213; and AS 34.77, regardless of domicile or asset location.</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16.2 Stronger-Jurisdiction Option.</w:t>
      </w:r>
      <w:r w:rsidDel="00000000" w:rsidR="00000000" w:rsidRPr="00000000">
        <w:rPr>
          <w:rFonts w:ascii="Roboto" w:cs="Roboto" w:eastAsia="Roboto" w:hAnsi="Roboto"/>
          <w:sz w:val="24"/>
          <w:szCs w:val="24"/>
          <w:rtl w:val="0"/>
        </w:rPr>
        <w:t xml:space="preserve"> Notwithstanding Section 16.1, either Party may enforce this Agreement under the law of any jurisdiction that would enforce its substantive terms more fully than Alaska — including jurisdictions that have adopted the Uniform Premarital Agreement Act (UPAA), the Uniform Premarital and Marital Agreements Act (UPMAA), or that apply execution-only review without the </w:t>
      </w:r>
      <w:r w:rsidDel="00000000" w:rsidR="00000000" w:rsidRPr="00000000">
        <w:rPr>
          <w:rFonts w:ascii="Roboto" w:cs="Roboto" w:eastAsia="Roboto" w:hAnsi="Roboto"/>
          <w:i w:val="1"/>
          <w:iCs w:val="1"/>
          <w:sz w:val="24"/>
          <w:szCs w:val="24"/>
          <w:rtl w:val="0"/>
        </w:rPr>
        <w:t xml:space="preserve">Brooks</w:t>
      </w:r>
      <w:r w:rsidDel="00000000" w:rsidR="00000000" w:rsidRPr="00000000">
        <w:rPr>
          <w:rFonts w:ascii="Roboto" w:cs="Roboto" w:eastAsia="Roboto" w:hAnsi="Roboto"/>
          <w:sz w:val="24"/>
          <w:szCs w:val="24"/>
          <w:rtl w:val="0"/>
        </w:rPr>
        <w:t xml:space="preserve"> third-factor second look. The Parties intend this Agreement to receive the strongest enforcement available in any jurisdiction where a Party resides, where assets are located, or where a proceeding is properly filed.</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16.3 Floor — No Weakening.</w:t>
      </w:r>
      <w:r w:rsidDel="00000000" w:rsidR="00000000" w:rsidRPr="00000000">
        <w:rPr>
          <w:rFonts w:ascii="Roboto" w:cs="Roboto" w:eastAsia="Roboto" w:hAnsi="Roboto"/>
          <w:sz w:val="24"/>
          <w:szCs w:val="24"/>
          <w:rtl w:val="0"/>
        </w:rPr>
        <w:t xml:space="preserve"> Alaska law operates as the enforceability floor, not the ceiling. No Party may invoke the law of any jurisdiction that would enforce this Agreement less fully than Alaska, and no Party may file in a jurisdiction selected to weaken the substantive terms herein, including the Section 4 alimony framework, the Section 2 separate property provisions, or the Section 6 inheritance waivers.</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16.4 Jurisdiction and Forum.</w:t>
      </w:r>
      <w:r w:rsidDel="00000000" w:rsidR="00000000" w:rsidRPr="00000000">
        <w:rPr>
          <w:rFonts w:ascii="Roboto" w:cs="Roboto" w:eastAsia="Roboto" w:hAnsi="Roboto"/>
          <w:sz w:val="24"/>
          <w:szCs w:val="24"/>
          <w:rtl w:val="0"/>
        </w:rPr>
        <w:t xml:space="preserve"> Each Party submits to Alaska jurisdiction for any dispute under this Agreement and waives forum non conveniens defenses to Alaska proceedings. A Party may alternatively file in any jurisdiction permitted under Section 16.2. Judgments inconsistent with the substantive terms of this Agreement are contrary to the Parties' express intent and shall not be given preclusive effect in any subsequent enforcement proceeding.</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16.5 Validity Presumption.</w:t>
      </w:r>
      <w:r w:rsidDel="00000000" w:rsidR="00000000" w:rsidRPr="00000000">
        <w:rPr>
          <w:rFonts w:ascii="Roboto" w:cs="Roboto" w:eastAsia="Roboto" w:hAnsi="Roboto"/>
          <w:sz w:val="24"/>
          <w:szCs w:val="24"/>
          <w:rtl w:val="0"/>
        </w:rPr>
        <w:t xml:space="preserve"> This Agreement is presumed valid. The Party challenging enforcement bears the burden of proving a deficiency under the three-factor </w:t>
      </w:r>
      <w:r w:rsidDel="00000000" w:rsidR="00000000" w:rsidRPr="00000000">
        <w:rPr>
          <w:rFonts w:ascii="Roboto" w:cs="Roboto" w:eastAsia="Roboto" w:hAnsi="Roboto"/>
          <w:i w:val="1"/>
          <w:iCs w:val="1"/>
          <w:sz w:val="24"/>
          <w:szCs w:val="24"/>
          <w:rtl w:val="0"/>
        </w:rPr>
        <w:t xml:space="preserve">Brooks</w:t>
      </w:r>
      <w:r w:rsidDel="00000000" w:rsidR="00000000" w:rsidRPr="00000000">
        <w:rPr>
          <w:rFonts w:ascii="Roboto" w:cs="Roboto" w:eastAsia="Roboto" w:hAnsi="Roboto"/>
          <w:sz w:val="24"/>
          <w:szCs w:val="24"/>
          <w:rtl w:val="0"/>
        </w:rPr>
        <w:t xml:space="preserve"> test (or the equivalent test of the jurisdiction in which enforcement is sought, if more protective of the Agreement) by a preponderance of the evidence.</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Clause-by-Clause Enforcement</w:t>
      </w:r>
      <w:r w:rsidDel="00000000" w:rsidR="00000000" w:rsidRPr="00000000">
        <w:rPr>
          <w:rFonts w:ascii="Roboto" w:cs="Roboto" w:eastAsia="Roboto" w:hAnsi="Roboto"/>
          <w:sz w:val="24"/>
          <w:szCs w:val="24"/>
          <w:rtl w:val="0"/>
        </w:rPr>
        <w:t xml:space="preserve">: The Parties intend that the Section 2 separate property provisions, the Section 3 joint property framework, the Section 4 alimony schedule, the Section 6 inheritance waivers, and the Section 10 privacy provisions each operate independently. If any individual provision is held unenforceable, the remaining provisions shall remain in full force and effect, and any severed provision shall be reformed to the nearest enforceable equivalent reflecting the Parties' original intent.  </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A">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and keeps legal matters separate from wedding planning.</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Alaska law, including </w:t>
      </w:r>
      <w:r w:rsidDel="00000000" w:rsidR="00000000" w:rsidRPr="00000000">
        <w:rPr>
          <w:rFonts w:ascii="Roboto" w:cs="Roboto" w:eastAsia="Roboto" w:hAnsi="Roboto"/>
          <w:i w:val="1"/>
          <w:iCs w:val="1"/>
          <w:sz w:val="24"/>
          <w:szCs w:val="24"/>
          <w:rtl w:val="0"/>
        </w:rPr>
        <w:t xml:space="preserve">Brooks v. Brooks</w:t>
      </w:r>
      <w:r w:rsidDel="00000000" w:rsidR="00000000" w:rsidRPr="00000000">
        <w:rPr>
          <w:rFonts w:ascii="Roboto" w:cs="Roboto" w:eastAsia="Roboto" w:hAnsi="Roboto"/>
          <w:sz w:val="24"/>
          <w:szCs w:val="24"/>
          <w:rtl w:val="0"/>
        </w:rPr>
        <w:t xml:space="preserve">, 733 P.2d 1044 (Alaska 1987), AS 13.12.213, and AS 34.77. </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E">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F">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0">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1">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2">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3">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4">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9">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F0">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9">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spacing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B">
      <w:pPr>
        <w:spacing w:lin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bCs w:val="0"/>
          <w:sz w:val="24"/>
          <w:szCs w:val="24"/>
        </w:rPr>
      </w:pPr>
      <w:r w:rsidDel="00000000" w:rsidR="00000000" w:rsidRPr="00000000">
        <w:rPr>
          <w:rFonts w:ascii="Roboto" w:cs="Roboto" w:eastAsia="Roboto" w:hAnsi="Roboto"/>
          <w:b w:val="1"/>
          <w:bCs w:val="1"/>
          <w:sz w:val="24"/>
          <w:szCs w:val="24"/>
          <w:rtl w:val="0"/>
        </w:rPr>
        <w:t xml:space="preserve">License &amp; Terms of Use</w:t>
      </w:r>
      <w:r w:rsidDel="00000000" w:rsidR="00000000" w:rsidRPr="00000000">
        <w:rPr>
          <w:rFonts w:ascii="Roboto" w:cs="Roboto" w:eastAsia="Roboto" w:hAnsi="Roboto"/>
          <w:b w:val="0"/>
          <w:bCs w:val="0"/>
          <w:sz w:val="24"/>
          <w:szCs w:val="24"/>
          <w:rtl w:val="0"/>
        </w:rPr>
        <w:t xml:space="preserve"> — © 2026 PerfectPrenup.io. All rights reserved.</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bCs w:val="0"/>
          <w:sz w:val="24"/>
          <w:szCs w:val="24"/>
        </w:rPr>
      </w:pPr>
      <w:r w:rsidDel="00000000" w:rsidR="00000000" w:rsidRPr="00000000">
        <w:rPr>
          <w:rFonts w:ascii="Roboto" w:cs="Roboto" w:eastAsia="Roboto" w:hAnsi="Roboto"/>
          <w:b w:val="0"/>
          <w:bCs w:val="0"/>
          <w:sz w:val="24"/>
          <w:szCs w:val="24"/>
          <w:rtl w:val="0"/>
        </w:rPr>
        <w:t xml:space="preserve">This template is licensed to one couple for personal use. You and your fiancé(e) may use, edit, and share it with your own attorneys for review.</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bCs w:val="0"/>
          <w:sz w:val="24"/>
          <w:szCs w:val="24"/>
        </w:rPr>
      </w:pPr>
      <w:r w:rsidDel="00000000" w:rsidR="00000000" w:rsidRPr="00000000">
        <w:rPr>
          <w:rFonts w:ascii="Roboto" w:cs="Roboto" w:eastAsia="Roboto" w:hAnsi="Roboto"/>
          <w:b w:val="0"/>
          <w:bCs w:val="0"/>
          <w:sz w:val="24"/>
          <w:szCs w:val="24"/>
          <w:rtl w:val="0"/>
        </w:rPr>
        <w:t xml:space="preserve">You may not redistribute, repost, publish, or share it (even for free), use it commercially, or use it on behalf of clients — this includes law firms, tech companies, and other for-profit services.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bCs w:val="0"/>
          <w:sz w:val="24"/>
          <w:szCs w:val="24"/>
        </w:rPr>
      </w:pPr>
      <w:r w:rsidDel="00000000" w:rsidR="00000000" w:rsidRPr="00000000">
        <w:rPr>
          <w:rFonts w:ascii="Roboto" w:cs="Roboto" w:eastAsia="Roboto" w:hAnsi="Roboto"/>
          <w:b w:val="1"/>
          <w:bCs w:val="1"/>
          <w:sz w:val="24"/>
          <w:szCs w:val="24"/>
          <w:rtl w:val="0"/>
        </w:rPr>
        <w:t xml:space="preserve">This agreement was not prepared by attorneys.</w:t>
      </w:r>
      <w:r w:rsidDel="00000000" w:rsidR="00000000" w:rsidRPr="00000000">
        <w:rPr>
          <w:rFonts w:ascii="Roboto" w:cs="Roboto" w:eastAsia="Roboto" w:hAnsi="Roboto"/>
          <w:b w:val="0"/>
          <w:bCs w:val="0"/>
          <w:sz w:val="24"/>
          <w:szCs w:val="24"/>
          <w:rtl w:val="0"/>
        </w:rPr>
        <w:t xml:space="preserve"> It must be reviewed by a licensed matrimonial or divorce attorney in your state before signing.</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law.justia.com/codes/alaska/title-13/chapter-12/article-2/section-13-12-213/" TargetMode="External"/><Relationship Id="rId7" Type="http://schemas.openxmlformats.org/officeDocument/2006/relationships/hyperlink" Target="https://law.justia.com/codes/alaska/title-13/chapter-12/article-2/section-13-12-213/"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