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8"/>
      </w:tblGrid>
      <w:tr w:rsidR="00D84E68" w:rsidRPr="00F61C05" w14:paraId="1DB390FE" w14:textId="77777777">
        <w:trPr>
          <w:trHeight w:val="537"/>
        </w:trPr>
        <w:tc>
          <w:tcPr>
            <w:tcW w:w="10778" w:type="dxa"/>
            <w:shd w:val="clear" w:color="auto" w:fill="F28C28"/>
          </w:tcPr>
          <w:p w14:paraId="7D86212C" w14:textId="7FAABD59" w:rsidR="00D84E68" w:rsidRPr="00666E8E" w:rsidRDefault="00666E8E" w:rsidP="00666E8E">
            <w:pPr>
              <w:pStyle w:val="TableParagraph"/>
              <w:spacing w:before="130"/>
              <w:ind w:left="4"/>
              <w:rPr>
                <w:b/>
                <w:color w:val="FFFFFF"/>
                <w:sz w:val="28"/>
                <w:szCs w:val="28"/>
                <w:lang w:val="en-GB"/>
              </w:rPr>
            </w:pPr>
            <w:proofErr w:type="spellStart"/>
            <w:r w:rsidRPr="00666E8E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val="en-GB"/>
              </w:rPr>
              <w:t>Basisinformationsblatt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val="en-GB"/>
              </w:rPr>
              <w:t xml:space="preserve"> </w:t>
            </w:r>
            <w:r w:rsidR="00C41B94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– </w:t>
            </w:r>
            <w:r w:rsidRPr="00666E8E">
              <w:rPr>
                <w:b/>
                <w:color w:val="FFFFFF"/>
                <w:sz w:val="28"/>
                <w:szCs w:val="28"/>
                <w:lang w:val="en-GB"/>
              </w:rPr>
              <w:t xml:space="preserve">CFDs auf </w:t>
            </w:r>
            <w:proofErr w:type="spellStart"/>
            <w:r w:rsidRPr="00666E8E">
              <w:rPr>
                <w:b/>
                <w:color w:val="FFFFFF"/>
                <w:sz w:val="28"/>
                <w:szCs w:val="28"/>
                <w:lang w:val="en-GB"/>
              </w:rPr>
              <w:t>Aktien</w:t>
            </w:r>
            <w:proofErr w:type="spellEnd"/>
          </w:p>
        </w:tc>
      </w:tr>
      <w:tr w:rsidR="00D84E68" w:rsidRPr="00F61C05" w14:paraId="23618413" w14:textId="77777777">
        <w:trPr>
          <w:trHeight w:val="1274"/>
        </w:trPr>
        <w:tc>
          <w:tcPr>
            <w:tcW w:w="10778" w:type="dxa"/>
            <w:shd w:val="clear" w:color="auto" w:fill="D3DCE2"/>
          </w:tcPr>
          <w:p w14:paraId="05D1DD5E" w14:textId="77777777" w:rsidR="00023807" w:rsidRDefault="00023807">
            <w:pPr>
              <w:pStyle w:val="TableParagraph"/>
              <w:spacing w:before="128" w:line="254" w:lineRule="auto"/>
              <w:ind w:left="4" w:right="90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</w:pPr>
            <w:r w:rsidRPr="00023807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Zweck</w:t>
            </w:r>
          </w:p>
          <w:p w14:paraId="5C64D58E" w14:textId="21C9F08D" w:rsidR="00D84E68" w:rsidRPr="00F61C05" w:rsidRDefault="00023807">
            <w:pPr>
              <w:pStyle w:val="TableParagraph"/>
              <w:spacing w:before="128" w:line="254" w:lineRule="auto"/>
              <w:ind w:left="4" w:right="90"/>
              <w:jc w:val="both"/>
              <w:rPr>
                <w:rFonts w:ascii="Times New Roman" w:hAnsi="Times New Roman" w:cs="Times New Roman"/>
                <w:sz w:val="18"/>
              </w:rPr>
            </w:pPr>
            <w:r w:rsidRPr="00023807">
              <w:rPr>
                <w:rFonts w:ascii="Times New Roman" w:hAnsi="Times New Roman" w:cs="Times New Roman"/>
                <w:sz w:val="18"/>
              </w:rPr>
              <w:t xml:space="preserve">Dieses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Dokument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enthält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wichtige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über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dieses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Anlageprodukt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konkret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über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Differenzkontrakte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(CFDs) auf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Aktien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. 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handelt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nicht um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Marketingmaterial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Bereitstellung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dieser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gesetzlich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vorgeschrieben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soll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Ihnen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helfen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die Art,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Kosten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sowie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möglichen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Gewinne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Verluste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dieses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verstehen und 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anderen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Produkten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vergleichen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. CFDs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komplexe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Instrumente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einem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hohen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verbunden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aufgrund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Hebelwirkung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schnell Geld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. Bitte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besuchen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unsere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Website, um den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genauen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Prozentsatz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der Retail-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Kundenkonten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einzusehen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die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beim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Handel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CFDs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bei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diesem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Anbieter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Geld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überlegen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ob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Sie die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Funktionsweise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von CFDs verstehen und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ob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Sie es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leisten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das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hohe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einzugehen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Ihr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Geld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23807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02380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D84E68" w:rsidRPr="00F61C05" w14:paraId="348FE9C0" w14:textId="77777777">
        <w:trPr>
          <w:trHeight w:val="2088"/>
        </w:trPr>
        <w:tc>
          <w:tcPr>
            <w:tcW w:w="10778" w:type="dxa"/>
          </w:tcPr>
          <w:p w14:paraId="6F149E6C" w14:textId="32039E49" w:rsidR="00D84E68" w:rsidRPr="00C41B94" w:rsidRDefault="00345A8B">
            <w:pPr>
              <w:pStyle w:val="TableParagraph"/>
              <w:spacing w:before="119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1B94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Produ</w:t>
            </w:r>
            <w:r w:rsidR="00023807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k</w:t>
            </w:r>
            <w:r w:rsidRPr="00C41B94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t</w:t>
            </w:r>
            <w:proofErr w:type="spellEnd"/>
          </w:p>
          <w:p w14:paraId="4C881075" w14:textId="34A6650F" w:rsidR="00873BEA" w:rsidRPr="00873BEA" w:rsidRDefault="00873BEA" w:rsidP="00873BEA">
            <w:pPr>
              <w:pStyle w:val="TableParagraph"/>
              <w:spacing w:before="129"/>
              <w:ind w:left="6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Produktname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Differenzkontrakt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(CFD) auf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Aktien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.</w:t>
            </w:r>
          </w:p>
          <w:p w14:paraId="1AEC2C34" w14:textId="37CB0731" w:rsidR="00873BEA" w:rsidRPr="00873BEA" w:rsidRDefault="00873BEA" w:rsidP="00873BEA">
            <w:pPr>
              <w:pStyle w:val="TableParagraph"/>
              <w:spacing w:before="129"/>
              <w:ind w:left="6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Produkthersteller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VSMARKETS LTD (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zuvor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KLIPS CY LTD) („VSMARKETS“),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zugelassen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reguliert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durch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die Cyprus Securities and Exchange Commission (CySEC)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als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zypriotisches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Investmentunternehmen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(„CIF“)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Lizenznummer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434/23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eingetragener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Adresse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: 116 Gladstonos Street, M. Kyprianou House, 3. &amp; 4. Stock, 3032 Limassol,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Zypern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.</w:t>
            </w:r>
          </w:p>
          <w:p w14:paraId="7168763E" w14:textId="77777777" w:rsidR="00873BEA" w:rsidRPr="00873BEA" w:rsidRDefault="00873BEA" w:rsidP="00873BEA">
            <w:pPr>
              <w:pStyle w:val="TableParagraph"/>
              <w:spacing w:before="129"/>
              <w:ind w:left="6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Weitere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Informationen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br/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Weitere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Informationen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über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VSMARKETS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unsere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finden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Sie auf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unserer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Website: </w:t>
            </w:r>
            <w:hyperlink r:id="rId9" w:tgtFrame="_new" w:history="1">
              <w:r w:rsidRPr="00873BEA">
                <w:rPr>
                  <w:rStyle w:val="Hyperlink"/>
                  <w:rFonts w:ascii="Times New Roman" w:hAnsi="Times New Roman" w:cs="Times New Roman"/>
                  <w:b/>
                  <w:sz w:val="18"/>
                  <w:lang w:val="en-GB"/>
                </w:rPr>
                <w:t>www.vsmarkets.com</w:t>
              </w:r>
            </w:hyperlink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. Sie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können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unseren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Kundendienst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über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den Live-Chat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per E-Mail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kontaktieren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. Dieses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Dokument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wurde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zuletzt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am 30/10/2025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aktualisiert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.</w:t>
            </w:r>
          </w:p>
          <w:p w14:paraId="0C5F06AE" w14:textId="295C146B" w:rsidR="00D84E68" w:rsidRPr="00F61C05" w:rsidRDefault="00D84E68">
            <w:pPr>
              <w:pStyle w:val="TableParagraph"/>
              <w:spacing w:before="101" w:line="220" w:lineRule="atLeast"/>
              <w:ind w:left="4" w:right="9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84E68" w:rsidRPr="00F61C05" w14:paraId="5FB0C56F" w14:textId="77777777">
        <w:trPr>
          <w:trHeight w:val="1156"/>
        </w:trPr>
        <w:tc>
          <w:tcPr>
            <w:tcW w:w="10778" w:type="dxa"/>
            <w:shd w:val="clear" w:color="auto" w:fill="D3DCE2"/>
          </w:tcPr>
          <w:p w14:paraId="3257DB84" w14:textId="77777777" w:rsidR="00873BEA" w:rsidRDefault="00873BEA">
            <w:pPr>
              <w:pStyle w:val="TableParagraph"/>
              <w:spacing w:before="100" w:line="210" w:lineRule="atLeast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Warnhinweis</w:t>
            </w:r>
            <w:proofErr w:type="spellEnd"/>
          </w:p>
          <w:p w14:paraId="7DA93705" w14:textId="0DB1EED2" w:rsidR="00D84E68" w:rsidRPr="00873BEA" w:rsidRDefault="00873BEA" w:rsidP="00873BEA">
            <w:pPr>
              <w:pStyle w:val="TableParagraph"/>
              <w:spacing w:line="210" w:lineRule="atLeast"/>
              <w:ind w:left="4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Sie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Begriff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erwerben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, das nicht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einfach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möglicherweise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schwer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verstehen sein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kann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.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Unsere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Dienstleistung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umfasst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, die auf Margin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gehandelt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werden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Verlustrisiko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bergen.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Diese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Produkte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möglicherweise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nicht für alle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Anleger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geeignet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. Bitte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stellen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sicher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Sie die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damit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verbundenen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>vollständig</w:t>
            </w:r>
            <w:proofErr w:type="spellEnd"/>
            <w:r w:rsidRPr="00873BEA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verstehen.</w:t>
            </w:r>
          </w:p>
        </w:tc>
      </w:tr>
      <w:tr w:rsidR="00D84E68" w:rsidRPr="00F61C05" w14:paraId="7A16077A" w14:textId="77777777">
        <w:trPr>
          <w:trHeight w:val="8633"/>
        </w:trPr>
        <w:tc>
          <w:tcPr>
            <w:tcW w:w="10778" w:type="dxa"/>
          </w:tcPr>
          <w:p w14:paraId="743D6F53" w14:textId="77777777" w:rsidR="00873BEA" w:rsidRDefault="00873BEA">
            <w:pPr>
              <w:pStyle w:val="TableParagraph"/>
              <w:spacing w:before="131"/>
              <w:ind w:left="4"/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</w:pPr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  <w:t xml:space="preserve">Was 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  <w:t xml:space="preserve"> dieses 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20"/>
                <w:szCs w:val="20"/>
              </w:rPr>
              <w:t>?</w:t>
            </w:r>
          </w:p>
          <w:p w14:paraId="73A65357" w14:textId="77CB8143" w:rsidR="00D84E68" w:rsidRPr="00F61C05" w:rsidRDefault="00873BEA">
            <w:pPr>
              <w:pStyle w:val="TableParagraph"/>
              <w:spacing w:before="131"/>
              <w:ind w:left="4"/>
              <w:rPr>
                <w:rFonts w:ascii="Times New Roman" w:hAnsi="Times New Roman" w:cs="Times New Roman"/>
                <w:b/>
                <w:sz w:val="18"/>
                <w:u w:color="F28C28"/>
              </w:rPr>
            </w:pPr>
            <w:r>
              <w:rPr>
                <w:rFonts w:ascii="Times New Roman" w:hAnsi="Times New Roman" w:cs="Times New Roman"/>
                <w:b/>
                <w:color w:val="F28C28"/>
                <w:spacing w:val="-4"/>
                <w:sz w:val="18"/>
                <w:u w:val="single" w:color="F28C28"/>
              </w:rPr>
              <w:t>Art</w:t>
            </w:r>
          </w:p>
          <w:p w14:paraId="3609AA6C" w14:textId="3EAAD1F9" w:rsidR="00873BEA" w:rsidRPr="00873BEA" w:rsidRDefault="00873BEA" w:rsidP="00873BEA">
            <w:pPr>
              <w:pStyle w:val="TableParagraph"/>
              <w:spacing w:before="132"/>
              <w:ind w:left="4" w:right="37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außerbörslicher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(„OTC“)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Derivatkontrakt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in Form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Differenzkontrakts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(„CFD“),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bei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die von Ihnen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gewählte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Anlageoption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–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bekannt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als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Shares, Stocks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Equities –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stellen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Anteile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in die das Kapital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Unternehmens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Investitions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-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Eigentumszwecken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aufgeteilt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-CFD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verschafft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Ihnen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indirekte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Exponierung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gegenüber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Finanzinstrument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(z. B.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Wertpapier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Rohstoff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Index).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haben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direktes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Interesse am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/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Finanzinstrument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Dementsprechend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können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Gewinne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erzielen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Verluste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erleiden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abhängig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Preis-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Wertveränderungen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Finanzinstruments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gegenüber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indirekt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exponiert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auf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wir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derzeit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anbieten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finden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auf der Website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Unternehmens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23888921" w14:textId="77777777" w:rsidR="00873BEA" w:rsidRDefault="00873BEA" w:rsidP="00492074">
            <w:pPr>
              <w:pStyle w:val="TableParagraph"/>
              <w:spacing w:before="120" w:line="264" w:lineRule="auto"/>
              <w:ind w:left="4" w:right="141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  <w:t>Ziele</w:t>
            </w:r>
            <w:proofErr w:type="spellEnd"/>
          </w:p>
          <w:p w14:paraId="0183ADC7" w14:textId="1FA0CE2C" w:rsidR="00873BEA" w:rsidRPr="00873BEA" w:rsidRDefault="00873BEA" w:rsidP="00873BEA">
            <w:pPr>
              <w:pStyle w:val="TableParagraph"/>
              <w:spacing w:before="120" w:line="264" w:lineRule="auto"/>
              <w:ind w:left="4" w:right="141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Equity-CFD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börsennotiertes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Instrument,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sondern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wird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als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außerbörslicher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Vertrag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zwischen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Ihnen und VSMARKETS auf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bilateraler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Basis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gehandelt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bar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abgerechnet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ermöglicht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Anlegern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auf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steigende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fallende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Kurse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spekulieren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Der Preis des Equity-CFDs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wird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vom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Kurs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Aktie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abgeleitet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Equity-CFD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ermöglicht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Ihnen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Exponierung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gegenüber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Kursbewegungen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Underlyings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ohne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dieses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tatsächlich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besitzen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Dieses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ausschließlich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für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spekulative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Anlagezwecke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geeignet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Equity-CFD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Vereinbarung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zwischen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Ihnen und VSMARKETS,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Preis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softHyphen/>
              <w:t>differenz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Underlyings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über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bestimmten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Zeitraum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auszutauschen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auszutauschende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Differenz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ergibt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Veränderung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Referenzpreises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Underlyings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Steigt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der Kurs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Underlyings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long,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erhalten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Barauszahlung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VSMARKETS –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umgekehrt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Ein Equity-CFD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kann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je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nach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Markterwartung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long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gekauft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short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verkauft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werden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handelt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um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gehebeltes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das von Ihnen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verlangt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nur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kleineren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Geldbetrag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als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Margin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hinterlegen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anstatt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vollen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Wert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Exponierung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zahlen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Der Hebel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hängt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Marginanforderung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jeweiligen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Equity-CFDs ab. Beim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Eröffnen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der Position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zahlen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Anfangsmargin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Für Retail-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Investoren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schreibt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Europäische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Wertpapier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-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Marktaufsichtsbehörde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(ESMA)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Mindestanfangsmargin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20 %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Nominalwerts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des Equity-CFDs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vor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verlangt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VSMARKETS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offene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Positionen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liquidiert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qualifizierte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Eigenkapital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(CFD-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Barguthaben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nicht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realisierte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CFD-P&amp;L) 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Konto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unter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50 %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Anfangsmarginanforderungen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fällt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4B988726" w14:textId="77777777" w:rsidR="00873BEA" w:rsidRDefault="00873BEA" w:rsidP="00492074">
            <w:pPr>
              <w:pStyle w:val="TableParagraph"/>
              <w:spacing w:before="120" w:line="264" w:lineRule="auto"/>
              <w:ind w:left="4" w:right="141"/>
              <w:jc w:val="both"/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>Beabsichtigte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>Zielgruppe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 xml:space="preserve"> (Retail-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>Investoren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color w:val="F28C28"/>
                <w:sz w:val="18"/>
                <w:u w:val="single" w:color="F28C28"/>
              </w:rPr>
              <w:t>)</w:t>
            </w:r>
          </w:p>
          <w:p w14:paraId="751EDA6B" w14:textId="77777777" w:rsidR="00873BEA" w:rsidRDefault="00873BEA" w:rsidP="00873BEA">
            <w:pPr>
              <w:pStyle w:val="TableParagraph"/>
              <w:spacing w:before="131"/>
              <w:ind w:left="6"/>
              <w:rPr>
                <w:rFonts w:ascii="Times New Roman" w:hAnsi="Times New Roman" w:cs="Times New Roman"/>
                <w:sz w:val="18"/>
              </w:rPr>
            </w:pPr>
            <w:r w:rsidRPr="00873BEA">
              <w:rPr>
                <w:rFonts w:ascii="Times New Roman" w:hAnsi="Times New Roman" w:cs="Times New Roman"/>
                <w:sz w:val="18"/>
              </w:rPr>
              <w:t xml:space="preserve">Der Handel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diesem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nicht für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jeden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geeignet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. Dieses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richtet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an Kunden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mittleren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bis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hohen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Risikotoleranz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Fähigkeit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eingesetzte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Kapital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.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für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Anleger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relativ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kurzfristigen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Anlagehorizont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gedacht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nicht für alle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Investoren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geeignet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sondern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nur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für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diejenigen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>, die</w:t>
            </w:r>
            <w:r w:rsidRPr="00873BEA">
              <w:rPr>
                <w:rFonts w:ascii="Times New Roman" w:hAnsi="Times New Roman" w:cs="Times New Roman"/>
                <w:sz w:val="18"/>
              </w:rPr>
              <w:br/>
              <w:t xml:space="preserve">i)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–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einschließlich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Margenhandels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– verstehen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bereit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tragen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>;</w:t>
            </w:r>
            <w:r w:rsidRPr="00873BEA">
              <w:rPr>
                <w:rFonts w:ascii="Times New Roman" w:hAnsi="Times New Roman" w:cs="Times New Roman"/>
                <w:sz w:val="18"/>
              </w:rPr>
              <w:br/>
              <w:t xml:space="preserve">ii)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über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notwendige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Erfahrung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Kenntnisse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Handel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Derivaten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den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Instrumenten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verfügen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>; und</w:t>
            </w:r>
            <w:r w:rsidRPr="00873BEA">
              <w:rPr>
                <w:rFonts w:ascii="Times New Roman" w:hAnsi="Times New Roman" w:cs="Times New Roman"/>
                <w:sz w:val="18"/>
              </w:rPr>
              <w:br/>
              <w:t xml:space="preserve">iii)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finanziell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in der Lage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vollständigen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Verlusts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investierten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Beträge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tragen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vorbehaltlich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angebotenen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Negativsaldoschutzes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>.</w:t>
            </w:r>
          </w:p>
          <w:p w14:paraId="6020F5CA" w14:textId="77777777" w:rsidR="00873BEA" w:rsidRDefault="00873BEA" w:rsidP="00492074">
            <w:pPr>
              <w:pStyle w:val="TableParagraph"/>
              <w:spacing w:before="123" w:line="264" w:lineRule="auto"/>
              <w:ind w:left="4" w:right="141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  <w:t>Bedingungen</w:t>
            </w:r>
            <w:proofErr w:type="spellEnd"/>
          </w:p>
          <w:p w14:paraId="0A97BC0D" w14:textId="69818323" w:rsidR="00D84E68" w:rsidRPr="00F61C05" w:rsidRDefault="00873BEA" w:rsidP="00492074">
            <w:pPr>
              <w:pStyle w:val="TableParagraph"/>
              <w:spacing w:before="123" w:line="264" w:lineRule="auto"/>
              <w:ind w:left="4" w:right="141"/>
              <w:jc w:val="both"/>
              <w:rPr>
                <w:rFonts w:ascii="Times New Roman" w:hAnsi="Times New Roman" w:cs="Times New Roman"/>
                <w:sz w:val="18"/>
              </w:rPr>
            </w:pPr>
            <w:r w:rsidRPr="00873BEA">
              <w:rPr>
                <w:rFonts w:ascii="Times New Roman" w:hAnsi="Times New Roman" w:cs="Times New Roman"/>
                <w:sz w:val="18"/>
              </w:rPr>
              <w:t xml:space="preserve">Ein Equity-CFD hat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Fälligkeitsdatum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Mindesthaltefrist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eröffnen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wobei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Position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nur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während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. VSMARKETS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Position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ohne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vorherige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Zustimmung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Sie nicht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ausreichend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Margin 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Ihrem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Konto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vorhalten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. Bitte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konsultieren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Sie die VSMARKETS-Website für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dieser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</w:rPr>
              <w:t>Instrumente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14:paraId="3A29BB79" w14:textId="77777777" w:rsidR="00D84E68" w:rsidRPr="00F61C05" w:rsidRDefault="00D84E68">
      <w:pPr>
        <w:pStyle w:val="TableParagraph"/>
        <w:spacing w:line="264" w:lineRule="auto"/>
        <w:rPr>
          <w:rFonts w:ascii="Times New Roman" w:hAnsi="Times New Roman" w:cs="Times New Roman"/>
          <w:sz w:val="18"/>
        </w:rPr>
        <w:sectPr w:rsidR="00D84E68" w:rsidRPr="00F61C05">
          <w:type w:val="continuous"/>
          <w:pgSz w:w="11910" w:h="16840"/>
          <w:pgMar w:top="760" w:right="425" w:bottom="280" w:left="566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17"/>
        <w:gridCol w:w="870"/>
        <w:gridCol w:w="1127"/>
        <w:gridCol w:w="81"/>
        <w:gridCol w:w="1130"/>
        <w:gridCol w:w="908"/>
        <w:gridCol w:w="829"/>
        <w:gridCol w:w="1128"/>
        <w:gridCol w:w="165"/>
        <w:gridCol w:w="1046"/>
        <w:gridCol w:w="1394"/>
      </w:tblGrid>
      <w:tr w:rsidR="00D84E68" w:rsidRPr="00F61C05" w14:paraId="646733B4" w14:textId="77777777">
        <w:trPr>
          <w:trHeight w:val="9305"/>
        </w:trPr>
        <w:tc>
          <w:tcPr>
            <w:tcW w:w="10767" w:type="dxa"/>
            <w:gridSpan w:val="12"/>
            <w:tcBorders>
              <w:bottom w:val="nil"/>
            </w:tcBorders>
          </w:tcPr>
          <w:p w14:paraId="2F76AEC7" w14:textId="77777777" w:rsidR="00873BEA" w:rsidRPr="00873BEA" w:rsidRDefault="00873BEA" w:rsidP="00873BEA">
            <w:pPr>
              <w:pStyle w:val="TableParagraph"/>
              <w:spacing w:before="131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lastRenderedPageBreak/>
              <w:t>Welche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bestehen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welche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Erträge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kann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 xml:space="preserve"> ich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erzielen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  <w:lang w:val="en-GB"/>
              </w:rPr>
              <w:t>?</w:t>
            </w:r>
          </w:p>
          <w:p w14:paraId="2FA59FF5" w14:textId="3D5523FB" w:rsidR="00873BEA" w:rsidRPr="00873BEA" w:rsidRDefault="00345A8B" w:rsidP="00873BEA">
            <w:pPr>
              <w:pStyle w:val="TableParagraph"/>
              <w:spacing w:before="134"/>
              <w:rPr>
                <w:b/>
                <w:color w:val="F28C28"/>
                <w:sz w:val="18"/>
                <w:u w:val="single" w:color="F28C28"/>
                <w:lang w:val="en-GB"/>
              </w:rPr>
            </w:pPr>
            <w:r w:rsidRPr="00F61C05">
              <w:rPr>
                <w:rFonts w:ascii="Times New Roman" w:hAnsi="Times New Roman" w:cs="Times New Roman"/>
                <w:b/>
                <w:noProof/>
                <w:sz w:val="18"/>
                <w:u w:color="F28C28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27F169A0" wp14:editId="736DF7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231162</wp:posOffset>
                      </wp:positionV>
                      <wp:extent cx="2800350" cy="15093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0350" cy="1509395"/>
                                <a:chOff x="0" y="0"/>
                                <a:chExt cx="2800350" cy="150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2103" cy="150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92CC0" id="Group 1" o:spid="_x0000_s1026" style="position:absolute;margin-left:.3pt;margin-top:18.2pt;width:220.5pt;height:118.85pt;z-index:-251658752;mso-wrap-distance-left:0;mso-wrap-distance-right:0" coordsize="28003,15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7921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proofErr w:type="spellStart"/>
            <w:r w:rsidR="00873BEA" w:rsidRPr="00873BEA">
              <w:rPr>
                <w:b/>
                <w:color w:val="F28C28"/>
                <w:sz w:val="18"/>
                <w:u w:val="single" w:color="F28C28"/>
                <w:lang w:val="en-GB"/>
              </w:rPr>
              <w:t>Zusammenfassender</w:t>
            </w:r>
            <w:proofErr w:type="spellEnd"/>
            <w:r w:rsidR="00873BEA" w:rsidRPr="00873BEA">
              <w:rPr>
                <w:b/>
                <w:color w:val="F28C28"/>
                <w:sz w:val="18"/>
                <w:u w:val="single" w:color="F28C28"/>
                <w:lang w:val="en-GB"/>
              </w:rPr>
              <w:t xml:space="preserve"> </w:t>
            </w:r>
            <w:proofErr w:type="spellStart"/>
            <w:r w:rsidR="00873BEA" w:rsidRPr="00873BEA">
              <w:rPr>
                <w:b/>
                <w:color w:val="F28C28"/>
                <w:sz w:val="18"/>
                <w:u w:val="single" w:color="F28C28"/>
                <w:lang w:val="en-GB"/>
              </w:rPr>
              <w:t>Risikoindikator</w:t>
            </w:r>
            <w:proofErr w:type="spellEnd"/>
            <w:r w:rsidR="00873BEA" w:rsidRPr="00873BEA">
              <w:rPr>
                <w:b/>
                <w:color w:val="F28C28"/>
                <w:sz w:val="18"/>
                <w:u w:val="single" w:color="F28C28"/>
                <w:lang w:val="en-GB"/>
              </w:rPr>
              <w:t xml:space="preserve"> („SRI“)</w:t>
            </w:r>
          </w:p>
          <w:p w14:paraId="0A8A87ED" w14:textId="7FF64E38" w:rsidR="00D84E68" w:rsidRPr="00F61C05" w:rsidRDefault="00D84E68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18"/>
                <w:u w:color="F28C28"/>
              </w:rPr>
            </w:pPr>
          </w:p>
          <w:p w14:paraId="141D7C72" w14:textId="77777777" w:rsidR="00873BEA" w:rsidRPr="00873BEA" w:rsidRDefault="00873BEA" w:rsidP="00873BEA">
            <w:pPr>
              <w:pStyle w:val="TableParagraph"/>
              <w:spacing w:before="1"/>
              <w:ind w:left="4421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Der SRI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Leitfaden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für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Risikoniveau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dieser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Vergleich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anderen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zeigt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an,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wahrscheinlich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das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aufgrund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Marktbewegungen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oder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aufgrund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unserer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mangelnden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Zahlungsfähigkeit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Geld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verliert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Wir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haben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diese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als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b/>
                <w:bCs/>
                <w:sz w:val="18"/>
                <w:lang w:val="en-GB"/>
              </w:rPr>
              <w:t>7 von 7</w:t>
            </w: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eingestuft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was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höchsten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Risikoklasse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entspricht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Dies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liegt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daran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sehr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hohe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Wahrscheinlichkeit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besteht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bis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r w:rsidRPr="00873BEA">
              <w:rPr>
                <w:rFonts w:ascii="Times New Roman" w:hAnsi="Times New Roman" w:cs="Times New Roman"/>
                <w:b/>
                <w:bCs/>
                <w:sz w:val="18"/>
                <w:lang w:val="en-GB"/>
              </w:rPr>
              <w:t xml:space="preserve">100 % 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sz w:val="18"/>
                <w:lang w:val="en-GB"/>
              </w:rPr>
              <w:t>Ihres</w:t>
            </w:r>
            <w:proofErr w:type="spellEnd"/>
            <w:r w:rsidRPr="00873BEA">
              <w:rPr>
                <w:rFonts w:ascii="Times New Roman" w:hAnsi="Times New Roman" w:cs="Times New Roman"/>
                <w:b/>
                <w:bCs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bCs/>
                <w:sz w:val="18"/>
                <w:lang w:val="en-GB"/>
              </w:rPr>
              <w:t>Handelskontos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verlieren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können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4A3BE2E7" w14:textId="77777777" w:rsidR="00873BEA" w:rsidRPr="00873BEA" w:rsidRDefault="00873BEA" w:rsidP="00873BEA">
            <w:pPr>
              <w:pStyle w:val="TableParagraph"/>
              <w:spacing w:before="1"/>
              <w:ind w:left="4421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komplexe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Instrumente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bergen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aufgrund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der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Hebelwirkung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hohes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schnell Geld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verlieren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Zusätzlich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Marktpreisbewegungen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bestehen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weitere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Zusammenhang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diesem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Produkt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für die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keinen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Schutz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gibt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z. B.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Fremdwährungsrisiko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Hebelrisiko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von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Marktstörungen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Zusammenhang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Online-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Handelsplattformen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, IT-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sowie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Liquiditätsrisiken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767C8850" w14:textId="77777777" w:rsidR="00873BEA" w:rsidRPr="00873BEA" w:rsidRDefault="00873BEA" w:rsidP="00873BEA">
            <w:pPr>
              <w:pStyle w:val="TableParagraph"/>
              <w:spacing w:before="1"/>
              <w:ind w:left="4421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Bevor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entscheiden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handeln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sollten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Handelsziele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Erfahrungsniveau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Risikobereitschaft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sorgfältig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abwägen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Der Handel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erfordert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jederzeit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gewisses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Maß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an Kapital auf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Konto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vorhalten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um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Positionen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offen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halten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möglich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Verluste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in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Höhe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Ihrer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gesamten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Investition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(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Einzahlung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)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erleiden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sollten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daher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kein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Geld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einzahlen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dessen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Verlust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nicht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leisten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können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Bei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plötzlichen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negativen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Marktbewegung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kann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es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erforderlich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sein,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kurzfristig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zusätzliche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Mittel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nachzuschießen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22866172" w14:textId="77777777" w:rsidR="00873BEA" w:rsidRPr="00873BEA" w:rsidRDefault="00873BEA" w:rsidP="00873BEA">
            <w:pPr>
              <w:pStyle w:val="TableParagraph"/>
              <w:spacing w:before="1"/>
              <w:ind w:left="4421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sollten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sämtlicher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im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Zusammenhang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mit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CFDs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bewusst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sein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unabhängigen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Rat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einholen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wenn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weitere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Klärung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benötigen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. Bitte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stellen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sicher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dass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Sie die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vollständig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verstehen und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angemessene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Maßnahmen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zur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Risikosteuerung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ergreifen</w:t>
            </w:r>
            <w:proofErr w:type="spellEnd"/>
            <w:r w:rsidRPr="00873BEA">
              <w:rPr>
                <w:rFonts w:ascii="Times New Roman" w:hAnsi="Times New Roman" w:cs="Times New Roman"/>
                <w:sz w:val="18"/>
                <w:lang w:val="en-GB"/>
              </w:rPr>
              <w:t>.</w:t>
            </w:r>
          </w:p>
          <w:p w14:paraId="1FB6A08D" w14:textId="5EE3114A" w:rsidR="00D84E68" w:rsidRPr="00CB655D" w:rsidRDefault="00873BEA" w:rsidP="00CB655D">
            <w:pPr>
              <w:pStyle w:val="TableParagraph"/>
              <w:spacing w:before="124" w:line="252" w:lineRule="auto"/>
              <w:ind w:right="237"/>
              <w:jc w:val="both"/>
              <w:rPr>
                <w:sz w:val="18"/>
                <w:lang w:val="en-GB"/>
              </w:rPr>
            </w:pP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>Seien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>sich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 xml:space="preserve"> des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>Währungsrisikos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>bewusst</w:t>
            </w:r>
            <w:proofErr w:type="spellEnd"/>
            <w:r w:rsidRPr="00873BEA"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color w:val="F28C28"/>
                <w:sz w:val="18"/>
                <w:lang w:val="en-GB"/>
              </w:rPr>
              <w:t xml:space="preserve"> </w:t>
            </w:r>
            <w:r w:rsidRPr="00873BEA">
              <w:rPr>
                <w:sz w:val="18"/>
                <w:lang w:val="en-GB"/>
              </w:rPr>
              <w:t xml:space="preserve">Es </w:t>
            </w:r>
            <w:proofErr w:type="spellStart"/>
            <w:r w:rsidRPr="00873BEA">
              <w:rPr>
                <w:sz w:val="18"/>
                <w:lang w:val="en-GB"/>
              </w:rPr>
              <w:t>ist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möglich</w:t>
            </w:r>
            <w:proofErr w:type="spellEnd"/>
            <w:r w:rsidRPr="00873BEA">
              <w:rPr>
                <w:sz w:val="18"/>
                <w:lang w:val="en-GB"/>
              </w:rPr>
              <w:t xml:space="preserve">, CFDs auf </w:t>
            </w:r>
            <w:proofErr w:type="spellStart"/>
            <w:r w:rsidRPr="00873BEA">
              <w:rPr>
                <w:sz w:val="18"/>
                <w:lang w:val="en-GB"/>
              </w:rPr>
              <w:t>eine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Aktie</w:t>
            </w:r>
            <w:proofErr w:type="spellEnd"/>
            <w:r w:rsidRPr="00873BEA">
              <w:rPr>
                <w:sz w:val="18"/>
                <w:lang w:val="en-GB"/>
              </w:rPr>
              <w:t xml:space="preserve"> in </w:t>
            </w:r>
            <w:proofErr w:type="spellStart"/>
            <w:r w:rsidRPr="00873BEA">
              <w:rPr>
                <w:sz w:val="18"/>
                <w:lang w:val="en-GB"/>
              </w:rPr>
              <w:t>einer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Währung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zu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kaufen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oder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zu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verkaufen</w:t>
            </w:r>
            <w:proofErr w:type="spellEnd"/>
            <w:r w:rsidRPr="00873BEA">
              <w:rPr>
                <w:sz w:val="18"/>
                <w:lang w:val="en-GB"/>
              </w:rPr>
              <w:t xml:space="preserve">, die </w:t>
            </w:r>
            <w:proofErr w:type="spellStart"/>
            <w:r w:rsidRPr="00873BEA">
              <w:rPr>
                <w:sz w:val="18"/>
                <w:lang w:val="en-GB"/>
              </w:rPr>
              <w:t>sich</w:t>
            </w:r>
            <w:proofErr w:type="spellEnd"/>
            <w:r w:rsidRPr="00873BEA">
              <w:rPr>
                <w:sz w:val="18"/>
                <w:lang w:val="en-GB"/>
              </w:rPr>
              <w:t xml:space="preserve"> von der </w:t>
            </w:r>
            <w:proofErr w:type="spellStart"/>
            <w:r w:rsidRPr="00873BEA">
              <w:rPr>
                <w:sz w:val="18"/>
                <w:lang w:val="en-GB"/>
              </w:rPr>
              <w:t>Basiswährung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Ihres</w:t>
            </w:r>
            <w:proofErr w:type="spellEnd"/>
            <w:r w:rsidRPr="00873BEA">
              <w:rPr>
                <w:sz w:val="18"/>
                <w:lang w:val="en-GB"/>
              </w:rPr>
              <w:t xml:space="preserve"> Kontos </w:t>
            </w:r>
            <w:proofErr w:type="spellStart"/>
            <w:r w:rsidRPr="00873BEA">
              <w:rPr>
                <w:sz w:val="18"/>
                <w:lang w:val="en-GB"/>
              </w:rPr>
              <w:t>unterscheidet</w:t>
            </w:r>
            <w:proofErr w:type="spellEnd"/>
            <w:r w:rsidRPr="00873BEA">
              <w:rPr>
                <w:sz w:val="18"/>
                <w:lang w:val="en-GB"/>
              </w:rPr>
              <w:t xml:space="preserve">. Die </w:t>
            </w:r>
            <w:proofErr w:type="spellStart"/>
            <w:r w:rsidRPr="00873BEA">
              <w:rPr>
                <w:sz w:val="18"/>
                <w:lang w:val="en-GB"/>
              </w:rPr>
              <w:t>endgültige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Rendite</w:t>
            </w:r>
            <w:proofErr w:type="spellEnd"/>
            <w:r w:rsidRPr="00873BEA">
              <w:rPr>
                <w:sz w:val="18"/>
                <w:lang w:val="en-GB"/>
              </w:rPr>
              <w:t xml:space="preserve">, die Sie </w:t>
            </w:r>
            <w:proofErr w:type="spellStart"/>
            <w:r w:rsidRPr="00873BEA">
              <w:rPr>
                <w:sz w:val="18"/>
                <w:lang w:val="en-GB"/>
              </w:rPr>
              <w:t>erzielen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können</w:t>
            </w:r>
            <w:proofErr w:type="spellEnd"/>
            <w:r w:rsidRPr="00873BEA">
              <w:rPr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sz w:val="18"/>
                <w:lang w:val="en-GB"/>
              </w:rPr>
              <w:t>hängt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vom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Wechselkurs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zwischen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diesen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beiden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Währungen</w:t>
            </w:r>
            <w:proofErr w:type="spellEnd"/>
            <w:r w:rsidRPr="00873BEA">
              <w:rPr>
                <w:sz w:val="18"/>
                <w:lang w:val="en-GB"/>
              </w:rPr>
              <w:t xml:space="preserve"> ab. Dieses </w:t>
            </w:r>
            <w:proofErr w:type="spellStart"/>
            <w:r w:rsidRPr="00873BEA">
              <w:rPr>
                <w:sz w:val="18"/>
                <w:lang w:val="en-GB"/>
              </w:rPr>
              <w:t>Risiko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ist</w:t>
            </w:r>
            <w:proofErr w:type="spellEnd"/>
            <w:r w:rsidRPr="00873BEA">
              <w:rPr>
                <w:sz w:val="18"/>
                <w:lang w:val="en-GB"/>
              </w:rPr>
              <w:t xml:space="preserve"> in </w:t>
            </w:r>
            <w:proofErr w:type="spellStart"/>
            <w:r w:rsidRPr="00873BEA">
              <w:rPr>
                <w:sz w:val="18"/>
                <w:lang w:val="en-GB"/>
              </w:rPr>
              <w:t>dem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oben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genannten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Indikator</w:t>
            </w:r>
            <w:proofErr w:type="spellEnd"/>
            <w:r w:rsidRPr="00873BEA">
              <w:rPr>
                <w:sz w:val="18"/>
                <w:lang w:val="en-GB"/>
              </w:rPr>
              <w:t xml:space="preserve"> nicht </w:t>
            </w:r>
            <w:proofErr w:type="spellStart"/>
            <w:r w:rsidRPr="00873BEA">
              <w:rPr>
                <w:sz w:val="18"/>
                <w:lang w:val="en-GB"/>
              </w:rPr>
              <w:t>berücksichtigt</w:t>
            </w:r>
            <w:proofErr w:type="spellEnd"/>
            <w:r w:rsidRPr="00873BEA">
              <w:rPr>
                <w:sz w:val="18"/>
                <w:lang w:val="en-GB"/>
              </w:rPr>
              <w:t xml:space="preserve">. Dieses </w:t>
            </w:r>
            <w:proofErr w:type="spellStart"/>
            <w:r w:rsidRPr="00873BEA">
              <w:rPr>
                <w:sz w:val="18"/>
                <w:lang w:val="en-GB"/>
              </w:rPr>
              <w:t>Produkt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bietet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keinen</w:t>
            </w:r>
            <w:proofErr w:type="spellEnd"/>
            <w:r w:rsidRPr="00873BEA">
              <w:rPr>
                <w:sz w:val="18"/>
                <w:lang w:val="en-GB"/>
              </w:rPr>
              <w:t xml:space="preserve"> Schutz </w:t>
            </w:r>
            <w:proofErr w:type="spellStart"/>
            <w:r w:rsidRPr="00873BEA">
              <w:rPr>
                <w:sz w:val="18"/>
                <w:lang w:val="en-GB"/>
              </w:rPr>
              <w:t>vor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zukünftigen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Marktbewegungen</w:t>
            </w:r>
            <w:proofErr w:type="spellEnd"/>
            <w:r w:rsidRPr="00873BEA">
              <w:rPr>
                <w:sz w:val="18"/>
                <w:lang w:val="en-GB"/>
              </w:rPr>
              <w:t xml:space="preserve">, </w:t>
            </w:r>
            <w:proofErr w:type="spellStart"/>
            <w:r w:rsidRPr="00873BEA">
              <w:rPr>
                <w:sz w:val="18"/>
                <w:lang w:val="en-GB"/>
              </w:rPr>
              <w:t>sodass</w:t>
            </w:r>
            <w:proofErr w:type="spellEnd"/>
            <w:r w:rsidRPr="00873BEA">
              <w:rPr>
                <w:sz w:val="18"/>
                <w:lang w:val="en-GB"/>
              </w:rPr>
              <w:t xml:space="preserve"> Sie </w:t>
            </w:r>
            <w:proofErr w:type="spellStart"/>
            <w:r w:rsidRPr="00873BEA">
              <w:rPr>
                <w:sz w:val="18"/>
                <w:lang w:val="en-GB"/>
              </w:rPr>
              <w:t>einen</w:t>
            </w:r>
            <w:proofErr w:type="spellEnd"/>
            <w:r w:rsidRPr="00873BEA">
              <w:rPr>
                <w:sz w:val="18"/>
                <w:lang w:val="en-GB"/>
              </w:rPr>
              <w:t xml:space="preserve"> Teil </w:t>
            </w:r>
            <w:proofErr w:type="spellStart"/>
            <w:r w:rsidRPr="00873BEA">
              <w:rPr>
                <w:sz w:val="18"/>
                <w:lang w:val="en-GB"/>
              </w:rPr>
              <w:t>oder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Ihr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gesamtes</w:t>
            </w:r>
            <w:proofErr w:type="spellEnd"/>
            <w:r w:rsidRPr="00873BEA">
              <w:rPr>
                <w:sz w:val="18"/>
                <w:lang w:val="en-GB"/>
              </w:rPr>
              <w:t xml:space="preserve"> Investment </w:t>
            </w:r>
            <w:proofErr w:type="spellStart"/>
            <w:r w:rsidRPr="00873BEA">
              <w:rPr>
                <w:sz w:val="18"/>
                <w:lang w:val="en-GB"/>
              </w:rPr>
              <w:t>verlieren</w:t>
            </w:r>
            <w:proofErr w:type="spellEnd"/>
            <w:r w:rsidRPr="00873BEA">
              <w:rPr>
                <w:sz w:val="18"/>
                <w:lang w:val="en-GB"/>
              </w:rPr>
              <w:t xml:space="preserve"> </w:t>
            </w:r>
            <w:proofErr w:type="spellStart"/>
            <w:r w:rsidRPr="00873BEA">
              <w:rPr>
                <w:sz w:val="18"/>
                <w:lang w:val="en-GB"/>
              </w:rPr>
              <w:t>können</w:t>
            </w:r>
            <w:proofErr w:type="spellEnd"/>
            <w:r w:rsidRPr="00873BEA">
              <w:rPr>
                <w:sz w:val="18"/>
                <w:lang w:val="en-GB"/>
              </w:rPr>
              <w:t>.</w:t>
            </w:r>
          </w:p>
          <w:p w14:paraId="58978DD4" w14:textId="77777777" w:rsidR="00CB655D" w:rsidRPr="0046222F" w:rsidRDefault="00CB655D" w:rsidP="00CB655D">
            <w:pPr>
              <w:pStyle w:val="TableParagraph"/>
              <w:spacing w:before="136"/>
              <w:jc w:val="both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</w:pPr>
            <w:proofErr w:type="spellStart"/>
            <w:r w:rsidRPr="0046222F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Leistungsszenarien</w:t>
            </w:r>
            <w:proofErr w:type="spellEnd"/>
          </w:p>
          <w:p w14:paraId="4928E0D9" w14:textId="77777777" w:rsidR="00CB655D" w:rsidRPr="00E32A3E" w:rsidRDefault="00CB655D" w:rsidP="00CB655D">
            <w:pPr>
              <w:pStyle w:val="TableParagraph"/>
              <w:spacing w:before="130" w:line="252" w:lineRule="auto"/>
              <w:ind w:right="198"/>
              <w:jc w:val="both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folgenden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verdeutlichen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Preisänderungen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Anlage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auswirken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jenen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anderer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Produkte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vergleichen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stellen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Schätzungen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künftigen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Wertentwicklung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basierend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historischen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Daten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;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exakter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Indikator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tatsächliches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Ergebnis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hängt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davon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ab,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entwickelt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lange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Sie den CFD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halten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VSMARKETS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liquidiert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automatisch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die Equity auf dem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Konto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ausreicht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um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Marginanforderungen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erfüllen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  <w:r w:rsidRPr="00E32A3E">
              <w:rPr>
                <w:rFonts w:ascii="Times New Roman" w:hAnsi="Times New Roman" w:cs="Times New Roman"/>
                <w:sz w:val="18"/>
              </w:rPr>
              <w:t>.</w:t>
            </w:r>
          </w:p>
          <w:p w14:paraId="4046AEB6" w14:textId="77777777" w:rsidR="00CB655D" w:rsidRDefault="00CB655D" w:rsidP="00CB655D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142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Günstiges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Szenario: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Richtung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Order,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dadurch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profitabel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72A959B3" w14:textId="77777777" w:rsidR="00CB655D" w:rsidRDefault="00CB655D" w:rsidP="00CB655D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  <w:tab w:val="left" w:pos="729"/>
              </w:tabs>
              <w:spacing w:before="140" w:line="252" w:lineRule="auto"/>
              <w:ind w:right="186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Moderates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Szenario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bleibt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relativ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nahe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am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Eröffnungspreis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Order;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Veränderung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gering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65E32335" w14:textId="77777777" w:rsidR="00CB655D" w:rsidRDefault="00CB655D" w:rsidP="00CB655D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128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Ungünstiges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Szenario: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gegen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wodurch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unprofitabel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55CA99C5" w14:textId="77777777" w:rsidR="00CB655D" w:rsidRPr="00277CD7" w:rsidRDefault="00CB655D" w:rsidP="00CB655D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128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Stressszenario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: Der Markt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stark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gegen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Order und der Preis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nähert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dem Stop-Out-Level.</w:t>
            </w:r>
          </w:p>
          <w:p w14:paraId="5879FB86" w14:textId="77777777" w:rsidR="00CB655D" w:rsidRDefault="00CB655D" w:rsidP="00CB655D">
            <w:pPr>
              <w:pStyle w:val="TableParagraph"/>
              <w:spacing w:before="19" w:line="194" w:lineRule="exact"/>
              <w:rPr>
                <w:rFonts w:ascii="Times New Roman" w:hAnsi="Times New Roman" w:cs="Times New Roman"/>
                <w:sz w:val="18"/>
              </w:rPr>
            </w:pPr>
          </w:p>
          <w:p w14:paraId="37A2320F" w14:textId="5AB31F2A" w:rsidR="00D84E68" w:rsidRPr="00F61C05" w:rsidRDefault="00CB655D" w:rsidP="00CB655D">
            <w:pPr>
              <w:pStyle w:val="TableParagraph"/>
              <w:spacing w:before="8" w:line="192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Zur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Erstellung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wurde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folgendes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Beispiel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verwendet</w:t>
            </w:r>
            <w:proofErr w:type="spellEnd"/>
          </w:p>
        </w:tc>
      </w:tr>
      <w:tr w:rsidR="00D84E68" w:rsidRPr="00F61C05" w14:paraId="38C031DF" w14:textId="77777777">
        <w:trPr>
          <w:trHeight w:val="227"/>
        </w:trPr>
        <w:tc>
          <w:tcPr>
            <w:tcW w:w="8327" w:type="dxa"/>
            <w:gridSpan w:val="10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6375A74" w14:textId="77777777" w:rsidR="00D84E68" w:rsidRPr="00F61C05" w:rsidRDefault="00345A8B">
            <w:pPr>
              <w:pStyle w:val="TableParagraph"/>
              <w:spacing w:before="1" w:line="206" w:lineRule="exact"/>
              <w:ind w:left="3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1C05">
              <w:rPr>
                <w:rFonts w:ascii="Times New Roman" w:hAnsi="Times New Roman" w:cs="Times New Roman"/>
                <w:b/>
                <w:color w:val="FFFFFF"/>
                <w:sz w:val="18"/>
              </w:rPr>
              <w:t>STOCKS</w:t>
            </w:r>
            <w:r w:rsidRPr="00F61C05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F61C05">
              <w:rPr>
                <w:rFonts w:ascii="Times New Roman" w:hAnsi="Times New Roman" w:cs="Times New Roman"/>
                <w:b/>
                <w:color w:val="FFFFFF"/>
                <w:sz w:val="18"/>
              </w:rPr>
              <w:t>CFD-</w:t>
            </w:r>
            <w:r w:rsidRPr="00F61C05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 xml:space="preserve"> Tesla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495FAB7" w14:textId="77777777" w:rsidR="00D84E68" w:rsidRPr="00F61C05" w:rsidRDefault="00D84E6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84E68" w:rsidRPr="00F61C05" w14:paraId="3795FD00" w14:textId="77777777">
        <w:trPr>
          <w:trHeight w:val="241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046075C" w14:textId="77777777" w:rsidR="00D84E68" w:rsidRPr="00F61C05" w:rsidRDefault="00D84E68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9953BF9" w14:textId="77777777" w:rsidR="00D84E68" w:rsidRPr="00F61C05" w:rsidRDefault="00D84E68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D2A9A58" w14:textId="77777777" w:rsidR="00D84E68" w:rsidRPr="00F61C05" w:rsidRDefault="00345A8B">
            <w:pPr>
              <w:pStyle w:val="TableParagraph"/>
              <w:spacing w:line="210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Bid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6700878" w14:textId="77777777" w:rsidR="00D84E68" w:rsidRPr="00F61C05" w:rsidRDefault="00345A8B">
            <w:pPr>
              <w:pStyle w:val="TableParagraph"/>
              <w:spacing w:line="210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Ask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4301D004" w14:textId="77777777" w:rsidR="00D84E68" w:rsidRPr="00F61C05" w:rsidRDefault="00D84E6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134E3D99" w14:textId="77777777" w:rsidTr="00F61C05">
        <w:trPr>
          <w:trHeight w:val="227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017B0C9" w14:textId="7272693B" w:rsidR="00CB655D" w:rsidRPr="00F61C05" w:rsidRDefault="00CB655D" w:rsidP="00CB655D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pacing w:val="-2"/>
                <w:sz w:val="18"/>
              </w:rPr>
              <w:t>Kontostand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7E5C2F1" w14:textId="77777777" w:rsidR="00CB655D" w:rsidRPr="00F61C05" w:rsidRDefault="00CB655D" w:rsidP="00CB655D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500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4749308" w14:textId="77777777" w:rsidR="00CB655D" w:rsidRPr="00F61C05" w:rsidRDefault="00CB655D" w:rsidP="00CB655D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73980EF" w14:textId="77777777" w:rsidR="00CB655D" w:rsidRPr="00F61C05" w:rsidRDefault="00CB655D" w:rsidP="00CB655D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0414214D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511D93D5" w14:textId="77777777" w:rsidTr="00F61C05">
        <w:trPr>
          <w:trHeight w:val="228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B9DDA05" w14:textId="56279B46" w:rsidR="00CB655D" w:rsidRPr="00F61C05" w:rsidRDefault="00CB655D" w:rsidP="00CB655D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Eröffnungspreis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1C1B793" w14:textId="77777777" w:rsidR="00CB655D" w:rsidRPr="00F61C05" w:rsidRDefault="00CB655D" w:rsidP="00CB655D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10"/>
                <w:sz w:val="18"/>
              </w:rPr>
              <w:t>P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FAC605C" w14:textId="77777777" w:rsidR="00CB655D" w:rsidRPr="00F61C05" w:rsidRDefault="00CB655D" w:rsidP="00CB655D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193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2F9A115" w14:textId="77777777" w:rsidR="00CB655D" w:rsidRPr="00F61C05" w:rsidRDefault="00CB655D" w:rsidP="00CB655D">
            <w:pPr>
              <w:pStyle w:val="TableParagraph"/>
              <w:spacing w:line="208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194.5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7DA57F9D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051D2A2C" w14:textId="77777777" w:rsidTr="00F61C05">
        <w:trPr>
          <w:trHeight w:val="225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6BD3E7F" w14:textId="736D7AEE" w:rsidR="00CB655D" w:rsidRPr="00F61C05" w:rsidRDefault="00CB655D" w:rsidP="00CB655D">
            <w:pPr>
              <w:pStyle w:val="TableParagraph"/>
              <w:spacing w:line="205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Positionsgröße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5139276" w14:textId="77777777" w:rsidR="00CB655D" w:rsidRPr="00F61C05" w:rsidRDefault="00CB655D" w:rsidP="00CB655D">
            <w:pPr>
              <w:pStyle w:val="TableParagraph"/>
              <w:spacing w:line="205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TS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AE68A50" w14:textId="77777777" w:rsidR="00CB655D" w:rsidRPr="00F61C05" w:rsidRDefault="00CB655D" w:rsidP="00CB655D">
            <w:pPr>
              <w:pStyle w:val="TableParagraph"/>
              <w:spacing w:line="205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95509E9" w14:textId="77777777" w:rsidR="00CB655D" w:rsidRPr="00F61C05" w:rsidRDefault="00CB655D" w:rsidP="00CB655D">
            <w:pPr>
              <w:pStyle w:val="TableParagraph"/>
              <w:spacing w:line="205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3E6A0A62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504C53A7" w14:textId="77777777" w:rsidTr="00F61C05">
        <w:trPr>
          <w:trHeight w:val="242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AE781EC" w14:textId="2E78BE8B" w:rsidR="00CB655D" w:rsidRPr="00F61C05" w:rsidRDefault="00CB655D" w:rsidP="00CB655D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Margin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E700D75" w14:textId="77777777" w:rsidR="00CB655D" w:rsidRPr="00F61C05" w:rsidRDefault="00CB655D" w:rsidP="00CB655D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10"/>
                <w:sz w:val="18"/>
              </w:rPr>
              <w:t>M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BC1095D" w14:textId="77777777" w:rsidR="00CB655D" w:rsidRPr="00F61C05" w:rsidRDefault="00CB655D" w:rsidP="00CB655D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20%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790EFAD" w14:textId="77777777" w:rsidR="00CB655D" w:rsidRPr="00F61C05" w:rsidRDefault="00CB655D" w:rsidP="00CB655D">
            <w:pPr>
              <w:pStyle w:val="TableParagraph"/>
              <w:spacing w:before="1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20%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6E47B735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7AA3A66F" w14:textId="77777777" w:rsidTr="00F61C05">
        <w:trPr>
          <w:trHeight w:val="227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B3220FC" w14:textId="58A4BFC4" w:rsidR="00CB655D" w:rsidRPr="00F61C05" w:rsidRDefault="00CB655D" w:rsidP="00CB655D">
            <w:pPr>
              <w:pStyle w:val="TableParagraph"/>
              <w:spacing w:before="1" w:line="206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Anfangsmargin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D282BED" w14:textId="77777777" w:rsidR="00CB655D" w:rsidRPr="00F61C05" w:rsidRDefault="00CB655D" w:rsidP="00CB655D">
            <w:pPr>
              <w:pStyle w:val="TableParagraph"/>
              <w:spacing w:before="1" w:line="206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P x</w:t>
            </w:r>
            <w:r w:rsidRPr="00F61C05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61C05">
              <w:rPr>
                <w:rFonts w:ascii="Times New Roman" w:hAnsi="Times New Roman" w:cs="Times New Roman"/>
                <w:sz w:val="18"/>
              </w:rPr>
              <w:t>TS X</w:t>
            </w:r>
            <w:r w:rsidRPr="00F61C05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61C05">
              <w:rPr>
                <w:rFonts w:ascii="Times New Roman" w:hAnsi="Times New Roman" w:cs="Times New Roman"/>
                <w:spacing w:val="-10"/>
                <w:sz w:val="18"/>
              </w:rPr>
              <w:t>M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92A0EC5" w14:textId="77777777" w:rsidR="00CB655D" w:rsidRPr="00F61C05" w:rsidRDefault="00CB655D" w:rsidP="00CB655D">
            <w:pPr>
              <w:pStyle w:val="TableParagraph"/>
              <w:spacing w:before="1" w:line="206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386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D857628" w14:textId="77777777" w:rsidR="00CB655D" w:rsidRPr="00F61C05" w:rsidRDefault="00CB655D" w:rsidP="00CB655D">
            <w:pPr>
              <w:pStyle w:val="TableParagraph"/>
              <w:spacing w:before="1" w:line="206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389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412A729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076053C1" w14:textId="77777777" w:rsidTr="00F61C05">
        <w:trPr>
          <w:trHeight w:val="227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334E8A8" w14:textId="7D235688" w:rsidR="00CB655D" w:rsidRPr="00F61C05" w:rsidRDefault="00CB655D" w:rsidP="00CB655D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Nominalwert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FCE6A71" w14:textId="77777777" w:rsidR="00CB655D" w:rsidRPr="00F61C05" w:rsidRDefault="00CB655D" w:rsidP="00CB655D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P</w:t>
            </w:r>
            <w:r w:rsidRPr="00F61C05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F61C05">
              <w:rPr>
                <w:rFonts w:ascii="Times New Roman" w:hAnsi="Times New Roman" w:cs="Times New Roman"/>
                <w:sz w:val="18"/>
              </w:rPr>
              <w:t xml:space="preserve">x </w:t>
            </w: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TS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CD6632B" w14:textId="77777777" w:rsidR="00CB655D" w:rsidRPr="00F61C05" w:rsidRDefault="00CB655D" w:rsidP="00CB655D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1930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7A7349A" w14:textId="77777777" w:rsidR="00CB655D" w:rsidRPr="00F61C05" w:rsidRDefault="00CB655D" w:rsidP="00CB655D">
            <w:pPr>
              <w:pStyle w:val="TableParagraph"/>
              <w:spacing w:line="208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1945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3499B277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167979EE" w14:textId="77777777" w:rsidTr="00F61C05">
        <w:trPr>
          <w:trHeight w:val="690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579C265" w14:textId="690436BA" w:rsidR="00CB655D" w:rsidRPr="00F61C05" w:rsidRDefault="00CB655D" w:rsidP="00CB655D">
            <w:pPr>
              <w:pStyle w:val="TableParagraph"/>
              <w:ind w:left="119" w:right="38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Übernachtfinanzierung</w:t>
            </w:r>
            <w:proofErr w:type="spellEnd"/>
            <w:r w:rsidRPr="00963F6F">
              <w:rPr>
                <w:rFonts w:ascii="Times New Roman" w:hAnsi="Times New Roman" w:cs="Times New Roman"/>
                <w:sz w:val="18"/>
              </w:rPr>
              <w:t xml:space="preserve"> (USD pro 1 CFD)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B2367C4" w14:textId="77777777" w:rsidR="00CB655D" w:rsidRPr="00F61C05" w:rsidRDefault="00CB655D" w:rsidP="00CB655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850CA8F" w14:textId="77777777" w:rsidR="00CB655D" w:rsidRPr="00F61C05" w:rsidRDefault="00CB655D" w:rsidP="00CB655D">
            <w:pPr>
              <w:pStyle w:val="TableParagraph"/>
              <w:spacing w:before="210"/>
              <w:ind w:left="115"/>
              <w:rPr>
                <w:rFonts w:ascii="Times New Roman" w:hAnsi="Times New Roman" w:cs="Times New Roman"/>
              </w:rPr>
            </w:pPr>
            <w:r w:rsidRPr="00F61C05">
              <w:rPr>
                <w:rFonts w:ascii="Times New Roman" w:hAnsi="Times New Roman" w:cs="Times New Roman"/>
                <w:spacing w:val="-2"/>
              </w:rPr>
              <w:t>-0.536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E778944" w14:textId="77777777" w:rsidR="00CB655D" w:rsidRPr="00F61C05" w:rsidRDefault="00CB655D" w:rsidP="00CB655D">
            <w:pPr>
              <w:pStyle w:val="TableParagraph"/>
              <w:spacing w:line="210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1.08142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7AD9F42E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4E68" w:rsidRPr="00F61C05" w14:paraId="46EBF457" w14:textId="77777777">
        <w:trPr>
          <w:trHeight w:val="220"/>
        </w:trPr>
        <w:tc>
          <w:tcPr>
            <w:tcW w:w="10767" w:type="dxa"/>
            <w:gridSpan w:val="12"/>
            <w:tcBorders>
              <w:top w:val="nil"/>
              <w:bottom w:val="nil"/>
            </w:tcBorders>
          </w:tcPr>
          <w:p w14:paraId="4D47649F" w14:textId="77777777" w:rsidR="00D84E68" w:rsidRPr="00F61C05" w:rsidRDefault="00D84E68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D84E68" w:rsidRPr="00F61C05" w14:paraId="56B1AB1C" w14:textId="77777777">
        <w:trPr>
          <w:trHeight w:val="210"/>
        </w:trPr>
        <w:tc>
          <w:tcPr>
            <w:tcW w:w="5297" w:type="dxa"/>
            <w:gridSpan w:val="6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5097982" w14:textId="77777777" w:rsidR="00D84E68" w:rsidRPr="00F61C05" w:rsidRDefault="00345A8B">
            <w:pPr>
              <w:pStyle w:val="TableParagraph"/>
              <w:spacing w:line="191" w:lineRule="exact"/>
              <w:ind w:left="3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61C05">
              <w:rPr>
                <w:rFonts w:ascii="Times New Roman" w:hAnsi="Times New Roman" w:cs="Times New Roman"/>
                <w:b/>
                <w:color w:val="FFFFFF"/>
                <w:sz w:val="18"/>
              </w:rPr>
              <w:t>LONG</w:t>
            </w:r>
            <w:r w:rsidRPr="00F61C05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F61C05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4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7874A24" w14:textId="77777777" w:rsidR="00D84E68" w:rsidRPr="00F61C05" w:rsidRDefault="00345A8B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b/>
                <w:sz w:val="18"/>
              </w:rPr>
            </w:pPr>
            <w:r w:rsidRPr="00F61C05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SHORT </w:t>
            </w:r>
            <w:r w:rsidRPr="00F61C05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5C341FB8" w14:textId="77777777" w:rsidR="00D84E68" w:rsidRPr="00F61C05" w:rsidRDefault="00D84E6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B655D" w:rsidRPr="00F61C05" w14:paraId="5D1AA44A" w14:textId="77777777">
        <w:trPr>
          <w:trHeight w:val="844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8FE4622" w14:textId="5A465F19" w:rsidR="00CB655D" w:rsidRPr="00F61C05" w:rsidRDefault="00CB655D" w:rsidP="00CB655D">
            <w:pPr>
              <w:pStyle w:val="TableParagraph"/>
              <w:spacing w:line="210" w:lineRule="exact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Szenario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DD574F2" w14:textId="1C7E862B" w:rsidR="00CB655D" w:rsidRPr="00F61C05" w:rsidRDefault="00CB655D" w:rsidP="00CB655D">
            <w:pPr>
              <w:pStyle w:val="TableParagraph"/>
              <w:ind w:left="115" w:right="18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Schlusspreis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0F445A7" w14:textId="0D465B0C" w:rsidR="00CB655D" w:rsidRPr="00F61C05" w:rsidRDefault="00CB655D" w:rsidP="00CB655D">
            <w:pPr>
              <w:pStyle w:val="TableParagraph"/>
              <w:ind w:left="116" w:right="88"/>
              <w:rPr>
                <w:rFonts w:ascii="Times New Roman" w:hAnsi="Times New Roman" w:cs="Times New Roman"/>
                <w:b/>
                <w:sz w:val="18"/>
              </w:rPr>
            </w:pPr>
            <w:r w:rsidRPr="00963F6F">
              <w:rPr>
                <w:rFonts w:ascii="Times New Roman" w:hAnsi="Times New Roman" w:cs="Times New Roman"/>
                <w:b/>
                <w:sz w:val="18"/>
              </w:rPr>
              <w:t xml:space="preserve">%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z w:val="18"/>
              </w:rPr>
              <w:t>Preisänderung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620D410" w14:textId="5986701A" w:rsidR="00CB655D" w:rsidRPr="00F61C05" w:rsidRDefault="00CB655D" w:rsidP="00CB655D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Übernachtfinanzierung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4742CB9" w14:textId="093AC462" w:rsidR="00CB655D" w:rsidRPr="00F61C05" w:rsidRDefault="00CB655D" w:rsidP="00CB655D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Gewinn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Verlust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nach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Kosten (USD)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7E496E9" w14:textId="62AF2A62" w:rsidR="00CB655D" w:rsidRPr="00F61C05" w:rsidRDefault="00CB655D" w:rsidP="00CB655D">
            <w:pPr>
              <w:pStyle w:val="TableParagraph"/>
              <w:ind w:left="116" w:right="17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Schlusspreis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77E6374" w14:textId="3203916D" w:rsidR="00CB655D" w:rsidRPr="00F61C05" w:rsidRDefault="00CB655D" w:rsidP="00CB655D">
            <w:pPr>
              <w:pStyle w:val="TableParagraph"/>
              <w:ind w:left="77" w:right="86"/>
              <w:rPr>
                <w:rFonts w:ascii="Times New Roman" w:hAnsi="Times New Roman" w:cs="Times New Roman"/>
                <w:b/>
                <w:sz w:val="18"/>
              </w:rPr>
            </w:pPr>
            <w:r w:rsidRPr="00963F6F">
              <w:rPr>
                <w:rFonts w:ascii="Times New Roman" w:hAnsi="Times New Roman" w:cs="Times New Roman"/>
                <w:b/>
                <w:sz w:val="18"/>
              </w:rPr>
              <w:t xml:space="preserve">%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z w:val="18"/>
              </w:rPr>
              <w:t>Preisänderung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6BA27D0" w14:textId="5CD9A565" w:rsidR="00CB655D" w:rsidRPr="00F61C05" w:rsidRDefault="00CB655D" w:rsidP="00CB655D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Übernachtfinanzierung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E964C20" w14:textId="50D3D91F" w:rsidR="00CB655D" w:rsidRPr="00F61C05" w:rsidRDefault="00CB655D" w:rsidP="00CB655D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Gewinn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Verlust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nach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Kosten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6F3413E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16432382" w14:textId="77777777" w:rsidTr="00F61C05">
        <w:trPr>
          <w:trHeight w:val="211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21D90A2" w14:textId="222DDCF8" w:rsidR="00CB655D" w:rsidRPr="00F61C05" w:rsidRDefault="00CB655D" w:rsidP="00CB655D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Günstig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3428A51" w14:textId="77777777" w:rsidR="00CB655D" w:rsidRPr="00F61C05" w:rsidRDefault="00CB655D" w:rsidP="00CB655D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AC11BBE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2.83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D522B73" w14:textId="77777777" w:rsidR="00CB655D" w:rsidRPr="00F61C05" w:rsidRDefault="00CB655D" w:rsidP="00CB655D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459DC68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53.92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6693E8D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180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E91669E" w14:textId="77777777" w:rsidR="00CB655D" w:rsidRPr="00F61C05" w:rsidRDefault="00CB655D" w:rsidP="00CB655D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6.74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B1A6222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0.53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E33AF08" w14:textId="16E9B2D3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129</w:t>
            </w:r>
            <w:r>
              <w:rPr>
                <w:rFonts w:ascii="Times New Roman" w:hAnsi="Times New Roman" w:cs="Times New Roman"/>
                <w:spacing w:val="-5"/>
                <w:sz w:val="18"/>
              </w:rPr>
              <w:t>.47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FCEA956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78ED189D" w14:textId="77777777" w:rsidTr="00F61C05">
        <w:trPr>
          <w:trHeight w:val="210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8B5EED8" w14:textId="3A4D62C3" w:rsidR="00CB655D" w:rsidRPr="00F61C05" w:rsidRDefault="00CB655D" w:rsidP="00CB655D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Moderat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698AC48" w14:textId="77777777" w:rsidR="00CB655D" w:rsidRPr="00F61C05" w:rsidRDefault="00CB655D" w:rsidP="00CB655D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190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A1641DE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2.31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2E990DB" w14:textId="77777777" w:rsidR="00CB655D" w:rsidRPr="00F61C05" w:rsidRDefault="00CB655D" w:rsidP="00CB655D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566E5AC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46.08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785AF3A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EA049AA" w14:textId="77777777" w:rsidR="00CB655D" w:rsidRPr="00F61C05" w:rsidRDefault="00CB655D" w:rsidP="00CB655D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3.63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636F9DD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0.53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61C7DD5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70.53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E143975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58FDD845" w14:textId="77777777" w:rsidTr="00F61C05">
        <w:trPr>
          <w:trHeight w:val="210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AD63A71" w14:textId="3BD5FC4D" w:rsidR="00CB655D" w:rsidRPr="00F61C05" w:rsidRDefault="00CB655D" w:rsidP="00CB655D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Ungünstig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78CE12F" w14:textId="77777777" w:rsidR="00CB655D" w:rsidRPr="00F61C05" w:rsidRDefault="00CB655D" w:rsidP="00CB655D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2A7A3A4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12.6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43D7CB4" w14:textId="77777777" w:rsidR="00CB655D" w:rsidRPr="00F61C05" w:rsidRDefault="00CB655D" w:rsidP="00CB655D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5E5F316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246.08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1AB80EA" w14:textId="77777777" w:rsidR="00CB655D" w:rsidRPr="00F61C05" w:rsidRDefault="00CB655D" w:rsidP="00CB655D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B7D5677" w14:textId="77777777" w:rsidR="00CB655D" w:rsidRPr="00F61C05" w:rsidRDefault="00CB655D" w:rsidP="00CB655D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26AFBAF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0.53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D462425" w14:textId="77777777" w:rsidR="00CB655D" w:rsidRPr="00F61C05" w:rsidRDefault="00CB655D" w:rsidP="00CB655D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270.53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6E5626D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655D" w:rsidRPr="00F61C05" w14:paraId="2736E695" w14:textId="77777777" w:rsidTr="00F61C05">
        <w:trPr>
          <w:trHeight w:val="213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D5EC5D5" w14:textId="0A6A2004" w:rsidR="00CB655D" w:rsidRPr="00F61C05" w:rsidRDefault="00CB655D" w:rsidP="00CB655D">
            <w:pPr>
              <w:pStyle w:val="TableParagraph"/>
              <w:spacing w:line="193" w:lineRule="exact"/>
              <w:ind w:left="119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Stress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7D82C08" w14:textId="77777777" w:rsidR="00CB655D" w:rsidRPr="00F61C05" w:rsidRDefault="00CB655D" w:rsidP="00CB655D">
            <w:pPr>
              <w:pStyle w:val="TableParagraph"/>
              <w:spacing w:line="193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B1E1CD4" w14:textId="77777777" w:rsidR="00CB655D" w:rsidRPr="00F61C05" w:rsidRDefault="00CB655D" w:rsidP="00CB655D">
            <w:pPr>
              <w:pStyle w:val="TableParagraph"/>
              <w:spacing w:line="193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22.8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D44B666" w14:textId="77777777" w:rsidR="00CB655D" w:rsidRPr="00F61C05" w:rsidRDefault="00CB655D" w:rsidP="00CB655D">
            <w:pPr>
              <w:pStyle w:val="TableParagraph"/>
              <w:spacing w:line="193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1.08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016488A" w14:textId="77777777" w:rsidR="00CB655D" w:rsidRPr="00F61C05" w:rsidRDefault="00CB655D" w:rsidP="00CB655D">
            <w:pPr>
              <w:pStyle w:val="TableParagraph"/>
              <w:spacing w:line="193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446.08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1E995BF" w14:textId="77777777" w:rsidR="00CB655D" w:rsidRPr="00F61C05" w:rsidRDefault="00CB655D" w:rsidP="00CB655D">
            <w:pPr>
              <w:pStyle w:val="TableParagraph"/>
              <w:spacing w:line="193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5"/>
                <w:sz w:val="18"/>
              </w:rPr>
              <w:t>240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922A265" w14:textId="77777777" w:rsidR="00CB655D" w:rsidRPr="00F61C05" w:rsidRDefault="00CB655D" w:rsidP="00CB655D">
            <w:pPr>
              <w:pStyle w:val="TableParagraph"/>
              <w:spacing w:line="193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24.3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0BCD46F" w14:textId="77777777" w:rsidR="00CB655D" w:rsidRPr="00F61C05" w:rsidRDefault="00CB655D" w:rsidP="00CB655D">
            <w:pPr>
              <w:pStyle w:val="TableParagraph"/>
              <w:spacing w:line="193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>0.53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72E74B3" w14:textId="77777777" w:rsidR="00CB655D" w:rsidRPr="00F61C05" w:rsidRDefault="00CB655D" w:rsidP="00CB655D">
            <w:pPr>
              <w:pStyle w:val="TableParagraph"/>
              <w:spacing w:line="193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-</w:t>
            </w:r>
            <w:r w:rsidRPr="00F61C05">
              <w:rPr>
                <w:rFonts w:ascii="Times New Roman" w:hAnsi="Times New Roman" w:cs="Times New Roman"/>
                <w:spacing w:val="-2"/>
                <w:sz w:val="18"/>
              </w:rPr>
              <w:t>470.53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C3FD0B8" w14:textId="77777777" w:rsidR="00CB655D" w:rsidRPr="00F61C05" w:rsidRDefault="00CB655D" w:rsidP="00CB65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4E68" w:rsidRPr="00F61C05" w14:paraId="3AF57734" w14:textId="77777777">
        <w:trPr>
          <w:trHeight w:val="1380"/>
        </w:trPr>
        <w:tc>
          <w:tcPr>
            <w:tcW w:w="10767" w:type="dxa"/>
            <w:gridSpan w:val="12"/>
            <w:tcBorders>
              <w:top w:val="nil"/>
              <w:bottom w:val="double" w:sz="4" w:space="0" w:color="F28C28"/>
            </w:tcBorders>
          </w:tcPr>
          <w:p w14:paraId="2386D5FC" w14:textId="77777777" w:rsidR="00CB655D" w:rsidRDefault="00CB655D" w:rsidP="00CB655D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lastRenderedPageBreak/>
              <w:t xml:space="preserve">Die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dargestellten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Werte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enthalten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alle Kosten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selbst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jedoch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alle Kosten, die Sie an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Berater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Vermittler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zahlen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Die Zahlen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berücksichtigen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persönliche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Steuersituation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Eine Long-Position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setzt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steigende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Preise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voraus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Short-Position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fallende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Preise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</w:p>
          <w:p w14:paraId="16FB1F89" w14:textId="5E0A9A3F" w:rsidR="00D84E68" w:rsidRPr="00CB655D" w:rsidRDefault="00CB655D" w:rsidP="00CB655D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</w:rPr>
            </w:pPr>
            <w:r w:rsidRPr="00E32A3E">
              <w:rPr>
                <w:rFonts w:ascii="Times New Roman" w:hAnsi="Times New Roman" w:cs="Times New Roman"/>
                <w:b/>
                <w:color w:val="F28C28"/>
                <w:sz w:val="18"/>
              </w:rPr>
              <w:t>*</w:t>
            </w:r>
            <w:r w:rsidRPr="00040325">
              <w:rPr>
                <w:rFonts w:ascii="Calibri" w:eastAsiaTheme="minorEastAsia" w:hAnsi="Calibri" w:cstheme="minorBidi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Ihr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Verlust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auf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Ihr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Kontoguthaben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begrenzt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, da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ein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Negativsaldoschutz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besteht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.</w:t>
            </w:r>
          </w:p>
        </w:tc>
      </w:tr>
    </w:tbl>
    <w:p w14:paraId="75EAE314" w14:textId="77777777" w:rsidR="00D84E68" w:rsidRPr="00F61C05" w:rsidRDefault="00D84E68">
      <w:pPr>
        <w:pStyle w:val="TableParagraph"/>
        <w:jc w:val="both"/>
        <w:rPr>
          <w:rFonts w:ascii="Times New Roman" w:hAnsi="Times New Roman" w:cs="Times New Roman"/>
          <w:b/>
          <w:sz w:val="18"/>
        </w:rPr>
        <w:sectPr w:rsidR="00D84E68" w:rsidRPr="00F61C05">
          <w:type w:val="continuous"/>
          <w:pgSz w:w="11910" w:h="16840"/>
          <w:pgMar w:top="560" w:right="425" w:bottom="280" w:left="566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1134"/>
        <w:gridCol w:w="1418"/>
        <w:gridCol w:w="6974"/>
      </w:tblGrid>
      <w:tr w:rsidR="00D84E68" w:rsidRPr="00F61C05" w14:paraId="3D669D95" w14:textId="77777777">
        <w:trPr>
          <w:trHeight w:val="6706"/>
        </w:trPr>
        <w:tc>
          <w:tcPr>
            <w:tcW w:w="10775" w:type="dxa"/>
            <w:gridSpan w:val="4"/>
            <w:tcBorders>
              <w:bottom w:val="single" w:sz="4" w:space="0" w:color="000000"/>
            </w:tcBorders>
          </w:tcPr>
          <w:p w14:paraId="28D38B9C" w14:textId="77777777" w:rsidR="00CB655D" w:rsidRPr="00040325" w:rsidRDefault="00CB655D" w:rsidP="00CB655D">
            <w:pPr>
              <w:pStyle w:val="TableParagraph"/>
              <w:spacing w:before="119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Was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passiert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wenn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VSMARKETS nicht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zahlen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569F95B2" w14:textId="77777777" w:rsidR="00CB655D" w:rsidRPr="00040325" w:rsidRDefault="00CB655D" w:rsidP="00CB655D">
            <w:pPr>
              <w:pStyle w:val="TableParagraph"/>
              <w:spacing w:before="121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Kundengelder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werden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immer auf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segregierten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Bankkonten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verwahrt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getrennt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eigenen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Vermögen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Unternehmens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und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gemäß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den CySEC-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Vorschriften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Schutz von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Kundengeldern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gehalten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433EA614" w14:textId="77777777" w:rsidR="00CB655D" w:rsidRPr="00040325" w:rsidRDefault="00CB655D" w:rsidP="00CB655D">
            <w:pPr>
              <w:pStyle w:val="TableParagraph"/>
              <w:spacing w:before="121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unwahrscheinlichen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Fall,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VSMARKETS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aufgrund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von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Insolvenz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ausfällt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es sein,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den Wert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Investition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VSMARKETS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Mitglied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Anleger-Entschädigungsfonds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(ICF) für Kunden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zyprischer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Investmentfirmen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Der ICF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bietet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Entschädigung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wir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in der Lage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Verpflichtungen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Ihnen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gegenüber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erfüllen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maximale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Entschädigung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beträgt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20.000 €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90 %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Anspruchsbetrags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je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nachdem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welcher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Betrag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geringer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Weitere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finden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auf der Website der CySEC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sowie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unserer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Anleger-Entschädigungsfonds-Politik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557633FE" w14:textId="77777777" w:rsidR="00CB655D" w:rsidRPr="0054067F" w:rsidRDefault="00CB655D" w:rsidP="00CB655D">
            <w:pPr>
              <w:pStyle w:val="TableParagraph"/>
              <w:spacing w:before="119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Wie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lange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sollte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es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halten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und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frühzeitig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Geld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entnehmen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32B5723D" w14:textId="77777777" w:rsidR="00CB655D" w:rsidRPr="00040325" w:rsidRDefault="00CB655D" w:rsidP="00CB655D">
            <w:pPr>
              <w:pStyle w:val="TableParagraph"/>
              <w:spacing w:before="120"/>
              <w:ind w:right="-15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CFDs auf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Rohstoffe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haben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Allgemeinen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empfohlene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Haltedauer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da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selbst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entscheiden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Position(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das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regelmäßig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überwachen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um den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geeigneten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Zeitpunkt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bestimmen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— dies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jederzeit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während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normalen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außergewöhnlichen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Marktsituationen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das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Handeln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vorübergehend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sein;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Fällen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direkt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kontaktieren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068FFA02" w14:textId="73859890" w:rsidR="00CB655D" w:rsidRPr="00040325" w:rsidRDefault="00CB655D" w:rsidP="00CB655D">
            <w:pPr>
              <w:pStyle w:val="TableParagraph"/>
              <w:spacing w:before="120"/>
              <w:ind w:right="-15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jederzeit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Geld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abheben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außer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dem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Betrag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der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als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Margin für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offene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dient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Für dieses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gibt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Widerrufs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Stornierungsfrist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5C76CC35" w14:textId="77777777" w:rsidR="00CB655D" w:rsidRPr="00040325" w:rsidRDefault="00CB655D" w:rsidP="00CB655D">
            <w:pPr>
              <w:pStyle w:val="TableParagraph"/>
              <w:spacing w:before="122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Welche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Kosten fallen an?</w:t>
            </w:r>
          </w:p>
          <w:p w14:paraId="5484F0E8" w14:textId="77777777" w:rsidR="00CB655D" w:rsidRPr="00040325" w:rsidRDefault="00CB655D" w:rsidP="00CB655D">
            <w:pPr>
              <w:pStyle w:val="TableParagraph"/>
              <w:spacing w:before="120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Bevor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dem Handel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beginnen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sämtlichen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Kosten und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Gebühren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vertraut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Kosten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verringern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Gewinne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erhöhen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Verluste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Weitere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den Kosten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finden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auf der Website von VSMARKETS.</w:t>
            </w:r>
          </w:p>
          <w:p w14:paraId="0B1AE474" w14:textId="77777777" w:rsidR="00CB655D" w:rsidRPr="00040325" w:rsidRDefault="00CB655D" w:rsidP="00CB655D">
            <w:pPr>
              <w:pStyle w:val="TableParagraph"/>
              <w:spacing w:before="121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b/>
                <w:sz w:val="18"/>
              </w:rPr>
              <w:t xml:space="preserve">Kosten </w:t>
            </w:r>
            <w:proofErr w:type="spellStart"/>
            <w:r w:rsidRPr="00040325">
              <w:rPr>
                <w:rFonts w:ascii="Times New Roman" w:hAnsi="Times New Roman" w:cs="Times New Roman"/>
                <w:b/>
                <w:sz w:val="18"/>
              </w:rPr>
              <w:t>über</w:t>
            </w:r>
            <w:proofErr w:type="spellEnd"/>
            <w:r w:rsidRPr="00040325">
              <w:rPr>
                <w:rFonts w:ascii="Times New Roman" w:hAnsi="Times New Roman" w:cs="Times New Roman"/>
                <w:b/>
                <w:sz w:val="18"/>
              </w:rPr>
              <w:t xml:space="preserve"> die Zeit</w:t>
            </w:r>
          </w:p>
          <w:p w14:paraId="730823B4" w14:textId="77777777" w:rsidR="00CB655D" w:rsidRDefault="00CB655D" w:rsidP="00CB655D">
            <w:pPr>
              <w:pStyle w:val="TableParagraph"/>
              <w:spacing w:before="120" w:line="374" w:lineRule="auto"/>
              <w:ind w:right="717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Geschätzter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Anlagehorizont:4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Wochen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Investition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14:paraId="339051AE" w14:textId="52C53827" w:rsidR="00D84E68" w:rsidRPr="00F61C05" w:rsidRDefault="00345A8B" w:rsidP="00492074">
            <w:pPr>
              <w:pStyle w:val="TableParagraph"/>
              <w:spacing w:before="120" w:line="376" w:lineRule="auto"/>
              <w:ind w:right="7179"/>
              <w:jc w:val="both"/>
              <w:rPr>
                <w:rFonts w:ascii="Times New Roman" w:hAnsi="Times New Roman" w:cs="Times New Roman"/>
                <w:sz w:val="20"/>
              </w:rPr>
            </w:pPr>
            <w:r w:rsidRPr="00F61C05">
              <w:rPr>
                <w:rFonts w:ascii="Times New Roman" w:hAnsi="Times New Roman" w:cs="Times New Roman"/>
                <w:sz w:val="18"/>
              </w:rPr>
              <w:t>$</w:t>
            </w:r>
            <w:r w:rsidRPr="00F61C05">
              <w:rPr>
                <w:rFonts w:ascii="Times New Roman" w:hAnsi="Times New Roman" w:cs="Times New Roman"/>
                <w:sz w:val="20"/>
              </w:rPr>
              <w:t>386</w:t>
            </w:r>
          </w:p>
          <w:p w14:paraId="429A57A7" w14:textId="07A4FED7" w:rsidR="00D84E68" w:rsidRPr="00F61C05" w:rsidRDefault="007E3DF3" w:rsidP="00492074">
            <w:pPr>
              <w:pStyle w:val="TableParagraph"/>
              <w:spacing w:line="190" w:lineRule="exact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Nominalwert</w:t>
            </w:r>
            <w:proofErr w:type="spellEnd"/>
            <w:r w:rsidRPr="00F61C05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345A8B" w:rsidRPr="00F61C05">
              <w:rPr>
                <w:rFonts w:ascii="Times New Roman" w:hAnsi="Times New Roman" w:cs="Times New Roman"/>
                <w:spacing w:val="-4"/>
                <w:sz w:val="18"/>
              </w:rPr>
              <w:t>$1930</w:t>
            </w:r>
          </w:p>
          <w:p w14:paraId="36217A89" w14:textId="5B42CCC0" w:rsidR="00D84E68" w:rsidRPr="007E3DF3" w:rsidRDefault="007E3DF3" w:rsidP="007E3DF3">
            <w:pPr>
              <w:pStyle w:val="TableParagraph"/>
              <w:spacing w:line="330" w:lineRule="atLeast"/>
              <w:ind w:right="6033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proofErr w:type="spellStart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>Gesamtkosten</w:t>
            </w:r>
            <w:proofErr w:type="spellEnd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 xml:space="preserve">: -18,02 € (Spread + </w:t>
            </w:r>
            <w:proofErr w:type="spellStart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>Kommission</w:t>
            </w:r>
            <w:proofErr w:type="spellEnd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 xml:space="preserve"> + Finanzierung) – </w:t>
            </w:r>
            <w:proofErr w:type="spellStart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>Auswirkung</w:t>
            </w:r>
            <w:proofErr w:type="spellEnd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 xml:space="preserve"> auf die </w:t>
            </w:r>
            <w:proofErr w:type="spellStart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>Rendite</w:t>
            </w:r>
            <w:proofErr w:type="spellEnd"/>
            <w:r w:rsidRPr="007E3DF3">
              <w:rPr>
                <w:rFonts w:ascii="Times New Roman" w:hAnsi="Times New Roman" w:cs="Times New Roman"/>
                <w:sz w:val="18"/>
                <w:lang w:val="en-GB"/>
              </w:rPr>
              <w:t>: -4,6 %</w:t>
            </w:r>
          </w:p>
        </w:tc>
      </w:tr>
      <w:tr w:rsidR="00D84E68" w:rsidRPr="00F61C05" w14:paraId="46982281" w14:textId="77777777">
        <w:trPr>
          <w:trHeight w:val="210"/>
        </w:trPr>
        <w:tc>
          <w:tcPr>
            <w:tcW w:w="10775" w:type="dxa"/>
            <w:gridSpan w:val="4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24B81F5E" w14:textId="5166732B" w:rsidR="00D84E68" w:rsidRPr="00F61C05" w:rsidRDefault="007E3DF3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Diese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Tabelle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zeigt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die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verschiedenen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Arten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von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Kostenkategorien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und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ihre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Bedeutung</w:t>
            </w:r>
            <w:proofErr w:type="spellEnd"/>
            <w:r w:rsidRPr="007E3DF3">
              <w:rPr>
                <w:rFonts w:ascii="Times New Roman" w:hAnsi="Times New Roman" w:cs="Times New Roman"/>
                <w:b/>
                <w:color w:val="FFFFFF"/>
                <w:sz w:val="18"/>
              </w:rPr>
              <w:t>:</w:t>
            </w:r>
          </w:p>
        </w:tc>
      </w:tr>
      <w:tr w:rsidR="007E3DF3" w:rsidRPr="00F61C05" w14:paraId="2BE7D204" w14:textId="77777777" w:rsidTr="00C41B94">
        <w:trPr>
          <w:trHeight w:val="726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77949E3" w14:textId="77777777" w:rsidR="007E3DF3" w:rsidRPr="006472AE" w:rsidRDefault="007E3DF3" w:rsidP="007E3DF3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</w:pPr>
            <w:proofErr w:type="spellStart"/>
            <w:r w:rsidRPr="006472AE"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  <w:t>Einmalige</w:t>
            </w:r>
            <w:proofErr w:type="spellEnd"/>
            <w:r w:rsidRPr="006472AE"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  <w:t xml:space="preserve"> Kosten</w:t>
            </w:r>
          </w:p>
          <w:p w14:paraId="2BEDF5EF" w14:textId="2AE53D9C" w:rsidR="007E3DF3" w:rsidRPr="00F61C05" w:rsidRDefault="007E3DF3" w:rsidP="007E3DF3">
            <w:pPr>
              <w:pStyle w:val="TableParagraph"/>
              <w:spacing w:line="187" w:lineRule="exact"/>
              <w:ind w:left="119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300A511" w14:textId="7E46EF1E" w:rsidR="007E3DF3" w:rsidRPr="00F61C05" w:rsidRDefault="007E3DF3" w:rsidP="007E3DF3">
            <w:pPr>
              <w:pStyle w:val="TableParagraph"/>
              <w:spacing w:line="187" w:lineRule="exact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r w:rsidRPr="00E32A3E">
              <w:rPr>
                <w:rFonts w:ascii="Times New Roman" w:hAnsi="Times New Roman" w:cs="Times New Roman"/>
                <w:i/>
                <w:spacing w:val="-2"/>
                <w:sz w:val="16"/>
              </w:rPr>
              <w:t>Spread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AC975D0" w14:textId="60788999" w:rsidR="007E3DF3" w:rsidRPr="00F61C05" w:rsidRDefault="007E3DF3" w:rsidP="007E3DF3">
            <w:pPr>
              <w:pStyle w:val="TableParagraph"/>
              <w:spacing w:line="187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1E2FD414" w14:textId="387C89A9" w:rsidR="007E3DF3" w:rsidRPr="007E3DF3" w:rsidRDefault="007E3DF3" w:rsidP="007E3DF3">
            <w:pPr>
              <w:pStyle w:val="TableParagraph"/>
              <w:ind w:left="114" w:right="127"/>
              <w:rPr>
                <w:rFonts w:ascii="Times New Roman" w:hAnsi="Times New Roman" w:cs="Times New Roman"/>
                <w:sz w:val="16"/>
                <w:lang w:val="en-GB"/>
              </w:rPr>
            </w:pPr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Der Spread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ist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die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Differenz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zwischen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Kaufkurs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(Offer) und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Verkaufskurs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(Bid), den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wir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quotieren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. Wenn der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zugrunde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liegende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Vermögenswert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beispielsweise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bei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8.622 $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gehandelt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wird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,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könnte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unser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Offer-Preis (der Preis,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zu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Sie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kaufen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können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) 8.635 $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betragen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und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unser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Bid-Preis (der Preis,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zu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Sie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verkaufen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können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) 8.609 $.</w:t>
            </w:r>
          </w:p>
        </w:tc>
      </w:tr>
      <w:tr w:rsidR="007E3DF3" w:rsidRPr="00F61C05" w14:paraId="7FE536BC" w14:textId="77777777" w:rsidTr="00C41B94">
        <w:trPr>
          <w:trHeight w:val="410"/>
        </w:trPr>
        <w:tc>
          <w:tcPr>
            <w:tcW w:w="1249" w:type="dxa"/>
            <w:vMerge/>
            <w:tcBorders>
              <w:top w:val="nil"/>
              <w:left w:val="single" w:sz="8" w:space="0" w:color="92278F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770B99E" w14:textId="77777777" w:rsidR="007E3DF3" w:rsidRPr="00F61C05" w:rsidRDefault="007E3DF3" w:rsidP="007E3D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A8DDE41" w14:textId="3D6B6600" w:rsidR="007E3DF3" w:rsidRPr="00F61C05" w:rsidRDefault="007E3DF3" w:rsidP="007E3DF3">
            <w:pPr>
              <w:pStyle w:val="TableParagraph"/>
              <w:spacing w:line="187" w:lineRule="exact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i/>
                <w:spacing w:val="-2"/>
                <w:sz w:val="16"/>
              </w:rPr>
              <w:t>Kommission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F944731" w14:textId="727B8E1F" w:rsidR="007E3DF3" w:rsidRPr="00F61C05" w:rsidRDefault="007E3DF3" w:rsidP="007E3DF3">
            <w:pPr>
              <w:pStyle w:val="TableParagraph"/>
              <w:spacing w:line="187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267C0C01" w14:textId="40DB49E2" w:rsidR="007E3DF3" w:rsidRPr="007E3DF3" w:rsidRDefault="007E3DF3" w:rsidP="007E3DF3">
            <w:pPr>
              <w:pStyle w:val="TableParagraph"/>
              <w:spacing w:line="188" w:lineRule="exact"/>
              <w:ind w:left="114" w:right="127"/>
              <w:rPr>
                <w:rFonts w:ascii="Times New Roman" w:hAnsi="Times New Roman" w:cs="Times New Roman"/>
                <w:sz w:val="16"/>
                <w:lang w:val="en-GB"/>
              </w:rPr>
            </w:pPr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Eine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Kommissionsgebühr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wird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auf Basis des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Transaktionsvolumens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berechnet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und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stellt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eine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einmalige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Gebühr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für das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Öffnen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und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Schließen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einer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Position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dar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.</w:t>
            </w:r>
          </w:p>
        </w:tc>
      </w:tr>
      <w:tr w:rsidR="007E3DF3" w:rsidRPr="00F61C05" w14:paraId="0753C71F" w14:textId="77777777" w:rsidTr="00C41B94">
        <w:trPr>
          <w:trHeight w:val="417"/>
        </w:trPr>
        <w:tc>
          <w:tcPr>
            <w:tcW w:w="1249" w:type="dxa"/>
            <w:vMerge/>
            <w:tcBorders>
              <w:top w:val="nil"/>
              <w:left w:val="single" w:sz="8" w:space="0" w:color="92278F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771C93A" w14:textId="77777777" w:rsidR="007E3DF3" w:rsidRPr="00F61C05" w:rsidRDefault="007E3DF3" w:rsidP="007E3D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3418486" w14:textId="1C1D5322" w:rsidR="007E3DF3" w:rsidRPr="00F61C05" w:rsidRDefault="007E3DF3" w:rsidP="007E3DF3">
            <w:pPr>
              <w:pStyle w:val="TableParagraph"/>
              <w:spacing w:line="185" w:lineRule="exact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i/>
                <w:sz w:val="16"/>
                <w:lang w:val="en-GB"/>
              </w:rPr>
              <w:t>Währungsumrechnung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385C2FA" w14:textId="3FB5AB47" w:rsidR="007E3DF3" w:rsidRPr="00F61C05" w:rsidRDefault="007E3DF3" w:rsidP="007E3DF3">
            <w:pPr>
              <w:pStyle w:val="TableParagraph"/>
              <w:spacing w:line="185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329E8B53" w14:textId="44DE4E90" w:rsidR="007E3DF3" w:rsidRPr="007E3DF3" w:rsidRDefault="007E3DF3" w:rsidP="007E3DF3">
            <w:pPr>
              <w:pStyle w:val="TableParagraph"/>
              <w:ind w:left="114" w:right="127"/>
              <w:rPr>
                <w:rFonts w:ascii="Times New Roman" w:hAnsi="Times New Roman" w:cs="Times New Roman"/>
                <w:sz w:val="16"/>
                <w:lang w:val="en-GB"/>
              </w:rPr>
            </w:pPr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Die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Gebühr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, die für die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Umrechnung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realisierter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Gewinne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/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Verluste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von der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Instrumentenwährung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in die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Kontowährung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erhoben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wird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.</w:t>
            </w:r>
          </w:p>
        </w:tc>
      </w:tr>
      <w:tr w:rsidR="007E3DF3" w:rsidRPr="00F61C05" w14:paraId="453F4530" w14:textId="77777777" w:rsidTr="00C41B94">
        <w:trPr>
          <w:trHeight w:val="692"/>
        </w:trPr>
        <w:tc>
          <w:tcPr>
            <w:tcW w:w="1249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6F2FD7C" w14:textId="77777777" w:rsidR="007E3DF3" w:rsidRPr="006472AE" w:rsidRDefault="007E3DF3" w:rsidP="007E3DF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</w:pPr>
            <w:proofErr w:type="spellStart"/>
            <w:r w:rsidRPr="006472AE"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  <w:t>Laufende</w:t>
            </w:r>
            <w:proofErr w:type="spellEnd"/>
            <w:r w:rsidRPr="006472AE"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  <w:t xml:space="preserve"> Kosten</w:t>
            </w:r>
          </w:p>
          <w:p w14:paraId="18A28B0A" w14:textId="37788E2C" w:rsidR="007E3DF3" w:rsidRPr="00F61C05" w:rsidRDefault="007E3DF3" w:rsidP="007E3DF3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EBCC37E" w14:textId="5AE463A1" w:rsidR="007E3DF3" w:rsidRPr="00F61C05" w:rsidRDefault="007E3DF3" w:rsidP="007E3DF3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r w:rsidRPr="00E32A3E">
              <w:rPr>
                <w:rFonts w:ascii="Times New Roman" w:hAnsi="Times New Roman" w:cs="Times New Roman"/>
                <w:i/>
                <w:spacing w:val="-4"/>
                <w:sz w:val="16"/>
              </w:rPr>
              <w:t>Swap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AA48FD8" w14:textId="4E0F7E0A" w:rsidR="007E3DF3" w:rsidRPr="00F61C05" w:rsidRDefault="007E3DF3" w:rsidP="007E3DF3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362F077E" w14:textId="3949AC33" w:rsidR="007E3DF3" w:rsidRPr="007E3DF3" w:rsidRDefault="007E3DF3" w:rsidP="007E3DF3">
            <w:pPr>
              <w:pStyle w:val="TableParagraph"/>
              <w:spacing w:before="1"/>
              <w:ind w:left="114" w:right="127"/>
              <w:rPr>
                <w:rFonts w:ascii="Times New Roman" w:hAnsi="Times New Roman" w:cs="Times New Roman"/>
                <w:sz w:val="16"/>
                <w:lang w:val="en-GB"/>
              </w:rPr>
            </w:pP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Übernacht-Finanzierungskosten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werden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für CFDs auf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Aktieninstrumente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wie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folgt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berechnet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: 50 % +/- 1-Monats-Libor. Sie fallen an,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wenn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eine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Position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nach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einer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bestimmten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Rollover-Zeit – 22:00 UTC –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offen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bleibt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,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gemäß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unseren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in den „Contract Specifications“ 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aufgeführten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 xml:space="preserve"> Swap-</w:t>
            </w:r>
            <w:proofErr w:type="spellStart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Sätzen</w:t>
            </w:r>
            <w:proofErr w:type="spellEnd"/>
            <w:r w:rsidRPr="007E3DF3">
              <w:rPr>
                <w:rFonts w:ascii="Times New Roman" w:hAnsi="Times New Roman" w:cs="Times New Roman"/>
                <w:sz w:val="16"/>
                <w:lang w:val="en-GB"/>
              </w:rPr>
              <w:t>.</w:t>
            </w:r>
          </w:p>
        </w:tc>
      </w:tr>
      <w:tr w:rsidR="00D84E68" w:rsidRPr="00F61C05" w14:paraId="61D72FC8" w14:textId="77777777" w:rsidTr="007E3DF3">
        <w:trPr>
          <w:trHeight w:val="1266"/>
        </w:trPr>
        <w:tc>
          <w:tcPr>
            <w:tcW w:w="10775" w:type="dxa"/>
            <w:gridSpan w:val="4"/>
            <w:tcBorders>
              <w:top w:val="single" w:sz="4" w:space="0" w:color="000000"/>
            </w:tcBorders>
          </w:tcPr>
          <w:p w14:paraId="61BEFEE8" w14:textId="77777777" w:rsidR="007E3DF3" w:rsidRDefault="007E3DF3" w:rsidP="007E3DF3">
            <w:pPr>
              <w:pStyle w:val="TableParagraph"/>
              <w:spacing w:before="24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Berater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Vermittler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sonstige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Personen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die das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verkaufen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empfehlen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müssen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zusätzlichen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Vertriebskosten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bereitstellen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damit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Privatanleger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Gesamtauswirkung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aller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Kosten verstehen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>.</w:t>
            </w:r>
          </w:p>
          <w:p w14:paraId="7745EADC" w14:textId="77777777" w:rsidR="007E3DF3" w:rsidRPr="006472AE" w:rsidRDefault="007E3DF3" w:rsidP="007E3DF3">
            <w:pPr>
              <w:pStyle w:val="TableParagraph"/>
              <w:spacing w:before="120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Wie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lange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sollte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es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halten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frühzeitig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Geld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entnehmen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504FFF4B" w14:textId="77777777" w:rsidR="007E3DF3" w:rsidRPr="006472AE" w:rsidRDefault="007E3DF3" w:rsidP="007E3DF3">
            <w:pPr>
              <w:pStyle w:val="BodyText"/>
              <w:spacing w:before="81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gibt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Mindesthaltezeitraum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Position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jederzeit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öffnen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schließen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solange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Markt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geöffnet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ist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Abhebungen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verfügbarer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Gelder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während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normalen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Arbeitszeiten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beantragt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werden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werden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am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selben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am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nächsten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Arbeitstag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bearbeitet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gibt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Stornierungsfrist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Stornierungsgebühren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Langfristig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Übernacht-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Finanzierungskosten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Ihre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Rendite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erheblich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belasten</w:t>
            </w:r>
            <w:proofErr w:type="spellEnd"/>
            <w:r w:rsidRPr="006472AE">
              <w:rPr>
                <w:rFonts w:ascii="Times New Roman" w:hAnsi="Times New Roman" w:cs="Times New Roman"/>
              </w:rPr>
              <w:t>.</w:t>
            </w:r>
          </w:p>
          <w:p w14:paraId="2801C660" w14:textId="77777777" w:rsidR="007E3DF3" w:rsidRPr="006472AE" w:rsidRDefault="007E3DF3" w:rsidP="007E3DF3">
            <w:pPr>
              <w:pStyle w:val="Heading1"/>
              <w:jc w:val="both"/>
              <w:rPr>
                <w:rFonts w:ascii="Times New Roman" w:hAnsi="Times New Roman" w:cs="Times New Roman"/>
                <w:color w:val="F28C28"/>
              </w:rPr>
            </w:pPr>
            <w:r w:rsidRPr="006472AE">
              <w:rPr>
                <w:rFonts w:ascii="Times New Roman" w:hAnsi="Times New Roman" w:cs="Times New Roman"/>
                <w:color w:val="F28C28"/>
              </w:rPr>
              <w:t xml:space="preserve">Wie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ich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Beschwerde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einreichen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>?</w:t>
            </w:r>
          </w:p>
          <w:p w14:paraId="67241A74" w14:textId="38D0F4AC" w:rsidR="007E3DF3" w:rsidRPr="006472AE" w:rsidRDefault="007E3DF3" w:rsidP="007E3DF3">
            <w:pPr>
              <w:pStyle w:val="BodyText"/>
              <w:ind w:firstLine="40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Für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allgemeine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Anfragen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die „</w:t>
            </w:r>
            <w:proofErr w:type="spellStart"/>
            <w:r w:rsidRPr="006472AE">
              <w:rPr>
                <w:rFonts w:ascii="Times New Roman" w:hAnsi="Times New Roman" w:cs="Times New Roman"/>
              </w:rPr>
              <w:t>Kontakt</w:t>
            </w:r>
            <w:proofErr w:type="spellEnd"/>
            <w:r w:rsidRPr="006472AE">
              <w:rPr>
                <w:rFonts w:ascii="Times New Roman" w:hAnsi="Times New Roman" w:cs="Times New Roman"/>
              </w:rPr>
              <w:t>“-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Seite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auf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Website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nutzen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per E-Mail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kontaktieren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="000E6AC9" w:rsidRPr="00B97483">
                <w:rPr>
                  <w:rStyle w:val="Hyperlink"/>
                  <w:rFonts w:ascii="Times New Roman" w:hAnsi="Times New Roman" w:cs="Times New Roman"/>
                </w:rPr>
                <w:t>complaints@vsmarkets.com</w:t>
              </w:r>
            </w:hyperlink>
            <w:r w:rsidR="000E6AC9">
              <w:rPr>
                <w:rFonts w:ascii="Times New Roman" w:hAnsi="Times New Roman" w:cs="Times New Roman"/>
              </w:rPr>
              <w:t xml:space="preserve"> </w:t>
            </w:r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in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Beschwerdepolitik</w:t>
            </w:r>
            <w:proofErr w:type="spellEnd"/>
            <w:r w:rsidRPr="006472AE">
              <w:rPr>
                <w:rFonts w:ascii="Times New Roman" w:hAnsi="Times New Roman" w:cs="Times New Roman"/>
              </w:rPr>
              <w:t>.</w:t>
            </w:r>
          </w:p>
          <w:p w14:paraId="6F17BC37" w14:textId="15AD8C4E" w:rsidR="007E3DF3" w:rsidRPr="006472AE" w:rsidRDefault="007E3DF3" w:rsidP="007E3DF3">
            <w:pPr>
              <w:pStyle w:val="BodyText"/>
              <w:ind w:firstLine="40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Wenn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offizielle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einreichen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möchten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fordern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das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entsprechende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Beschwerdeformular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beim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Kundensupport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an,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füllen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vollständig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aus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unterschreiben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an den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zuständigen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Kundensupport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-Mitarbeiter. Wenn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mit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Entscheidung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unzufrieden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sind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an den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Finanzombudsmann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Republik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Zypern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siehe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0E6AC9" w:rsidRPr="00B97483">
                <w:rPr>
                  <w:rStyle w:val="Hyperlink"/>
                  <w:rFonts w:ascii="Times New Roman" w:hAnsi="Times New Roman" w:cs="Times New Roman"/>
                </w:rPr>
                <w:t>http://www.financialombudsman.gov.cy</w:t>
              </w:r>
            </w:hyperlink>
            <w:r w:rsidR="000E6AC9">
              <w:rPr>
                <w:rFonts w:ascii="Times New Roman" w:hAnsi="Times New Roman" w:cs="Times New Roman"/>
              </w:rPr>
              <w:t xml:space="preserve"> </w:t>
            </w:r>
            <w:r w:rsidRPr="006472AE">
              <w:rPr>
                <w:rFonts w:ascii="Times New Roman" w:hAnsi="Times New Roman" w:cs="Times New Roman"/>
              </w:rPr>
              <w:t>).</w:t>
            </w:r>
          </w:p>
          <w:p w14:paraId="7C9C6F48" w14:textId="77777777" w:rsidR="007E3DF3" w:rsidRPr="006472AE" w:rsidRDefault="007E3DF3" w:rsidP="007E3DF3">
            <w:pPr>
              <w:pStyle w:val="Heading1"/>
              <w:rPr>
                <w:rFonts w:ascii="Times New Roman" w:hAnsi="Times New Roman" w:cs="Times New Roman"/>
                <w:color w:val="F28C28"/>
              </w:rPr>
            </w:pP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relevante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Informationen</w:t>
            </w:r>
            <w:proofErr w:type="spellEnd"/>
          </w:p>
          <w:p w14:paraId="0C523436" w14:textId="425B4FFC" w:rsidR="003403C6" w:rsidRDefault="007E3DF3" w:rsidP="007E3DF3">
            <w:pPr>
              <w:pStyle w:val="BodyText"/>
              <w:ind w:right="131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Bitte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stellen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sicher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dass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rechtlichen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Dokumente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Unternehmens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sorgfältig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gelesen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haben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darunter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Risikoaufklärung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Geschäftsbedingungen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Kundeneinstufung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Beschwerdepolitik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Orderausführungsrichtlinie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das Key Investor Document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Unterlagen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Diese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Rechtsbereich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Website. Dieses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Dokument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enthält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nicht alle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zum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Produkt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Rechtsverbindliche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Bedingungen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3403C6" w:rsidRPr="00B97483">
                <w:rPr>
                  <w:rStyle w:val="Hyperlink"/>
                  <w:rFonts w:ascii="Times New Roman" w:hAnsi="Times New Roman" w:cs="Times New Roman"/>
                </w:rPr>
                <w:t>www.vsmarkets.com</w:t>
              </w:r>
            </w:hyperlink>
            <w:r w:rsidR="003403C6">
              <w:rPr>
                <w:rFonts w:ascii="Times New Roman" w:hAnsi="Times New Roman" w:cs="Times New Roman"/>
              </w:rPr>
              <w:t>.</w:t>
            </w:r>
          </w:p>
          <w:p w14:paraId="18660D2D" w14:textId="67A50FC8" w:rsidR="007E3DF3" w:rsidRPr="006472AE" w:rsidRDefault="007E3DF3" w:rsidP="007E3DF3">
            <w:pPr>
              <w:pStyle w:val="BodyText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6FB0847A" w14:textId="6A37A794" w:rsidR="00D84E68" w:rsidRPr="00F61C05" w:rsidRDefault="00D84E68" w:rsidP="00C41B94">
            <w:pPr>
              <w:pStyle w:val="TableParagraph"/>
              <w:spacing w:before="102" w:line="210" w:lineRule="atLeas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751086A" w14:textId="77777777" w:rsidR="00D84E68" w:rsidRPr="00F61C05" w:rsidRDefault="00D84E68" w:rsidP="00F61C05">
      <w:pPr>
        <w:pStyle w:val="TableParagraph"/>
        <w:spacing w:line="210" w:lineRule="atLeast"/>
        <w:ind w:left="0"/>
        <w:rPr>
          <w:rFonts w:ascii="Times New Roman" w:hAnsi="Times New Roman" w:cs="Times New Roman"/>
          <w:sz w:val="18"/>
        </w:rPr>
        <w:sectPr w:rsidR="00D84E68" w:rsidRPr="00F61C05">
          <w:type w:val="continuous"/>
          <w:pgSz w:w="11910" w:h="16840"/>
          <w:pgMar w:top="560" w:right="425" w:bottom="280" w:left="566" w:header="720" w:footer="720" w:gutter="0"/>
          <w:cols w:space="720"/>
        </w:sectPr>
      </w:pPr>
    </w:p>
    <w:p w14:paraId="614179FB" w14:textId="22027DD3" w:rsidR="00D84E68" w:rsidRPr="00F61C05" w:rsidRDefault="00D84E68" w:rsidP="00C41B94">
      <w:pPr>
        <w:pStyle w:val="BodyText"/>
        <w:spacing w:before="8" w:line="254" w:lineRule="auto"/>
        <w:ind w:left="0" w:right="331"/>
        <w:jc w:val="both"/>
        <w:rPr>
          <w:rFonts w:ascii="Times New Roman" w:hAnsi="Times New Roman" w:cs="Times New Roman"/>
        </w:rPr>
      </w:pPr>
    </w:p>
    <w:sectPr w:rsidR="00D84E68" w:rsidRPr="00F61C05">
      <w:pgSz w:w="11910" w:h="16840"/>
      <w:pgMar w:top="5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CA9"/>
    <w:multiLevelType w:val="hybridMultilevel"/>
    <w:tmpl w:val="B25E4090"/>
    <w:lvl w:ilvl="0" w:tplc="633453E6">
      <w:start w:val="1"/>
      <w:numFmt w:val="lowerRoman"/>
      <w:lvlText w:val="(%1)"/>
      <w:lvlJc w:val="left"/>
      <w:pPr>
        <w:ind w:left="729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100"/>
        <w:sz w:val="18"/>
        <w:szCs w:val="18"/>
        <w:lang w:val="en-US" w:eastAsia="en-US" w:bidi="ar-SA"/>
      </w:rPr>
    </w:lvl>
    <w:lvl w:ilvl="1" w:tplc="F9C0CA90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2" w:tplc="88022068">
      <w:numFmt w:val="bullet"/>
      <w:lvlText w:val="•"/>
      <w:lvlJc w:val="left"/>
      <w:pPr>
        <w:ind w:left="2727" w:hanging="361"/>
      </w:pPr>
      <w:rPr>
        <w:rFonts w:hint="default"/>
        <w:lang w:val="en-US" w:eastAsia="en-US" w:bidi="ar-SA"/>
      </w:rPr>
    </w:lvl>
    <w:lvl w:ilvl="3" w:tplc="BF6080FA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72A6E60C">
      <w:numFmt w:val="bullet"/>
      <w:lvlText w:val="•"/>
      <w:lvlJc w:val="left"/>
      <w:pPr>
        <w:ind w:left="4734" w:hanging="361"/>
      </w:pPr>
      <w:rPr>
        <w:rFonts w:hint="default"/>
        <w:lang w:val="en-US" w:eastAsia="en-US" w:bidi="ar-SA"/>
      </w:rPr>
    </w:lvl>
    <w:lvl w:ilvl="5" w:tplc="08C483A0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6" w:tplc="304083EE">
      <w:numFmt w:val="bullet"/>
      <w:lvlText w:val="•"/>
      <w:lvlJc w:val="left"/>
      <w:pPr>
        <w:ind w:left="6742" w:hanging="361"/>
      </w:pPr>
      <w:rPr>
        <w:rFonts w:hint="default"/>
        <w:lang w:val="en-US" w:eastAsia="en-US" w:bidi="ar-SA"/>
      </w:rPr>
    </w:lvl>
    <w:lvl w:ilvl="7" w:tplc="CB9215EA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ar-SA"/>
      </w:rPr>
    </w:lvl>
    <w:lvl w:ilvl="8" w:tplc="2F1ED88A">
      <w:numFmt w:val="bullet"/>
      <w:lvlText w:val="•"/>
      <w:lvlJc w:val="left"/>
      <w:pPr>
        <w:ind w:left="874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A1D7AB7"/>
    <w:multiLevelType w:val="hybridMultilevel"/>
    <w:tmpl w:val="0714EBA4"/>
    <w:lvl w:ilvl="0" w:tplc="A81486EC">
      <w:start w:val="1"/>
      <w:numFmt w:val="lowerRoman"/>
      <w:lvlText w:val="(%1)"/>
      <w:lvlJc w:val="left"/>
      <w:pPr>
        <w:ind w:left="729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100"/>
        <w:sz w:val="18"/>
        <w:szCs w:val="18"/>
        <w:lang w:val="en-US" w:eastAsia="en-US" w:bidi="ar-SA"/>
      </w:rPr>
    </w:lvl>
    <w:lvl w:ilvl="1" w:tplc="A3E2A44A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2" w:tplc="2D20B10E">
      <w:numFmt w:val="bullet"/>
      <w:lvlText w:val="•"/>
      <w:lvlJc w:val="left"/>
      <w:pPr>
        <w:ind w:left="2727" w:hanging="361"/>
      </w:pPr>
      <w:rPr>
        <w:rFonts w:hint="default"/>
        <w:lang w:val="en-US" w:eastAsia="en-US" w:bidi="ar-SA"/>
      </w:rPr>
    </w:lvl>
    <w:lvl w:ilvl="3" w:tplc="0EEA72E0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7EBA0230">
      <w:numFmt w:val="bullet"/>
      <w:lvlText w:val="•"/>
      <w:lvlJc w:val="left"/>
      <w:pPr>
        <w:ind w:left="4734" w:hanging="361"/>
      </w:pPr>
      <w:rPr>
        <w:rFonts w:hint="default"/>
        <w:lang w:val="en-US" w:eastAsia="en-US" w:bidi="ar-SA"/>
      </w:rPr>
    </w:lvl>
    <w:lvl w:ilvl="5" w:tplc="6CB25978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6" w:tplc="C750BD76">
      <w:numFmt w:val="bullet"/>
      <w:lvlText w:val="•"/>
      <w:lvlJc w:val="left"/>
      <w:pPr>
        <w:ind w:left="6742" w:hanging="361"/>
      </w:pPr>
      <w:rPr>
        <w:rFonts w:hint="default"/>
        <w:lang w:val="en-US" w:eastAsia="en-US" w:bidi="ar-SA"/>
      </w:rPr>
    </w:lvl>
    <w:lvl w:ilvl="7" w:tplc="12D010E6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ar-SA"/>
      </w:rPr>
    </w:lvl>
    <w:lvl w:ilvl="8" w:tplc="C6985EA6">
      <w:numFmt w:val="bullet"/>
      <w:lvlText w:val="•"/>
      <w:lvlJc w:val="left"/>
      <w:pPr>
        <w:ind w:left="8749" w:hanging="361"/>
      </w:pPr>
      <w:rPr>
        <w:rFonts w:hint="default"/>
        <w:lang w:val="en-US" w:eastAsia="en-US" w:bidi="ar-SA"/>
      </w:rPr>
    </w:lvl>
  </w:abstractNum>
  <w:num w:numId="1" w16cid:durableId="1161849141">
    <w:abstractNumId w:val="0"/>
  </w:num>
  <w:num w:numId="2" w16cid:durableId="18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E68"/>
    <w:rsid w:val="00010452"/>
    <w:rsid w:val="00023807"/>
    <w:rsid w:val="000E6AC9"/>
    <w:rsid w:val="001773D2"/>
    <w:rsid w:val="003403C6"/>
    <w:rsid w:val="00345A8B"/>
    <w:rsid w:val="00415E46"/>
    <w:rsid w:val="00492074"/>
    <w:rsid w:val="004A3288"/>
    <w:rsid w:val="005E0F66"/>
    <w:rsid w:val="00600D84"/>
    <w:rsid w:val="00666E8E"/>
    <w:rsid w:val="007E3DF3"/>
    <w:rsid w:val="00873BEA"/>
    <w:rsid w:val="009C1B35"/>
    <w:rsid w:val="009F3D48"/>
    <w:rsid w:val="00AA5056"/>
    <w:rsid w:val="00C41B94"/>
    <w:rsid w:val="00CB655D"/>
    <w:rsid w:val="00D84E68"/>
    <w:rsid w:val="00E604A3"/>
    <w:rsid w:val="00F61C05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1DE1"/>
  <w15:docId w15:val="{8DC3E082-029F-4756-A636-94C24EE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7E3DF3"/>
    <w:pPr>
      <w:spacing w:before="120"/>
      <w:ind w:left="2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2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table" w:styleId="TableGrid">
    <w:name w:val="Table Grid"/>
    <w:basedOn w:val="TableNormal"/>
    <w:uiPriority w:val="39"/>
    <w:rsid w:val="00F6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61C05"/>
    <w:rPr>
      <w:rFonts w:ascii="Cambria" w:eastAsia="Cambria" w:hAnsi="Cambria" w:cs="Cambri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1B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B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E8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3DF3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nancialombudsman.gov.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vsmarke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vsmarkets.com" TargetMode="External"/><Relationship Id="rId14" Type="http://schemas.openxmlformats.org/officeDocument/2006/relationships/hyperlink" Target="http://www.vsmark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3A5F0F0B3C64EAAC6A00C44121968" ma:contentTypeVersion="11" ma:contentTypeDescription="Create a new document." ma:contentTypeScope="" ma:versionID="7515399ae766c01dd3f7730ee80b28d5">
  <xsd:schema xmlns:xsd="http://www.w3.org/2001/XMLSchema" xmlns:xs="http://www.w3.org/2001/XMLSchema" xmlns:p="http://schemas.microsoft.com/office/2006/metadata/properties" xmlns:ns2="f28a506c-718f-4af7-b1ba-6957bdb9ef8c" xmlns:ns3="45b418b8-dc16-41c6-a3f7-4db431a7dcab" targetNamespace="http://schemas.microsoft.com/office/2006/metadata/properties" ma:root="true" ma:fieldsID="c7546338adf42093e5bd02d7247f6525" ns2:_="" ns3:_="">
    <xsd:import namespace="f28a506c-718f-4af7-b1ba-6957bdb9ef8c"/>
    <xsd:import namespace="45b418b8-dc16-41c6-a3f7-4db431a7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506c-718f-4af7-b1ba-6957bdb9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98baf-958f-443b-b9c4-7ee494c1b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18b8-dc16-41c6-a3f7-4db431a7dc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a58f3b-7f0b-49c3-9f12-fc3f371afbff}" ma:internalName="TaxCatchAll" ma:showField="CatchAllData" ma:web="45b418b8-dc16-41c6-a3f7-4db431a7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a506c-718f-4af7-b1ba-6957bdb9ef8c">
      <Terms xmlns="http://schemas.microsoft.com/office/infopath/2007/PartnerControls"/>
    </lcf76f155ced4ddcb4097134ff3c332f>
    <TaxCatchAll xmlns="45b418b8-dc16-41c6-a3f7-4db431a7dcab" xsi:nil="true"/>
  </documentManagement>
</p:properties>
</file>

<file path=customXml/itemProps1.xml><?xml version="1.0" encoding="utf-8"?>
<ds:datastoreItem xmlns:ds="http://schemas.openxmlformats.org/officeDocument/2006/customXml" ds:itemID="{22403CBE-8EDA-4AF1-8E12-E533332AA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2DC7D-E000-4501-9CA3-3870849A3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a506c-718f-4af7-b1ba-6957bdb9ef8c"/>
    <ds:schemaRef ds:uri="45b418b8-dc16-41c6-a3f7-4db431a7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C3A71-389B-4777-91CB-6F323FEB7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90B14-2CEA-4020-B967-9DEF1A088FE0}">
  <ds:schemaRefs>
    <ds:schemaRef ds:uri="http://schemas.microsoft.com/office/2006/metadata/properties"/>
    <ds:schemaRef ds:uri="http://schemas.microsoft.com/office/infopath/2007/PartnerControls"/>
    <ds:schemaRef ds:uri="f28a506c-718f-4af7-b1ba-6957bdb9ef8c"/>
    <ds:schemaRef ds:uri="45b418b8-dc16-41c6-a3f7-4db431a7dc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Theocharis Panayi</dc:creator>
  <cp:lastModifiedBy>Petya Mylona</cp:lastModifiedBy>
  <cp:revision>15</cp:revision>
  <dcterms:created xsi:type="dcterms:W3CDTF">2025-10-31T14:34:00Z</dcterms:created>
  <dcterms:modified xsi:type="dcterms:W3CDTF">2025-12-08T08:39:00Z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0x010100D0C3A5F0F0B3C64EAAC6A00C44121968</vt:lpwstr>
  </property>
  <property fmtid="{D5CDD505-2E9C-101B-9397-08002B2CF9AE}" pid="7" name="MediaServiceImageTags">
    <vt:lpwstr/>
  </property>
</Properties>
</file>