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7" w:type="dxa"/>
        <w:tblBorders>
          <w:top w:val="single" w:sz="4" w:space="0" w:color="F28C28"/>
          <w:left w:val="single" w:sz="4" w:space="0" w:color="F28C28"/>
          <w:bottom w:val="single" w:sz="4" w:space="0" w:color="F28C28"/>
          <w:right w:val="single" w:sz="4" w:space="0" w:color="F28C28"/>
          <w:insideH w:val="single" w:sz="4" w:space="0" w:color="F28C28"/>
          <w:insideV w:val="single" w:sz="4" w:space="0" w:color="F28C28"/>
        </w:tblBorders>
        <w:tblLayout w:type="fixed"/>
        <w:tblCellMar>
          <w:left w:w="0" w:type="dxa"/>
          <w:right w:w="0" w:type="dxa"/>
        </w:tblCellMar>
        <w:tblLook w:val="01E0" w:firstRow="1" w:lastRow="1" w:firstColumn="1" w:lastColumn="1" w:noHBand="0" w:noVBand="0"/>
      </w:tblPr>
      <w:tblGrid>
        <w:gridCol w:w="10778"/>
      </w:tblGrid>
      <w:tr w:rsidR="007E4EC2" w:rsidRPr="00427A1B" w14:paraId="2D97C3BB" w14:textId="77777777" w:rsidTr="00F77D84">
        <w:trPr>
          <w:trHeight w:val="274"/>
        </w:trPr>
        <w:tc>
          <w:tcPr>
            <w:tcW w:w="10778" w:type="dxa"/>
            <w:shd w:val="clear" w:color="auto" w:fill="F28C28"/>
          </w:tcPr>
          <w:p w14:paraId="5983BA87" w14:textId="345F4183" w:rsidR="007E4EC2" w:rsidRPr="001F1527" w:rsidRDefault="001F1527" w:rsidP="001F1527">
            <w:pPr>
              <w:pStyle w:val="TableParagraph"/>
              <w:ind w:left="6"/>
              <w:rPr>
                <w:b/>
                <w:color w:val="FFFFFF"/>
                <w:spacing w:val="-5"/>
                <w:sz w:val="28"/>
                <w:szCs w:val="28"/>
                <w:lang w:val="en-GB"/>
              </w:rPr>
            </w:pPr>
            <w:r w:rsidRPr="001F1527">
              <w:rPr>
                <w:rFonts w:ascii="Times New Roman" w:hAnsi="Times New Roman" w:cs="Times New Roman"/>
                <w:b/>
                <w:color w:val="FFFFFF"/>
                <w:sz w:val="28"/>
                <w:szCs w:val="28"/>
                <w:lang w:val="en-GB"/>
              </w:rPr>
              <w:t>Basisinformationsblatt</w:t>
            </w:r>
            <w:r>
              <w:rPr>
                <w:rFonts w:ascii="Times New Roman" w:hAnsi="Times New Roman" w:cs="Times New Roman"/>
                <w:b/>
                <w:color w:val="FFFFFF"/>
                <w:sz w:val="28"/>
                <w:szCs w:val="28"/>
                <w:lang w:val="en-GB"/>
              </w:rPr>
              <w:t xml:space="preserve"> </w:t>
            </w:r>
            <w:r w:rsidR="009750FD">
              <w:rPr>
                <w:rFonts w:ascii="Times New Roman" w:hAnsi="Times New Roman" w:cs="Times New Roman"/>
                <w:b/>
                <w:color w:val="FFFFFF"/>
                <w:sz w:val="28"/>
                <w:szCs w:val="28"/>
              </w:rPr>
              <w:t>–</w:t>
            </w:r>
            <w:r w:rsidR="00561EB5" w:rsidRPr="009750FD">
              <w:rPr>
                <w:rFonts w:ascii="Times New Roman" w:hAnsi="Times New Roman" w:cs="Times New Roman"/>
                <w:b/>
                <w:color w:val="FFFFFF"/>
                <w:spacing w:val="-5"/>
                <w:sz w:val="28"/>
                <w:szCs w:val="28"/>
              </w:rPr>
              <w:t xml:space="preserve"> </w:t>
            </w:r>
            <w:r w:rsidRPr="001F1527">
              <w:rPr>
                <w:b/>
                <w:color w:val="FFFFFF"/>
                <w:spacing w:val="-5"/>
                <w:sz w:val="28"/>
                <w:szCs w:val="28"/>
                <w:lang w:val="en-GB"/>
              </w:rPr>
              <w:t>CFDs auf Devisen</w:t>
            </w:r>
          </w:p>
        </w:tc>
      </w:tr>
      <w:tr w:rsidR="007E4EC2" w:rsidRPr="00427A1B" w14:paraId="4E8EAC14" w14:textId="77777777" w:rsidTr="00F77D84">
        <w:trPr>
          <w:trHeight w:val="926"/>
        </w:trPr>
        <w:tc>
          <w:tcPr>
            <w:tcW w:w="10778" w:type="dxa"/>
            <w:shd w:val="clear" w:color="auto" w:fill="D3DCE2"/>
          </w:tcPr>
          <w:p w14:paraId="4B583AC5" w14:textId="77777777" w:rsidR="001F1527" w:rsidRDefault="001F1527" w:rsidP="00DD2610">
            <w:pPr>
              <w:pStyle w:val="TableParagraph"/>
              <w:spacing w:line="254" w:lineRule="auto"/>
              <w:ind w:left="4" w:right="88"/>
              <w:jc w:val="both"/>
              <w:rPr>
                <w:rFonts w:ascii="Times New Roman" w:hAnsi="Times New Roman" w:cs="Times New Roman"/>
                <w:b/>
                <w:color w:val="F28C28"/>
                <w:spacing w:val="-2"/>
                <w:sz w:val="20"/>
                <w:szCs w:val="20"/>
              </w:rPr>
            </w:pPr>
            <w:r w:rsidRPr="001F1527">
              <w:rPr>
                <w:rFonts w:ascii="Times New Roman" w:hAnsi="Times New Roman" w:cs="Times New Roman"/>
                <w:b/>
                <w:color w:val="F28C28"/>
                <w:spacing w:val="-2"/>
                <w:sz w:val="20"/>
                <w:szCs w:val="20"/>
              </w:rPr>
              <w:t>Zweck</w:t>
            </w:r>
          </w:p>
          <w:p w14:paraId="5C9EAE39" w14:textId="77D4F758" w:rsidR="007E4EC2" w:rsidRPr="001F1527" w:rsidRDefault="001F1527" w:rsidP="00DD2610">
            <w:pPr>
              <w:pStyle w:val="TableParagraph"/>
              <w:spacing w:line="254" w:lineRule="auto"/>
              <w:ind w:left="4" w:right="88"/>
              <w:jc w:val="both"/>
              <w:rPr>
                <w:rFonts w:ascii="Times New Roman" w:hAnsi="Times New Roman" w:cs="Times New Roman"/>
                <w:sz w:val="18"/>
                <w:lang w:val="en-GB"/>
              </w:rPr>
            </w:pPr>
            <w:r w:rsidRPr="001F1527">
              <w:rPr>
                <w:rFonts w:ascii="Times New Roman" w:hAnsi="Times New Roman" w:cs="Times New Roman"/>
                <w:sz w:val="18"/>
                <w:lang w:val="en-GB"/>
              </w:rPr>
              <w:t>Dieses Dokument enthält wichtige Informationen über dieses Anlageprodukt, konkret über Differenzkontrakte (CFDs) auf Devisen. Es handelt sich nicht um Marketingmaterial. Die Bereitstellung dieser Informationen ist gesetzlich vorgeschrieben und soll Ihnen helfen, die Art, Risiken, Kosten sowie die möglichen Gewinne und Verluste dieses Produkts zu verstehen und es mit anderen Produkten zu vergleichen. CFDs sind komplexe Instrumente und mit einem hohen Risiko verbunden, aufgrund der Hebelwirkung schnell Geld zu verlieren. Bitte besuchen Sie unsere Website, um den genauen Prozentsatz der Retail-Kundenkonten einzusehen, die beim Handel mit CFDs bei diesem Anbieter Geld verlieren. Sie sollten überlegen, ob Sie die Funktionsweise von CFDs verstehen und ob Sie es sich leisten können, das hohe Risiko einzugehen, Ihr Geld zu verlieren.</w:t>
            </w:r>
          </w:p>
        </w:tc>
      </w:tr>
      <w:tr w:rsidR="007E4EC2" w:rsidRPr="00427A1B" w14:paraId="158100B9" w14:textId="77777777" w:rsidTr="007C1293">
        <w:trPr>
          <w:trHeight w:val="1628"/>
        </w:trPr>
        <w:tc>
          <w:tcPr>
            <w:tcW w:w="10778" w:type="dxa"/>
          </w:tcPr>
          <w:p w14:paraId="795FA318" w14:textId="77777777" w:rsidR="001F1527" w:rsidRDefault="001F1527" w:rsidP="00DD2610">
            <w:pPr>
              <w:pStyle w:val="TableParagraph"/>
              <w:ind w:left="4"/>
              <w:jc w:val="both"/>
              <w:rPr>
                <w:rFonts w:ascii="Times New Roman" w:hAnsi="Times New Roman" w:cs="Times New Roman"/>
                <w:b/>
                <w:color w:val="F28C28"/>
                <w:spacing w:val="-2"/>
                <w:sz w:val="20"/>
                <w:szCs w:val="20"/>
              </w:rPr>
            </w:pPr>
            <w:r w:rsidRPr="001F1527">
              <w:rPr>
                <w:rFonts w:ascii="Times New Roman" w:hAnsi="Times New Roman" w:cs="Times New Roman"/>
                <w:b/>
                <w:color w:val="F28C28"/>
                <w:spacing w:val="-2"/>
                <w:sz w:val="20"/>
                <w:szCs w:val="20"/>
              </w:rPr>
              <w:t>Produkt</w:t>
            </w:r>
          </w:p>
          <w:p w14:paraId="74A8183F" w14:textId="2801A41F" w:rsidR="001F1527" w:rsidRPr="001F1527" w:rsidRDefault="001F1527" w:rsidP="00DD2610">
            <w:pPr>
              <w:pStyle w:val="TableParagraph"/>
              <w:ind w:left="4"/>
              <w:jc w:val="both"/>
              <w:rPr>
                <w:rFonts w:ascii="Times New Roman" w:hAnsi="Times New Roman" w:cs="Times New Roman"/>
                <w:bCs/>
                <w:sz w:val="18"/>
                <w:lang w:val="en-GB"/>
              </w:rPr>
            </w:pPr>
            <w:r w:rsidRPr="001F1527">
              <w:rPr>
                <w:rFonts w:ascii="Times New Roman" w:hAnsi="Times New Roman" w:cs="Times New Roman"/>
                <w:bCs/>
                <w:sz w:val="18"/>
                <w:lang w:val="en-GB"/>
              </w:rPr>
              <w:t>Produktname</w:t>
            </w:r>
            <w:r w:rsidRPr="00DD2610">
              <w:rPr>
                <w:rFonts w:ascii="Times New Roman" w:hAnsi="Times New Roman" w:cs="Times New Roman"/>
                <w:bCs/>
                <w:sz w:val="18"/>
                <w:lang w:val="en-GB"/>
              </w:rPr>
              <w:t xml:space="preserve"> </w:t>
            </w:r>
            <w:r w:rsidRPr="001F1527">
              <w:rPr>
                <w:rFonts w:ascii="Times New Roman" w:hAnsi="Times New Roman" w:cs="Times New Roman"/>
                <w:bCs/>
                <w:sz w:val="18"/>
                <w:lang w:val="en-GB"/>
              </w:rPr>
              <w:t>Differenzkontrakt (CFD) auf Devisen.</w:t>
            </w:r>
          </w:p>
          <w:p w14:paraId="6FB720D8" w14:textId="7F933871" w:rsidR="001F1527" w:rsidRPr="001F1527" w:rsidRDefault="001F1527" w:rsidP="00DD2610">
            <w:pPr>
              <w:pStyle w:val="TableParagraph"/>
              <w:ind w:left="4"/>
              <w:jc w:val="both"/>
              <w:rPr>
                <w:rFonts w:ascii="Times New Roman" w:hAnsi="Times New Roman" w:cs="Times New Roman"/>
                <w:bCs/>
                <w:sz w:val="18"/>
                <w:lang w:val="en-GB"/>
              </w:rPr>
            </w:pPr>
            <w:r w:rsidRPr="001F1527">
              <w:rPr>
                <w:rFonts w:ascii="Times New Roman" w:hAnsi="Times New Roman" w:cs="Times New Roman"/>
                <w:bCs/>
                <w:sz w:val="18"/>
                <w:lang w:val="en-GB"/>
              </w:rPr>
              <w:t>Produkthersteller</w:t>
            </w:r>
            <w:r w:rsidRPr="00DD2610">
              <w:rPr>
                <w:rFonts w:ascii="Times New Roman" w:hAnsi="Times New Roman" w:cs="Times New Roman"/>
                <w:bCs/>
                <w:sz w:val="18"/>
                <w:lang w:val="en-GB"/>
              </w:rPr>
              <w:t xml:space="preserve"> </w:t>
            </w:r>
            <w:r w:rsidRPr="001F1527">
              <w:rPr>
                <w:rFonts w:ascii="Times New Roman" w:hAnsi="Times New Roman" w:cs="Times New Roman"/>
                <w:bCs/>
                <w:sz w:val="18"/>
                <w:lang w:val="en-GB"/>
              </w:rPr>
              <w:t>VSMARKETS LTD (zuvor KLIPS CY LTD) („VSMARKETS“), zugelassen und reguliert durch die Cyprus Securities and Exchange Commission (CySEC) als zypriotisches Investmentunternehmen („CIF“) mit der Lizenznummer 434/23 und mit eingetragener Adresse: 116 Gladstonos Street, M. Kyprianou House, 3. &amp; 4. Stock, 3032 Limassol, Zypern.</w:t>
            </w:r>
          </w:p>
          <w:p w14:paraId="6973AB56" w14:textId="1127B992" w:rsidR="007E4EC2" w:rsidRPr="007C1293" w:rsidRDefault="001F1527" w:rsidP="007C1293">
            <w:pPr>
              <w:pStyle w:val="TableParagraph"/>
              <w:ind w:left="6"/>
              <w:rPr>
                <w:rFonts w:ascii="Times New Roman" w:hAnsi="Times New Roman" w:cs="Times New Roman"/>
                <w:bCs/>
                <w:sz w:val="18"/>
                <w:lang w:val="en-GB"/>
              </w:rPr>
            </w:pPr>
            <w:r w:rsidRPr="001F1527">
              <w:rPr>
                <w:rFonts w:ascii="Times New Roman" w:hAnsi="Times New Roman" w:cs="Times New Roman"/>
                <w:bCs/>
                <w:sz w:val="18"/>
                <w:lang w:val="en-GB"/>
              </w:rPr>
              <w:t>Weitere</w:t>
            </w:r>
            <w:r w:rsidRPr="00DD2610">
              <w:rPr>
                <w:rFonts w:ascii="Times New Roman" w:hAnsi="Times New Roman" w:cs="Times New Roman"/>
                <w:bCs/>
                <w:sz w:val="18"/>
                <w:lang w:val="en-GB"/>
              </w:rPr>
              <w:t xml:space="preserve"> </w:t>
            </w:r>
            <w:r w:rsidRPr="001F1527">
              <w:rPr>
                <w:rFonts w:ascii="Times New Roman" w:hAnsi="Times New Roman" w:cs="Times New Roman"/>
                <w:bCs/>
                <w:sz w:val="18"/>
                <w:lang w:val="en-GB"/>
              </w:rPr>
              <w:t>Informationen</w:t>
            </w:r>
            <w:r w:rsidRPr="001F1527">
              <w:rPr>
                <w:rFonts w:ascii="Times New Roman" w:hAnsi="Times New Roman" w:cs="Times New Roman"/>
                <w:bCs/>
                <w:sz w:val="18"/>
                <w:lang w:val="en-GB"/>
              </w:rPr>
              <w:br/>
              <w:t xml:space="preserve">Weitere Informationen über VSMARKETS und unsere Produkte finden Sie auf unserer Website: </w:t>
            </w:r>
            <w:hyperlink r:id="rId9" w:tgtFrame="_new" w:history="1">
              <w:r w:rsidRPr="001F1527">
                <w:rPr>
                  <w:rStyle w:val="Hyperlink"/>
                  <w:rFonts w:ascii="Times New Roman" w:hAnsi="Times New Roman" w:cs="Times New Roman"/>
                  <w:bCs/>
                  <w:sz w:val="18"/>
                  <w:lang w:val="en-GB"/>
                </w:rPr>
                <w:t>www.vsmarkets.com</w:t>
              </w:r>
            </w:hyperlink>
            <w:r w:rsidRPr="001F1527">
              <w:rPr>
                <w:rFonts w:ascii="Times New Roman" w:hAnsi="Times New Roman" w:cs="Times New Roman"/>
                <w:bCs/>
                <w:sz w:val="18"/>
                <w:lang w:val="en-GB"/>
              </w:rPr>
              <w:t>. Sie können unseren Kundendienst über den Live-Chat oder per E-Mail kontaktieren. Dieses Dokument wurde zuletzt am 30/10/2025 aktualisiert.</w:t>
            </w:r>
          </w:p>
        </w:tc>
      </w:tr>
      <w:tr w:rsidR="007E4EC2" w:rsidRPr="00427A1B" w14:paraId="1BB6232A" w14:textId="77777777" w:rsidTr="00427A1B">
        <w:trPr>
          <w:trHeight w:val="1156"/>
        </w:trPr>
        <w:tc>
          <w:tcPr>
            <w:tcW w:w="10778" w:type="dxa"/>
            <w:shd w:val="clear" w:color="auto" w:fill="D3DCE2"/>
          </w:tcPr>
          <w:p w14:paraId="6C483143" w14:textId="77777777" w:rsidR="001F1527" w:rsidRPr="00A407F6" w:rsidRDefault="001F1527" w:rsidP="001F1527">
            <w:pPr>
              <w:pStyle w:val="TableParagraph"/>
              <w:spacing w:before="100" w:line="210" w:lineRule="atLeast"/>
              <w:ind w:left="4"/>
              <w:rPr>
                <w:rFonts w:ascii="Times New Roman" w:hAnsi="Times New Roman" w:cs="Times New Roman"/>
                <w:b/>
                <w:color w:val="F28C28"/>
                <w:spacing w:val="-2"/>
                <w:sz w:val="20"/>
                <w:szCs w:val="20"/>
              </w:rPr>
            </w:pPr>
            <w:r w:rsidRPr="00A407F6">
              <w:rPr>
                <w:rFonts w:ascii="Times New Roman" w:hAnsi="Times New Roman" w:cs="Times New Roman"/>
                <w:b/>
                <w:color w:val="F28C28"/>
                <w:spacing w:val="-2"/>
                <w:sz w:val="20"/>
                <w:szCs w:val="20"/>
              </w:rPr>
              <w:t xml:space="preserve">Warnhinweis </w:t>
            </w:r>
          </w:p>
          <w:p w14:paraId="1BA81EE6" w14:textId="2896D36C" w:rsidR="007E4EC2" w:rsidRPr="00427A1B" w:rsidRDefault="001F1527" w:rsidP="001F1527">
            <w:pPr>
              <w:pStyle w:val="TableParagraph"/>
              <w:spacing w:before="100" w:line="210" w:lineRule="atLeast"/>
              <w:ind w:left="4"/>
              <w:rPr>
                <w:rFonts w:ascii="Times New Roman" w:hAnsi="Times New Roman" w:cs="Times New Roman"/>
                <w:b/>
                <w:sz w:val="18"/>
              </w:rPr>
            </w:pPr>
            <w:r w:rsidRPr="00A407F6">
              <w:rPr>
                <w:rFonts w:ascii="Times New Roman" w:hAnsi="Times New Roman" w:cs="Times New Roman"/>
                <w:b/>
                <w:noProof/>
                <w:sz w:val="18"/>
              </w:rPr>
              <w:drawing>
                <wp:inline distT="0" distB="0" distL="0" distR="0" wp14:anchorId="3D39A848" wp14:editId="67F9A806">
                  <wp:extent cx="304800" cy="280800"/>
                  <wp:effectExtent l="0" t="0" r="0" b="5080"/>
                  <wp:docPr id="1278561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1294" name=""/>
                          <pic:cNvPicPr/>
                        </pic:nvPicPr>
                        <pic:blipFill>
                          <a:blip r:embed="rId10"/>
                          <a:stretch>
                            <a:fillRect/>
                          </a:stretch>
                        </pic:blipFill>
                        <pic:spPr>
                          <a:xfrm>
                            <a:off x="0" y="0"/>
                            <a:ext cx="310265" cy="285834"/>
                          </a:xfrm>
                          <a:prstGeom prst="rect">
                            <a:avLst/>
                          </a:prstGeom>
                        </pic:spPr>
                      </pic:pic>
                    </a:graphicData>
                  </a:graphic>
                </wp:inline>
              </w:drawing>
            </w:r>
            <w:r w:rsidRPr="00A407F6">
              <w:rPr>
                <w:rFonts w:ascii="Times New Roman" w:hAnsi="Times New Roman" w:cs="Times New Roman"/>
              </w:rPr>
              <w:t xml:space="preserve"> </w:t>
            </w:r>
            <w:r w:rsidRPr="00A407F6">
              <w:rPr>
                <w:rFonts w:ascii="Times New Roman" w:hAnsi="Times New Roman" w:cs="Times New Roman"/>
                <w:b/>
                <w:sz w:val="18"/>
              </w:rPr>
              <w:t>Du bist dabei, ein Produkt zu erwerben, das nicht einfach ist und schwer zu verstehen sein kann. Unsere Dienstleistungen beinhalten Produkte, die auf Margin gehandelt werden und ein Verlustrisiko bergen. Diese Produkte sind möglicherweise nicht für alle Anleger geeignet. Bitte stelle sicher, dass du die damit verbundenen Risiken vollständig verstehst.</w:t>
            </w:r>
          </w:p>
        </w:tc>
      </w:tr>
      <w:tr w:rsidR="007E4EC2" w:rsidRPr="00427A1B" w14:paraId="0A323AC7" w14:textId="77777777" w:rsidTr="00427A1B">
        <w:trPr>
          <w:trHeight w:val="9932"/>
        </w:trPr>
        <w:tc>
          <w:tcPr>
            <w:tcW w:w="10778" w:type="dxa"/>
          </w:tcPr>
          <w:p w14:paraId="0F9FDB61" w14:textId="77777777" w:rsidR="00CC183C" w:rsidRDefault="00CC183C">
            <w:pPr>
              <w:pStyle w:val="TableParagraph"/>
              <w:spacing w:before="131"/>
              <w:ind w:left="4"/>
              <w:rPr>
                <w:rFonts w:ascii="Times New Roman" w:hAnsi="Times New Roman" w:cs="Times New Roman"/>
                <w:b/>
                <w:bCs/>
                <w:color w:val="F28C28"/>
                <w:sz w:val="20"/>
                <w:szCs w:val="20"/>
              </w:rPr>
            </w:pPr>
            <w:bookmarkStart w:id="0" w:name="_Hlk214449032"/>
            <w:r w:rsidRPr="00CC183C">
              <w:rPr>
                <w:rFonts w:ascii="Times New Roman" w:hAnsi="Times New Roman" w:cs="Times New Roman"/>
                <w:b/>
                <w:bCs/>
                <w:color w:val="F28C28"/>
                <w:sz w:val="20"/>
                <w:szCs w:val="20"/>
              </w:rPr>
              <w:t>Was ist dieses Produkt?</w:t>
            </w:r>
          </w:p>
          <w:p w14:paraId="1DE2EDB3" w14:textId="49B234C1" w:rsidR="007E4EC2" w:rsidRPr="00427A1B" w:rsidRDefault="00CC183C">
            <w:pPr>
              <w:pStyle w:val="TableParagraph"/>
              <w:spacing w:before="131"/>
              <w:ind w:left="4"/>
              <w:rPr>
                <w:rFonts w:ascii="Times New Roman" w:hAnsi="Times New Roman" w:cs="Times New Roman"/>
                <w:b/>
                <w:color w:val="F28C28"/>
                <w:sz w:val="18"/>
                <w:u w:color="F28C28"/>
              </w:rPr>
            </w:pPr>
            <w:r>
              <w:rPr>
                <w:rFonts w:ascii="Times New Roman" w:hAnsi="Times New Roman" w:cs="Times New Roman"/>
                <w:b/>
                <w:color w:val="F28C28"/>
                <w:spacing w:val="-4"/>
                <w:sz w:val="18"/>
                <w:u w:val="single" w:color="F28C28"/>
              </w:rPr>
              <w:t>Art</w:t>
            </w:r>
          </w:p>
          <w:p w14:paraId="08A7E252" w14:textId="418582A1" w:rsidR="00CC183C" w:rsidRPr="00CC183C" w:rsidRDefault="00CC183C" w:rsidP="00CC183C">
            <w:pPr>
              <w:pStyle w:val="TableParagraph"/>
              <w:spacing w:before="132"/>
              <w:ind w:left="4"/>
              <w:jc w:val="both"/>
              <w:rPr>
                <w:rFonts w:ascii="Times New Roman" w:hAnsi="Times New Roman" w:cs="Times New Roman"/>
                <w:sz w:val="18"/>
                <w:lang w:val="en-GB"/>
              </w:rPr>
            </w:pPr>
            <w:r w:rsidRPr="00CC183C">
              <w:rPr>
                <w:rFonts w:ascii="Times New Roman" w:hAnsi="Times New Roman" w:cs="Times New Roman"/>
                <w:sz w:val="18"/>
                <w:lang w:val="en-GB"/>
              </w:rPr>
              <w:t>Ein außerbörslicher („OTC“) Derivatkontrakt in Form eines Differenzkontrakts („CFD“), bei dem das zugrunde liegende Instrument FX ist. Ein FX-Paar (z. B. EUR/USD) beinhaltet den gleichzeitigen Kauf und Verkauf zweier verschiedener Währungen. Die erste Währung eines Währungspaares wird als Basiswährung (EUR) bezeichnet, die zweite (USD) als Kurswährung. Der Preis des CFDs auf ein FX-Paar wird vom Preis des zugrunde liegenden FX-Paares abgeleitet, der dem aktuellen Spotpreis entspricht. Ein Anleger hat die Möglichkeit, das Währungspaar zu kaufen (oder „long“ zu gehen), wenn er glaubt, dass der Kurs der Basiswährung gegenüber der Kurswährung steigen wird, oder das Währungspaar zu verkaufen (oder „short“ zu gehen), wenn er glaubt, dass die Kurswährung gegenüber der Basiswährung steigen wird.CFDs sind gehebelte Produkte und der Hebel wird vom Kunden individuell festgelegt. Am Ende des Tages werden alle offenen Positionen verlängert („gerollt“) und mit einer täglichen Swap-Gebühr belastet. Bitte beachten Sie, dass der Margenhandel besondere Vorsicht erfordert, da Sie zwar große Gewinne erzielen können, wenn sich der Kurs zu Ihren Gunsten bewegt, jedoch ebenso hohe Verluste erleiden können, wenn sich der Kurs gegen Sie bewegt. Das Versäumnis, zusätzliche Mittel einzuzahlen, um die erforderliche Erhaltungsmargin nach einer negativen Kursbewegung zu erfüllen, kann zur automatischen Schließung der CFD-Position führen. Dies geschieht, wenn Ihre verbleibende Kontoeigenkapitalquote unter die erforderliche Erhaltungsmargin fällt.</w:t>
            </w:r>
            <w:r>
              <w:rPr>
                <w:rFonts w:ascii="Times New Roman" w:hAnsi="Times New Roman" w:cs="Times New Roman"/>
                <w:sz w:val="18"/>
                <w:lang w:val="en-GB"/>
              </w:rPr>
              <w:t xml:space="preserve"> </w:t>
            </w:r>
            <w:r w:rsidRPr="00CC183C">
              <w:rPr>
                <w:rFonts w:ascii="Times New Roman" w:hAnsi="Times New Roman" w:cs="Times New Roman"/>
                <w:sz w:val="18"/>
                <w:lang w:val="en-GB"/>
              </w:rPr>
              <w:t>Der CFD auf ein FX-Paar hat kein vordefiniertes Fälligkeitsdatum und ist daher unbefristet. VSMARKETS behält sich das Recht vor, einen CFD-Kontrakt einseitig zu beenden, wenn festgestellt wird, dass die Vertragsbedingungen verletzt wurden.</w:t>
            </w:r>
          </w:p>
          <w:p w14:paraId="0237E3E2" w14:textId="77777777" w:rsidR="00CC183C" w:rsidRDefault="00CC183C" w:rsidP="00206514">
            <w:pPr>
              <w:pStyle w:val="TableParagraph"/>
              <w:spacing w:before="120" w:line="264" w:lineRule="auto"/>
              <w:ind w:left="4" w:right="87"/>
              <w:jc w:val="both"/>
              <w:rPr>
                <w:rFonts w:ascii="Times New Roman" w:hAnsi="Times New Roman" w:cs="Times New Roman"/>
                <w:b/>
                <w:color w:val="F28C28"/>
                <w:spacing w:val="-2"/>
                <w:sz w:val="18"/>
                <w:u w:val="single" w:color="F28C28"/>
              </w:rPr>
            </w:pPr>
            <w:r w:rsidRPr="00CC183C">
              <w:rPr>
                <w:rFonts w:ascii="Times New Roman" w:hAnsi="Times New Roman" w:cs="Times New Roman"/>
                <w:b/>
                <w:color w:val="F28C28"/>
                <w:spacing w:val="-2"/>
                <w:sz w:val="18"/>
                <w:u w:val="single" w:color="F28C28"/>
              </w:rPr>
              <w:t>Ziele</w:t>
            </w:r>
          </w:p>
          <w:p w14:paraId="12ECF9F5" w14:textId="1C45F853" w:rsidR="00CC183C" w:rsidRPr="00CC183C" w:rsidRDefault="00CC183C" w:rsidP="00CC183C">
            <w:pPr>
              <w:pStyle w:val="TableParagraph"/>
              <w:spacing w:before="120" w:line="264" w:lineRule="auto"/>
              <w:ind w:left="4" w:right="87"/>
              <w:jc w:val="both"/>
              <w:rPr>
                <w:rFonts w:ascii="Times New Roman" w:hAnsi="Times New Roman" w:cs="Times New Roman"/>
                <w:sz w:val="18"/>
                <w:lang w:val="en-GB"/>
              </w:rPr>
            </w:pPr>
            <w:r w:rsidRPr="00CC183C">
              <w:rPr>
                <w:rFonts w:ascii="Times New Roman" w:hAnsi="Times New Roman" w:cs="Times New Roman"/>
                <w:sz w:val="18"/>
                <w:lang w:val="en-GB"/>
              </w:rPr>
              <w:t>Ein CFD ist ein gehebelter Vertrag, der mit dem Unternehmen auf bilateraler Basis abgeschlossen wird. Er ermöglicht es einem Anleger, auf steigende oder fallende Kurse eines zugrunde liegenden FX-Paares über Online-Handelsplattformen zu spekulieren oder sich dagegen abzusichern. Die Exponierung ist gehebelt, da der CFD nur eine kleine Anfangsmargin erfordert, die einen Bruchteil des Nominalwerts des Kontrakts darstellt.</w:t>
            </w:r>
            <w:r>
              <w:rPr>
                <w:rFonts w:ascii="Times New Roman" w:hAnsi="Times New Roman" w:cs="Times New Roman"/>
                <w:sz w:val="18"/>
                <w:lang w:val="en-GB"/>
              </w:rPr>
              <w:t xml:space="preserve"> </w:t>
            </w:r>
            <w:r w:rsidRPr="00CC183C">
              <w:rPr>
                <w:rFonts w:ascii="Times New Roman" w:hAnsi="Times New Roman" w:cs="Times New Roman"/>
                <w:sz w:val="18"/>
                <w:lang w:val="en-GB"/>
              </w:rPr>
              <w:t>Beispiel: Wenn ein Anleger 1 Lot CFD (1 Lot = 100.000) auf EUR/USD mit einer Anfangsmargin von 5 % und einem zugrunde liegenden EUR/USD-Preis von 1.19770/1.19780 kauft, beträgt die anfängliche Investition 5.000 € oder den Gegenwert in der Kontowährung. Der Hebeleffekt entspricht in diesem Fall 20:1 (1 / 0.05). Basierend auf dieser Handelsgröße verändert sich der Wert des CFDs um 10 $ für jede 1-Punkt-Bewegung im Preis des zugrunde liegenden FX-Paares.</w:t>
            </w:r>
            <w:r>
              <w:rPr>
                <w:rFonts w:ascii="Times New Roman" w:hAnsi="Times New Roman" w:cs="Times New Roman"/>
                <w:sz w:val="18"/>
                <w:lang w:val="en-GB"/>
              </w:rPr>
              <w:t xml:space="preserve"> </w:t>
            </w:r>
            <w:r w:rsidRPr="00CC183C">
              <w:rPr>
                <w:rFonts w:ascii="Times New Roman" w:hAnsi="Times New Roman" w:cs="Times New Roman"/>
                <w:sz w:val="18"/>
                <w:lang w:val="en-GB"/>
              </w:rPr>
              <w:t>Wenn der Anleger long ist und der Markt steigt, wird ein Gewinn von 10 $ für jeden Punktanstieg erzielt. Fällt der Markt, entsteht ein Verlust von 10 $ pro Punkt. Umgekehrt erzielt ein Anleger mit einer Short-Position einen Gewinn bei fallenden Kursen und einen Verlust bei steigenden Kursen.</w:t>
            </w:r>
            <w:r>
              <w:rPr>
                <w:rFonts w:ascii="Times New Roman" w:hAnsi="Times New Roman" w:cs="Times New Roman"/>
                <w:sz w:val="18"/>
                <w:lang w:val="en-GB"/>
              </w:rPr>
              <w:t xml:space="preserve"> </w:t>
            </w:r>
            <w:r w:rsidRPr="00CC183C">
              <w:rPr>
                <w:rFonts w:ascii="Times New Roman" w:hAnsi="Times New Roman" w:cs="Times New Roman"/>
                <w:sz w:val="18"/>
                <w:lang w:val="en-GB"/>
              </w:rPr>
              <w:t>CFDs haben im Allgemeinen keine empfohlene Mindesthaltefrist. Jeder Anleger bestimmt individuell die passende Haltedauer entsprechend seiner eigenen Handelsstrategie und Ziele.</w:t>
            </w:r>
          </w:p>
          <w:p w14:paraId="12EF31CC" w14:textId="77777777" w:rsidR="00CC183C" w:rsidRDefault="00CC183C" w:rsidP="00206514">
            <w:pPr>
              <w:pStyle w:val="TableParagraph"/>
              <w:spacing w:before="130" w:line="254" w:lineRule="auto"/>
              <w:ind w:left="4" w:right="99"/>
              <w:jc w:val="both"/>
              <w:rPr>
                <w:rFonts w:ascii="Times New Roman" w:hAnsi="Times New Roman" w:cs="Times New Roman"/>
                <w:b/>
                <w:bCs/>
                <w:color w:val="F28C28"/>
                <w:sz w:val="18"/>
                <w:u w:val="single" w:color="F28C28"/>
              </w:rPr>
            </w:pPr>
            <w:r w:rsidRPr="00CC183C">
              <w:rPr>
                <w:rFonts w:ascii="Times New Roman" w:hAnsi="Times New Roman" w:cs="Times New Roman"/>
                <w:b/>
                <w:bCs/>
                <w:color w:val="F28C28"/>
                <w:sz w:val="18"/>
                <w:u w:val="single" w:color="F28C28"/>
              </w:rPr>
              <w:t>Beabsichtigte Zielgruppe (Retail-Investoren)</w:t>
            </w:r>
          </w:p>
          <w:p w14:paraId="4597E418" w14:textId="08AA0234" w:rsidR="00CC183C" w:rsidRDefault="00CC183C" w:rsidP="00CC183C">
            <w:pPr>
              <w:pStyle w:val="TableParagraph"/>
              <w:spacing w:before="130"/>
              <w:ind w:left="6"/>
              <w:rPr>
                <w:rFonts w:ascii="Times New Roman" w:hAnsi="Times New Roman" w:cs="Times New Roman"/>
                <w:sz w:val="18"/>
              </w:rPr>
            </w:pPr>
            <w:r w:rsidRPr="00CC183C">
              <w:rPr>
                <w:rFonts w:ascii="Times New Roman" w:hAnsi="Times New Roman" w:cs="Times New Roman"/>
                <w:sz w:val="18"/>
              </w:rPr>
              <w:t>Der Handel mit diesem Produkt ist nicht für jeden geeignet. Wir erwarten typischerweise, dass dieses Produkt von Personen genutzt wird, auf die einige oder alle der folgenden Kriterien zutreffen:</w:t>
            </w:r>
            <w:r>
              <w:rPr>
                <w:rFonts w:ascii="Times New Roman" w:hAnsi="Times New Roman" w:cs="Times New Roman"/>
                <w:sz w:val="18"/>
              </w:rPr>
              <w:t xml:space="preserve"> </w:t>
            </w:r>
            <w:r w:rsidRPr="00CC183C">
              <w:rPr>
                <w:rFonts w:ascii="Times New Roman" w:hAnsi="Times New Roman" w:cs="Times New Roman"/>
                <w:sz w:val="18"/>
              </w:rPr>
              <w:t>i) verfügen über Erfahrung im Handel mit Finanzmärkten und verstehen die Auswirkungen und Risiken des Margenhandels;</w:t>
            </w:r>
            <w:r>
              <w:rPr>
                <w:rFonts w:ascii="Times New Roman" w:hAnsi="Times New Roman" w:cs="Times New Roman"/>
                <w:sz w:val="18"/>
              </w:rPr>
              <w:t xml:space="preserve"> </w:t>
            </w:r>
            <w:r w:rsidRPr="00CC183C">
              <w:rPr>
                <w:rFonts w:ascii="Times New Roman" w:hAnsi="Times New Roman" w:cs="Times New Roman"/>
                <w:sz w:val="18"/>
              </w:rPr>
              <w:t>ii) sind in der Lage, einen Verlust von 100 % des investierten Kapitals zu verkraften;</w:t>
            </w:r>
            <w:r>
              <w:rPr>
                <w:rFonts w:ascii="Times New Roman" w:hAnsi="Times New Roman" w:cs="Times New Roman"/>
                <w:sz w:val="18"/>
              </w:rPr>
              <w:t xml:space="preserve"> </w:t>
            </w:r>
            <w:r w:rsidRPr="00CC183C">
              <w:rPr>
                <w:rFonts w:ascii="Times New Roman" w:hAnsi="Times New Roman" w:cs="Times New Roman"/>
                <w:sz w:val="18"/>
              </w:rPr>
              <w:t>iii) verfügen über eine hohe Risikotoleranz; und</w:t>
            </w:r>
            <w:r>
              <w:rPr>
                <w:rFonts w:ascii="Times New Roman" w:hAnsi="Times New Roman" w:cs="Times New Roman"/>
                <w:sz w:val="18"/>
              </w:rPr>
              <w:t xml:space="preserve"> </w:t>
            </w:r>
            <w:r w:rsidRPr="00CC183C">
              <w:rPr>
                <w:rFonts w:ascii="Times New Roman" w:hAnsi="Times New Roman" w:cs="Times New Roman"/>
                <w:sz w:val="18"/>
              </w:rPr>
              <w:t>iv) beabsichtigen, das Produkt für kurzfristige Anlagen, spekulativen Handel, Portfoliodiversifikation und/oder Absicherung eines zugrunde liegenden Vermögenswerts zu nutzen.</w:t>
            </w:r>
          </w:p>
          <w:p w14:paraId="4F10C026" w14:textId="77777777" w:rsidR="00CC183C" w:rsidRDefault="00CC183C" w:rsidP="00206514">
            <w:pPr>
              <w:pStyle w:val="TableParagraph"/>
              <w:spacing w:before="111" w:line="210" w:lineRule="atLeast"/>
              <w:ind w:left="4"/>
              <w:jc w:val="both"/>
              <w:rPr>
                <w:rFonts w:ascii="Times New Roman" w:hAnsi="Times New Roman" w:cs="Times New Roman"/>
                <w:b/>
                <w:bCs/>
                <w:color w:val="F28C28"/>
                <w:spacing w:val="-2"/>
                <w:sz w:val="18"/>
                <w:u w:val="single" w:color="F28C28"/>
              </w:rPr>
            </w:pPr>
            <w:r w:rsidRPr="00CC183C">
              <w:rPr>
                <w:rFonts w:ascii="Times New Roman" w:hAnsi="Times New Roman" w:cs="Times New Roman"/>
                <w:b/>
                <w:bCs/>
                <w:color w:val="F28C28"/>
                <w:spacing w:val="-2"/>
                <w:sz w:val="18"/>
                <w:u w:val="single" w:color="F28C28"/>
              </w:rPr>
              <w:t>Bedingungen</w:t>
            </w:r>
          </w:p>
          <w:p w14:paraId="523C22EC" w14:textId="57A5AE2B" w:rsidR="009750FD" w:rsidRDefault="00CC183C">
            <w:pPr>
              <w:pStyle w:val="TableParagraph"/>
              <w:spacing w:before="111" w:line="210" w:lineRule="atLeast"/>
              <w:ind w:left="4"/>
              <w:rPr>
                <w:rFonts w:ascii="Times New Roman" w:hAnsi="Times New Roman" w:cs="Times New Roman"/>
                <w:sz w:val="18"/>
              </w:rPr>
            </w:pPr>
            <w:r w:rsidRPr="00CC183C">
              <w:rPr>
                <w:rFonts w:ascii="Times New Roman" w:hAnsi="Times New Roman" w:cs="Times New Roman"/>
                <w:sz w:val="18"/>
              </w:rPr>
              <w:t>Von VSMARKETS angebotene FX-CFDs haben kein Fälligkeitsdatum und keine Mindesthaltefrist. Während der verfügbaren Handelszeiten für den jeweiligen FX-CFD können Sie Ihre Positionen eröffnen und schließen, das heißt, das Schließen einer Position ist nur während der Handelszeiten des Produkts möglich. VSMARKETS kann Ihre Position ohne Ihre vorherige Zustimmung schließen, wenn Sie nicht ausreichend Margin in Ihrem Konto vorhalten. Bitte konsultieren Sie die VSMARKETS-Website für die Handelszeiten dieser Instrumente. Das Produkt kann unter besonderen Bedingungen von VSMARKETS einseitig beendet werden.</w:t>
            </w:r>
          </w:p>
          <w:p w14:paraId="023D715A" w14:textId="39AEC89E" w:rsidR="009750FD" w:rsidRPr="00427A1B" w:rsidRDefault="009750FD">
            <w:pPr>
              <w:pStyle w:val="TableParagraph"/>
              <w:spacing w:before="111" w:line="210" w:lineRule="atLeast"/>
              <w:ind w:left="4"/>
              <w:rPr>
                <w:rFonts w:ascii="Times New Roman" w:hAnsi="Times New Roman" w:cs="Times New Roman"/>
                <w:sz w:val="18"/>
              </w:rPr>
            </w:pPr>
          </w:p>
        </w:tc>
      </w:tr>
      <w:bookmarkEnd w:id="0"/>
    </w:tbl>
    <w:p w14:paraId="440596CC" w14:textId="77777777" w:rsidR="007E4EC2" w:rsidRPr="00427A1B" w:rsidRDefault="007E4EC2">
      <w:pPr>
        <w:pStyle w:val="TableParagraph"/>
        <w:spacing w:line="210" w:lineRule="atLeast"/>
        <w:rPr>
          <w:rFonts w:ascii="Times New Roman" w:hAnsi="Times New Roman" w:cs="Times New Roman"/>
          <w:sz w:val="18"/>
        </w:rPr>
        <w:sectPr w:rsidR="007E4EC2" w:rsidRPr="00427A1B" w:rsidSect="00F77D84">
          <w:type w:val="continuous"/>
          <w:pgSz w:w="11910" w:h="16840"/>
          <w:pgMar w:top="760" w:right="425" w:bottom="280" w:left="566" w:header="720" w:footer="720" w:gutter="0"/>
          <w:cols w:space="720"/>
        </w:sectPr>
      </w:pPr>
    </w:p>
    <w:tbl>
      <w:tblPr>
        <w:tblW w:w="11006" w:type="dxa"/>
        <w:tblInd w:w="32" w:type="dxa"/>
        <w:tblBorders>
          <w:top w:val="single" w:sz="4" w:space="0" w:color="F28C28"/>
          <w:left w:val="single" w:sz="4" w:space="0" w:color="F28C28"/>
          <w:bottom w:val="single" w:sz="4" w:space="0" w:color="F28C28"/>
          <w:right w:val="single" w:sz="4" w:space="0" w:color="F28C28"/>
        </w:tblBorders>
        <w:tblLayout w:type="fixed"/>
        <w:tblCellMar>
          <w:left w:w="0" w:type="dxa"/>
          <w:right w:w="0" w:type="dxa"/>
        </w:tblCellMar>
        <w:tblLook w:val="01E0" w:firstRow="1" w:lastRow="1" w:firstColumn="1" w:lastColumn="1" w:noHBand="0" w:noVBand="0"/>
      </w:tblPr>
      <w:tblGrid>
        <w:gridCol w:w="1272"/>
        <w:gridCol w:w="969"/>
        <w:gridCol w:w="757"/>
        <w:gridCol w:w="422"/>
        <w:gridCol w:w="726"/>
        <w:gridCol w:w="431"/>
        <w:gridCol w:w="810"/>
        <w:gridCol w:w="1249"/>
        <w:gridCol w:w="509"/>
        <w:gridCol w:w="1701"/>
        <w:gridCol w:w="1139"/>
        <w:gridCol w:w="1021"/>
      </w:tblGrid>
      <w:tr w:rsidR="007E4EC2" w:rsidRPr="00427A1B" w14:paraId="53019B31" w14:textId="77777777" w:rsidTr="00F77D84">
        <w:trPr>
          <w:trHeight w:val="8929"/>
        </w:trPr>
        <w:tc>
          <w:tcPr>
            <w:tcW w:w="11006" w:type="dxa"/>
            <w:gridSpan w:val="12"/>
          </w:tcPr>
          <w:p w14:paraId="61000FA3" w14:textId="77777777" w:rsidR="00CC183C" w:rsidRPr="00CC183C" w:rsidRDefault="00CC183C" w:rsidP="00CC183C">
            <w:pPr>
              <w:pStyle w:val="TableParagraph"/>
              <w:spacing w:before="131"/>
              <w:ind w:left="9"/>
              <w:rPr>
                <w:rFonts w:ascii="Times New Roman" w:hAnsi="Times New Roman" w:cs="Times New Roman"/>
                <w:b/>
                <w:color w:val="F28C28"/>
                <w:sz w:val="18"/>
                <w:u w:val="single" w:color="F28C28"/>
                <w:lang w:val="en-GB"/>
              </w:rPr>
            </w:pPr>
            <w:r w:rsidRPr="00CC183C">
              <w:rPr>
                <w:rFonts w:ascii="Times New Roman" w:hAnsi="Times New Roman" w:cs="Times New Roman"/>
                <w:b/>
                <w:color w:val="F28C28"/>
                <w:sz w:val="18"/>
                <w:u w:val="single" w:color="F28C28"/>
                <w:lang w:val="en-GB"/>
              </w:rPr>
              <w:lastRenderedPageBreak/>
              <w:t>Welche Risiken bestehen und welche Erträge kann ich erzielen?</w:t>
            </w:r>
          </w:p>
          <w:p w14:paraId="3D8F6F34" w14:textId="1F069EE5" w:rsidR="00CC183C" w:rsidRPr="00CC183C" w:rsidRDefault="00561EB5" w:rsidP="00CC183C">
            <w:pPr>
              <w:pStyle w:val="TableParagraph"/>
              <w:spacing w:before="134"/>
              <w:ind w:left="9"/>
              <w:rPr>
                <w:b/>
                <w:color w:val="F28C28"/>
                <w:sz w:val="18"/>
                <w:u w:val="single" w:color="F28C28"/>
                <w:lang w:val="en-GB"/>
              </w:rPr>
            </w:pPr>
            <w:r w:rsidRPr="00427A1B">
              <w:rPr>
                <w:rFonts w:ascii="Times New Roman" w:hAnsi="Times New Roman" w:cs="Times New Roman"/>
                <w:b/>
                <w:noProof/>
                <w:color w:val="F28C28"/>
                <w:sz w:val="18"/>
                <w:u w:color="F28C28"/>
              </w:rPr>
              <mc:AlternateContent>
                <mc:Choice Requires="wpg">
                  <w:drawing>
                    <wp:anchor distT="0" distB="0" distL="0" distR="0" simplePos="0" relativeHeight="251660800" behindDoc="1" locked="0" layoutInCell="1" allowOverlap="1" wp14:anchorId="319BAEE8" wp14:editId="3C91BE9E">
                      <wp:simplePos x="0" y="0"/>
                      <wp:positionH relativeFrom="column">
                        <wp:posOffset>3810</wp:posOffset>
                      </wp:positionH>
                      <wp:positionV relativeFrom="paragraph">
                        <wp:posOffset>231162</wp:posOffset>
                      </wp:positionV>
                      <wp:extent cx="2800350" cy="15093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1509395"/>
                                <a:chOff x="0" y="0"/>
                                <a:chExt cx="2800350" cy="1509395"/>
                              </a:xfrm>
                            </wpg:grpSpPr>
                            <pic:pic xmlns:pic="http://schemas.openxmlformats.org/drawingml/2006/picture">
                              <pic:nvPicPr>
                                <pic:cNvPr id="2" name="Image 2"/>
                                <pic:cNvPicPr/>
                              </pic:nvPicPr>
                              <pic:blipFill>
                                <a:blip r:embed="rId11" cstate="print"/>
                                <a:stretch>
                                  <a:fillRect/>
                                </a:stretch>
                              </pic:blipFill>
                              <pic:spPr>
                                <a:xfrm>
                                  <a:off x="0" y="0"/>
                                  <a:ext cx="2792103" cy="1504950"/>
                                </a:xfrm>
                                <a:prstGeom prst="rect">
                                  <a:avLst/>
                                </a:prstGeom>
                              </pic:spPr>
                            </pic:pic>
                          </wpg:wgp>
                        </a:graphicData>
                      </a:graphic>
                    </wp:anchor>
                  </w:drawing>
                </mc:Choice>
                <mc:Fallback>
                  <w:pict>
                    <v:group w14:anchorId="56D3D94E" id="Group 1" o:spid="_x0000_s1026" style="position:absolute;margin-left:.3pt;margin-top:18.2pt;width:220.5pt;height:118.85pt;z-index:-251655680;mso-wrap-distance-left:0;mso-wrap-distance-right:0" coordsize="28003,15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921;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">
                        <v:imagedata r:id="rId12" o:title=""/>
                      </v:shape>
                    </v:group>
                  </w:pict>
                </mc:Fallback>
              </mc:AlternateContent>
            </w:r>
            <w:r w:rsidR="00CC183C" w:rsidRPr="00CC183C">
              <w:rPr>
                <w:b/>
                <w:color w:val="F28C28"/>
                <w:sz w:val="18"/>
                <w:u w:val="single" w:color="F28C28"/>
                <w:lang w:val="en-GB"/>
              </w:rPr>
              <w:t>Zusammenfassender Risikoindikator („SRI“)</w:t>
            </w:r>
          </w:p>
          <w:p w14:paraId="5E1EE341" w14:textId="42A9F089" w:rsidR="007E4EC2" w:rsidRPr="00427A1B" w:rsidRDefault="007E4EC2">
            <w:pPr>
              <w:pStyle w:val="TableParagraph"/>
              <w:spacing w:before="134"/>
              <w:ind w:left="9"/>
              <w:rPr>
                <w:rFonts w:ascii="Times New Roman" w:hAnsi="Times New Roman" w:cs="Times New Roman"/>
                <w:b/>
                <w:color w:val="F28C28"/>
                <w:sz w:val="18"/>
                <w:u w:color="F28C28"/>
              </w:rPr>
            </w:pPr>
          </w:p>
          <w:p w14:paraId="0A99CDF6" w14:textId="77777777" w:rsidR="00CC183C" w:rsidRPr="00CC183C" w:rsidRDefault="00CC183C" w:rsidP="00CC183C">
            <w:pPr>
              <w:pStyle w:val="TableParagraph"/>
              <w:spacing w:before="1"/>
              <w:ind w:left="4421"/>
              <w:rPr>
                <w:rFonts w:ascii="Times New Roman" w:hAnsi="Times New Roman" w:cs="Times New Roman"/>
                <w:sz w:val="18"/>
                <w:lang w:val="en-GB"/>
              </w:rPr>
            </w:pPr>
            <w:r w:rsidRPr="00CC183C">
              <w:rPr>
                <w:rFonts w:ascii="Times New Roman" w:hAnsi="Times New Roman" w:cs="Times New Roman"/>
                <w:sz w:val="18"/>
                <w:lang w:val="en-GB"/>
              </w:rPr>
              <w:t xml:space="preserve">Der SRI ist ein Leitfaden für das Risikoniveau dieser Produkte im Vergleich zu anderen Produkten. Er zeigt an, wie wahrscheinlich es ist, dass das Produkt aufgrund von Marktbewegungen oder aufgrund unserer mangelnden Zahlungsfähigkeit Geld verliert. Wir haben diese Produkte als </w:t>
            </w:r>
            <w:r w:rsidRPr="00CC183C">
              <w:rPr>
                <w:rFonts w:ascii="Times New Roman" w:hAnsi="Times New Roman" w:cs="Times New Roman"/>
                <w:b/>
                <w:bCs/>
                <w:sz w:val="18"/>
                <w:lang w:val="en-GB"/>
              </w:rPr>
              <w:t>7 von 7</w:t>
            </w:r>
            <w:r w:rsidRPr="00CC183C">
              <w:rPr>
                <w:rFonts w:ascii="Times New Roman" w:hAnsi="Times New Roman" w:cs="Times New Roman"/>
                <w:sz w:val="18"/>
                <w:lang w:val="en-GB"/>
              </w:rPr>
              <w:t xml:space="preserve"> eingestuft, was der höchsten Risikoklasse entspricht. Dies liegt daran, dass eine sehr hohe Wahrscheinlichkeit besteht, dass Sie bis zu </w:t>
            </w:r>
            <w:r w:rsidRPr="00CC183C">
              <w:rPr>
                <w:rFonts w:ascii="Times New Roman" w:hAnsi="Times New Roman" w:cs="Times New Roman"/>
                <w:b/>
                <w:bCs/>
                <w:sz w:val="18"/>
                <w:lang w:val="en-GB"/>
              </w:rPr>
              <w:t>100 % Ihres Handelskontos</w:t>
            </w:r>
            <w:r w:rsidRPr="00CC183C">
              <w:rPr>
                <w:rFonts w:ascii="Times New Roman" w:hAnsi="Times New Roman" w:cs="Times New Roman"/>
                <w:sz w:val="18"/>
                <w:lang w:val="en-GB"/>
              </w:rPr>
              <w:t xml:space="preserve"> verlieren können.</w:t>
            </w:r>
          </w:p>
          <w:p w14:paraId="497EFA42" w14:textId="77777777" w:rsidR="00CC183C" w:rsidRPr="00CC183C" w:rsidRDefault="00CC183C" w:rsidP="00CC183C">
            <w:pPr>
              <w:pStyle w:val="TableParagraph"/>
              <w:spacing w:before="1"/>
              <w:ind w:left="4421"/>
              <w:rPr>
                <w:rFonts w:ascii="Times New Roman" w:hAnsi="Times New Roman" w:cs="Times New Roman"/>
                <w:sz w:val="18"/>
                <w:lang w:val="en-GB"/>
              </w:rPr>
            </w:pPr>
            <w:r w:rsidRPr="00CC183C">
              <w:rPr>
                <w:rFonts w:ascii="Times New Roman" w:hAnsi="Times New Roman" w:cs="Times New Roman"/>
                <w:sz w:val="18"/>
                <w:lang w:val="en-GB"/>
              </w:rPr>
              <w:t>CFDs sind komplexe Instrumente und bergen aufgrund der Hebelwirkung ein hohes Risiko, schnell Geld zu verlieren. Zusätzlich zu Marktpreisbewegungen bestehen weitere Risiken im Zusammenhang mit diesem Produkt, für die es keinen Schutz gibt, wie z. B.: Fremdwährungsrisiko, Marktrisiko, Hebelrisiko, Risiko von Marktstörungen, Risiko im Zusammenhang mit Online-Handelsplattformen, IT-Risiken sowie Liquiditätsrisiken.</w:t>
            </w:r>
          </w:p>
          <w:p w14:paraId="2753900B" w14:textId="77777777" w:rsidR="00CC183C" w:rsidRPr="00CC183C" w:rsidRDefault="00CC183C" w:rsidP="00CC183C">
            <w:pPr>
              <w:pStyle w:val="TableParagraph"/>
              <w:spacing w:before="1"/>
              <w:ind w:left="4421"/>
              <w:rPr>
                <w:rFonts w:ascii="Times New Roman" w:hAnsi="Times New Roman" w:cs="Times New Roman"/>
                <w:sz w:val="18"/>
                <w:lang w:val="en-GB"/>
              </w:rPr>
            </w:pPr>
            <w:r w:rsidRPr="00CC183C">
              <w:rPr>
                <w:rFonts w:ascii="Times New Roman" w:hAnsi="Times New Roman" w:cs="Times New Roman"/>
                <w:sz w:val="18"/>
                <w:lang w:val="en-GB"/>
              </w:rPr>
              <w:t>Bevor Sie sich entscheiden, CFDs zu handeln, sollten Sie Ihre Handelsziele, Ihr Erfahrungsniveau und Ihre Risikobereitschaft sorgfältig abwägen. Der Handel mit CFDs erfordert, dass Sie stets ein bestimmtes Maß an Kapital auf Ihrem Konto vorhalten, um Ihre Positionen offen zu halten. Es ist möglich, dass Sie Verluste in Höhe Ihrer gesamten Investition (Einzahlung) erleiden, daher sollten Sie kein Geld einzahlen, dessen Verlust Sie sich nicht leisten können. Bei plötzlichen negativen Marktbewegungen kann es erforderlich sein, kurzfristig zusätzliche Mittel nachzuschießen.</w:t>
            </w:r>
          </w:p>
          <w:p w14:paraId="4BC9B636" w14:textId="77777777" w:rsidR="00CC183C" w:rsidRPr="00CC183C" w:rsidRDefault="00CC183C" w:rsidP="00CC183C">
            <w:pPr>
              <w:pStyle w:val="TableParagraph"/>
              <w:spacing w:before="1"/>
              <w:ind w:left="4421"/>
              <w:rPr>
                <w:rFonts w:ascii="Times New Roman" w:hAnsi="Times New Roman" w:cs="Times New Roman"/>
                <w:sz w:val="18"/>
                <w:lang w:val="en-GB"/>
              </w:rPr>
            </w:pPr>
            <w:r w:rsidRPr="00CC183C">
              <w:rPr>
                <w:rFonts w:ascii="Times New Roman" w:hAnsi="Times New Roman" w:cs="Times New Roman"/>
                <w:sz w:val="18"/>
                <w:lang w:val="en-GB"/>
              </w:rPr>
              <w:t>Sie sollten sich sämtlicher Risiken im Zusammenhang mit CFDs bewusst sein und unabhängigen Rat einholen, wenn Sie weitere Klärung benötigen. Bitte stellen Sie sicher, dass Sie die Risiken vollständig verstehen und geeignete Maßnahmen zur Risikosteuerung ergreifen.</w:t>
            </w:r>
          </w:p>
          <w:p w14:paraId="78134BA0" w14:textId="024D6E4F" w:rsidR="007E4EC2" w:rsidRPr="00CC183C" w:rsidRDefault="00CC183C" w:rsidP="00CC183C">
            <w:pPr>
              <w:pStyle w:val="TableParagraph"/>
              <w:spacing w:before="131"/>
              <w:ind w:left="9" w:right="80"/>
              <w:rPr>
                <w:rFonts w:ascii="Times New Roman" w:hAnsi="Times New Roman" w:cs="Times New Roman"/>
                <w:b/>
                <w:color w:val="F28C28"/>
                <w:sz w:val="18"/>
                <w:lang w:val="en-GB"/>
              </w:rPr>
            </w:pPr>
            <w:r w:rsidRPr="00CC183C">
              <w:rPr>
                <w:rFonts w:ascii="Times New Roman" w:hAnsi="Times New Roman" w:cs="Times New Roman"/>
                <w:b/>
                <w:color w:val="F28C28"/>
                <w:sz w:val="18"/>
                <w:lang w:val="en-GB"/>
              </w:rPr>
              <w:t>Seien Sie sich des Währungsrisikos bewusst</w:t>
            </w:r>
            <w:r w:rsidR="00561EB5" w:rsidRPr="00427A1B">
              <w:rPr>
                <w:rFonts w:ascii="Times New Roman" w:hAnsi="Times New Roman" w:cs="Times New Roman"/>
                <w:b/>
                <w:color w:val="6F2F9F"/>
                <w:sz w:val="18"/>
              </w:rPr>
              <w:t xml:space="preserve">. </w:t>
            </w:r>
            <w:r w:rsidRPr="00CC183C">
              <w:rPr>
                <w:rFonts w:ascii="Times New Roman" w:hAnsi="Times New Roman" w:cs="Times New Roman"/>
                <w:sz w:val="18"/>
              </w:rPr>
              <w:t>Es ist möglich, CFDs auf ein FX-Paar in einer Währung zu kaufen oder zu verkaufen, die sich von der Basiswährung Ihres Kontos unterscheidet. Die endgültige Rendite, die Sie erzielen können, hängt vom Wechselkurs zwischen diesen beiden Währungen ab. Dieses Risiko ist in dem oben genannten Indikator nicht berücksichtigt. Dieses Produkt bietet keinen Schutz vor zukünftigen Marktbewegungen, sodass Sie einen Teil oder Ihr gesamtes Investment verlieren können.</w:t>
            </w:r>
          </w:p>
          <w:p w14:paraId="65A63B19" w14:textId="77777777" w:rsidR="00CC183C" w:rsidRPr="00DD4B1E" w:rsidRDefault="00CC183C" w:rsidP="00CC183C">
            <w:pPr>
              <w:pStyle w:val="TableParagraph"/>
              <w:ind w:left="0"/>
              <w:jc w:val="both"/>
              <w:rPr>
                <w:rFonts w:ascii="Times New Roman" w:hAnsi="Times New Roman" w:cs="Times New Roman"/>
                <w:b/>
                <w:color w:val="F28C28"/>
                <w:sz w:val="18"/>
                <w:u w:val="single" w:color="F28C28"/>
                <w:lang w:val="en-GB"/>
              </w:rPr>
            </w:pPr>
            <w:r w:rsidRPr="00DD4B1E">
              <w:rPr>
                <w:rFonts w:ascii="Times New Roman" w:hAnsi="Times New Roman" w:cs="Times New Roman"/>
                <w:b/>
                <w:color w:val="F28C28"/>
                <w:sz w:val="18"/>
                <w:u w:val="single" w:color="F28C28"/>
                <w:lang w:val="en-GB"/>
              </w:rPr>
              <w:t>Leistungsszenarien</w:t>
            </w:r>
          </w:p>
          <w:p w14:paraId="35361BC7" w14:textId="77777777" w:rsidR="00CC183C" w:rsidRPr="00DD4B1E" w:rsidRDefault="00CC183C" w:rsidP="007C1293">
            <w:pPr>
              <w:pStyle w:val="TableParagraph"/>
              <w:spacing w:line="252" w:lineRule="auto"/>
              <w:ind w:right="198"/>
              <w:jc w:val="both"/>
              <w:rPr>
                <w:rFonts w:ascii="Times New Roman" w:hAnsi="Times New Roman" w:cs="Times New Roman"/>
                <w:sz w:val="18"/>
                <w:lang w:val="en-GB"/>
              </w:rPr>
            </w:pPr>
            <w:r w:rsidRPr="00DD4B1E">
              <w:rPr>
                <w:rFonts w:ascii="Times New Roman" w:hAnsi="Times New Roman" w:cs="Times New Roman"/>
                <w:sz w:val="18"/>
                <w:lang w:val="en-GB"/>
              </w:rPr>
              <w:t>Die nachstehenden Szenarien veranschaulichen, wie sich Preisänderungen auf Ihren Handel und Ihre Investition auswirken können. Sie können diese mit den Szenarien anderer Produkte vergleichen. Die dargestellten Szenarien stellen eine Schätzung der zukünftigen Wertentwicklung dar, basierend auf historischen Daten zur Wertentwicklung dieses Produkts, und sind kein exakter Indikator. Ihr tatsächliches Ergebnis hängt davon ab, wie sich der Markt entwickelt und wie lange Sie den CFD halten. VSMARKETS liquidiert Positionen automatisch, wenn die Equity auf dem Konto nicht ausreicht, um die Marginanforderungen zu erfüllen.</w:t>
            </w:r>
          </w:p>
          <w:p w14:paraId="77D47822" w14:textId="77777777" w:rsidR="00CC183C" w:rsidRPr="002B0DBF" w:rsidRDefault="00CC183C" w:rsidP="007C1293">
            <w:pPr>
              <w:pStyle w:val="TableParagraph"/>
              <w:numPr>
                <w:ilvl w:val="0"/>
                <w:numId w:val="2"/>
              </w:numPr>
              <w:tabs>
                <w:tab w:val="left" w:pos="727"/>
              </w:tabs>
              <w:jc w:val="both"/>
              <w:rPr>
                <w:rFonts w:ascii="Times New Roman" w:hAnsi="Times New Roman" w:cs="Times New Roman"/>
                <w:sz w:val="18"/>
              </w:rPr>
            </w:pPr>
            <w:r w:rsidRPr="002B0DBF">
              <w:rPr>
                <w:rFonts w:ascii="Times New Roman" w:hAnsi="Times New Roman" w:cs="Times New Roman"/>
                <w:sz w:val="18"/>
              </w:rPr>
              <w:t xml:space="preserve"> Günstiges Szenario: Eine Situation, in der sich der Markt in Richtung der Order des Anlegers bewegt und die Order profitabel wird.</w:t>
            </w:r>
          </w:p>
          <w:p w14:paraId="2D119E33" w14:textId="77777777" w:rsidR="00CC183C" w:rsidRPr="002B0DBF" w:rsidRDefault="00CC183C" w:rsidP="007C1293">
            <w:pPr>
              <w:pStyle w:val="TableParagraph"/>
              <w:numPr>
                <w:ilvl w:val="0"/>
                <w:numId w:val="2"/>
              </w:numPr>
              <w:tabs>
                <w:tab w:val="left" w:pos="727"/>
              </w:tabs>
              <w:jc w:val="both"/>
              <w:rPr>
                <w:rFonts w:ascii="Times New Roman" w:hAnsi="Times New Roman" w:cs="Times New Roman"/>
                <w:sz w:val="18"/>
              </w:rPr>
            </w:pPr>
            <w:r w:rsidRPr="002B0DBF">
              <w:rPr>
                <w:rFonts w:ascii="Times New Roman" w:hAnsi="Times New Roman" w:cs="Times New Roman"/>
                <w:sz w:val="18"/>
              </w:rPr>
              <w:t>Moderates Szenario: Eine Situation, in der der Markt im Vergleich zum Eröffnungspreis der Order des Anlegers weitgehend unverändert bleibt.</w:t>
            </w:r>
          </w:p>
          <w:p w14:paraId="17EEC918" w14:textId="77777777" w:rsidR="00CC183C" w:rsidRPr="002B0DBF" w:rsidRDefault="00CC183C" w:rsidP="007C1293">
            <w:pPr>
              <w:pStyle w:val="TableParagraph"/>
              <w:numPr>
                <w:ilvl w:val="0"/>
                <w:numId w:val="2"/>
              </w:numPr>
              <w:tabs>
                <w:tab w:val="left" w:pos="727"/>
              </w:tabs>
              <w:jc w:val="both"/>
              <w:rPr>
                <w:rFonts w:ascii="Times New Roman" w:hAnsi="Times New Roman" w:cs="Times New Roman"/>
                <w:sz w:val="18"/>
              </w:rPr>
            </w:pPr>
            <w:r w:rsidRPr="002B0DBF">
              <w:rPr>
                <w:rFonts w:ascii="Times New Roman" w:hAnsi="Times New Roman" w:cs="Times New Roman"/>
                <w:sz w:val="18"/>
              </w:rPr>
              <w:t>Ungünstiges Szenario: Eine Situation, in der sich der Markt gegen die Orderrichtung des Anlegers bewegt und die Order unprofitabel wird.</w:t>
            </w:r>
          </w:p>
          <w:p w14:paraId="3EA56AE5" w14:textId="77777777" w:rsidR="00CC183C" w:rsidRPr="002B0DBF" w:rsidRDefault="00CC183C" w:rsidP="00CC183C">
            <w:pPr>
              <w:pStyle w:val="TableParagraph"/>
              <w:numPr>
                <w:ilvl w:val="0"/>
                <w:numId w:val="2"/>
              </w:numPr>
              <w:spacing w:before="8" w:line="192" w:lineRule="exact"/>
              <w:rPr>
                <w:rFonts w:ascii="Times New Roman" w:hAnsi="Times New Roman" w:cs="Times New Roman"/>
                <w:sz w:val="18"/>
              </w:rPr>
            </w:pPr>
            <w:r w:rsidRPr="002B0DBF">
              <w:rPr>
                <w:rFonts w:ascii="Times New Roman" w:hAnsi="Times New Roman" w:cs="Times New Roman"/>
                <w:sz w:val="18"/>
              </w:rPr>
              <w:t xml:space="preserve"> Stressszenario: Eine Situation, in der sich der Markt deutlich gegen die Orderrichtung des Anlegers bewegt und der Marktpreis nahe am Stop-Out-Level liegt.</w:t>
            </w:r>
          </w:p>
          <w:p w14:paraId="36E38F6A" w14:textId="6B02B07A" w:rsidR="009750FD" w:rsidRPr="009750FD" w:rsidRDefault="00CC183C" w:rsidP="007C1293">
            <w:pPr>
              <w:pStyle w:val="TableParagraph"/>
              <w:spacing w:line="192" w:lineRule="exact"/>
              <w:ind w:left="9"/>
              <w:jc w:val="both"/>
              <w:rPr>
                <w:rFonts w:ascii="Times New Roman" w:hAnsi="Times New Roman" w:cs="Times New Roman"/>
                <w:sz w:val="18"/>
              </w:rPr>
            </w:pPr>
            <w:r w:rsidRPr="002B0DBF">
              <w:rPr>
                <w:rFonts w:ascii="Times New Roman" w:hAnsi="Times New Roman" w:cs="Times New Roman"/>
                <w:sz w:val="18"/>
              </w:rPr>
              <w:t>Für die Erstellung der nachstehenden Szenarien wurden folgende Annahmen verwendet:</w:t>
            </w:r>
          </w:p>
        </w:tc>
      </w:tr>
      <w:tr w:rsidR="007E4EC2" w:rsidRPr="00427A1B" w14:paraId="015DE9CC" w14:textId="77777777" w:rsidTr="00F77D84">
        <w:trPr>
          <w:trHeight w:val="227"/>
        </w:trPr>
        <w:tc>
          <w:tcPr>
            <w:tcW w:w="99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FAB7DCA" w14:textId="77777777" w:rsidR="007E4EC2" w:rsidRPr="00427A1B" w:rsidRDefault="00561EB5">
            <w:pPr>
              <w:pStyle w:val="TableParagraph"/>
              <w:spacing w:before="1" w:line="206" w:lineRule="exact"/>
              <w:ind w:left="26"/>
              <w:jc w:val="center"/>
              <w:rPr>
                <w:rFonts w:ascii="Times New Roman" w:hAnsi="Times New Roman" w:cs="Times New Roman"/>
                <w:b/>
                <w:sz w:val="18"/>
              </w:rPr>
            </w:pPr>
            <w:r w:rsidRPr="00427A1B">
              <w:rPr>
                <w:rFonts w:ascii="Times New Roman" w:hAnsi="Times New Roman" w:cs="Times New Roman"/>
                <w:b/>
                <w:color w:val="FFFFFF"/>
                <w:sz w:val="18"/>
              </w:rPr>
              <w:t>FX</w:t>
            </w:r>
            <w:r w:rsidRPr="00427A1B">
              <w:rPr>
                <w:rFonts w:ascii="Times New Roman" w:hAnsi="Times New Roman" w:cs="Times New Roman"/>
                <w:b/>
                <w:color w:val="FFFFFF"/>
                <w:spacing w:val="-4"/>
                <w:sz w:val="18"/>
              </w:rPr>
              <w:t xml:space="preserve"> </w:t>
            </w:r>
            <w:r w:rsidRPr="00427A1B">
              <w:rPr>
                <w:rFonts w:ascii="Times New Roman" w:hAnsi="Times New Roman" w:cs="Times New Roman"/>
                <w:b/>
                <w:color w:val="FFFFFF"/>
                <w:sz w:val="18"/>
              </w:rPr>
              <w:t>CFD-</w:t>
            </w:r>
            <w:r w:rsidRPr="00427A1B">
              <w:rPr>
                <w:rFonts w:ascii="Times New Roman" w:hAnsi="Times New Roman" w:cs="Times New Roman"/>
                <w:b/>
                <w:color w:val="FFFFFF"/>
                <w:spacing w:val="-2"/>
                <w:sz w:val="18"/>
              </w:rPr>
              <w:t>EURUSD</w:t>
            </w:r>
          </w:p>
        </w:tc>
        <w:tc>
          <w:tcPr>
            <w:tcW w:w="1021" w:type="dxa"/>
            <w:tcBorders>
              <w:left w:val="single" w:sz="4" w:space="0" w:color="000000" w:themeColor="text1"/>
            </w:tcBorders>
          </w:tcPr>
          <w:p w14:paraId="7105AA29" w14:textId="77777777" w:rsidR="007E4EC2" w:rsidRPr="00427A1B" w:rsidRDefault="007E4EC2">
            <w:pPr>
              <w:pStyle w:val="TableParagraph"/>
              <w:ind w:left="0"/>
              <w:rPr>
                <w:rFonts w:ascii="Times New Roman" w:hAnsi="Times New Roman" w:cs="Times New Roman"/>
                <w:sz w:val="18"/>
              </w:rPr>
            </w:pPr>
          </w:p>
        </w:tc>
      </w:tr>
      <w:tr w:rsidR="007E4EC2" w:rsidRPr="00427A1B" w14:paraId="6751D957" w14:textId="77777777" w:rsidTr="00F77D84">
        <w:trPr>
          <w:trHeight w:val="177"/>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ADEF72D" w14:textId="77777777" w:rsidR="007E4EC2" w:rsidRPr="00F77D84" w:rsidRDefault="007E4EC2">
            <w:pPr>
              <w:pStyle w:val="TableParagraph"/>
              <w:ind w:left="0"/>
              <w:rPr>
                <w:rFonts w:ascii="Times New Roman" w:hAnsi="Times New Roman" w:cs="Times New Roman"/>
                <w:sz w:val="18"/>
                <w:szCs w:val="18"/>
              </w:rPr>
            </w:pP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6BD3871" w14:textId="77777777" w:rsidR="007E4EC2" w:rsidRPr="00F77D84" w:rsidRDefault="007E4EC2">
            <w:pPr>
              <w:pStyle w:val="TableParagraph"/>
              <w:ind w:left="0"/>
              <w:rPr>
                <w:rFonts w:ascii="Times New Roman" w:hAnsi="Times New Roman" w:cs="Times New Roman"/>
                <w:sz w:val="18"/>
                <w:szCs w:val="18"/>
              </w:rPr>
            </w:pP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42B03C8" w14:textId="77777777" w:rsidR="007E4EC2" w:rsidRPr="00F77D84" w:rsidRDefault="00561EB5">
            <w:pPr>
              <w:pStyle w:val="TableParagraph"/>
              <w:spacing w:line="210" w:lineRule="exact"/>
              <w:rPr>
                <w:rFonts w:ascii="Times New Roman" w:hAnsi="Times New Roman" w:cs="Times New Roman"/>
                <w:sz w:val="18"/>
                <w:szCs w:val="18"/>
              </w:rPr>
            </w:pPr>
            <w:r w:rsidRPr="00F77D84">
              <w:rPr>
                <w:rFonts w:ascii="Times New Roman" w:hAnsi="Times New Roman" w:cs="Times New Roman"/>
                <w:spacing w:val="-5"/>
                <w:sz w:val="18"/>
                <w:szCs w:val="18"/>
              </w:rPr>
              <w:t>Bid</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13CDEBE" w14:textId="77777777" w:rsidR="007E4EC2" w:rsidRPr="00F77D84" w:rsidRDefault="00561EB5">
            <w:pPr>
              <w:pStyle w:val="TableParagraph"/>
              <w:spacing w:line="210" w:lineRule="exact"/>
              <w:ind w:left="153"/>
              <w:rPr>
                <w:rFonts w:ascii="Times New Roman" w:hAnsi="Times New Roman" w:cs="Times New Roman"/>
                <w:sz w:val="18"/>
                <w:szCs w:val="18"/>
              </w:rPr>
            </w:pPr>
            <w:r w:rsidRPr="00F77D84">
              <w:rPr>
                <w:rFonts w:ascii="Times New Roman" w:hAnsi="Times New Roman" w:cs="Times New Roman"/>
                <w:spacing w:val="-5"/>
                <w:sz w:val="18"/>
                <w:szCs w:val="18"/>
              </w:rPr>
              <w:t>Ask</w:t>
            </w:r>
          </w:p>
        </w:tc>
        <w:tc>
          <w:tcPr>
            <w:tcW w:w="1021" w:type="dxa"/>
            <w:vMerge w:val="restart"/>
            <w:tcBorders>
              <w:left w:val="single" w:sz="4" w:space="0" w:color="000000" w:themeColor="text1"/>
            </w:tcBorders>
          </w:tcPr>
          <w:p w14:paraId="573A0154" w14:textId="77777777" w:rsidR="007E4EC2" w:rsidRPr="00427A1B" w:rsidRDefault="007E4EC2">
            <w:pPr>
              <w:rPr>
                <w:rFonts w:ascii="Times New Roman" w:hAnsi="Times New Roman" w:cs="Times New Roman"/>
                <w:sz w:val="2"/>
                <w:szCs w:val="2"/>
              </w:rPr>
            </w:pPr>
          </w:p>
        </w:tc>
      </w:tr>
      <w:tr w:rsidR="00CC183C" w:rsidRPr="00427A1B" w14:paraId="5AE91ED8" w14:textId="77777777" w:rsidTr="00F77D84">
        <w:trPr>
          <w:trHeight w:val="227"/>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A0BD90A" w14:textId="73FA8E52" w:rsidR="00CC183C" w:rsidRPr="00F77D84" w:rsidRDefault="00CC183C" w:rsidP="00CC183C">
            <w:pPr>
              <w:pStyle w:val="TableParagraph"/>
              <w:spacing w:line="208" w:lineRule="exact"/>
              <w:ind w:left="119"/>
              <w:rPr>
                <w:rFonts w:ascii="Times New Roman" w:hAnsi="Times New Roman" w:cs="Times New Roman"/>
                <w:sz w:val="18"/>
                <w:szCs w:val="18"/>
              </w:rPr>
            </w:pPr>
            <w:r w:rsidRPr="002B0DBF">
              <w:rPr>
                <w:rFonts w:ascii="Times New Roman" w:hAnsi="Times New Roman" w:cs="Times New Roman"/>
                <w:spacing w:val="-2"/>
                <w:sz w:val="18"/>
              </w:rPr>
              <w:t>Kontostand</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9226D4" w14:textId="77777777" w:rsidR="00CC183C" w:rsidRPr="00F77D84" w:rsidRDefault="00CC183C" w:rsidP="00CC183C">
            <w:pPr>
              <w:pStyle w:val="TableParagraph"/>
              <w:spacing w:line="208" w:lineRule="exact"/>
              <w:ind w:left="116"/>
              <w:rPr>
                <w:rFonts w:ascii="Times New Roman" w:hAnsi="Times New Roman" w:cs="Times New Roman"/>
                <w:sz w:val="18"/>
                <w:szCs w:val="18"/>
              </w:rPr>
            </w:pPr>
            <w:r w:rsidRPr="00F77D84">
              <w:rPr>
                <w:rFonts w:ascii="Times New Roman" w:hAnsi="Times New Roman" w:cs="Times New Roman"/>
                <w:spacing w:val="-5"/>
                <w:sz w:val="18"/>
                <w:szCs w:val="18"/>
              </w:rPr>
              <w:t>351</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8E876D2" w14:textId="77777777" w:rsidR="00CC183C" w:rsidRPr="00F77D84" w:rsidRDefault="00CC183C" w:rsidP="00CC183C">
            <w:pPr>
              <w:pStyle w:val="TableParagraph"/>
              <w:ind w:left="0"/>
              <w:rPr>
                <w:rFonts w:ascii="Times New Roman" w:hAnsi="Times New Roman" w:cs="Times New Roman"/>
                <w:sz w:val="18"/>
                <w:szCs w:val="18"/>
              </w:rPr>
            </w:pP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9232E07" w14:textId="77777777" w:rsidR="00CC183C" w:rsidRPr="00F77D84" w:rsidRDefault="00CC183C" w:rsidP="00CC183C">
            <w:pPr>
              <w:pStyle w:val="TableParagraph"/>
              <w:ind w:left="0"/>
              <w:rPr>
                <w:rFonts w:ascii="Times New Roman" w:hAnsi="Times New Roman" w:cs="Times New Roman"/>
                <w:sz w:val="18"/>
                <w:szCs w:val="18"/>
              </w:rPr>
            </w:pPr>
          </w:p>
        </w:tc>
        <w:tc>
          <w:tcPr>
            <w:tcW w:w="1021" w:type="dxa"/>
            <w:vMerge/>
            <w:tcBorders>
              <w:left w:val="single" w:sz="4" w:space="0" w:color="000000" w:themeColor="text1"/>
            </w:tcBorders>
          </w:tcPr>
          <w:p w14:paraId="05A9B749" w14:textId="77777777" w:rsidR="00CC183C" w:rsidRPr="00427A1B" w:rsidRDefault="00CC183C" w:rsidP="00CC183C">
            <w:pPr>
              <w:rPr>
                <w:rFonts w:ascii="Times New Roman" w:hAnsi="Times New Roman" w:cs="Times New Roman"/>
                <w:sz w:val="2"/>
                <w:szCs w:val="2"/>
              </w:rPr>
            </w:pPr>
          </w:p>
        </w:tc>
      </w:tr>
      <w:tr w:rsidR="00CC183C" w:rsidRPr="00427A1B" w14:paraId="4E17BED7" w14:textId="77777777" w:rsidTr="00F77D84">
        <w:trPr>
          <w:trHeight w:val="227"/>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C512E91" w14:textId="2D07D037" w:rsidR="00CC183C" w:rsidRPr="00F77D84" w:rsidRDefault="00CC183C" w:rsidP="00CC183C">
            <w:pPr>
              <w:pStyle w:val="TableParagraph"/>
              <w:spacing w:line="208" w:lineRule="exact"/>
              <w:ind w:left="119"/>
              <w:rPr>
                <w:rFonts w:ascii="Times New Roman" w:hAnsi="Times New Roman" w:cs="Times New Roman"/>
                <w:sz w:val="18"/>
                <w:szCs w:val="18"/>
              </w:rPr>
            </w:pPr>
            <w:r w:rsidRPr="002B0DBF">
              <w:rPr>
                <w:rFonts w:ascii="Times New Roman" w:hAnsi="Times New Roman" w:cs="Times New Roman"/>
                <w:sz w:val="18"/>
              </w:rPr>
              <w:t>Eröffnungspreis</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174524F" w14:textId="77777777" w:rsidR="00CC183C" w:rsidRPr="00F77D84" w:rsidRDefault="00CC183C" w:rsidP="00CC183C">
            <w:pPr>
              <w:pStyle w:val="TableParagraph"/>
              <w:spacing w:line="208" w:lineRule="exact"/>
              <w:ind w:left="116"/>
              <w:rPr>
                <w:rFonts w:ascii="Times New Roman" w:hAnsi="Times New Roman" w:cs="Times New Roman"/>
                <w:sz w:val="18"/>
                <w:szCs w:val="18"/>
              </w:rPr>
            </w:pPr>
            <w:r w:rsidRPr="00F77D84">
              <w:rPr>
                <w:rFonts w:ascii="Times New Roman" w:hAnsi="Times New Roman" w:cs="Times New Roman"/>
                <w:spacing w:val="-10"/>
                <w:sz w:val="18"/>
                <w:szCs w:val="18"/>
              </w:rPr>
              <w:t>P</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6866E2D" w14:textId="77777777" w:rsidR="00CC183C" w:rsidRPr="00F77D84" w:rsidRDefault="00CC183C" w:rsidP="00CC183C">
            <w:pPr>
              <w:pStyle w:val="TableParagraph"/>
              <w:spacing w:line="208" w:lineRule="exact"/>
              <w:rPr>
                <w:rFonts w:ascii="Times New Roman" w:hAnsi="Times New Roman" w:cs="Times New Roman"/>
                <w:sz w:val="18"/>
                <w:szCs w:val="18"/>
              </w:rPr>
            </w:pPr>
            <w:r w:rsidRPr="00F77D84">
              <w:rPr>
                <w:rFonts w:ascii="Times New Roman" w:hAnsi="Times New Roman" w:cs="Times New Roman"/>
                <w:spacing w:val="-2"/>
                <w:sz w:val="18"/>
                <w:szCs w:val="18"/>
              </w:rPr>
              <w:t>1.0501</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E3D8724" w14:textId="77777777" w:rsidR="00CC183C" w:rsidRPr="00F77D84" w:rsidRDefault="00CC183C" w:rsidP="00CC183C">
            <w:pPr>
              <w:pStyle w:val="TableParagraph"/>
              <w:spacing w:line="208" w:lineRule="exact"/>
              <w:ind w:left="153"/>
              <w:rPr>
                <w:rFonts w:ascii="Times New Roman" w:hAnsi="Times New Roman" w:cs="Times New Roman"/>
                <w:sz w:val="18"/>
                <w:szCs w:val="18"/>
              </w:rPr>
            </w:pPr>
            <w:r w:rsidRPr="00F77D84">
              <w:rPr>
                <w:rFonts w:ascii="Times New Roman" w:hAnsi="Times New Roman" w:cs="Times New Roman"/>
                <w:spacing w:val="-2"/>
                <w:sz w:val="18"/>
                <w:szCs w:val="18"/>
              </w:rPr>
              <w:t>1.0502</w:t>
            </w:r>
          </w:p>
        </w:tc>
        <w:tc>
          <w:tcPr>
            <w:tcW w:w="1021" w:type="dxa"/>
            <w:vMerge/>
            <w:tcBorders>
              <w:left w:val="single" w:sz="4" w:space="0" w:color="000000" w:themeColor="text1"/>
            </w:tcBorders>
          </w:tcPr>
          <w:p w14:paraId="79766543" w14:textId="77777777" w:rsidR="00CC183C" w:rsidRPr="00427A1B" w:rsidRDefault="00CC183C" w:rsidP="00CC183C">
            <w:pPr>
              <w:rPr>
                <w:rFonts w:ascii="Times New Roman" w:hAnsi="Times New Roman" w:cs="Times New Roman"/>
                <w:sz w:val="2"/>
                <w:szCs w:val="2"/>
              </w:rPr>
            </w:pPr>
          </w:p>
        </w:tc>
      </w:tr>
      <w:tr w:rsidR="00CC183C" w:rsidRPr="00427A1B" w14:paraId="6898F82A" w14:textId="77777777" w:rsidTr="00F77D84">
        <w:trPr>
          <w:trHeight w:val="225"/>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0010F8F" w14:textId="633CB199" w:rsidR="00CC183C" w:rsidRPr="00F77D84" w:rsidRDefault="00CC183C" w:rsidP="00CC183C">
            <w:pPr>
              <w:pStyle w:val="TableParagraph"/>
              <w:spacing w:line="205" w:lineRule="exact"/>
              <w:ind w:left="119"/>
              <w:rPr>
                <w:rFonts w:ascii="Times New Roman" w:hAnsi="Times New Roman" w:cs="Times New Roman"/>
                <w:sz w:val="18"/>
                <w:szCs w:val="18"/>
              </w:rPr>
            </w:pPr>
            <w:r w:rsidRPr="002B0DBF">
              <w:rPr>
                <w:rFonts w:ascii="Times New Roman" w:hAnsi="Times New Roman" w:cs="Times New Roman"/>
                <w:sz w:val="18"/>
              </w:rPr>
              <w:t>Positionsgröße</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BE7F12" w14:textId="77777777" w:rsidR="00CC183C" w:rsidRPr="00F77D84" w:rsidRDefault="00CC183C" w:rsidP="00CC183C">
            <w:pPr>
              <w:pStyle w:val="TableParagraph"/>
              <w:spacing w:line="205" w:lineRule="exact"/>
              <w:ind w:left="116"/>
              <w:rPr>
                <w:rFonts w:ascii="Times New Roman" w:hAnsi="Times New Roman" w:cs="Times New Roman"/>
                <w:sz w:val="18"/>
                <w:szCs w:val="18"/>
              </w:rPr>
            </w:pPr>
            <w:r w:rsidRPr="00F77D84">
              <w:rPr>
                <w:rFonts w:ascii="Times New Roman" w:hAnsi="Times New Roman" w:cs="Times New Roman"/>
                <w:spacing w:val="-5"/>
                <w:sz w:val="18"/>
                <w:szCs w:val="18"/>
              </w:rPr>
              <w:t>TS</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E1DB020" w14:textId="77777777" w:rsidR="00CC183C" w:rsidRPr="00F77D84" w:rsidRDefault="00CC183C" w:rsidP="00CC183C">
            <w:pPr>
              <w:pStyle w:val="TableParagraph"/>
              <w:spacing w:line="205" w:lineRule="exact"/>
              <w:rPr>
                <w:rFonts w:ascii="Times New Roman" w:hAnsi="Times New Roman" w:cs="Times New Roman"/>
                <w:sz w:val="18"/>
                <w:szCs w:val="18"/>
              </w:rPr>
            </w:pPr>
            <w:r w:rsidRPr="00F77D84">
              <w:rPr>
                <w:rFonts w:ascii="Times New Roman" w:hAnsi="Times New Roman" w:cs="Times New Roman"/>
                <w:spacing w:val="-2"/>
                <w:sz w:val="18"/>
                <w:szCs w:val="18"/>
              </w:rPr>
              <w:t>10000</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3FABA7A" w14:textId="77777777" w:rsidR="00CC183C" w:rsidRPr="00F77D84" w:rsidRDefault="00CC183C" w:rsidP="00CC183C">
            <w:pPr>
              <w:pStyle w:val="TableParagraph"/>
              <w:spacing w:line="205" w:lineRule="exact"/>
              <w:ind w:left="153"/>
              <w:rPr>
                <w:rFonts w:ascii="Times New Roman" w:hAnsi="Times New Roman" w:cs="Times New Roman"/>
                <w:sz w:val="18"/>
                <w:szCs w:val="18"/>
              </w:rPr>
            </w:pPr>
            <w:r w:rsidRPr="00F77D84">
              <w:rPr>
                <w:rFonts w:ascii="Times New Roman" w:hAnsi="Times New Roman" w:cs="Times New Roman"/>
                <w:spacing w:val="-2"/>
                <w:sz w:val="18"/>
                <w:szCs w:val="18"/>
              </w:rPr>
              <w:t>10000</w:t>
            </w:r>
          </w:p>
        </w:tc>
        <w:tc>
          <w:tcPr>
            <w:tcW w:w="1021" w:type="dxa"/>
            <w:vMerge/>
            <w:tcBorders>
              <w:left w:val="single" w:sz="4" w:space="0" w:color="000000" w:themeColor="text1"/>
            </w:tcBorders>
          </w:tcPr>
          <w:p w14:paraId="54D0C817" w14:textId="77777777" w:rsidR="00CC183C" w:rsidRPr="00427A1B" w:rsidRDefault="00CC183C" w:rsidP="00CC183C">
            <w:pPr>
              <w:rPr>
                <w:rFonts w:ascii="Times New Roman" w:hAnsi="Times New Roman" w:cs="Times New Roman"/>
                <w:sz w:val="2"/>
                <w:szCs w:val="2"/>
              </w:rPr>
            </w:pPr>
          </w:p>
        </w:tc>
      </w:tr>
      <w:tr w:rsidR="00CC183C" w:rsidRPr="00427A1B" w14:paraId="5A714950" w14:textId="77777777" w:rsidTr="00F77D84">
        <w:trPr>
          <w:trHeight w:val="242"/>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F754CFB" w14:textId="1019B7FA" w:rsidR="00CC183C" w:rsidRPr="00F77D84" w:rsidRDefault="00CC183C" w:rsidP="00CC183C">
            <w:pPr>
              <w:pStyle w:val="TableParagraph"/>
              <w:spacing w:before="2"/>
              <w:ind w:left="119"/>
              <w:rPr>
                <w:rFonts w:ascii="Times New Roman" w:hAnsi="Times New Roman" w:cs="Times New Roman"/>
                <w:sz w:val="18"/>
                <w:szCs w:val="18"/>
              </w:rPr>
            </w:pPr>
            <w:r w:rsidRPr="002B0DBF">
              <w:rPr>
                <w:rFonts w:ascii="Times New Roman" w:hAnsi="Times New Roman" w:cs="Times New Roman"/>
                <w:spacing w:val="-2"/>
                <w:sz w:val="18"/>
              </w:rPr>
              <w:t>Margin</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2171E56" w14:textId="77777777" w:rsidR="00CC183C" w:rsidRPr="00F77D84" w:rsidRDefault="00CC183C" w:rsidP="00CC183C">
            <w:pPr>
              <w:pStyle w:val="TableParagraph"/>
              <w:spacing w:before="2"/>
              <w:ind w:left="116"/>
              <w:rPr>
                <w:rFonts w:ascii="Times New Roman" w:hAnsi="Times New Roman" w:cs="Times New Roman"/>
                <w:sz w:val="18"/>
                <w:szCs w:val="18"/>
              </w:rPr>
            </w:pPr>
            <w:r w:rsidRPr="00F77D84">
              <w:rPr>
                <w:rFonts w:ascii="Times New Roman" w:hAnsi="Times New Roman" w:cs="Times New Roman"/>
                <w:spacing w:val="-10"/>
                <w:sz w:val="18"/>
                <w:szCs w:val="18"/>
              </w:rPr>
              <w:t>M</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BF3AB53" w14:textId="77777777" w:rsidR="00CC183C" w:rsidRPr="00F77D84" w:rsidRDefault="00CC183C" w:rsidP="00CC183C">
            <w:pPr>
              <w:pStyle w:val="TableParagraph"/>
              <w:spacing w:before="2"/>
              <w:rPr>
                <w:rFonts w:ascii="Times New Roman" w:hAnsi="Times New Roman" w:cs="Times New Roman"/>
                <w:sz w:val="18"/>
                <w:szCs w:val="18"/>
              </w:rPr>
            </w:pPr>
            <w:r w:rsidRPr="00F77D84">
              <w:rPr>
                <w:rFonts w:ascii="Times New Roman" w:hAnsi="Times New Roman" w:cs="Times New Roman"/>
                <w:sz w:val="18"/>
                <w:szCs w:val="18"/>
              </w:rPr>
              <w:t>3.3</w:t>
            </w:r>
            <w:r w:rsidRPr="00F77D84">
              <w:rPr>
                <w:rFonts w:ascii="Times New Roman" w:hAnsi="Times New Roman" w:cs="Times New Roman"/>
                <w:spacing w:val="-1"/>
                <w:sz w:val="18"/>
                <w:szCs w:val="18"/>
              </w:rPr>
              <w:t xml:space="preserve"> </w:t>
            </w:r>
            <w:r w:rsidRPr="00F77D84">
              <w:rPr>
                <w:rFonts w:ascii="Times New Roman" w:hAnsi="Times New Roman" w:cs="Times New Roman"/>
                <w:spacing w:val="-10"/>
                <w:sz w:val="18"/>
                <w:szCs w:val="18"/>
              </w:rPr>
              <w:t>%</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E006013" w14:textId="77777777" w:rsidR="00CC183C" w:rsidRPr="00F77D84" w:rsidRDefault="00CC183C" w:rsidP="00CC183C">
            <w:pPr>
              <w:pStyle w:val="TableParagraph"/>
              <w:spacing w:before="2"/>
              <w:ind w:left="153"/>
              <w:rPr>
                <w:rFonts w:ascii="Times New Roman" w:hAnsi="Times New Roman" w:cs="Times New Roman"/>
                <w:sz w:val="18"/>
                <w:szCs w:val="18"/>
              </w:rPr>
            </w:pPr>
            <w:r w:rsidRPr="00F77D84">
              <w:rPr>
                <w:rFonts w:ascii="Times New Roman" w:hAnsi="Times New Roman" w:cs="Times New Roman"/>
                <w:sz w:val="18"/>
                <w:szCs w:val="18"/>
              </w:rPr>
              <w:t>3.3</w:t>
            </w:r>
            <w:r w:rsidRPr="00F77D84">
              <w:rPr>
                <w:rFonts w:ascii="Times New Roman" w:hAnsi="Times New Roman" w:cs="Times New Roman"/>
                <w:spacing w:val="-1"/>
                <w:sz w:val="18"/>
                <w:szCs w:val="18"/>
              </w:rPr>
              <w:t xml:space="preserve"> </w:t>
            </w:r>
            <w:r w:rsidRPr="00F77D84">
              <w:rPr>
                <w:rFonts w:ascii="Times New Roman" w:hAnsi="Times New Roman" w:cs="Times New Roman"/>
                <w:spacing w:val="-10"/>
                <w:sz w:val="18"/>
                <w:szCs w:val="18"/>
              </w:rPr>
              <w:t>%</w:t>
            </w:r>
          </w:p>
        </w:tc>
        <w:tc>
          <w:tcPr>
            <w:tcW w:w="1021" w:type="dxa"/>
            <w:vMerge/>
            <w:tcBorders>
              <w:left w:val="single" w:sz="4" w:space="0" w:color="000000" w:themeColor="text1"/>
            </w:tcBorders>
          </w:tcPr>
          <w:p w14:paraId="2F729956" w14:textId="77777777" w:rsidR="00CC183C" w:rsidRPr="00427A1B" w:rsidRDefault="00CC183C" w:rsidP="00CC183C">
            <w:pPr>
              <w:rPr>
                <w:rFonts w:ascii="Times New Roman" w:hAnsi="Times New Roman" w:cs="Times New Roman"/>
                <w:sz w:val="2"/>
                <w:szCs w:val="2"/>
              </w:rPr>
            </w:pPr>
          </w:p>
        </w:tc>
      </w:tr>
      <w:tr w:rsidR="00CC183C" w:rsidRPr="00427A1B" w14:paraId="34024A3A" w14:textId="77777777" w:rsidTr="00F77D84">
        <w:trPr>
          <w:trHeight w:val="227"/>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716706F" w14:textId="194355FD" w:rsidR="00CC183C" w:rsidRPr="00F77D84" w:rsidRDefault="00CC183C" w:rsidP="00CC183C">
            <w:pPr>
              <w:pStyle w:val="TableParagraph"/>
              <w:spacing w:before="1" w:line="206" w:lineRule="exact"/>
              <w:ind w:left="119"/>
              <w:rPr>
                <w:rFonts w:ascii="Times New Roman" w:hAnsi="Times New Roman" w:cs="Times New Roman"/>
                <w:sz w:val="18"/>
                <w:szCs w:val="18"/>
              </w:rPr>
            </w:pPr>
            <w:r w:rsidRPr="002B0DBF">
              <w:rPr>
                <w:rFonts w:ascii="Times New Roman" w:hAnsi="Times New Roman" w:cs="Times New Roman"/>
                <w:sz w:val="18"/>
              </w:rPr>
              <w:t>Anfangsmargin</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2E41B28" w14:textId="77777777" w:rsidR="00CC183C" w:rsidRPr="00F77D84" w:rsidRDefault="00CC183C" w:rsidP="00CC183C">
            <w:pPr>
              <w:pStyle w:val="TableParagraph"/>
              <w:spacing w:before="1" w:line="206" w:lineRule="exact"/>
              <w:ind w:left="116"/>
              <w:rPr>
                <w:rFonts w:ascii="Times New Roman" w:hAnsi="Times New Roman" w:cs="Times New Roman"/>
                <w:sz w:val="18"/>
                <w:szCs w:val="18"/>
              </w:rPr>
            </w:pPr>
            <w:r w:rsidRPr="00F77D84">
              <w:rPr>
                <w:rFonts w:ascii="Times New Roman" w:hAnsi="Times New Roman" w:cs="Times New Roman"/>
                <w:sz w:val="18"/>
                <w:szCs w:val="18"/>
              </w:rPr>
              <w:t>P x</w:t>
            </w:r>
            <w:r w:rsidRPr="00F77D84">
              <w:rPr>
                <w:rFonts w:ascii="Times New Roman" w:hAnsi="Times New Roman" w:cs="Times New Roman"/>
                <w:spacing w:val="-1"/>
                <w:sz w:val="18"/>
                <w:szCs w:val="18"/>
              </w:rPr>
              <w:t xml:space="preserve"> </w:t>
            </w:r>
            <w:r w:rsidRPr="00F77D84">
              <w:rPr>
                <w:rFonts w:ascii="Times New Roman" w:hAnsi="Times New Roman" w:cs="Times New Roman"/>
                <w:sz w:val="18"/>
                <w:szCs w:val="18"/>
              </w:rPr>
              <w:t>TS X</w:t>
            </w:r>
            <w:r w:rsidRPr="00F77D84">
              <w:rPr>
                <w:rFonts w:ascii="Times New Roman" w:hAnsi="Times New Roman" w:cs="Times New Roman"/>
                <w:spacing w:val="-1"/>
                <w:sz w:val="18"/>
                <w:szCs w:val="18"/>
              </w:rPr>
              <w:t xml:space="preserve"> </w:t>
            </w:r>
            <w:r w:rsidRPr="00F77D84">
              <w:rPr>
                <w:rFonts w:ascii="Times New Roman" w:hAnsi="Times New Roman" w:cs="Times New Roman"/>
                <w:spacing w:val="-10"/>
                <w:sz w:val="18"/>
                <w:szCs w:val="18"/>
              </w:rPr>
              <w:t>M</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F29649" w14:textId="77777777" w:rsidR="00CC183C" w:rsidRPr="00F77D84" w:rsidRDefault="00CC183C" w:rsidP="00CC183C">
            <w:pPr>
              <w:pStyle w:val="TableParagraph"/>
              <w:spacing w:before="1" w:line="206" w:lineRule="exact"/>
              <w:rPr>
                <w:rFonts w:ascii="Times New Roman" w:hAnsi="Times New Roman" w:cs="Times New Roman"/>
                <w:sz w:val="18"/>
                <w:szCs w:val="18"/>
              </w:rPr>
            </w:pPr>
            <w:r w:rsidRPr="00F77D84">
              <w:rPr>
                <w:rFonts w:ascii="Times New Roman" w:hAnsi="Times New Roman" w:cs="Times New Roman"/>
                <w:spacing w:val="-2"/>
                <w:sz w:val="18"/>
                <w:szCs w:val="18"/>
              </w:rPr>
              <w:t>350.0333</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C7C56AB" w14:textId="77777777" w:rsidR="00CC183C" w:rsidRPr="00F77D84" w:rsidRDefault="00CC183C" w:rsidP="00CC183C">
            <w:pPr>
              <w:pStyle w:val="TableParagraph"/>
              <w:spacing w:before="1" w:line="206" w:lineRule="exact"/>
              <w:ind w:left="153"/>
              <w:rPr>
                <w:rFonts w:ascii="Times New Roman" w:hAnsi="Times New Roman" w:cs="Times New Roman"/>
                <w:sz w:val="18"/>
                <w:szCs w:val="18"/>
              </w:rPr>
            </w:pPr>
            <w:r w:rsidRPr="00F77D84">
              <w:rPr>
                <w:rFonts w:ascii="Times New Roman" w:hAnsi="Times New Roman" w:cs="Times New Roman"/>
                <w:spacing w:val="-2"/>
                <w:sz w:val="18"/>
                <w:szCs w:val="18"/>
              </w:rPr>
              <w:t>350.0667</w:t>
            </w:r>
          </w:p>
        </w:tc>
        <w:tc>
          <w:tcPr>
            <w:tcW w:w="1021" w:type="dxa"/>
            <w:vMerge/>
            <w:tcBorders>
              <w:left w:val="single" w:sz="4" w:space="0" w:color="000000" w:themeColor="text1"/>
            </w:tcBorders>
          </w:tcPr>
          <w:p w14:paraId="5915CA64" w14:textId="77777777" w:rsidR="00CC183C" w:rsidRPr="00427A1B" w:rsidRDefault="00CC183C" w:rsidP="00CC183C">
            <w:pPr>
              <w:rPr>
                <w:rFonts w:ascii="Times New Roman" w:hAnsi="Times New Roman" w:cs="Times New Roman"/>
                <w:sz w:val="2"/>
                <w:szCs w:val="2"/>
              </w:rPr>
            </w:pPr>
          </w:p>
        </w:tc>
      </w:tr>
      <w:tr w:rsidR="00CC183C" w:rsidRPr="00427A1B" w14:paraId="5E8D680E" w14:textId="77777777" w:rsidTr="00F77D84">
        <w:trPr>
          <w:trHeight w:val="227"/>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6E65C20" w14:textId="79064FA1" w:rsidR="00CC183C" w:rsidRPr="00F77D84" w:rsidRDefault="00CC183C" w:rsidP="00CC183C">
            <w:pPr>
              <w:pStyle w:val="TableParagraph"/>
              <w:spacing w:line="208" w:lineRule="exact"/>
              <w:ind w:left="119"/>
              <w:rPr>
                <w:rFonts w:ascii="Times New Roman" w:hAnsi="Times New Roman" w:cs="Times New Roman"/>
                <w:sz w:val="18"/>
                <w:szCs w:val="18"/>
              </w:rPr>
            </w:pPr>
            <w:r w:rsidRPr="002B0DBF">
              <w:rPr>
                <w:rFonts w:ascii="Times New Roman" w:hAnsi="Times New Roman" w:cs="Times New Roman"/>
                <w:sz w:val="18"/>
              </w:rPr>
              <w:t>Nominalwert</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E691549" w14:textId="77777777" w:rsidR="00CC183C" w:rsidRPr="00F77D84" w:rsidRDefault="00CC183C" w:rsidP="00CC183C">
            <w:pPr>
              <w:pStyle w:val="TableParagraph"/>
              <w:spacing w:line="208" w:lineRule="exact"/>
              <w:ind w:left="116"/>
              <w:rPr>
                <w:rFonts w:ascii="Times New Roman" w:hAnsi="Times New Roman" w:cs="Times New Roman"/>
                <w:sz w:val="18"/>
                <w:szCs w:val="18"/>
              </w:rPr>
            </w:pPr>
            <w:r w:rsidRPr="00F77D84">
              <w:rPr>
                <w:rFonts w:ascii="Times New Roman" w:hAnsi="Times New Roman" w:cs="Times New Roman"/>
                <w:sz w:val="18"/>
                <w:szCs w:val="18"/>
              </w:rPr>
              <w:t>P</w:t>
            </w:r>
            <w:r w:rsidRPr="00F77D84">
              <w:rPr>
                <w:rFonts w:ascii="Times New Roman" w:hAnsi="Times New Roman" w:cs="Times New Roman"/>
                <w:spacing w:val="1"/>
                <w:sz w:val="18"/>
                <w:szCs w:val="18"/>
              </w:rPr>
              <w:t xml:space="preserve"> </w:t>
            </w:r>
            <w:r w:rsidRPr="00F77D84">
              <w:rPr>
                <w:rFonts w:ascii="Times New Roman" w:hAnsi="Times New Roman" w:cs="Times New Roman"/>
                <w:sz w:val="18"/>
                <w:szCs w:val="18"/>
              </w:rPr>
              <w:t xml:space="preserve">x </w:t>
            </w:r>
            <w:r w:rsidRPr="00F77D84">
              <w:rPr>
                <w:rFonts w:ascii="Times New Roman" w:hAnsi="Times New Roman" w:cs="Times New Roman"/>
                <w:spacing w:val="-5"/>
                <w:sz w:val="18"/>
                <w:szCs w:val="18"/>
              </w:rPr>
              <w:t>TS</w:t>
            </w: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0626D50" w14:textId="77777777" w:rsidR="00CC183C" w:rsidRPr="00F77D84" w:rsidRDefault="00CC183C" w:rsidP="00CC183C">
            <w:pPr>
              <w:pStyle w:val="TableParagraph"/>
              <w:spacing w:line="208" w:lineRule="exact"/>
              <w:rPr>
                <w:rFonts w:ascii="Times New Roman" w:hAnsi="Times New Roman" w:cs="Times New Roman"/>
                <w:sz w:val="18"/>
                <w:szCs w:val="18"/>
              </w:rPr>
            </w:pPr>
            <w:r w:rsidRPr="00F77D84">
              <w:rPr>
                <w:rFonts w:ascii="Times New Roman" w:hAnsi="Times New Roman" w:cs="Times New Roman"/>
                <w:spacing w:val="-2"/>
                <w:sz w:val="18"/>
                <w:szCs w:val="18"/>
              </w:rPr>
              <w:t>10501</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B0836BB" w14:textId="77777777" w:rsidR="00CC183C" w:rsidRPr="00F77D84" w:rsidRDefault="00CC183C" w:rsidP="00CC183C">
            <w:pPr>
              <w:pStyle w:val="TableParagraph"/>
              <w:spacing w:line="208" w:lineRule="exact"/>
              <w:ind w:left="153"/>
              <w:rPr>
                <w:rFonts w:ascii="Times New Roman" w:hAnsi="Times New Roman" w:cs="Times New Roman"/>
                <w:sz w:val="18"/>
                <w:szCs w:val="18"/>
              </w:rPr>
            </w:pPr>
            <w:r w:rsidRPr="00F77D84">
              <w:rPr>
                <w:rFonts w:ascii="Times New Roman" w:hAnsi="Times New Roman" w:cs="Times New Roman"/>
                <w:spacing w:val="-2"/>
                <w:sz w:val="18"/>
                <w:szCs w:val="18"/>
              </w:rPr>
              <w:t>10502</w:t>
            </w:r>
          </w:p>
        </w:tc>
        <w:tc>
          <w:tcPr>
            <w:tcW w:w="1021" w:type="dxa"/>
            <w:vMerge/>
            <w:tcBorders>
              <w:left w:val="single" w:sz="4" w:space="0" w:color="000000" w:themeColor="text1"/>
            </w:tcBorders>
          </w:tcPr>
          <w:p w14:paraId="65288544" w14:textId="77777777" w:rsidR="00CC183C" w:rsidRPr="00427A1B" w:rsidRDefault="00CC183C" w:rsidP="00CC183C">
            <w:pPr>
              <w:rPr>
                <w:rFonts w:ascii="Times New Roman" w:hAnsi="Times New Roman" w:cs="Times New Roman"/>
                <w:sz w:val="2"/>
                <w:szCs w:val="2"/>
              </w:rPr>
            </w:pPr>
          </w:p>
        </w:tc>
      </w:tr>
      <w:tr w:rsidR="00CC183C" w:rsidRPr="00427A1B" w14:paraId="5FC2429D" w14:textId="77777777" w:rsidTr="00F77D84">
        <w:trPr>
          <w:trHeight w:val="215"/>
        </w:trPr>
        <w:tc>
          <w:tcPr>
            <w:tcW w:w="34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1DDBF91" w14:textId="1A0CBAA7" w:rsidR="00CC183C" w:rsidRPr="00F77D84" w:rsidRDefault="00CC183C" w:rsidP="00CC183C">
            <w:pPr>
              <w:pStyle w:val="TableParagraph"/>
              <w:ind w:left="119" w:right="378"/>
              <w:rPr>
                <w:rFonts w:ascii="Times New Roman" w:hAnsi="Times New Roman" w:cs="Times New Roman"/>
                <w:sz w:val="18"/>
                <w:szCs w:val="18"/>
              </w:rPr>
            </w:pPr>
            <w:r w:rsidRPr="002B0DBF">
              <w:rPr>
                <w:rFonts w:ascii="Times New Roman" w:hAnsi="Times New Roman" w:cs="Times New Roman"/>
                <w:sz w:val="18"/>
              </w:rPr>
              <w:t>Übernachtfinanzierung (USD pro 1 CFD)</w:t>
            </w:r>
          </w:p>
        </w:tc>
        <w:tc>
          <w:tcPr>
            <w:tcW w:w="11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30B1FC0" w14:textId="77777777" w:rsidR="00CC183C" w:rsidRPr="00F77D84" w:rsidRDefault="00CC183C" w:rsidP="00CC183C">
            <w:pPr>
              <w:pStyle w:val="TableParagraph"/>
              <w:ind w:left="0"/>
              <w:rPr>
                <w:rFonts w:ascii="Times New Roman" w:hAnsi="Times New Roman" w:cs="Times New Roman"/>
                <w:sz w:val="18"/>
                <w:szCs w:val="18"/>
              </w:rPr>
            </w:pPr>
          </w:p>
        </w:tc>
        <w:tc>
          <w:tcPr>
            <w:tcW w:w="2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CCDEF2D" w14:textId="77777777" w:rsidR="00CC183C" w:rsidRPr="00F77D84" w:rsidRDefault="00CC183C" w:rsidP="00CC183C">
            <w:pPr>
              <w:pStyle w:val="TableParagraph"/>
              <w:spacing w:line="268" w:lineRule="exact"/>
              <w:rPr>
                <w:rFonts w:ascii="Times New Roman" w:hAnsi="Times New Roman" w:cs="Times New Roman"/>
                <w:sz w:val="18"/>
                <w:szCs w:val="18"/>
              </w:rPr>
            </w:pPr>
            <w:r w:rsidRPr="00F77D84">
              <w:rPr>
                <w:rFonts w:ascii="Times New Roman" w:hAnsi="Times New Roman" w:cs="Times New Roman"/>
                <w:spacing w:val="-2"/>
                <w:sz w:val="18"/>
                <w:szCs w:val="18"/>
              </w:rPr>
              <w:t>-1.0921</w:t>
            </w:r>
          </w:p>
        </w:tc>
        <w:tc>
          <w:tcPr>
            <w:tcW w:w="33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5D76CD" w14:textId="77777777" w:rsidR="00CC183C" w:rsidRPr="00F77D84" w:rsidRDefault="00CC183C" w:rsidP="00CC183C">
            <w:pPr>
              <w:pStyle w:val="TableParagraph"/>
              <w:spacing w:line="268" w:lineRule="exact"/>
              <w:ind w:left="153"/>
              <w:rPr>
                <w:rFonts w:ascii="Times New Roman" w:hAnsi="Times New Roman" w:cs="Times New Roman"/>
                <w:sz w:val="18"/>
                <w:szCs w:val="18"/>
              </w:rPr>
            </w:pPr>
            <w:r w:rsidRPr="00F77D84">
              <w:rPr>
                <w:rFonts w:ascii="Times New Roman" w:hAnsi="Times New Roman" w:cs="Times New Roman"/>
                <w:spacing w:val="-2"/>
                <w:sz w:val="18"/>
                <w:szCs w:val="18"/>
              </w:rPr>
              <w:t>-1.23924</w:t>
            </w:r>
          </w:p>
        </w:tc>
        <w:tc>
          <w:tcPr>
            <w:tcW w:w="1021" w:type="dxa"/>
            <w:vMerge/>
            <w:tcBorders>
              <w:left w:val="single" w:sz="4" w:space="0" w:color="000000" w:themeColor="text1"/>
            </w:tcBorders>
          </w:tcPr>
          <w:p w14:paraId="73A36E10" w14:textId="77777777" w:rsidR="00CC183C" w:rsidRPr="00427A1B" w:rsidRDefault="00CC183C" w:rsidP="00CC183C">
            <w:pPr>
              <w:rPr>
                <w:rFonts w:ascii="Times New Roman" w:hAnsi="Times New Roman" w:cs="Times New Roman"/>
                <w:sz w:val="2"/>
                <w:szCs w:val="2"/>
              </w:rPr>
            </w:pPr>
          </w:p>
        </w:tc>
      </w:tr>
      <w:tr w:rsidR="007E4EC2" w:rsidRPr="00427A1B" w14:paraId="371B8715" w14:textId="77777777" w:rsidTr="00F77D84">
        <w:trPr>
          <w:trHeight w:val="220"/>
        </w:trPr>
        <w:tc>
          <w:tcPr>
            <w:tcW w:w="11006" w:type="dxa"/>
            <w:gridSpan w:val="12"/>
          </w:tcPr>
          <w:p w14:paraId="3A8262F8" w14:textId="77777777" w:rsidR="007E4EC2" w:rsidRPr="00427A1B" w:rsidRDefault="007E4EC2">
            <w:pPr>
              <w:pStyle w:val="TableParagraph"/>
              <w:ind w:left="0"/>
              <w:rPr>
                <w:rFonts w:ascii="Times New Roman" w:hAnsi="Times New Roman" w:cs="Times New Roman"/>
                <w:sz w:val="14"/>
              </w:rPr>
            </w:pPr>
          </w:p>
        </w:tc>
      </w:tr>
      <w:tr w:rsidR="007E4EC2" w:rsidRPr="00427A1B" w14:paraId="722AD046" w14:textId="77777777" w:rsidTr="00F77D84">
        <w:trPr>
          <w:trHeight w:val="210"/>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619F2F1" w14:textId="77777777" w:rsidR="007E4EC2" w:rsidRPr="00427A1B" w:rsidRDefault="00561EB5">
            <w:pPr>
              <w:pStyle w:val="TableParagraph"/>
              <w:spacing w:line="191" w:lineRule="exact"/>
              <w:ind w:left="28"/>
              <w:jc w:val="center"/>
              <w:rPr>
                <w:rFonts w:ascii="Times New Roman" w:hAnsi="Times New Roman" w:cs="Times New Roman"/>
                <w:b/>
                <w:sz w:val="18"/>
              </w:rPr>
            </w:pPr>
            <w:r w:rsidRPr="00427A1B">
              <w:rPr>
                <w:rFonts w:ascii="Times New Roman" w:hAnsi="Times New Roman" w:cs="Times New Roman"/>
                <w:b/>
                <w:color w:val="FFFFFF"/>
                <w:sz w:val="18"/>
              </w:rPr>
              <w:t>LONG</w:t>
            </w:r>
            <w:r w:rsidRPr="00427A1B">
              <w:rPr>
                <w:rFonts w:ascii="Times New Roman" w:hAnsi="Times New Roman" w:cs="Times New Roman"/>
                <w:b/>
                <w:color w:val="FFFFFF"/>
                <w:spacing w:val="-1"/>
                <w:sz w:val="18"/>
              </w:rPr>
              <w:t xml:space="preserve"> </w:t>
            </w:r>
            <w:r w:rsidRPr="00427A1B">
              <w:rPr>
                <w:rFonts w:ascii="Times New Roman" w:hAnsi="Times New Roman" w:cs="Times New Roman"/>
                <w:b/>
                <w:color w:val="FFFFFF"/>
                <w:spacing w:val="-2"/>
                <w:sz w:val="18"/>
              </w:rPr>
              <w:t>POSITION</w:t>
            </w:r>
          </w:p>
        </w:tc>
        <w:tc>
          <w:tcPr>
            <w:tcW w:w="45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C89D7E0" w14:textId="77777777" w:rsidR="007E4EC2" w:rsidRPr="00427A1B" w:rsidRDefault="00561EB5">
            <w:pPr>
              <w:pStyle w:val="TableParagraph"/>
              <w:spacing w:line="191" w:lineRule="exact"/>
              <w:rPr>
                <w:rFonts w:ascii="Times New Roman" w:hAnsi="Times New Roman" w:cs="Times New Roman"/>
                <w:b/>
                <w:sz w:val="18"/>
              </w:rPr>
            </w:pPr>
            <w:r w:rsidRPr="00427A1B">
              <w:rPr>
                <w:rFonts w:ascii="Times New Roman" w:hAnsi="Times New Roman" w:cs="Times New Roman"/>
                <w:b/>
                <w:color w:val="FFFFFF"/>
                <w:sz w:val="18"/>
              </w:rPr>
              <w:t xml:space="preserve">SHORT </w:t>
            </w:r>
            <w:r w:rsidRPr="00427A1B">
              <w:rPr>
                <w:rFonts w:ascii="Times New Roman" w:hAnsi="Times New Roman" w:cs="Times New Roman"/>
                <w:b/>
                <w:color w:val="FFFFFF"/>
                <w:spacing w:val="-2"/>
                <w:sz w:val="18"/>
              </w:rPr>
              <w:t>POSITION</w:t>
            </w:r>
          </w:p>
        </w:tc>
        <w:tc>
          <w:tcPr>
            <w:tcW w:w="1021" w:type="dxa"/>
            <w:tcBorders>
              <w:left w:val="single" w:sz="4" w:space="0" w:color="000000" w:themeColor="text1"/>
            </w:tcBorders>
          </w:tcPr>
          <w:p w14:paraId="6F2B7B6C" w14:textId="77777777" w:rsidR="007E4EC2" w:rsidRPr="00427A1B" w:rsidRDefault="007E4EC2">
            <w:pPr>
              <w:pStyle w:val="TableParagraph"/>
              <w:ind w:left="0"/>
              <w:rPr>
                <w:rFonts w:ascii="Times New Roman" w:hAnsi="Times New Roman" w:cs="Times New Roman"/>
                <w:sz w:val="18"/>
              </w:rPr>
            </w:pPr>
          </w:p>
        </w:tc>
      </w:tr>
      <w:tr w:rsidR="00CC183C" w:rsidRPr="00427A1B" w14:paraId="6649CC15" w14:textId="77777777" w:rsidTr="00F77D84">
        <w:trPr>
          <w:trHeight w:val="906"/>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F84F8F3" w14:textId="2216A5F4" w:rsidR="00CC183C" w:rsidRPr="00427A1B" w:rsidRDefault="00CC183C" w:rsidP="00CC183C">
            <w:pPr>
              <w:pStyle w:val="TableParagraph"/>
              <w:spacing w:line="210" w:lineRule="exact"/>
              <w:ind w:left="119"/>
              <w:rPr>
                <w:rFonts w:ascii="Times New Roman" w:hAnsi="Times New Roman" w:cs="Times New Roman"/>
                <w:b/>
                <w:sz w:val="18"/>
              </w:rPr>
            </w:pPr>
            <w:r w:rsidRPr="002B0DBF">
              <w:rPr>
                <w:rFonts w:ascii="Times New Roman" w:hAnsi="Times New Roman" w:cs="Times New Roman"/>
                <w:b/>
                <w:spacing w:val="-2"/>
                <w:sz w:val="18"/>
              </w:rPr>
              <w:t>Szenarien</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B4F754A" w14:textId="67255DD6" w:rsidR="00CC183C" w:rsidRPr="00427A1B" w:rsidRDefault="00CC183C" w:rsidP="00CC183C">
            <w:pPr>
              <w:pStyle w:val="TableParagraph"/>
              <w:ind w:left="115" w:right="258"/>
              <w:rPr>
                <w:rFonts w:ascii="Times New Roman" w:hAnsi="Times New Roman" w:cs="Times New Roman"/>
                <w:b/>
                <w:sz w:val="18"/>
              </w:rPr>
            </w:pPr>
            <w:r w:rsidRPr="002B0DBF">
              <w:rPr>
                <w:rFonts w:ascii="Times New Roman" w:hAnsi="Times New Roman" w:cs="Times New Roman"/>
                <w:b/>
                <w:spacing w:val="-2"/>
                <w:sz w:val="18"/>
              </w:rPr>
              <w:t>Schlusspreis</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AF5E190" w14:textId="2032064B" w:rsidR="00CC183C" w:rsidRPr="00427A1B" w:rsidRDefault="00CC183C" w:rsidP="00CC183C">
            <w:pPr>
              <w:pStyle w:val="TableParagraph"/>
              <w:ind w:right="135"/>
              <w:jc w:val="both"/>
              <w:rPr>
                <w:rFonts w:ascii="Times New Roman" w:hAnsi="Times New Roman" w:cs="Times New Roman"/>
                <w:b/>
                <w:sz w:val="18"/>
              </w:rPr>
            </w:pPr>
            <w:r w:rsidRPr="002B0DBF">
              <w:rPr>
                <w:rFonts w:ascii="Times New Roman" w:hAnsi="Times New Roman" w:cs="Times New Roman"/>
                <w:b/>
                <w:sz w:val="18"/>
              </w:rPr>
              <w:t>% Preisänderung</w:t>
            </w:r>
          </w:p>
        </w:tc>
        <w:tc>
          <w:tcPr>
            <w:tcW w:w="1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5DB2635" w14:textId="3570B45B" w:rsidR="00CC183C" w:rsidRPr="00427A1B" w:rsidRDefault="00CC183C" w:rsidP="00CC183C">
            <w:pPr>
              <w:pStyle w:val="TableParagraph"/>
              <w:rPr>
                <w:rFonts w:ascii="Times New Roman" w:hAnsi="Times New Roman" w:cs="Times New Roman"/>
                <w:b/>
                <w:sz w:val="18"/>
              </w:rPr>
            </w:pPr>
            <w:r w:rsidRPr="002B0DBF">
              <w:rPr>
                <w:rFonts w:ascii="Times New Roman" w:hAnsi="Times New Roman" w:cs="Times New Roman"/>
                <w:b/>
                <w:spacing w:val="-2"/>
                <w:sz w:val="18"/>
              </w:rPr>
              <w:t>Übernachtfinanzierung</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3559160" w14:textId="56F3FC1B" w:rsidR="00CC183C" w:rsidRPr="00427A1B" w:rsidRDefault="00CC183C" w:rsidP="00CC183C">
            <w:pPr>
              <w:pStyle w:val="TableParagraph"/>
              <w:ind w:left="117"/>
              <w:rPr>
                <w:rFonts w:ascii="Times New Roman" w:hAnsi="Times New Roman" w:cs="Times New Roman"/>
                <w:b/>
                <w:sz w:val="18"/>
              </w:rPr>
            </w:pPr>
            <w:r w:rsidRPr="002B0DBF">
              <w:rPr>
                <w:rFonts w:ascii="Times New Roman" w:hAnsi="Times New Roman" w:cs="Times New Roman"/>
                <w:b/>
                <w:spacing w:val="-2"/>
                <w:sz w:val="18"/>
              </w:rPr>
              <w:t>Gewinn/Verlust nach Kosten (USD)</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4B6ECB5" w14:textId="60C0927D" w:rsidR="00CC183C" w:rsidRPr="00427A1B" w:rsidRDefault="00CC183C" w:rsidP="00CC183C">
            <w:pPr>
              <w:pStyle w:val="TableParagraph"/>
              <w:ind w:right="176"/>
              <w:rPr>
                <w:rFonts w:ascii="Times New Roman" w:hAnsi="Times New Roman" w:cs="Times New Roman"/>
                <w:b/>
                <w:sz w:val="18"/>
              </w:rPr>
            </w:pPr>
            <w:r w:rsidRPr="002B0DBF">
              <w:rPr>
                <w:rFonts w:ascii="Times New Roman" w:hAnsi="Times New Roman" w:cs="Times New Roman"/>
                <w:b/>
                <w:spacing w:val="-2"/>
                <w:sz w:val="18"/>
              </w:rPr>
              <w:t>Schlusspreis</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8A3DDFB" w14:textId="36DDE998" w:rsidR="00CC183C" w:rsidRPr="00427A1B" w:rsidRDefault="00CC183C" w:rsidP="00CC183C">
            <w:pPr>
              <w:pStyle w:val="TableParagraph"/>
              <w:ind w:left="73" w:right="91"/>
              <w:rPr>
                <w:rFonts w:ascii="Times New Roman" w:hAnsi="Times New Roman" w:cs="Times New Roman"/>
                <w:b/>
                <w:sz w:val="18"/>
              </w:rPr>
            </w:pPr>
            <w:r w:rsidRPr="002B0DBF">
              <w:rPr>
                <w:rFonts w:ascii="Times New Roman" w:hAnsi="Times New Roman" w:cs="Times New Roman"/>
                <w:b/>
                <w:sz w:val="18"/>
              </w:rPr>
              <w:t>% Preisänderung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187B456" w14:textId="0177FB81" w:rsidR="00CC183C" w:rsidRPr="00427A1B" w:rsidRDefault="00CC183C" w:rsidP="00CC183C">
            <w:pPr>
              <w:pStyle w:val="TableParagraph"/>
              <w:ind w:left="113"/>
              <w:rPr>
                <w:rFonts w:ascii="Times New Roman" w:hAnsi="Times New Roman" w:cs="Times New Roman"/>
                <w:b/>
                <w:sz w:val="18"/>
              </w:rPr>
            </w:pPr>
            <w:r w:rsidRPr="002B0DBF">
              <w:rPr>
                <w:rFonts w:ascii="Times New Roman" w:hAnsi="Times New Roman" w:cs="Times New Roman"/>
                <w:b/>
                <w:spacing w:val="-2"/>
                <w:sz w:val="18"/>
              </w:rPr>
              <w:t>Übernachtfinanzierung</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E1E0C07" w14:textId="3758D750" w:rsidR="00CC183C" w:rsidRPr="00427A1B" w:rsidRDefault="00CC183C" w:rsidP="00CC183C">
            <w:pPr>
              <w:pStyle w:val="TableParagraph"/>
              <w:ind w:left="112"/>
              <w:rPr>
                <w:rFonts w:ascii="Times New Roman" w:hAnsi="Times New Roman" w:cs="Times New Roman"/>
                <w:b/>
                <w:sz w:val="18"/>
              </w:rPr>
            </w:pPr>
            <w:r w:rsidRPr="002B0DBF">
              <w:rPr>
                <w:rFonts w:ascii="Times New Roman" w:hAnsi="Times New Roman" w:cs="Times New Roman"/>
                <w:b/>
                <w:spacing w:val="-2"/>
                <w:sz w:val="18"/>
              </w:rPr>
              <w:t>Gewinn/Verlust nach Kosten</w:t>
            </w:r>
          </w:p>
        </w:tc>
        <w:tc>
          <w:tcPr>
            <w:tcW w:w="1021" w:type="dxa"/>
            <w:vMerge w:val="restart"/>
            <w:tcBorders>
              <w:left w:val="single" w:sz="4" w:space="0" w:color="000000" w:themeColor="text1"/>
            </w:tcBorders>
          </w:tcPr>
          <w:p w14:paraId="21C038A5" w14:textId="77777777" w:rsidR="00CC183C" w:rsidRPr="00427A1B" w:rsidRDefault="00CC183C" w:rsidP="00CC183C">
            <w:pPr>
              <w:rPr>
                <w:rFonts w:ascii="Times New Roman" w:hAnsi="Times New Roman" w:cs="Times New Roman"/>
                <w:sz w:val="2"/>
                <w:szCs w:val="2"/>
              </w:rPr>
            </w:pPr>
          </w:p>
        </w:tc>
      </w:tr>
      <w:tr w:rsidR="00CC183C" w:rsidRPr="00427A1B" w14:paraId="54E2220D" w14:textId="77777777" w:rsidTr="00F77D84">
        <w:trPr>
          <w:trHeight w:val="479"/>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8274009" w14:textId="3E5E443A" w:rsidR="00CC183C" w:rsidRPr="00427A1B" w:rsidRDefault="00CC183C" w:rsidP="00CC183C">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Günstig</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4D05D27" w14:textId="77777777" w:rsidR="00CC183C" w:rsidRPr="00427A1B" w:rsidRDefault="00CC183C" w:rsidP="00CC183C">
            <w:pPr>
              <w:pStyle w:val="TableParagraph"/>
              <w:spacing w:line="210" w:lineRule="exact"/>
              <w:ind w:left="115"/>
              <w:rPr>
                <w:rFonts w:ascii="Times New Roman" w:hAnsi="Times New Roman" w:cs="Times New Roman"/>
                <w:sz w:val="18"/>
              </w:rPr>
            </w:pPr>
            <w:r w:rsidRPr="00427A1B">
              <w:rPr>
                <w:rFonts w:ascii="Times New Roman" w:hAnsi="Times New Roman" w:cs="Times New Roman"/>
                <w:spacing w:val="-4"/>
                <w:sz w:val="18"/>
              </w:rPr>
              <w:t>1.06</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89290BC" w14:textId="77777777" w:rsidR="00CC183C" w:rsidRPr="00427A1B" w:rsidRDefault="00CC183C" w:rsidP="00CC183C">
            <w:pPr>
              <w:pStyle w:val="TableParagraph"/>
              <w:spacing w:line="268" w:lineRule="exact"/>
              <w:ind w:left="0" w:right="60"/>
              <w:jc w:val="center"/>
              <w:rPr>
                <w:rFonts w:ascii="Times New Roman" w:hAnsi="Times New Roman" w:cs="Times New Roman"/>
              </w:rPr>
            </w:pPr>
            <w:r w:rsidRPr="00427A1B">
              <w:rPr>
                <w:rFonts w:ascii="Times New Roman" w:hAnsi="Times New Roman" w:cs="Times New Roman"/>
                <w:spacing w:val="-4"/>
              </w:rPr>
              <w:t>0.93</w:t>
            </w:r>
          </w:p>
        </w:tc>
        <w:tc>
          <w:tcPr>
            <w:tcW w:w="1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9C767E6" w14:textId="77777777" w:rsidR="00CC183C" w:rsidRPr="00427A1B" w:rsidRDefault="00CC183C" w:rsidP="00CC183C">
            <w:pPr>
              <w:pStyle w:val="TableParagraph"/>
              <w:spacing w:line="268" w:lineRule="exact"/>
              <w:ind w:left="0" w:right="93"/>
              <w:jc w:val="center"/>
              <w:rPr>
                <w:rFonts w:ascii="Times New Roman" w:hAnsi="Times New Roman" w:cs="Times New Roman"/>
              </w:rPr>
            </w:pPr>
            <w:r w:rsidRPr="00427A1B">
              <w:rPr>
                <w:rFonts w:ascii="Times New Roman" w:hAnsi="Times New Roman" w:cs="Times New Roman"/>
                <w:spacing w:val="-2"/>
              </w:rPr>
              <w:t>-1.23924</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1E98FBD" w14:textId="77777777" w:rsidR="00CC183C" w:rsidRPr="00427A1B" w:rsidRDefault="00CC183C" w:rsidP="00CC183C">
            <w:pPr>
              <w:pStyle w:val="TableParagraph"/>
              <w:spacing w:line="268" w:lineRule="exact"/>
              <w:ind w:left="117"/>
              <w:rPr>
                <w:rFonts w:ascii="Times New Roman" w:hAnsi="Times New Roman" w:cs="Times New Roman"/>
              </w:rPr>
            </w:pPr>
            <w:r w:rsidRPr="00427A1B">
              <w:rPr>
                <w:rFonts w:ascii="Times New Roman" w:hAnsi="Times New Roman" w:cs="Times New Roman"/>
                <w:spacing w:val="-2"/>
              </w:rPr>
              <w:t>96.76</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83C0D71" w14:textId="77777777" w:rsidR="00CC183C" w:rsidRPr="00427A1B" w:rsidRDefault="00CC183C" w:rsidP="00CC183C">
            <w:pPr>
              <w:pStyle w:val="TableParagraph"/>
              <w:spacing w:line="210" w:lineRule="exact"/>
              <w:rPr>
                <w:rFonts w:ascii="Times New Roman" w:hAnsi="Times New Roman" w:cs="Times New Roman"/>
                <w:sz w:val="18"/>
              </w:rPr>
            </w:pPr>
            <w:r w:rsidRPr="00427A1B">
              <w:rPr>
                <w:rFonts w:ascii="Times New Roman" w:hAnsi="Times New Roman" w:cs="Times New Roman"/>
                <w:spacing w:val="-4"/>
                <w:sz w:val="18"/>
              </w:rPr>
              <w:t>1.04</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2DC8256" w14:textId="77777777" w:rsidR="00CC183C" w:rsidRPr="00427A1B" w:rsidRDefault="00CC183C" w:rsidP="00CC183C">
            <w:pPr>
              <w:pStyle w:val="TableParagraph"/>
              <w:spacing w:line="210" w:lineRule="exact"/>
              <w:ind w:left="73"/>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4"/>
                <w:sz w:val="18"/>
              </w:rPr>
              <w:t>0.96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08118BA" w14:textId="77777777" w:rsidR="00CC183C" w:rsidRPr="00427A1B" w:rsidRDefault="00CC183C" w:rsidP="00CC183C">
            <w:pPr>
              <w:pStyle w:val="TableParagraph"/>
              <w:spacing w:line="210" w:lineRule="exact"/>
              <w:ind w:left="113"/>
              <w:rPr>
                <w:rFonts w:ascii="Times New Roman" w:hAnsi="Times New Roman" w:cs="Times New Roman"/>
                <w:sz w:val="18"/>
              </w:rPr>
            </w:pPr>
            <w:r w:rsidRPr="00427A1B">
              <w:rPr>
                <w:rFonts w:ascii="Times New Roman" w:hAnsi="Times New Roman" w:cs="Times New Roman"/>
                <w:spacing w:val="-4"/>
                <w:sz w:val="18"/>
              </w:rPr>
              <w:t>1.09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9E583C" w14:textId="1A383292" w:rsidR="00CC183C" w:rsidRPr="00427A1B" w:rsidRDefault="00CC183C" w:rsidP="00CC183C">
            <w:pPr>
              <w:pStyle w:val="TableParagraph"/>
              <w:spacing w:line="210" w:lineRule="exact"/>
              <w:ind w:left="112"/>
              <w:rPr>
                <w:rFonts w:ascii="Times New Roman" w:hAnsi="Times New Roman" w:cs="Times New Roman"/>
                <w:sz w:val="18"/>
              </w:rPr>
            </w:pPr>
            <w:r w:rsidRPr="00427A1B">
              <w:rPr>
                <w:rFonts w:ascii="Times New Roman" w:hAnsi="Times New Roman" w:cs="Times New Roman"/>
                <w:spacing w:val="-4"/>
                <w:sz w:val="18"/>
              </w:rPr>
              <w:t>99.9</w:t>
            </w:r>
            <w:r>
              <w:rPr>
                <w:rFonts w:ascii="Times New Roman" w:hAnsi="Times New Roman" w:cs="Times New Roman"/>
                <w:spacing w:val="-4"/>
                <w:sz w:val="18"/>
              </w:rPr>
              <w:t>1</w:t>
            </w:r>
          </w:p>
        </w:tc>
        <w:tc>
          <w:tcPr>
            <w:tcW w:w="1021" w:type="dxa"/>
            <w:vMerge/>
            <w:tcBorders>
              <w:left w:val="single" w:sz="4" w:space="0" w:color="000000" w:themeColor="text1"/>
            </w:tcBorders>
          </w:tcPr>
          <w:p w14:paraId="2CABC645" w14:textId="77777777" w:rsidR="00CC183C" w:rsidRPr="00427A1B" w:rsidRDefault="00CC183C" w:rsidP="00CC183C">
            <w:pPr>
              <w:rPr>
                <w:rFonts w:ascii="Times New Roman" w:hAnsi="Times New Roman" w:cs="Times New Roman"/>
                <w:sz w:val="2"/>
                <w:szCs w:val="2"/>
              </w:rPr>
            </w:pPr>
          </w:p>
        </w:tc>
      </w:tr>
      <w:tr w:rsidR="00CC183C" w:rsidRPr="00427A1B" w14:paraId="17FC399A" w14:textId="77777777" w:rsidTr="00F77D84">
        <w:trPr>
          <w:trHeight w:val="268"/>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2413687" w14:textId="723D30BA" w:rsidR="00CC183C" w:rsidRPr="00427A1B" w:rsidRDefault="00CC183C" w:rsidP="00CC183C">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Moderat</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AD57871" w14:textId="77777777" w:rsidR="00CC183C" w:rsidRPr="00427A1B" w:rsidRDefault="00CC183C" w:rsidP="00CC183C">
            <w:pPr>
              <w:pStyle w:val="TableParagraph"/>
              <w:spacing w:line="210" w:lineRule="exact"/>
              <w:ind w:left="115"/>
              <w:rPr>
                <w:rFonts w:ascii="Times New Roman" w:hAnsi="Times New Roman" w:cs="Times New Roman"/>
                <w:sz w:val="18"/>
              </w:rPr>
            </w:pPr>
            <w:r w:rsidRPr="00427A1B">
              <w:rPr>
                <w:rFonts w:ascii="Times New Roman" w:hAnsi="Times New Roman" w:cs="Times New Roman"/>
                <w:spacing w:val="-4"/>
                <w:sz w:val="18"/>
              </w:rPr>
              <w:t>1.05</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A7A3EA7" w14:textId="77777777" w:rsidR="00CC183C" w:rsidRPr="00427A1B" w:rsidRDefault="00CC183C" w:rsidP="00CC183C">
            <w:pPr>
              <w:pStyle w:val="TableParagraph"/>
              <w:spacing w:line="210" w:lineRule="exact"/>
              <w:ind w:left="5" w:right="60"/>
              <w:jc w:val="center"/>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4"/>
                <w:sz w:val="18"/>
              </w:rPr>
              <w:t>0.02</w:t>
            </w:r>
          </w:p>
        </w:tc>
        <w:tc>
          <w:tcPr>
            <w:tcW w:w="1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EC24E9C" w14:textId="77777777" w:rsidR="00CC183C" w:rsidRPr="00427A1B" w:rsidRDefault="00CC183C" w:rsidP="00CC183C">
            <w:pPr>
              <w:pStyle w:val="TableParagraph"/>
              <w:spacing w:line="248" w:lineRule="exact"/>
              <w:ind w:left="0" w:right="93"/>
              <w:jc w:val="center"/>
              <w:rPr>
                <w:rFonts w:ascii="Times New Roman" w:hAnsi="Times New Roman" w:cs="Times New Roman"/>
              </w:rPr>
            </w:pPr>
            <w:r w:rsidRPr="00427A1B">
              <w:rPr>
                <w:rFonts w:ascii="Times New Roman" w:hAnsi="Times New Roman" w:cs="Times New Roman"/>
                <w:spacing w:val="-2"/>
              </w:rPr>
              <w:t>-1.23924</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F4E6427" w14:textId="21EE03D5" w:rsidR="00CC183C" w:rsidRPr="00427A1B" w:rsidRDefault="00CC183C" w:rsidP="00CC183C">
            <w:pPr>
              <w:pStyle w:val="TableParagraph"/>
              <w:spacing w:line="210" w:lineRule="exact"/>
              <w:ind w:left="117"/>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4"/>
                <w:sz w:val="18"/>
              </w:rPr>
              <w:t>3.2</w:t>
            </w:r>
            <w:r>
              <w:rPr>
                <w:rFonts w:ascii="Times New Roman" w:hAnsi="Times New Roman" w:cs="Times New Roman"/>
                <w:spacing w:val="-4"/>
                <w:sz w:val="18"/>
              </w:rPr>
              <w:t>4</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D650FD3" w14:textId="77777777" w:rsidR="00CC183C" w:rsidRPr="00427A1B" w:rsidRDefault="00CC183C" w:rsidP="00CC183C">
            <w:pPr>
              <w:pStyle w:val="TableParagraph"/>
              <w:spacing w:line="210" w:lineRule="exact"/>
              <w:rPr>
                <w:rFonts w:ascii="Times New Roman" w:hAnsi="Times New Roman" w:cs="Times New Roman"/>
                <w:sz w:val="18"/>
              </w:rPr>
            </w:pPr>
            <w:r w:rsidRPr="00427A1B">
              <w:rPr>
                <w:rFonts w:ascii="Times New Roman" w:hAnsi="Times New Roman" w:cs="Times New Roman"/>
                <w:spacing w:val="-4"/>
                <w:sz w:val="18"/>
              </w:rPr>
              <w:t>1.06</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91CDB74" w14:textId="77777777" w:rsidR="00CC183C" w:rsidRPr="00427A1B" w:rsidRDefault="00CC183C" w:rsidP="00CC183C">
            <w:pPr>
              <w:pStyle w:val="TableParagraph"/>
              <w:spacing w:line="210" w:lineRule="exact"/>
              <w:ind w:left="73"/>
              <w:rPr>
                <w:rFonts w:ascii="Times New Roman" w:hAnsi="Times New Roman" w:cs="Times New Roman"/>
                <w:sz w:val="18"/>
              </w:rPr>
            </w:pPr>
            <w:r w:rsidRPr="00427A1B">
              <w:rPr>
                <w:rFonts w:ascii="Times New Roman" w:hAnsi="Times New Roman" w:cs="Times New Roman"/>
                <w:spacing w:val="-4"/>
                <w:sz w:val="18"/>
              </w:rPr>
              <w:t>0.94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31BEE1F" w14:textId="77777777" w:rsidR="00CC183C" w:rsidRPr="00427A1B" w:rsidRDefault="00CC183C" w:rsidP="00CC183C">
            <w:pPr>
              <w:pStyle w:val="TableParagraph"/>
              <w:spacing w:line="210" w:lineRule="exact"/>
              <w:ind w:left="113"/>
              <w:rPr>
                <w:rFonts w:ascii="Times New Roman" w:hAnsi="Times New Roman" w:cs="Times New Roman"/>
                <w:sz w:val="18"/>
              </w:rPr>
            </w:pPr>
            <w:r w:rsidRPr="00427A1B">
              <w:rPr>
                <w:rFonts w:ascii="Times New Roman" w:hAnsi="Times New Roman" w:cs="Times New Roman"/>
                <w:spacing w:val="-4"/>
                <w:sz w:val="18"/>
              </w:rPr>
              <w:t>1.09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18AF434" w14:textId="77777777" w:rsidR="00CC183C" w:rsidRPr="00427A1B" w:rsidRDefault="00CC183C" w:rsidP="00CC183C">
            <w:pPr>
              <w:pStyle w:val="TableParagraph"/>
              <w:spacing w:line="210" w:lineRule="exact"/>
              <w:ind w:left="112"/>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2"/>
                <w:sz w:val="18"/>
              </w:rPr>
              <w:t>100.09</w:t>
            </w:r>
          </w:p>
        </w:tc>
        <w:tc>
          <w:tcPr>
            <w:tcW w:w="1021" w:type="dxa"/>
            <w:vMerge/>
            <w:tcBorders>
              <w:left w:val="single" w:sz="4" w:space="0" w:color="000000" w:themeColor="text1"/>
            </w:tcBorders>
          </w:tcPr>
          <w:p w14:paraId="0AC739AC" w14:textId="77777777" w:rsidR="00CC183C" w:rsidRPr="00427A1B" w:rsidRDefault="00CC183C" w:rsidP="00CC183C">
            <w:pPr>
              <w:rPr>
                <w:rFonts w:ascii="Times New Roman" w:hAnsi="Times New Roman" w:cs="Times New Roman"/>
                <w:sz w:val="2"/>
                <w:szCs w:val="2"/>
              </w:rPr>
            </w:pPr>
          </w:p>
        </w:tc>
      </w:tr>
      <w:tr w:rsidR="00CC183C" w:rsidRPr="00427A1B" w14:paraId="196D19F6" w14:textId="77777777" w:rsidTr="00F77D84">
        <w:trPr>
          <w:trHeight w:val="268"/>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23A92AD" w14:textId="350619CE" w:rsidR="00CC183C" w:rsidRPr="00427A1B" w:rsidRDefault="00CC183C" w:rsidP="00CC183C">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Ungünstig</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C19C67F" w14:textId="77777777" w:rsidR="00CC183C" w:rsidRPr="00427A1B" w:rsidRDefault="00CC183C" w:rsidP="00CC183C">
            <w:pPr>
              <w:pStyle w:val="TableParagraph"/>
              <w:spacing w:line="210" w:lineRule="exact"/>
              <w:ind w:left="115"/>
              <w:rPr>
                <w:rFonts w:ascii="Times New Roman" w:hAnsi="Times New Roman" w:cs="Times New Roman"/>
                <w:sz w:val="18"/>
              </w:rPr>
            </w:pPr>
            <w:r w:rsidRPr="00427A1B">
              <w:rPr>
                <w:rFonts w:ascii="Times New Roman" w:hAnsi="Times New Roman" w:cs="Times New Roman"/>
                <w:spacing w:val="-4"/>
                <w:sz w:val="18"/>
              </w:rPr>
              <w:t>1.04</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3E0D332" w14:textId="77777777" w:rsidR="00CC183C" w:rsidRPr="00427A1B" w:rsidRDefault="00CC183C" w:rsidP="00CC183C">
            <w:pPr>
              <w:pStyle w:val="TableParagraph"/>
              <w:spacing w:line="210" w:lineRule="exact"/>
              <w:ind w:left="5" w:right="60"/>
              <w:jc w:val="center"/>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4"/>
                <w:sz w:val="18"/>
              </w:rPr>
              <w:t>0.97</w:t>
            </w:r>
          </w:p>
        </w:tc>
        <w:tc>
          <w:tcPr>
            <w:tcW w:w="1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31315EE" w14:textId="77777777" w:rsidR="00CC183C" w:rsidRPr="00427A1B" w:rsidRDefault="00CC183C" w:rsidP="00CC183C">
            <w:pPr>
              <w:pStyle w:val="TableParagraph"/>
              <w:spacing w:line="248" w:lineRule="exact"/>
              <w:ind w:left="0" w:right="93"/>
              <w:jc w:val="center"/>
              <w:rPr>
                <w:rFonts w:ascii="Times New Roman" w:hAnsi="Times New Roman" w:cs="Times New Roman"/>
              </w:rPr>
            </w:pPr>
            <w:r w:rsidRPr="00427A1B">
              <w:rPr>
                <w:rFonts w:ascii="Times New Roman" w:hAnsi="Times New Roman" w:cs="Times New Roman"/>
                <w:spacing w:val="-2"/>
              </w:rPr>
              <w:t>-1.23924</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E3D3376" w14:textId="30865F25" w:rsidR="00CC183C" w:rsidRPr="00427A1B" w:rsidRDefault="00CC183C" w:rsidP="00CC183C">
            <w:pPr>
              <w:pStyle w:val="TableParagraph"/>
              <w:spacing w:line="210" w:lineRule="exact"/>
              <w:ind w:left="117"/>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2"/>
                <w:sz w:val="18"/>
              </w:rPr>
              <w:t>103.2</w:t>
            </w:r>
            <w:r>
              <w:rPr>
                <w:rFonts w:ascii="Times New Roman" w:hAnsi="Times New Roman" w:cs="Times New Roman"/>
                <w:spacing w:val="-2"/>
                <w:sz w:val="18"/>
              </w:rPr>
              <w:t>4</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CEC1434" w14:textId="77777777" w:rsidR="00CC183C" w:rsidRPr="00427A1B" w:rsidRDefault="00CC183C" w:rsidP="00CC183C">
            <w:pPr>
              <w:pStyle w:val="TableParagraph"/>
              <w:spacing w:line="210" w:lineRule="exact"/>
              <w:rPr>
                <w:rFonts w:ascii="Times New Roman" w:hAnsi="Times New Roman" w:cs="Times New Roman"/>
                <w:sz w:val="18"/>
              </w:rPr>
            </w:pPr>
            <w:r w:rsidRPr="00427A1B">
              <w:rPr>
                <w:rFonts w:ascii="Times New Roman" w:hAnsi="Times New Roman" w:cs="Times New Roman"/>
                <w:spacing w:val="-4"/>
                <w:sz w:val="18"/>
              </w:rPr>
              <w:t>1.07</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7CFDCAB" w14:textId="77777777" w:rsidR="00CC183C" w:rsidRPr="00427A1B" w:rsidRDefault="00CC183C" w:rsidP="00CC183C">
            <w:pPr>
              <w:pStyle w:val="TableParagraph"/>
              <w:spacing w:line="210" w:lineRule="exact"/>
              <w:ind w:left="73"/>
              <w:rPr>
                <w:rFonts w:ascii="Times New Roman" w:hAnsi="Times New Roman" w:cs="Times New Roman"/>
                <w:sz w:val="18"/>
              </w:rPr>
            </w:pPr>
            <w:r w:rsidRPr="00427A1B">
              <w:rPr>
                <w:rFonts w:ascii="Times New Roman" w:hAnsi="Times New Roman" w:cs="Times New Roman"/>
                <w:spacing w:val="-5"/>
                <w:sz w:val="18"/>
              </w:rPr>
              <w:t>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C51546D" w14:textId="77777777" w:rsidR="00CC183C" w:rsidRPr="00427A1B" w:rsidRDefault="00CC183C" w:rsidP="00CC183C">
            <w:pPr>
              <w:pStyle w:val="TableParagraph"/>
              <w:spacing w:line="210" w:lineRule="exact"/>
              <w:ind w:left="113"/>
              <w:rPr>
                <w:rFonts w:ascii="Times New Roman" w:hAnsi="Times New Roman" w:cs="Times New Roman"/>
                <w:sz w:val="18"/>
              </w:rPr>
            </w:pPr>
            <w:r w:rsidRPr="00427A1B">
              <w:rPr>
                <w:rFonts w:ascii="Times New Roman" w:hAnsi="Times New Roman" w:cs="Times New Roman"/>
                <w:spacing w:val="-4"/>
                <w:sz w:val="18"/>
              </w:rPr>
              <w:t>1.09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720BE4E" w14:textId="77777777" w:rsidR="00CC183C" w:rsidRPr="00427A1B" w:rsidRDefault="00CC183C" w:rsidP="00CC183C">
            <w:pPr>
              <w:pStyle w:val="TableParagraph"/>
              <w:spacing w:line="210" w:lineRule="exact"/>
              <w:ind w:left="112"/>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2"/>
                <w:sz w:val="18"/>
              </w:rPr>
              <w:t>200.09</w:t>
            </w:r>
          </w:p>
        </w:tc>
        <w:tc>
          <w:tcPr>
            <w:tcW w:w="1021" w:type="dxa"/>
            <w:vMerge/>
            <w:tcBorders>
              <w:left w:val="single" w:sz="4" w:space="0" w:color="000000" w:themeColor="text1"/>
            </w:tcBorders>
          </w:tcPr>
          <w:p w14:paraId="0E316E9C" w14:textId="77777777" w:rsidR="00CC183C" w:rsidRPr="00427A1B" w:rsidRDefault="00CC183C" w:rsidP="00CC183C">
            <w:pPr>
              <w:rPr>
                <w:rFonts w:ascii="Times New Roman" w:hAnsi="Times New Roman" w:cs="Times New Roman"/>
                <w:sz w:val="2"/>
                <w:szCs w:val="2"/>
              </w:rPr>
            </w:pPr>
          </w:p>
        </w:tc>
      </w:tr>
      <w:tr w:rsidR="00CC183C" w:rsidRPr="00427A1B" w14:paraId="3FCD5A6B" w14:textId="77777777" w:rsidTr="00F77D84">
        <w:trPr>
          <w:trHeight w:val="268"/>
        </w:trPr>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989AA31" w14:textId="3CBD43E1" w:rsidR="00CC183C" w:rsidRPr="00427A1B" w:rsidRDefault="00CC183C" w:rsidP="00CC183C">
            <w:pPr>
              <w:pStyle w:val="TableParagraph"/>
              <w:spacing w:line="210" w:lineRule="exact"/>
              <w:ind w:left="119"/>
              <w:rPr>
                <w:rFonts w:ascii="Times New Roman" w:hAnsi="Times New Roman" w:cs="Times New Roman"/>
                <w:sz w:val="18"/>
              </w:rPr>
            </w:pPr>
            <w:r w:rsidRPr="002B0DBF">
              <w:rPr>
                <w:rFonts w:ascii="Times New Roman" w:hAnsi="Times New Roman" w:cs="Times New Roman"/>
                <w:spacing w:val="-2"/>
                <w:sz w:val="18"/>
              </w:rPr>
              <w:t>Stress</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152D9A5" w14:textId="77777777" w:rsidR="00CC183C" w:rsidRPr="00427A1B" w:rsidRDefault="00CC183C" w:rsidP="00CC183C">
            <w:pPr>
              <w:pStyle w:val="TableParagraph"/>
              <w:spacing w:line="210" w:lineRule="exact"/>
              <w:ind w:left="115"/>
              <w:rPr>
                <w:rFonts w:ascii="Times New Roman" w:hAnsi="Times New Roman" w:cs="Times New Roman"/>
                <w:sz w:val="18"/>
              </w:rPr>
            </w:pPr>
            <w:r w:rsidRPr="00427A1B">
              <w:rPr>
                <w:rFonts w:ascii="Times New Roman" w:hAnsi="Times New Roman" w:cs="Times New Roman"/>
                <w:spacing w:val="-4"/>
                <w:sz w:val="18"/>
              </w:rPr>
              <w:t>1.03</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2743920" w14:textId="77777777" w:rsidR="00CC183C" w:rsidRPr="00427A1B" w:rsidRDefault="00CC183C" w:rsidP="00CC183C">
            <w:pPr>
              <w:pStyle w:val="TableParagraph"/>
              <w:spacing w:line="210" w:lineRule="exact"/>
              <w:ind w:left="5" w:right="60"/>
              <w:jc w:val="center"/>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4"/>
                <w:sz w:val="18"/>
              </w:rPr>
              <w:t>1.92</w:t>
            </w:r>
          </w:p>
        </w:tc>
        <w:tc>
          <w:tcPr>
            <w:tcW w:w="1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FC06495" w14:textId="77777777" w:rsidR="00CC183C" w:rsidRPr="00427A1B" w:rsidRDefault="00CC183C" w:rsidP="00CC183C">
            <w:pPr>
              <w:pStyle w:val="TableParagraph"/>
              <w:spacing w:line="248" w:lineRule="exact"/>
              <w:ind w:left="0" w:right="93"/>
              <w:jc w:val="center"/>
              <w:rPr>
                <w:rFonts w:ascii="Times New Roman" w:hAnsi="Times New Roman" w:cs="Times New Roman"/>
              </w:rPr>
            </w:pPr>
            <w:r w:rsidRPr="00427A1B">
              <w:rPr>
                <w:rFonts w:ascii="Times New Roman" w:hAnsi="Times New Roman" w:cs="Times New Roman"/>
                <w:spacing w:val="-2"/>
              </w:rPr>
              <w:t>-1.23924</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2DF72E9" w14:textId="5734A8AF" w:rsidR="00CC183C" w:rsidRPr="00427A1B" w:rsidRDefault="00CC183C" w:rsidP="00CC183C">
            <w:pPr>
              <w:pStyle w:val="TableParagraph"/>
              <w:spacing w:line="210" w:lineRule="exact"/>
              <w:ind w:left="117"/>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2"/>
                <w:sz w:val="18"/>
              </w:rPr>
              <w:t>203.2</w:t>
            </w:r>
            <w:r>
              <w:rPr>
                <w:rFonts w:ascii="Times New Roman" w:hAnsi="Times New Roman" w:cs="Times New Roman"/>
                <w:spacing w:val="-2"/>
                <w:sz w:val="18"/>
              </w:rPr>
              <w:t>4</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14812C3" w14:textId="77777777" w:rsidR="00CC183C" w:rsidRPr="00427A1B" w:rsidRDefault="00CC183C" w:rsidP="00CC183C">
            <w:pPr>
              <w:pStyle w:val="TableParagraph"/>
              <w:spacing w:line="210" w:lineRule="exact"/>
              <w:rPr>
                <w:rFonts w:ascii="Times New Roman" w:hAnsi="Times New Roman" w:cs="Times New Roman"/>
                <w:sz w:val="18"/>
              </w:rPr>
            </w:pPr>
            <w:r w:rsidRPr="00427A1B">
              <w:rPr>
                <w:rFonts w:ascii="Times New Roman" w:hAnsi="Times New Roman" w:cs="Times New Roman"/>
                <w:spacing w:val="-4"/>
                <w:sz w:val="18"/>
              </w:rPr>
              <w:t>1.08</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5048C93" w14:textId="77777777" w:rsidR="00CC183C" w:rsidRPr="00427A1B" w:rsidRDefault="00CC183C" w:rsidP="00CC183C">
            <w:pPr>
              <w:pStyle w:val="TableParagraph"/>
              <w:spacing w:line="210" w:lineRule="exact"/>
              <w:ind w:left="73"/>
              <w:rPr>
                <w:rFonts w:ascii="Times New Roman" w:hAnsi="Times New Roman" w:cs="Times New Roman"/>
                <w:sz w:val="18"/>
              </w:rPr>
            </w:pPr>
            <w:r w:rsidRPr="00427A1B">
              <w:rPr>
                <w:rFonts w:ascii="Times New Roman" w:hAnsi="Times New Roman" w:cs="Times New Roman"/>
                <w:spacing w:val="-4"/>
                <w:sz w:val="18"/>
              </w:rPr>
              <w:t>2.85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A918CB1" w14:textId="77777777" w:rsidR="00CC183C" w:rsidRPr="00427A1B" w:rsidRDefault="00CC183C" w:rsidP="00CC183C">
            <w:pPr>
              <w:pStyle w:val="TableParagraph"/>
              <w:spacing w:line="210" w:lineRule="exact"/>
              <w:ind w:left="113"/>
              <w:rPr>
                <w:rFonts w:ascii="Times New Roman" w:hAnsi="Times New Roman" w:cs="Times New Roman"/>
                <w:sz w:val="18"/>
              </w:rPr>
            </w:pPr>
            <w:r w:rsidRPr="00427A1B">
              <w:rPr>
                <w:rFonts w:ascii="Times New Roman" w:hAnsi="Times New Roman" w:cs="Times New Roman"/>
                <w:spacing w:val="-4"/>
                <w:sz w:val="18"/>
              </w:rPr>
              <w:t>1.09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CCF18FF" w14:textId="77777777" w:rsidR="00CC183C" w:rsidRPr="00427A1B" w:rsidRDefault="00CC183C" w:rsidP="00CC183C">
            <w:pPr>
              <w:pStyle w:val="TableParagraph"/>
              <w:spacing w:line="210" w:lineRule="exact"/>
              <w:ind w:left="112"/>
              <w:rPr>
                <w:rFonts w:ascii="Times New Roman" w:hAnsi="Times New Roman" w:cs="Times New Roman"/>
                <w:sz w:val="18"/>
              </w:rPr>
            </w:pPr>
            <w:r w:rsidRPr="00427A1B">
              <w:rPr>
                <w:rFonts w:ascii="Times New Roman" w:hAnsi="Times New Roman" w:cs="Times New Roman"/>
                <w:sz w:val="18"/>
              </w:rPr>
              <w:t>-</w:t>
            </w:r>
            <w:r w:rsidRPr="00427A1B">
              <w:rPr>
                <w:rFonts w:ascii="Times New Roman" w:hAnsi="Times New Roman" w:cs="Times New Roman"/>
                <w:spacing w:val="-2"/>
                <w:sz w:val="18"/>
              </w:rPr>
              <w:t>300.09</w:t>
            </w:r>
          </w:p>
        </w:tc>
        <w:tc>
          <w:tcPr>
            <w:tcW w:w="1021" w:type="dxa"/>
            <w:vMerge/>
            <w:tcBorders>
              <w:left w:val="single" w:sz="4" w:space="0" w:color="000000" w:themeColor="text1"/>
            </w:tcBorders>
          </w:tcPr>
          <w:p w14:paraId="0FFEDF68" w14:textId="77777777" w:rsidR="00CC183C" w:rsidRPr="00427A1B" w:rsidRDefault="00CC183C" w:rsidP="00CC183C">
            <w:pPr>
              <w:rPr>
                <w:rFonts w:ascii="Times New Roman" w:hAnsi="Times New Roman" w:cs="Times New Roman"/>
                <w:sz w:val="2"/>
                <w:szCs w:val="2"/>
              </w:rPr>
            </w:pPr>
          </w:p>
        </w:tc>
      </w:tr>
      <w:tr w:rsidR="007E4EC2" w:rsidRPr="00427A1B" w14:paraId="5A807F36" w14:textId="77777777" w:rsidTr="00F77D84">
        <w:trPr>
          <w:trHeight w:val="1113"/>
        </w:trPr>
        <w:tc>
          <w:tcPr>
            <w:tcW w:w="11006" w:type="dxa"/>
            <w:gridSpan w:val="12"/>
          </w:tcPr>
          <w:p w14:paraId="1B5F8DC3" w14:textId="77777777" w:rsidR="00841698" w:rsidRPr="009B284D" w:rsidRDefault="00841698" w:rsidP="00841698">
            <w:pPr>
              <w:pStyle w:val="TableParagraph"/>
              <w:spacing w:line="252" w:lineRule="auto"/>
              <w:ind w:right="187"/>
              <w:jc w:val="both"/>
              <w:rPr>
                <w:rFonts w:ascii="Times New Roman" w:hAnsi="Times New Roman" w:cs="Times New Roman"/>
                <w:bCs/>
                <w:color w:val="F28C28"/>
                <w:sz w:val="18"/>
                <w:lang w:val="en-GB"/>
              </w:rPr>
            </w:pPr>
            <w:r w:rsidRPr="009B284D">
              <w:rPr>
                <w:rFonts w:ascii="Times New Roman" w:hAnsi="Times New Roman" w:cs="Times New Roman"/>
                <w:bCs/>
                <w:color w:val="F28C28"/>
                <w:sz w:val="18"/>
                <w:lang w:val="en-GB"/>
              </w:rPr>
              <w:t>Die dargestellten Werte enthalten alle Kosten des Produkts selbst, jedoch nicht alle Kosten, die Sie an Ihren Berater oder Vertriebspartner zahlen. Die Werte berücksichtigen nicht Ihre persönliche Steuersituation, die ebenfalls beeinflussen kann, wie viel Sie zurückerhalten.</w:t>
            </w:r>
          </w:p>
          <w:p w14:paraId="3BCE3726" w14:textId="77777777" w:rsidR="00841698" w:rsidRPr="009B284D" w:rsidRDefault="00841698" w:rsidP="00841698">
            <w:pPr>
              <w:pStyle w:val="TableParagraph"/>
              <w:spacing w:line="252" w:lineRule="auto"/>
              <w:ind w:right="187"/>
              <w:jc w:val="both"/>
              <w:rPr>
                <w:rFonts w:ascii="Times New Roman" w:hAnsi="Times New Roman" w:cs="Times New Roman"/>
                <w:bCs/>
                <w:color w:val="F28C28"/>
                <w:sz w:val="18"/>
                <w:lang w:val="en-GB"/>
              </w:rPr>
            </w:pPr>
            <w:r w:rsidRPr="009B284D">
              <w:rPr>
                <w:rFonts w:ascii="Times New Roman" w:hAnsi="Times New Roman" w:cs="Times New Roman"/>
                <w:bCs/>
                <w:color w:val="F28C28"/>
                <w:sz w:val="18"/>
                <w:lang w:val="en-GB"/>
              </w:rPr>
              <w:t>Das Eröffnen einer Long-Position bedeutet, dass Sie davon ausgehen, dass der Preis des zugrunde liegenden Instruments steigen wird.</w:t>
            </w:r>
            <w:r w:rsidRPr="009B284D">
              <w:rPr>
                <w:rFonts w:ascii="Times New Roman" w:hAnsi="Times New Roman" w:cs="Times New Roman"/>
                <w:bCs/>
                <w:color w:val="F28C28"/>
                <w:sz w:val="18"/>
                <w:lang w:val="en-GB"/>
              </w:rPr>
              <w:br/>
              <w:t>Das Eröffnen einer Short-Position bedeutet, dass Sie davon ausgehen, dass der Preis des zugrunde liegenden Instruments fallen wird.</w:t>
            </w:r>
          </w:p>
          <w:p w14:paraId="188C5408" w14:textId="71268751" w:rsidR="00EE0F5D" w:rsidRPr="00427A1B" w:rsidRDefault="00841698" w:rsidP="00841698">
            <w:pPr>
              <w:pStyle w:val="TableParagraph"/>
              <w:spacing w:before="130"/>
              <w:ind w:left="9"/>
              <w:jc w:val="both"/>
              <w:rPr>
                <w:rFonts w:ascii="Times New Roman" w:hAnsi="Times New Roman" w:cs="Times New Roman"/>
                <w:b/>
                <w:color w:val="F28C28"/>
                <w:sz w:val="18"/>
              </w:rPr>
            </w:pPr>
            <w:r w:rsidRPr="002B0DBF">
              <w:rPr>
                <w:rFonts w:ascii="Times New Roman" w:hAnsi="Times New Roman" w:cs="Times New Roman"/>
                <w:b/>
                <w:color w:val="F28C28"/>
                <w:sz w:val="18"/>
              </w:rPr>
              <w:t>*</w:t>
            </w:r>
            <w:r w:rsidRPr="002B0DBF">
              <w:rPr>
                <w:rFonts w:ascii="Times New Roman" w:hAnsi="Times New Roman" w:cs="Times New Roman"/>
                <w:b/>
                <w:i/>
                <w:iCs/>
                <w:color w:val="F28C28"/>
                <w:sz w:val="18"/>
                <w:lang w:val="en-GB"/>
              </w:rPr>
              <w:t>Der Verlust ist auf Ihr Kontoguthaben beschränkt, da wir einen Negativsaldoschutz anbieten.</w:t>
            </w:r>
          </w:p>
        </w:tc>
      </w:tr>
    </w:tbl>
    <w:p w14:paraId="0E9D1F53" w14:textId="77777777" w:rsidR="007E4EC2" w:rsidRPr="00427A1B" w:rsidRDefault="007E4EC2">
      <w:pPr>
        <w:pStyle w:val="TableParagraph"/>
        <w:jc w:val="both"/>
        <w:rPr>
          <w:rFonts w:ascii="Times New Roman" w:hAnsi="Times New Roman" w:cs="Times New Roman"/>
          <w:b/>
          <w:sz w:val="18"/>
        </w:rPr>
        <w:sectPr w:rsidR="007E4EC2" w:rsidRPr="00427A1B" w:rsidSect="00F77D84">
          <w:type w:val="continuous"/>
          <w:pgSz w:w="11910" w:h="16840"/>
          <w:pgMar w:top="560" w:right="425" w:bottom="280" w:left="566" w:header="720" w:footer="720" w:gutter="0"/>
          <w:cols w:space="720"/>
        </w:sectPr>
      </w:pPr>
    </w:p>
    <w:tbl>
      <w:tblPr>
        <w:tblW w:w="0" w:type="auto"/>
        <w:tblInd w:w="32" w:type="dxa"/>
        <w:tblBorders>
          <w:top w:val="single" w:sz="4" w:space="0" w:color="F28C28"/>
          <w:left w:val="single" w:sz="4" w:space="0" w:color="F28C28"/>
          <w:bottom w:val="single" w:sz="4" w:space="0" w:color="F28C28"/>
          <w:right w:val="single" w:sz="4" w:space="0" w:color="F28C28"/>
        </w:tblBorders>
        <w:tblLayout w:type="fixed"/>
        <w:tblCellMar>
          <w:left w:w="0" w:type="dxa"/>
          <w:right w:w="0" w:type="dxa"/>
        </w:tblCellMar>
        <w:tblLook w:val="01E0" w:firstRow="1" w:lastRow="1" w:firstColumn="1" w:lastColumn="1" w:noHBand="0" w:noVBand="0"/>
      </w:tblPr>
      <w:tblGrid>
        <w:gridCol w:w="1249"/>
        <w:gridCol w:w="1985"/>
        <w:gridCol w:w="1134"/>
        <w:gridCol w:w="6407"/>
      </w:tblGrid>
      <w:tr w:rsidR="007E4EC2" w:rsidRPr="00427A1B" w14:paraId="61FB0BCE" w14:textId="77777777" w:rsidTr="00F77D84">
        <w:trPr>
          <w:trHeight w:val="6672"/>
        </w:trPr>
        <w:tc>
          <w:tcPr>
            <w:tcW w:w="10775" w:type="dxa"/>
            <w:gridSpan w:val="4"/>
            <w:tcBorders>
              <w:bottom w:val="single" w:sz="4" w:space="0" w:color="000000" w:themeColor="text1"/>
            </w:tcBorders>
          </w:tcPr>
          <w:p w14:paraId="36CAD2A5" w14:textId="77777777" w:rsidR="00841698" w:rsidRPr="00040325" w:rsidRDefault="00841698" w:rsidP="007C1293">
            <w:pPr>
              <w:pStyle w:val="TableParagraph"/>
              <w:ind w:left="0"/>
              <w:jc w:val="both"/>
              <w:rPr>
                <w:rFonts w:ascii="Times New Roman" w:hAnsi="Times New Roman" w:cs="Times New Roman"/>
                <w:b/>
                <w:color w:val="F28C28"/>
                <w:sz w:val="20"/>
              </w:rPr>
            </w:pPr>
            <w:r w:rsidRPr="00040325">
              <w:rPr>
                <w:rFonts w:ascii="Times New Roman" w:hAnsi="Times New Roman" w:cs="Times New Roman"/>
                <w:b/>
                <w:color w:val="F28C28"/>
                <w:sz w:val="20"/>
              </w:rPr>
              <w:lastRenderedPageBreak/>
              <w:t>Was passiert, wenn VSMARKETS nicht zahlen kann?</w:t>
            </w:r>
          </w:p>
          <w:p w14:paraId="1DFFDFBB" w14:textId="77777777" w:rsidR="00841698" w:rsidRPr="00040325" w:rsidRDefault="00841698" w:rsidP="007C1293">
            <w:pPr>
              <w:pStyle w:val="TableParagraph"/>
              <w:ind w:left="0"/>
              <w:jc w:val="both"/>
              <w:rPr>
                <w:rFonts w:ascii="Times New Roman" w:hAnsi="Times New Roman" w:cs="Times New Roman"/>
                <w:sz w:val="18"/>
              </w:rPr>
            </w:pPr>
            <w:r w:rsidRPr="00040325">
              <w:rPr>
                <w:rFonts w:ascii="Times New Roman" w:hAnsi="Times New Roman" w:cs="Times New Roman"/>
                <w:sz w:val="18"/>
              </w:rPr>
              <w:t>Kundengelder werden immer auf segregierten Bankkonten verwahrt, getrennt vom eigenen Vermögen des Unternehmens, und gemäß den CySEC-Vorschriften zum Schutz von Kundengeldern gehalten.</w:t>
            </w:r>
          </w:p>
          <w:p w14:paraId="7C36CFF6" w14:textId="77777777" w:rsidR="00841698" w:rsidRPr="00040325" w:rsidRDefault="00841698" w:rsidP="007C1293">
            <w:pPr>
              <w:pStyle w:val="TableParagraph"/>
              <w:ind w:left="0"/>
              <w:jc w:val="both"/>
              <w:rPr>
                <w:rFonts w:ascii="Times New Roman" w:hAnsi="Times New Roman" w:cs="Times New Roman"/>
                <w:sz w:val="18"/>
              </w:rPr>
            </w:pPr>
            <w:r w:rsidRPr="00040325">
              <w:rPr>
                <w:rFonts w:ascii="Times New Roman" w:hAnsi="Times New Roman" w:cs="Times New Roman"/>
                <w:sz w:val="18"/>
              </w:rPr>
              <w:t>Im unwahrscheinlichen Fall, dass VSMARKETS aufgrund von Insolvenz ausfällt, kann es sein, dass Sie den Wert Ihrer Investition verlieren. VSMARKETS ist Mitglied des Anleger-Entschädigungsfonds (ICF) für Kunden zyprischer Investmentfirmen. Der ICF bietet Entschädigung, wenn wir nicht in der Lage sind, unsere Verpflichtungen Ihnen gegenüber zu erfüllen. Die maximale Entschädigung beträgt 20.000 € oder 90 % des Anspruchsbetrags, je nachdem, welcher Betrag geringer ist. Weitere Informationen finden Sie auf der Website der CySEC sowie in unserer Anleger-Entschädigungsfonds-Politik.</w:t>
            </w:r>
          </w:p>
          <w:p w14:paraId="5DD51810" w14:textId="77777777" w:rsidR="00841698" w:rsidRPr="00040325" w:rsidRDefault="00841698" w:rsidP="007C1293">
            <w:pPr>
              <w:pStyle w:val="TableParagraph"/>
              <w:ind w:left="0"/>
              <w:jc w:val="both"/>
              <w:rPr>
                <w:rFonts w:ascii="Times New Roman" w:hAnsi="Times New Roman" w:cs="Times New Roman"/>
                <w:b/>
                <w:sz w:val="18"/>
              </w:rPr>
            </w:pPr>
            <w:r w:rsidRPr="00040325">
              <w:rPr>
                <w:rFonts w:ascii="Times New Roman" w:hAnsi="Times New Roman" w:cs="Times New Roman"/>
                <w:b/>
                <w:sz w:val="18"/>
              </w:rPr>
              <w:t>Wie lange sollte ich es halten und kann ich frühzeitig Geld entnehmen?</w:t>
            </w:r>
          </w:p>
          <w:p w14:paraId="5308F5DA" w14:textId="77777777" w:rsidR="00841698" w:rsidRPr="00040325" w:rsidRDefault="00841698" w:rsidP="007C1293">
            <w:pPr>
              <w:pStyle w:val="TableParagraph"/>
              <w:ind w:left="0" w:right="-15"/>
              <w:jc w:val="both"/>
              <w:rPr>
                <w:rFonts w:ascii="Times New Roman" w:hAnsi="Times New Roman" w:cs="Times New Roman"/>
                <w:sz w:val="18"/>
              </w:rPr>
            </w:pPr>
            <w:r w:rsidRPr="00040325">
              <w:rPr>
                <w:rFonts w:ascii="Times New Roman" w:hAnsi="Times New Roman" w:cs="Times New Roman"/>
                <w:sz w:val="18"/>
              </w:rPr>
              <w:t>CFDs auf Rohstoffe haben im Allgemeinen keine empfohlene Haltedauer, da Sie selbst entscheiden, wann Sie Ihre Position(en) schließen. Sie sollten das Produkt regelmäßig überwachen, um den geeigneten Zeitpunkt zum Schließen Ihrer Positionen zu bestimmen — dies ist jederzeit während der normalen Handelszeiten möglich. In außergewöhnlichen Marktsituationen kann das Schließen oder Handeln vorübergehend nicht möglich sein; in solchen Fällen sollten Sie uns direkt kontaktieren.</w:t>
            </w:r>
          </w:p>
          <w:p w14:paraId="19CC9672" w14:textId="77777777" w:rsidR="00841698" w:rsidRPr="00040325" w:rsidRDefault="00841698" w:rsidP="007C1293">
            <w:pPr>
              <w:pStyle w:val="TableParagraph"/>
              <w:ind w:left="0" w:right="-15"/>
              <w:jc w:val="both"/>
              <w:rPr>
                <w:rFonts w:ascii="Times New Roman" w:hAnsi="Times New Roman" w:cs="Times New Roman"/>
                <w:sz w:val="18"/>
              </w:rPr>
            </w:pPr>
            <w:r w:rsidRPr="00040325">
              <w:rPr>
                <w:rFonts w:ascii="Times New Roman" w:hAnsi="Times New Roman" w:cs="Times New Roman"/>
                <w:sz w:val="18"/>
              </w:rPr>
              <w:t>Sie können jederzeit Geld abheben, außer dem Betrag, der als Margin für offene Positionen dient. Für dieses Produkt gibt es keine Widerrufs- oder Stornierungsfrist.</w:t>
            </w:r>
          </w:p>
          <w:p w14:paraId="58B45C9E" w14:textId="77777777" w:rsidR="00841698" w:rsidRPr="003A4710" w:rsidRDefault="00841698" w:rsidP="007C1293">
            <w:pPr>
              <w:pStyle w:val="TableParagraph"/>
              <w:ind w:left="0"/>
              <w:rPr>
                <w:rFonts w:ascii="Times New Roman" w:hAnsi="Times New Roman" w:cs="Times New Roman"/>
                <w:b/>
                <w:color w:val="F28C28"/>
                <w:sz w:val="20"/>
                <w:lang w:val="en-GB"/>
              </w:rPr>
            </w:pPr>
            <w:r w:rsidRPr="003A4710">
              <w:rPr>
                <w:rFonts w:ascii="Times New Roman" w:hAnsi="Times New Roman" w:cs="Times New Roman"/>
                <w:b/>
                <w:color w:val="F28C28"/>
                <w:sz w:val="20"/>
                <w:lang w:val="en-GB"/>
              </w:rPr>
              <w:t>Welche Kosten fallen an?</w:t>
            </w:r>
          </w:p>
          <w:p w14:paraId="1A520500" w14:textId="77777777" w:rsidR="00841698" w:rsidRPr="002B0DBF" w:rsidRDefault="00841698" w:rsidP="007C1293">
            <w:pPr>
              <w:pStyle w:val="TableParagraph"/>
              <w:ind w:left="0"/>
              <w:rPr>
                <w:rFonts w:ascii="Times New Roman" w:hAnsi="Times New Roman" w:cs="Times New Roman"/>
                <w:sz w:val="18"/>
              </w:rPr>
            </w:pPr>
            <w:r w:rsidRPr="002B0DBF">
              <w:rPr>
                <w:rFonts w:ascii="Times New Roman" w:hAnsi="Times New Roman" w:cs="Times New Roman"/>
                <w:sz w:val="18"/>
              </w:rPr>
              <w:t>Bevor Sie mit dem Handel beginnen, sollten Sie sich mit allen Kosten und Gebühren vertraut machen, die mit dem Handel verbunden sind. Diese Kosten verringern jeden Nettogewinn bzw. erhöhen mögliche Verluste. Weitere Informationen zur Zusammensetzung der Kosten und Gebühren finden Sie auf der Website von VSMARKETS.</w:t>
            </w:r>
          </w:p>
          <w:p w14:paraId="2A3C9ABE" w14:textId="77777777" w:rsidR="007E4EC2" w:rsidRPr="00427A1B" w:rsidRDefault="00561EB5" w:rsidP="007C1293">
            <w:pPr>
              <w:pStyle w:val="TableParagraph"/>
              <w:ind w:left="9"/>
              <w:rPr>
                <w:rFonts w:ascii="Times New Roman" w:hAnsi="Times New Roman" w:cs="Times New Roman"/>
                <w:b/>
                <w:color w:val="F28C28"/>
                <w:sz w:val="18"/>
              </w:rPr>
            </w:pPr>
            <w:r w:rsidRPr="00427A1B">
              <w:rPr>
                <w:rFonts w:ascii="Times New Roman" w:hAnsi="Times New Roman" w:cs="Times New Roman"/>
                <w:b/>
                <w:color w:val="F28C28"/>
                <w:sz w:val="18"/>
              </w:rPr>
              <w:t>Costs</w:t>
            </w:r>
            <w:r w:rsidRPr="00427A1B">
              <w:rPr>
                <w:rFonts w:ascii="Times New Roman" w:hAnsi="Times New Roman" w:cs="Times New Roman"/>
                <w:b/>
                <w:color w:val="F28C28"/>
                <w:spacing w:val="-7"/>
                <w:sz w:val="18"/>
              </w:rPr>
              <w:t xml:space="preserve"> </w:t>
            </w:r>
            <w:r w:rsidRPr="00427A1B">
              <w:rPr>
                <w:rFonts w:ascii="Times New Roman" w:hAnsi="Times New Roman" w:cs="Times New Roman"/>
                <w:b/>
                <w:color w:val="F28C28"/>
                <w:sz w:val="18"/>
              </w:rPr>
              <w:t>Over</w:t>
            </w:r>
            <w:r w:rsidRPr="00427A1B">
              <w:rPr>
                <w:rFonts w:ascii="Times New Roman" w:hAnsi="Times New Roman" w:cs="Times New Roman"/>
                <w:b/>
                <w:color w:val="F28C28"/>
                <w:spacing w:val="-1"/>
                <w:sz w:val="18"/>
              </w:rPr>
              <w:t xml:space="preserve"> </w:t>
            </w:r>
            <w:r w:rsidRPr="00427A1B">
              <w:rPr>
                <w:rFonts w:ascii="Times New Roman" w:hAnsi="Times New Roman" w:cs="Times New Roman"/>
                <w:b/>
                <w:color w:val="F28C28"/>
                <w:spacing w:val="-4"/>
                <w:sz w:val="18"/>
              </w:rPr>
              <w:t>Time</w:t>
            </w:r>
          </w:p>
          <w:p w14:paraId="17620301" w14:textId="77777777" w:rsidR="0094326F" w:rsidRPr="0094326F" w:rsidRDefault="0094326F" w:rsidP="007C1293">
            <w:pPr>
              <w:pStyle w:val="TableParagraph"/>
              <w:spacing w:line="374" w:lineRule="auto"/>
              <w:ind w:left="9" w:right="7179"/>
              <w:rPr>
                <w:rFonts w:ascii="Times New Roman" w:hAnsi="Times New Roman" w:cs="Times New Roman"/>
                <w:sz w:val="18"/>
                <w:lang w:val="en-GB"/>
              </w:rPr>
            </w:pPr>
            <w:r w:rsidRPr="0094326F">
              <w:rPr>
                <w:rFonts w:ascii="Times New Roman" w:hAnsi="Times New Roman" w:cs="Times New Roman"/>
                <w:sz w:val="18"/>
                <w:lang w:val="en-GB"/>
              </w:rPr>
              <w:t>Voraussichtliche Haltedauer: 4 Wochen – Investition:</w:t>
            </w:r>
          </w:p>
          <w:p w14:paraId="7209332D" w14:textId="662E4034" w:rsidR="007E4EC2" w:rsidRPr="00427A1B" w:rsidRDefault="00561EB5" w:rsidP="007C1293">
            <w:pPr>
              <w:pStyle w:val="TableParagraph"/>
              <w:spacing w:line="374" w:lineRule="auto"/>
              <w:ind w:left="9" w:right="7179"/>
              <w:rPr>
                <w:rFonts w:ascii="Times New Roman" w:hAnsi="Times New Roman" w:cs="Times New Roman"/>
                <w:sz w:val="18"/>
              </w:rPr>
            </w:pPr>
            <w:r w:rsidRPr="00427A1B">
              <w:rPr>
                <w:rFonts w:ascii="Times New Roman" w:hAnsi="Times New Roman" w:cs="Times New Roman"/>
                <w:sz w:val="18"/>
              </w:rPr>
              <w:t>$351</w:t>
            </w:r>
          </w:p>
          <w:p w14:paraId="65FD427A" w14:textId="6796DF29" w:rsidR="007E4EC2" w:rsidRPr="00427A1B" w:rsidRDefault="0094326F">
            <w:pPr>
              <w:pStyle w:val="TableParagraph"/>
              <w:spacing w:before="1"/>
              <w:ind w:left="9"/>
              <w:rPr>
                <w:rFonts w:ascii="Times New Roman" w:hAnsi="Times New Roman" w:cs="Times New Roman"/>
                <w:sz w:val="18"/>
              </w:rPr>
            </w:pPr>
            <w:r w:rsidRPr="0094326F">
              <w:rPr>
                <w:rFonts w:ascii="Times New Roman" w:hAnsi="Times New Roman" w:cs="Times New Roman"/>
                <w:sz w:val="18"/>
              </w:rPr>
              <w:t>Nominalbetrag</w:t>
            </w:r>
            <w:r w:rsidR="00561EB5" w:rsidRPr="00427A1B">
              <w:rPr>
                <w:rFonts w:ascii="Times New Roman" w:hAnsi="Times New Roman" w:cs="Times New Roman"/>
                <w:sz w:val="18"/>
              </w:rPr>
              <w:t>:</w:t>
            </w:r>
            <w:r w:rsidR="00561EB5" w:rsidRPr="00427A1B">
              <w:rPr>
                <w:rFonts w:ascii="Times New Roman" w:hAnsi="Times New Roman" w:cs="Times New Roman"/>
                <w:spacing w:val="-1"/>
                <w:sz w:val="18"/>
              </w:rPr>
              <w:t xml:space="preserve"> </w:t>
            </w:r>
            <w:r w:rsidR="00561EB5" w:rsidRPr="00427A1B">
              <w:rPr>
                <w:rFonts w:ascii="Times New Roman" w:hAnsi="Times New Roman" w:cs="Times New Roman"/>
                <w:spacing w:val="-2"/>
                <w:sz w:val="18"/>
              </w:rPr>
              <w:t>$10501</w:t>
            </w:r>
          </w:p>
          <w:p w14:paraId="3FEC2959" w14:textId="49396367" w:rsidR="007C1293" w:rsidRPr="007C1293" w:rsidRDefault="0094326F" w:rsidP="007C1293">
            <w:pPr>
              <w:pStyle w:val="TableParagraph"/>
              <w:spacing w:line="330" w:lineRule="atLeast"/>
              <w:ind w:left="9" w:right="6033"/>
              <w:rPr>
                <w:rFonts w:ascii="Times New Roman" w:hAnsi="Times New Roman" w:cs="Times New Roman"/>
                <w:sz w:val="18"/>
                <w:lang w:val="en-GB"/>
              </w:rPr>
            </w:pPr>
            <w:r w:rsidRPr="0094326F">
              <w:rPr>
                <w:rFonts w:ascii="Times New Roman" w:hAnsi="Times New Roman" w:cs="Times New Roman"/>
                <w:sz w:val="18"/>
                <w:lang w:val="en-GB"/>
              </w:rPr>
              <w:t>Gesamtkosten: -30,57 € (Spread + Kommission + Finanzierung) – Auswirkung auf die Rendite: -8,7 %</w:t>
            </w:r>
            <w:r w:rsidR="007C1293">
              <w:rPr>
                <w:lang w:val="en-GB"/>
              </w:rPr>
              <w:tab/>
            </w:r>
          </w:p>
        </w:tc>
      </w:tr>
      <w:tr w:rsidR="0094326F" w:rsidRPr="00427A1B" w14:paraId="720BF416" w14:textId="77777777" w:rsidTr="00F77D84">
        <w:trPr>
          <w:trHeight w:val="210"/>
        </w:trPr>
        <w:tc>
          <w:tcPr>
            <w:tcW w:w="107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700BAD2" w14:textId="33EEB5A9" w:rsidR="0094326F" w:rsidRPr="00427A1B" w:rsidRDefault="0094326F" w:rsidP="0094326F">
            <w:pPr>
              <w:pStyle w:val="TableParagraph"/>
              <w:spacing w:line="191" w:lineRule="exact"/>
              <w:ind w:left="119"/>
              <w:rPr>
                <w:rFonts w:ascii="Times New Roman" w:hAnsi="Times New Roman" w:cs="Times New Roman"/>
                <w:b/>
                <w:sz w:val="18"/>
              </w:rPr>
            </w:pPr>
            <w:r w:rsidRPr="003A4710">
              <w:rPr>
                <w:rFonts w:ascii="Times New Roman" w:hAnsi="Times New Roman" w:cs="Times New Roman"/>
                <w:b/>
                <w:color w:val="FFFFFF"/>
                <w:sz w:val="18"/>
                <w:lang w:val="en-GB"/>
              </w:rPr>
              <w:t>Diese Tabelle zeigt die verschiedenen Arten von Kostenkategorien und ihre Bedeutung:</w:t>
            </w:r>
          </w:p>
        </w:tc>
      </w:tr>
      <w:tr w:rsidR="0094326F" w:rsidRPr="00427A1B" w14:paraId="3EDA0845" w14:textId="77777777" w:rsidTr="007C1293">
        <w:trPr>
          <w:trHeight w:val="612"/>
        </w:trPr>
        <w:tc>
          <w:tcPr>
            <w:tcW w:w="12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755C4ED8" w14:textId="77777777" w:rsidR="0094326F" w:rsidRPr="003A4710" w:rsidRDefault="0094326F" w:rsidP="0094326F">
            <w:pPr>
              <w:pStyle w:val="TableParagraph"/>
              <w:spacing w:line="187" w:lineRule="exact"/>
              <w:ind w:left="119"/>
              <w:rPr>
                <w:rFonts w:ascii="Times New Roman" w:hAnsi="Times New Roman" w:cs="Times New Roman"/>
                <w:b/>
                <w:spacing w:val="-2"/>
                <w:sz w:val="16"/>
                <w:lang w:val="en-GB"/>
              </w:rPr>
            </w:pPr>
            <w:r w:rsidRPr="003A4710">
              <w:rPr>
                <w:rFonts w:ascii="Times New Roman" w:hAnsi="Times New Roman" w:cs="Times New Roman"/>
                <w:b/>
                <w:spacing w:val="-2"/>
                <w:sz w:val="16"/>
                <w:lang w:val="en-GB"/>
              </w:rPr>
              <w:t>Einmalige Kosten</w:t>
            </w:r>
          </w:p>
          <w:p w14:paraId="2C57134E" w14:textId="763F4C3A" w:rsidR="0094326F" w:rsidRPr="00427A1B" w:rsidRDefault="0094326F" w:rsidP="0094326F">
            <w:pPr>
              <w:pStyle w:val="TableParagraph"/>
              <w:spacing w:before="1"/>
              <w:ind w:left="119"/>
              <w:rPr>
                <w:rFonts w:ascii="Times New Roman" w:hAnsi="Times New Roman" w:cs="Times New Roman"/>
                <w:b/>
                <w:sz w:val="16"/>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38C7021" w14:textId="315A969D" w:rsidR="0094326F" w:rsidRPr="00427A1B" w:rsidRDefault="0094326F" w:rsidP="0094326F">
            <w:pPr>
              <w:pStyle w:val="TableParagraph"/>
              <w:spacing w:before="1"/>
              <w:ind w:left="115"/>
              <w:rPr>
                <w:rFonts w:ascii="Times New Roman" w:hAnsi="Times New Roman" w:cs="Times New Roman"/>
                <w:i/>
                <w:sz w:val="16"/>
              </w:rPr>
            </w:pPr>
            <w:r w:rsidRPr="002B0DBF">
              <w:rPr>
                <w:rFonts w:ascii="Times New Roman" w:hAnsi="Times New Roman" w:cs="Times New Roman"/>
                <w:i/>
                <w:spacing w:val="-2"/>
                <w:sz w:val="16"/>
              </w:rPr>
              <w:t>Spread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5DB65ED4" w14:textId="6901835B" w:rsidR="0094326F" w:rsidRPr="00427A1B" w:rsidRDefault="0094326F" w:rsidP="0094326F">
            <w:pPr>
              <w:pStyle w:val="TableParagraph"/>
              <w:spacing w:before="1"/>
              <w:rPr>
                <w:rFonts w:ascii="Times New Roman" w:hAnsi="Times New Roman" w:cs="Times New Roman"/>
                <w:sz w:val="16"/>
              </w:rPr>
            </w:pPr>
            <w:r w:rsidRPr="002B0DBF">
              <w:rPr>
                <w:rFonts w:ascii="Times New Roman" w:hAnsi="Times New Roman" w:cs="Times New Roman"/>
                <w:sz w:val="16"/>
              </w:rPr>
              <w:t>Standardkonto</w:t>
            </w:r>
          </w:p>
        </w:tc>
        <w:tc>
          <w:tcPr>
            <w:tcW w:w="6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49B5C7F" w14:textId="77777777" w:rsidR="0094326F" w:rsidRPr="0094326F" w:rsidRDefault="0094326F" w:rsidP="0094326F">
            <w:pPr>
              <w:pStyle w:val="TableParagraph"/>
              <w:spacing w:before="1"/>
              <w:ind w:right="190"/>
              <w:rPr>
                <w:rFonts w:ascii="Times New Roman" w:hAnsi="Times New Roman" w:cs="Times New Roman"/>
                <w:sz w:val="16"/>
                <w:lang w:val="en-GB"/>
              </w:rPr>
            </w:pPr>
            <w:r w:rsidRPr="0094326F">
              <w:rPr>
                <w:rFonts w:ascii="Times New Roman" w:hAnsi="Times New Roman" w:cs="Times New Roman"/>
                <w:sz w:val="16"/>
                <w:lang w:val="en-GB"/>
              </w:rPr>
              <w:t>Die Differenz zwischen dem Kaufpreis (Ask) und dem Verkaufspreis (Bid). Beim Öffnen einer Position wird die „Kostenbelastung“ durch den Spread realisiert. Trader sollten beachten, dass sich Spreads bei geringer Liquidität deutlich gegenüber ihrem normalen Niveau ausweiten können.</w:t>
            </w:r>
          </w:p>
          <w:p w14:paraId="764136A3" w14:textId="19A75CAF" w:rsidR="0094326F" w:rsidRPr="00427A1B" w:rsidRDefault="0094326F" w:rsidP="0094326F">
            <w:pPr>
              <w:pStyle w:val="TableParagraph"/>
              <w:spacing w:before="1"/>
              <w:ind w:right="190"/>
              <w:rPr>
                <w:rFonts w:ascii="Times New Roman" w:hAnsi="Times New Roman" w:cs="Times New Roman"/>
                <w:sz w:val="16"/>
              </w:rPr>
            </w:pPr>
          </w:p>
        </w:tc>
      </w:tr>
      <w:tr w:rsidR="0094326F" w:rsidRPr="00427A1B" w14:paraId="41FAD21D" w14:textId="77777777" w:rsidTr="007C1293">
        <w:trPr>
          <w:trHeight w:val="722"/>
        </w:trPr>
        <w:tc>
          <w:tcPr>
            <w:tcW w:w="12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D7C1F0D" w14:textId="77777777" w:rsidR="0094326F" w:rsidRPr="00427A1B" w:rsidRDefault="0094326F" w:rsidP="0094326F">
            <w:pPr>
              <w:rPr>
                <w:rFonts w:ascii="Times New Roman" w:hAnsi="Times New Roman" w:cs="Times New Roman"/>
                <w:sz w:val="2"/>
                <w:szCs w:val="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DC0035A" w14:textId="30A41EA4" w:rsidR="0094326F" w:rsidRPr="00427A1B" w:rsidRDefault="0094326F" w:rsidP="0094326F">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pacing w:val="-2"/>
                <w:sz w:val="16"/>
              </w:rPr>
              <w:t>Kommission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A4D4E11" w14:textId="3F58AA69" w:rsidR="0094326F" w:rsidRPr="00427A1B" w:rsidRDefault="0094326F" w:rsidP="0094326F">
            <w:pPr>
              <w:pStyle w:val="TableParagraph"/>
              <w:spacing w:line="187" w:lineRule="exact"/>
              <w:rPr>
                <w:rFonts w:ascii="Times New Roman" w:hAnsi="Times New Roman" w:cs="Times New Roman"/>
                <w:sz w:val="16"/>
              </w:rPr>
            </w:pPr>
            <w:r w:rsidRPr="002B0DBF">
              <w:rPr>
                <w:rFonts w:ascii="Times New Roman" w:hAnsi="Times New Roman" w:cs="Times New Roman"/>
                <w:sz w:val="16"/>
              </w:rPr>
              <w:t>Standardkonto</w:t>
            </w:r>
          </w:p>
        </w:tc>
        <w:tc>
          <w:tcPr>
            <w:tcW w:w="6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12EF85D" w14:textId="5231329F" w:rsidR="0094326F" w:rsidRPr="00427A1B" w:rsidRDefault="0094326F" w:rsidP="0094326F">
            <w:pPr>
              <w:pStyle w:val="TableParagraph"/>
              <w:ind w:right="190"/>
              <w:rPr>
                <w:rFonts w:ascii="Times New Roman" w:hAnsi="Times New Roman" w:cs="Times New Roman"/>
                <w:sz w:val="16"/>
              </w:rPr>
            </w:pPr>
            <w:r w:rsidRPr="0094326F">
              <w:rPr>
                <w:rFonts w:ascii="Times New Roman" w:hAnsi="Times New Roman" w:cs="Times New Roman"/>
                <w:sz w:val="16"/>
              </w:rPr>
              <w:t>Eine Kommissionsgebühr wird auf Basis des Transaktionsvolumens berechnet und stellt eine einmalige Gebühr für das Öffnen und Schließen einer Position dar.</w:t>
            </w:r>
            <w:r w:rsidRPr="0094326F">
              <w:rPr>
                <w:rFonts w:ascii="Times New Roman" w:hAnsi="Times New Roman" w:cs="Times New Roman"/>
                <w:sz w:val="16"/>
              </w:rPr>
              <w:br/>
              <w:t>Beispiel: Auf einem Retail-Konto beträgt bei einem Handel auf EURUSD mit einer Kontraktgröße von 10.000 EUR die Kommission pro Seite 0,50 EUR und 1 EUR „round turn“.</w:t>
            </w:r>
          </w:p>
        </w:tc>
      </w:tr>
      <w:tr w:rsidR="0094326F" w:rsidRPr="00427A1B" w14:paraId="20603C80" w14:textId="77777777" w:rsidTr="007C1293">
        <w:trPr>
          <w:trHeight w:val="275"/>
        </w:trPr>
        <w:tc>
          <w:tcPr>
            <w:tcW w:w="12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4E5B8391" w14:textId="77777777" w:rsidR="0094326F" w:rsidRPr="00427A1B" w:rsidRDefault="0094326F" w:rsidP="0094326F">
            <w:pPr>
              <w:rPr>
                <w:rFonts w:ascii="Times New Roman" w:hAnsi="Times New Roman" w:cs="Times New Roman"/>
                <w:sz w:val="2"/>
                <w:szCs w:val="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27D33422" w14:textId="3A70749E" w:rsidR="0094326F" w:rsidRPr="00427A1B" w:rsidRDefault="0094326F" w:rsidP="0094326F">
            <w:pPr>
              <w:pStyle w:val="TableParagraph"/>
              <w:spacing w:line="187" w:lineRule="exact"/>
              <w:ind w:left="115"/>
              <w:rPr>
                <w:rFonts w:ascii="Times New Roman" w:hAnsi="Times New Roman" w:cs="Times New Roman"/>
                <w:i/>
                <w:sz w:val="16"/>
              </w:rPr>
            </w:pPr>
            <w:r w:rsidRPr="002B0DBF">
              <w:rPr>
                <w:rFonts w:ascii="Times New Roman" w:hAnsi="Times New Roman" w:cs="Times New Roman"/>
                <w:i/>
                <w:sz w:val="16"/>
              </w:rPr>
              <w:t>Währungsumrechnung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C83C9C0" w14:textId="55432CA1" w:rsidR="0094326F" w:rsidRPr="00427A1B" w:rsidRDefault="0094326F" w:rsidP="0094326F">
            <w:pPr>
              <w:pStyle w:val="TableParagraph"/>
              <w:spacing w:line="187" w:lineRule="exact"/>
              <w:rPr>
                <w:rFonts w:ascii="Times New Roman" w:hAnsi="Times New Roman" w:cs="Times New Roman"/>
                <w:sz w:val="16"/>
              </w:rPr>
            </w:pPr>
            <w:r w:rsidRPr="002B0DBF">
              <w:rPr>
                <w:rFonts w:ascii="Times New Roman" w:hAnsi="Times New Roman" w:cs="Times New Roman"/>
                <w:sz w:val="16"/>
              </w:rPr>
              <w:t>Standardkonto</w:t>
            </w:r>
          </w:p>
        </w:tc>
        <w:tc>
          <w:tcPr>
            <w:tcW w:w="6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16DFBCF2" w14:textId="67BB8F37" w:rsidR="0094326F" w:rsidRPr="0094326F" w:rsidRDefault="0094326F" w:rsidP="0094326F">
            <w:pPr>
              <w:pStyle w:val="TableParagraph"/>
              <w:spacing w:line="188" w:lineRule="exact"/>
              <w:ind w:right="190"/>
              <w:rPr>
                <w:rFonts w:ascii="Times New Roman" w:hAnsi="Times New Roman" w:cs="Times New Roman"/>
                <w:sz w:val="16"/>
                <w:lang w:val="en-GB"/>
              </w:rPr>
            </w:pPr>
            <w:r w:rsidRPr="0094326F">
              <w:rPr>
                <w:rFonts w:ascii="Times New Roman" w:hAnsi="Times New Roman" w:cs="Times New Roman"/>
                <w:sz w:val="16"/>
                <w:lang w:val="en-GB"/>
              </w:rPr>
              <w:t>Das Unternehmen erhebt keine Umrechnungsgebühr.</w:t>
            </w:r>
          </w:p>
        </w:tc>
      </w:tr>
      <w:tr w:rsidR="0094326F" w:rsidRPr="00427A1B" w14:paraId="72FF6BAE" w14:textId="77777777" w:rsidTr="007C1293">
        <w:trPr>
          <w:trHeight w:val="964"/>
        </w:trPr>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D783C72" w14:textId="5073967B" w:rsidR="0094326F" w:rsidRPr="00427A1B" w:rsidRDefault="0094326F" w:rsidP="0094326F">
            <w:pPr>
              <w:pStyle w:val="TableParagraph"/>
              <w:ind w:left="119"/>
              <w:rPr>
                <w:rFonts w:ascii="Times New Roman" w:hAnsi="Times New Roman" w:cs="Times New Roman"/>
                <w:b/>
                <w:sz w:val="16"/>
              </w:rPr>
            </w:pPr>
            <w:r w:rsidRPr="003A4710">
              <w:rPr>
                <w:rFonts w:ascii="Times New Roman" w:hAnsi="Times New Roman" w:cs="Times New Roman"/>
                <w:sz w:val="16"/>
                <w:lang w:val="en-GB"/>
              </w:rPr>
              <w:t>Laufende Kosten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38B3D9E6" w14:textId="07AF31B2" w:rsidR="0094326F" w:rsidRPr="00427A1B" w:rsidRDefault="0094326F" w:rsidP="0094326F">
            <w:pPr>
              <w:pStyle w:val="TableParagraph"/>
              <w:spacing w:line="185" w:lineRule="exact"/>
              <w:ind w:left="115"/>
              <w:rPr>
                <w:rFonts w:ascii="Times New Roman" w:hAnsi="Times New Roman" w:cs="Times New Roman"/>
                <w:i/>
                <w:sz w:val="16"/>
              </w:rPr>
            </w:pPr>
            <w:r w:rsidRPr="002B0DBF">
              <w:rPr>
                <w:rFonts w:ascii="Times New Roman" w:hAnsi="Times New Roman" w:cs="Times New Roman"/>
                <w:i/>
                <w:spacing w:val="-4"/>
                <w:sz w:val="16"/>
              </w:rPr>
              <w:t>Swap</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66BB2964" w14:textId="4085824D" w:rsidR="0094326F" w:rsidRPr="00427A1B" w:rsidRDefault="0094326F" w:rsidP="0094326F">
            <w:pPr>
              <w:pStyle w:val="TableParagraph"/>
              <w:spacing w:line="185" w:lineRule="exact"/>
              <w:rPr>
                <w:rFonts w:ascii="Times New Roman" w:hAnsi="Times New Roman" w:cs="Times New Roman"/>
                <w:sz w:val="16"/>
              </w:rPr>
            </w:pPr>
            <w:r w:rsidRPr="002B0DBF">
              <w:rPr>
                <w:rFonts w:ascii="Times New Roman" w:hAnsi="Times New Roman" w:cs="Times New Roman"/>
                <w:sz w:val="16"/>
              </w:rPr>
              <w:t>Standardkonto</w:t>
            </w:r>
          </w:p>
        </w:tc>
        <w:tc>
          <w:tcPr>
            <w:tcW w:w="6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8C28"/>
          </w:tcPr>
          <w:p w14:paraId="0379CECE" w14:textId="21721CBB" w:rsidR="0094326F" w:rsidRPr="0094326F" w:rsidRDefault="0094326F" w:rsidP="0094326F">
            <w:pPr>
              <w:pStyle w:val="TableParagraph"/>
              <w:ind w:right="190"/>
              <w:rPr>
                <w:rFonts w:ascii="Times New Roman" w:hAnsi="Times New Roman" w:cs="Times New Roman"/>
                <w:sz w:val="16"/>
                <w:lang w:val="en-GB"/>
              </w:rPr>
            </w:pPr>
            <w:r w:rsidRPr="0094326F">
              <w:rPr>
                <w:rFonts w:ascii="Times New Roman" w:hAnsi="Times New Roman" w:cs="Times New Roman"/>
                <w:i/>
                <w:iCs/>
                <w:sz w:val="16"/>
                <w:lang w:val="en-GB"/>
              </w:rPr>
              <w:t>SWAPs werden durch den Übernachtzins jeder Währung bestimmt; der Übernachtzins ist der Zinssatz, zu dem Banken sich theoretisch gegenseitig Geld leihen und verleihen würden. Eine Swap-Gebühr wird erhoben, wenn eine Position über Nacht gehalten wird. Beim FX-Handel entspricht die Swap-Gebühr beispielsweise dem Zinsunterschied zwischen den beiden Währungen eines Währungspaares.</w:t>
            </w:r>
          </w:p>
        </w:tc>
      </w:tr>
      <w:tr w:rsidR="007E4EC2" w:rsidRPr="00427A1B" w14:paraId="581619E0" w14:textId="77777777" w:rsidTr="00DD52B2">
        <w:trPr>
          <w:trHeight w:val="53"/>
        </w:trPr>
        <w:tc>
          <w:tcPr>
            <w:tcW w:w="10775" w:type="dxa"/>
            <w:gridSpan w:val="4"/>
            <w:tcBorders>
              <w:top w:val="single" w:sz="4" w:space="0" w:color="000000" w:themeColor="text1"/>
            </w:tcBorders>
          </w:tcPr>
          <w:p w14:paraId="0542F086" w14:textId="77777777" w:rsidR="0094326F" w:rsidRPr="0094326F" w:rsidRDefault="0094326F" w:rsidP="0094326F">
            <w:pPr>
              <w:pStyle w:val="TableParagraph"/>
              <w:spacing w:before="117"/>
              <w:ind w:left="9"/>
              <w:rPr>
                <w:rFonts w:ascii="Times New Roman" w:hAnsi="Times New Roman" w:cs="Times New Roman"/>
                <w:sz w:val="18"/>
                <w:lang w:val="en-GB"/>
              </w:rPr>
            </w:pPr>
            <w:r w:rsidRPr="0094326F">
              <w:rPr>
                <w:rFonts w:ascii="Times New Roman" w:hAnsi="Times New Roman" w:cs="Times New Roman"/>
                <w:sz w:val="18"/>
                <w:lang w:val="en-GB"/>
              </w:rPr>
              <w:t>Berater, Vermittler oder sonstige Personen, die das Produkt empfehlen oder verkaufen, stellen Informationen über sämtliche Vertriebskosten bereit, die nicht bereits in den oben angegebenen Kosten enthalten sind, damit der Retail-Investor die kumulative Auswirkung dieser Gesamtkosten auf die Rendite der Anlage verstehen kann.</w:t>
            </w:r>
          </w:p>
          <w:p w14:paraId="68EDE936" w14:textId="77777777" w:rsidR="0094326F" w:rsidRPr="002B0DBF" w:rsidRDefault="0094326F" w:rsidP="0094326F">
            <w:pPr>
              <w:pStyle w:val="TableParagraph"/>
              <w:spacing w:before="117"/>
              <w:ind w:left="0"/>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Wie lange sollte ich es halten und kann ich Geld vorzeitig entnehmen?</w:t>
            </w:r>
          </w:p>
          <w:p w14:paraId="0A189A5B" w14:textId="77777777" w:rsidR="0094326F" w:rsidRPr="002B0DBF" w:rsidRDefault="0094326F" w:rsidP="0094326F">
            <w:pPr>
              <w:pStyle w:val="TableParagraph"/>
              <w:spacing w:before="121"/>
              <w:jc w:val="both"/>
              <w:rPr>
                <w:rFonts w:ascii="Times New Roman" w:hAnsi="Times New Roman" w:cs="Times New Roman"/>
                <w:sz w:val="18"/>
              </w:rPr>
            </w:pPr>
            <w:r w:rsidRPr="002B0DBF">
              <w:rPr>
                <w:rFonts w:ascii="Times New Roman" w:hAnsi="Times New Roman" w:cs="Times New Roman"/>
                <w:sz w:val="18"/>
              </w:rPr>
              <w:t xml:space="preserve">CFDs sind für den kurzfristigen Handel gedacht, in manchen Fällen sogar </w:t>
            </w:r>
            <w:r w:rsidRPr="002B0DBF">
              <w:rPr>
                <w:rFonts w:ascii="Times New Roman" w:hAnsi="Times New Roman" w:cs="Times New Roman"/>
                <w:b/>
                <w:bCs/>
                <w:sz w:val="18"/>
              </w:rPr>
              <w:t>intraday</w:t>
            </w:r>
            <w:r w:rsidRPr="002B0DBF">
              <w:rPr>
                <w:rFonts w:ascii="Times New Roman" w:hAnsi="Times New Roman" w:cs="Times New Roman"/>
                <w:sz w:val="18"/>
              </w:rPr>
              <w:t xml:space="preserve">, und sind im Allgemeinen </w:t>
            </w:r>
            <w:r w:rsidRPr="002B0DBF">
              <w:rPr>
                <w:rFonts w:ascii="Times New Roman" w:hAnsi="Times New Roman" w:cs="Times New Roman"/>
                <w:b/>
                <w:bCs/>
                <w:sz w:val="18"/>
              </w:rPr>
              <w:t>nicht für langfristige Investitionen geeignet</w:t>
            </w:r>
            <w:r w:rsidRPr="002B0DBF">
              <w:rPr>
                <w:rFonts w:ascii="Times New Roman" w:hAnsi="Times New Roman" w:cs="Times New Roman"/>
                <w:sz w:val="18"/>
              </w:rPr>
              <w:t xml:space="preserve">. Es gibt </w:t>
            </w:r>
            <w:r w:rsidRPr="002B0DBF">
              <w:rPr>
                <w:rFonts w:ascii="Times New Roman" w:hAnsi="Times New Roman" w:cs="Times New Roman"/>
                <w:b/>
                <w:bCs/>
                <w:sz w:val="18"/>
              </w:rPr>
              <w:t>keine empfohlene Haltedauer</w:t>
            </w:r>
            <w:r w:rsidRPr="002B0DBF">
              <w:rPr>
                <w:rFonts w:ascii="Times New Roman" w:hAnsi="Times New Roman" w:cs="Times New Roman"/>
                <w:sz w:val="18"/>
              </w:rPr>
              <w:t xml:space="preserve"> und </w:t>
            </w:r>
            <w:r w:rsidRPr="002B0DBF">
              <w:rPr>
                <w:rFonts w:ascii="Times New Roman" w:hAnsi="Times New Roman" w:cs="Times New Roman"/>
                <w:b/>
                <w:bCs/>
                <w:sz w:val="18"/>
              </w:rPr>
              <w:t>keine Widerrufsfrist</w:t>
            </w:r>
            <w:r w:rsidRPr="002B0DBF">
              <w:rPr>
                <w:rFonts w:ascii="Times New Roman" w:hAnsi="Times New Roman" w:cs="Times New Roman"/>
                <w:sz w:val="18"/>
              </w:rPr>
              <w:t xml:space="preserve">. Sie können einen CFD auf ein Kryptowährungspaar jederzeit </w:t>
            </w:r>
            <w:r w:rsidRPr="002B0DBF">
              <w:rPr>
                <w:rFonts w:ascii="Times New Roman" w:hAnsi="Times New Roman" w:cs="Times New Roman"/>
                <w:b/>
                <w:bCs/>
                <w:sz w:val="18"/>
              </w:rPr>
              <w:t>während der jeweiligen Markt-Handelszeiten</w:t>
            </w:r>
            <w:r w:rsidRPr="002B0DBF">
              <w:rPr>
                <w:rFonts w:ascii="Times New Roman" w:hAnsi="Times New Roman" w:cs="Times New Roman"/>
                <w:sz w:val="18"/>
              </w:rPr>
              <w:t xml:space="preserve"> öffnen und schließen.</w:t>
            </w:r>
          </w:p>
          <w:p w14:paraId="6CE65173" w14:textId="77777777" w:rsidR="0094326F" w:rsidRPr="002B0DBF" w:rsidRDefault="0094326F" w:rsidP="0094326F">
            <w:pPr>
              <w:pStyle w:val="TableParagraph"/>
              <w:spacing w:before="121"/>
              <w:ind w:left="0"/>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Wie kann ich eine Beschwerde einreichen?</w:t>
            </w:r>
          </w:p>
          <w:p w14:paraId="5ACF920D" w14:textId="77777777" w:rsidR="0094326F" w:rsidRPr="002B0DBF" w:rsidRDefault="0094326F" w:rsidP="0094326F">
            <w:pPr>
              <w:pStyle w:val="TableParagraph"/>
              <w:spacing w:before="121"/>
              <w:jc w:val="both"/>
              <w:rPr>
                <w:rFonts w:ascii="Times New Roman" w:hAnsi="Times New Roman" w:cs="Times New Roman"/>
                <w:sz w:val="18"/>
              </w:rPr>
            </w:pPr>
            <w:r w:rsidRPr="002B0DBF">
              <w:rPr>
                <w:rFonts w:ascii="Times New Roman" w:hAnsi="Times New Roman" w:cs="Times New Roman"/>
                <w:sz w:val="18"/>
              </w:rPr>
              <w:t xml:space="preserve">Für alle Fragen, bei denen wir Ihnen weiterhelfen können, können Sie über die Seite </w:t>
            </w:r>
            <w:r w:rsidRPr="002B0DBF">
              <w:rPr>
                <w:rFonts w:ascii="Times New Roman" w:hAnsi="Times New Roman" w:cs="Times New Roman"/>
                <w:b/>
                <w:bCs/>
                <w:sz w:val="18"/>
              </w:rPr>
              <w:t>„Kontakt“</w:t>
            </w:r>
            <w:r w:rsidRPr="002B0DBF">
              <w:rPr>
                <w:rFonts w:ascii="Times New Roman" w:hAnsi="Times New Roman" w:cs="Times New Roman"/>
                <w:sz w:val="18"/>
              </w:rPr>
              <w:t xml:space="preserve"> auf unserer Website mit dem Unternehmen kommunizieren, zum Beispiel indem Sie Ihre Anfrage per E-Mail an </w:t>
            </w:r>
            <w:r w:rsidRPr="002B0DBF">
              <w:rPr>
                <w:rFonts w:ascii="Times New Roman" w:hAnsi="Times New Roman" w:cs="Times New Roman"/>
                <w:b/>
                <w:bCs/>
                <w:sz w:val="18"/>
              </w:rPr>
              <w:t>complaints@vsmarkets.com</w:t>
            </w:r>
            <w:r w:rsidRPr="002B0DBF">
              <w:rPr>
                <w:rFonts w:ascii="Times New Roman" w:hAnsi="Times New Roman" w:cs="Times New Roman"/>
                <w:sz w:val="18"/>
              </w:rPr>
              <w:t xml:space="preserve"> senden. Weitere Informationen finden Sie in unserer </w:t>
            </w:r>
            <w:r w:rsidRPr="002B0DBF">
              <w:rPr>
                <w:rFonts w:ascii="Times New Roman" w:hAnsi="Times New Roman" w:cs="Times New Roman"/>
                <w:b/>
                <w:bCs/>
                <w:sz w:val="18"/>
              </w:rPr>
              <w:t>Beschwerdepolitik</w:t>
            </w:r>
            <w:r w:rsidRPr="002B0DBF">
              <w:rPr>
                <w:rFonts w:ascii="Times New Roman" w:hAnsi="Times New Roman" w:cs="Times New Roman"/>
                <w:sz w:val="18"/>
              </w:rPr>
              <w:t>.</w:t>
            </w:r>
          </w:p>
          <w:p w14:paraId="6822DE80" w14:textId="77777777" w:rsidR="0094326F" w:rsidRPr="002B0DBF" w:rsidRDefault="0094326F" w:rsidP="0094326F">
            <w:pPr>
              <w:pStyle w:val="TableParagraph"/>
              <w:spacing w:before="121"/>
              <w:jc w:val="both"/>
              <w:rPr>
                <w:rFonts w:ascii="Times New Roman" w:hAnsi="Times New Roman" w:cs="Times New Roman"/>
                <w:sz w:val="18"/>
                <w:lang w:val="en-GB"/>
              </w:rPr>
            </w:pPr>
            <w:r w:rsidRPr="002B0DBF">
              <w:rPr>
                <w:rFonts w:ascii="Times New Roman" w:hAnsi="Times New Roman" w:cs="Times New Roman"/>
                <w:sz w:val="18"/>
                <w:lang w:val="en-GB"/>
              </w:rPr>
              <w:t xml:space="preserve">Wenn Sie eine offizielle Beschwerde einreichen möchten, fordern Sie bitte bei unserer </w:t>
            </w:r>
            <w:r w:rsidRPr="002B0DBF">
              <w:rPr>
                <w:rFonts w:ascii="Times New Roman" w:hAnsi="Times New Roman" w:cs="Times New Roman"/>
                <w:b/>
                <w:bCs/>
                <w:sz w:val="18"/>
                <w:lang w:val="en-GB"/>
              </w:rPr>
              <w:t>Kundensupport-Abteilung</w:t>
            </w:r>
            <w:r w:rsidRPr="002B0DBF">
              <w:rPr>
                <w:rFonts w:ascii="Times New Roman" w:hAnsi="Times New Roman" w:cs="Times New Roman"/>
                <w:sz w:val="18"/>
                <w:lang w:val="en-GB"/>
              </w:rPr>
              <w:t xml:space="preserve"> das entsprechende </w:t>
            </w:r>
            <w:r w:rsidRPr="002B0DBF">
              <w:rPr>
                <w:rFonts w:ascii="Times New Roman" w:hAnsi="Times New Roman" w:cs="Times New Roman"/>
                <w:b/>
                <w:bCs/>
                <w:sz w:val="18"/>
                <w:lang w:val="en-GB"/>
              </w:rPr>
              <w:t>Beschwerdeformular</w:t>
            </w:r>
            <w:r w:rsidRPr="002B0DBF">
              <w:rPr>
                <w:rFonts w:ascii="Times New Roman" w:hAnsi="Times New Roman" w:cs="Times New Roman"/>
                <w:sz w:val="18"/>
                <w:lang w:val="en-GB"/>
              </w:rPr>
              <w:t xml:space="preserve"> an. Füllen Sie das Formular anschließend ordnungsgemäß aus, unterschreiben Sie es und senden Sie es an den Kundensupport-Mitarbeiter, mit dem Sie bezüglich Ihres Anliegens bzw. Ihrer Beschwerde in Kontakt stehen. Weitere Informationen zu unseren Beschwerdeverfahren finden Sie hier.</w:t>
            </w:r>
          </w:p>
          <w:p w14:paraId="1CBED647" w14:textId="77777777" w:rsidR="0094326F" w:rsidRPr="002B0DBF" w:rsidRDefault="0094326F" w:rsidP="0094326F">
            <w:pPr>
              <w:pStyle w:val="TableParagraph"/>
              <w:spacing w:before="120"/>
              <w:jc w:val="both"/>
              <w:rPr>
                <w:rFonts w:ascii="Times New Roman" w:hAnsi="Times New Roman" w:cs="Times New Roman"/>
                <w:sz w:val="18"/>
              </w:rPr>
            </w:pPr>
            <w:r w:rsidRPr="002B0DBF">
              <w:rPr>
                <w:rFonts w:ascii="Times New Roman" w:hAnsi="Times New Roman" w:cs="Times New Roman"/>
                <w:sz w:val="18"/>
              </w:rPr>
              <w:t xml:space="preserve">Sollten Sie der Ansicht sein, dass Ihre Beschwerde nicht zufriedenstellend gelöst wurde, können Sie diese an den </w:t>
            </w:r>
            <w:r w:rsidRPr="002B0DBF">
              <w:rPr>
                <w:rFonts w:ascii="Times New Roman" w:hAnsi="Times New Roman" w:cs="Times New Roman"/>
                <w:b/>
                <w:bCs/>
                <w:sz w:val="18"/>
              </w:rPr>
              <w:t>Finanzombudsmann der Republik Zypern</w:t>
            </w:r>
            <w:r w:rsidRPr="002B0DBF">
              <w:rPr>
                <w:rFonts w:ascii="Times New Roman" w:hAnsi="Times New Roman" w:cs="Times New Roman"/>
                <w:sz w:val="18"/>
              </w:rPr>
              <w:t xml:space="preserve"> weiterleiten. Weitere Informationen finden Sie unter:</w:t>
            </w:r>
            <w:r w:rsidRPr="002B0DBF">
              <w:rPr>
                <w:rFonts w:ascii="Times New Roman" w:hAnsi="Times New Roman" w:cs="Times New Roman"/>
                <w:sz w:val="18"/>
              </w:rPr>
              <w:br/>
            </w:r>
            <w:hyperlink r:id="rId13" w:tgtFrame="_new" w:history="1">
              <w:r w:rsidRPr="002B0DBF">
                <w:rPr>
                  <w:rStyle w:val="Hyperlink"/>
                  <w:rFonts w:ascii="Times New Roman" w:hAnsi="Times New Roman" w:cs="Times New Roman"/>
                  <w:sz w:val="18"/>
                </w:rPr>
                <w:t>http://www.financialombudsman.gov.cy</w:t>
              </w:r>
            </w:hyperlink>
          </w:p>
          <w:p w14:paraId="602F2C58" w14:textId="77777777" w:rsidR="0094326F" w:rsidRPr="002B0DBF" w:rsidRDefault="0094326F" w:rsidP="0094326F">
            <w:pPr>
              <w:pStyle w:val="TableParagraph"/>
              <w:spacing w:before="120"/>
              <w:ind w:left="0"/>
              <w:jc w:val="both"/>
              <w:rPr>
                <w:rFonts w:ascii="Times New Roman" w:hAnsi="Times New Roman" w:cs="Times New Roman"/>
                <w:b/>
                <w:color w:val="F28C28"/>
                <w:sz w:val="20"/>
                <w:lang w:val="en-GB"/>
              </w:rPr>
            </w:pPr>
            <w:r w:rsidRPr="002B0DBF">
              <w:rPr>
                <w:rFonts w:ascii="Times New Roman" w:hAnsi="Times New Roman" w:cs="Times New Roman"/>
                <w:b/>
                <w:color w:val="F28C28"/>
                <w:sz w:val="20"/>
                <w:lang w:val="en-GB"/>
              </w:rPr>
              <w:t>Weitere relevante Informationen</w:t>
            </w:r>
          </w:p>
          <w:p w14:paraId="03D5AEFC" w14:textId="1872C593" w:rsidR="00EE0F5D" w:rsidRDefault="0094326F" w:rsidP="0094326F">
            <w:pPr>
              <w:pStyle w:val="BodyText"/>
              <w:rPr>
                <w:rFonts w:ascii="Times New Roman" w:hAnsi="Times New Roman" w:cs="Times New Roman"/>
              </w:rPr>
            </w:pPr>
            <w:r w:rsidRPr="002B0DBF">
              <w:rPr>
                <w:rFonts w:ascii="Times New Roman" w:hAnsi="Times New Roman" w:cs="Times New Roman"/>
              </w:rPr>
              <w:t>You</w:t>
            </w:r>
            <w:r w:rsidRPr="002B0DBF">
              <w:rPr>
                <w:rFonts w:ascii="Times New Roman" w:hAnsi="Times New Roman" w:cs="Times New Roman"/>
                <w:spacing w:val="-2"/>
              </w:rPr>
              <w:t xml:space="preserve"> </w:t>
            </w:r>
            <w:r w:rsidRPr="002B0DBF">
              <w:rPr>
                <w:rFonts w:ascii="Times New Roman" w:hAnsi="Times New Roman" w:cs="Times New Roman"/>
              </w:rPr>
              <w:t>should</w:t>
            </w:r>
            <w:r w:rsidRPr="002B0DBF">
              <w:rPr>
                <w:rFonts w:ascii="Times New Roman" w:hAnsi="Times New Roman" w:cs="Times New Roman"/>
                <w:spacing w:val="-1"/>
              </w:rPr>
              <w:t xml:space="preserve"> </w:t>
            </w:r>
            <w:r w:rsidRPr="002B0DBF">
              <w:rPr>
                <w:rFonts w:ascii="Times New Roman" w:hAnsi="Times New Roman" w:cs="Times New Roman"/>
              </w:rPr>
              <w:t>ensure</w:t>
            </w:r>
            <w:r w:rsidRPr="002B0DBF">
              <w:rPr>
                <w:rFonts w:ascii="Times New Roman" w:hAnsi="Times New Roman" w:cs="Times New Roman"/>
                <w:spacing w:val="-1"/>
              </w:rPr>
              <w:t xml:space="preserve"> </w:t>
            </w:r>
            <w:r w:rsidRPr="002B0DBF">
              <w:rPr>
                <w:rFonts w:ascii="Times New Roman" w:hAnsi="Times New Roman" w:cs="Times New Roman"/>
              </w:rPr>
              <w:t>that</w:t>
            </w:r>
            <w:r w:rsidRPr="002B0DBF">
              <w:rPr>
                <w:rFonts w:ascii="Times New Roman" w:hAnsi="Times New Roman" w:cs="Times New Roman"/>
                <w:spacing w:val="-2"/>
              </w:rPr>
              <w:t xml:space="preserve"> </w:t>
            </w:r>
            <w:r w:rsidRPr="002B0DBF">
              <w:rPr>
                <w:rFonts w:ascii="Times New Roman" w:hAnsi="Times New Roman" w:cs="Times New Roman"/>
              </w:rPr>
              <w:t>you</w:t>
            </w:r>
            <w:r w:rsidRPr="002B0DBF">
              <w:rPr>
                <w:rFonts w:ascii="Times New Roman" w:hAnsi="Times New Roman" w:cs="Times New Roman"/>
                <w:spacing w:val="-2"/>
              </w:rPr>
              <w:t xml:space="preserve"> </w:t>
            </w:r>
            <w:r w:rsidRPr="002B0DBF">
              <w:rPr>
                <w:rFonts w:ascii="Times New Roman" w:hAnsi="Times New Roman" w:cs="Times New Roman"/>
              </w:rPr>
              <w:t>read</w:t>
            </w:r>
            <w:r w:rsidRPr="002B0DBF">
              <w:rPr>
                <w:rFonts w:ascii="Times New Roman" w:hAnsi="Times New Roman" w:cs="Times New Roman"/>
                <w:spacing w:val="-1"/>
              </w:rPr>
              <w:t xml:space="preserve"> </w:t>
            </w:r>
            <w:r w:rsidRPr="002B0DBF">
              <w:rPr>
                <w:rFonts w:ascii="Times New Roman" w:hAnsi="Times New Roman" w:cs="Times New Roman"/>
              </w:rPr>
              <w:t>and</w:t>
            </w:r>
            <w:r w:rsidRPr="002B0DBF">
              <w:rPr>
                <w:rFonts w:ascii="Times New Roman" w:hAnsi="Times New Roman" w:cs="Times New Roman"/>
                <w:spacing w:val="-1"/>
              </w:rPr>
              <w:t xml:space="preserve"> </w:t>
            </w:r>
            <w:r w:rsidRPr="002B0DBF">
              <w:rPr>
                <w:rFonts w:ascii="Times New Roman" w:hAnsi="Times New Roman" w:cs="Times New Roman"/>
              </w:rPr>
              <w:t>understand</w:t>
            </w:r>
            <w:r w:rsidRPr="002B0DBF">
              <w:rPr>
                <w:rFonts w:ascii="Times New Roman" w:hAnsi="Times New Roman" w:cs="Times New Roman"/>
                <w:spacing w:val="-2"/>
              </w:rPr>
              <w:t xml:space="preserve"> </w:t>
            </w:r>
            <w:r w:rsidRPr="002B0DBF">
              <w:rPr>
                <w:rFonts w:ascii="Times New Roman" w:hAnsi="Times New Roman" w:cs="Times New Roman"/>
              </w:rPr>
              <w:t>the</w:t>
            </w:r>
            <w:r w:rsidRPr="002B0DBF">
              <w:rPr>
                <w:rFonts w:ascii="Times New Roman" w:hAnsi="Times New Roman" w:cs="Times New Roman"/>
                <w:spacing w:val="-1"/>
              </w:rPr>
              <w:t xml:space="preserve"> </w:t>
            </w:r>
            <w:r w:rsidRPr="002B0DBF">
              <w:rPr>
                <w:rFonts w:ascii="Times New Roman" w:hAnsi="Times New Roman" w:cs="Times New Roman"/>
              </w:rPr>
              <w:t>Company’s</w:t>
            </w:r>
            <w:r w:rsidRPr="002B0DBF">
              <w:rPr>
                <w:rFonts w:ascii="Times New Roman" w:hAnsi="Times New Roman" w:cs="Times New Roman"/>
                <w:spacing w:val="-2"/>
              </w:rPr>
              <w:t xml:space="preserve"> </w:t>
            </w:r>
            <w:r w:rsidRPr="002B0DBF">
              <w:rPr>
                <w:rFonts w:ascii="Times New Roman" w:hAnsi="Times New Roman" w:cs="Times New Roman"/>
              </w:rPr>
              <w:t>Legal</w:t>
            </w:r>
            <w:r w:rsidRPr="002B0DBF">
              <w:rPr>
                <w:rFonts w:ascii="Times New Roman" w:hAnsi="Times New Roman" w:cs="Times New Roman"/>
                <w:spacing w:val="-2"/>
              </w:rPr>
              <w:t xml:space="preserve"> </w:t>
            </w:r>
            <w:r w:rsidRPr="002B0DBF">
              <w:rPr>
                <w:rFonts w:ascii="Times New Roman" w:hAnsi="Times New Roman" w:cs="Times New Roman"/>
              </w:rPr>
              <w:t>Documentation</w:t>
            </w:r>
            <w:r w:rsidRPr="002B0DBF">
              <w:rPr>
                <w:rFonts w:ascii="Times New Roman" w:hAnsi="Times New Roman" w:cs="Times New Roman"/>
                <w:spacing w:val="-3"/>
              </w:rPr>
              <w:t xml:space="preserve"> </w:t>
            </w:r>
            <w:r w:rsidRPr="002B0DBF">
              <w:rPr>
                <w:rFonts w:ascii="Times New Roman" w:hAnsi="Times New Roman" w:cs="Times New Roman"/>
              </w:rPr>
              <w:t>available</w:t>
            </w:r>
            <w:r w:rsidRPr="002B0DBF">
              <w:rPr>
                <w:rFonts w:ascii="Times New Roman" w:hAnsi="Times New Roman" w:cs="Times New Roman"/>
                <w:spacing w:val="-1"/>
              </w:rPr>
              <w:t xml:space="preserve"> </w:t>
            </w:r>
            <w:r w:rsidRPr="002B0DBF">
              <w:rPr>
                <w:rFonts w:ascii="Times New Roman" w:hAnsi="Times New Roman" w:cs="Times New Roman"/>
              </w:rPr>
              <w:t>in</w:t>
            </w:r>
            <w:r w:rsidRPr="002B0DBF">
              <w:rPr>
                <w:rFonts w:ascii="Times New Roman" w:hAnsi="Times New Roman" w:cs="Times New Roman"/>
                <w:spacing w:val="-3"/>
              </w:rPr>
              <w:t xml:space="preserve"> </w:t>
            </w:r>
            <w:r w:rsidRPr="002B0DBF">
              <w:rPr>
                <w:rFonts w:ascii="Times New Roman" w:hAnsi="Times New Roman" w:cs="Times New Roman"/>
              </w:rPr>
              <w:t>the</w:t>
            </w:r>
            <w:r w:rsidRPr="002B0DBF">
              <w:rPr>
                <w:rFonts w:ascii="Times New Roman" w:hAnsi="Times New Roman" w:cs="Times New Roman"/>
                <w:spacing w:val="-1"/>
              </w:rPr>
              <w:t xml:space="preserve"> </w:t>
            </w:r>
            <w:r w:rsidRPr="002B0DBF">
              <w:rPr>
                <w:rFonts w:ascii="Times New Roman" w:hAnsi="Times New Roman" w:cs="Times New Roman"/>
              </w:rPr>
              <w:t>Legal</w:t>
            </w:r>
            <w:r w:rsidRPr="002B0DBF">
              <w:rPr>
                <w:rFonts w:ascii="Times New Roman" w:hAnsi="Times New Roman" w:cs="Times New Roman"/>
                <w:spacing w:val="-2"/>
              </w:rPr>
              <w:t xml:space="preserve"> </w:t>
            </w:r>
            <w:r w:rsidRPr="002B0DBF">
              <w:rPr>
                <w:rFonts w:ascii="Times New Roman" w:hAnsi="Times New Roman" w:cs="Times New Roman"/>
              </w:rPr>
              <w:t>section</w:t>
            </w:r>
            <w:r w:rsidRPr="002B0DBF">
              <w:rPr>
                <w:rFonts w:ascii="Times New Roman" w:hAnsi="Times New Roman" w:cs="Times New Roman"/>
                <w:spacing w:val="-1"/>
              </w:rPr>
              <w:t xml:space="preserve"> </w:t>
            </w:r>
            <w:r w:rsidRPr="002B0DBF">
              <w:rPr>
                <w:rFonts w:ascii="Times New Roman" w:hAnsi="Times New Roman" w:cs="Times New Roman"/>
              </w:rPr>
              <w:t>on</w:t>
            </w:r>
            <w:r w:rsidRPr="002B0DBF">
              <w:rPr>
                <w:rFonts w:ascii="Times New Roman" w:hAnsi="Times New Roman" w:cs="Times New Roman"/>
                <w:spacing w:val="-3"/>
              </w:rPr>
              <w:t xml:space="preserve"> </w:t>
            </w:r>
            <w:r w:rsidRPr="002B0DBF">
              <w:rPr>
                <w:rFonts w:ascii="Times New Roman" w:hAnsi="Times New Roman" w:cs="Times New Roman"/>
              </w:rPr>
              <w:t>our</w:t>
            </w:r>
            <w:r w:rsidRPr="002B0DBF">
              <w:rPr>
                <w:rFonts w:ascii="Times New Roman" w:hAnsi="Times New Roman" w:cs="Times New Roman"/>
                <w:spacing w:val="-2"/>
              </w:rPr>
              <w:t xml:space="preserve"> </w:t>
            </w:r>
            <w:r w:rsidRPr="002B0DBF">
              <w:rPr>
                <w:rFonts w:ascii="Times New Roman" w:hAnsi="Times New Roman" w:cs="Times New Roman"/>
              </w:rPr>
              <w:t>website</w:t>
            </w:r>
            <w:r w:rsidRPr="002B0DBF">
              <w:rPr>
                <w:rFonts w:ascii="Times New Roman" w:hAnsi="Times New Roman" w:cs="Times New Roman"/>
                <w:spacing w:val="-1"/>
              </w:rPr>
              <w:t xml:space="preserve"> </w:t>
            </w:r>
            <w:r w:rsidRPr="002B0DBF">
              <w:rPr>
                <w:rFonts w:ascii="Times New Roman" w:hAnsi="Times New Roman" w:cs="Times New Roman"/>
              </w:rPr>
              <w:t>which</w:t>
            </w:r>
            <w:r w:rsidRPr="002B0DBF">
              <w:rPr>
                <w:rFonts w:ascii="Times New Roman" w:hAnsi="Times New Roman" w:cs="Times New Roman"/>
                <w:spacing w:val="40"/>
              </w:rPr>
              <w:t xml:space="preserve"> </w:t>
            </w:r>
            <w:r w:rsidRPr="002B0DBF">
              <w:rPr>
                <w:rFonts w:ascii="Times New Roman" w:hAnsi="Times New Roman" w:cs="Times New Roman"/>
              </w:rPr>
              <w:t>you can find here together the Risk Disclosure Statement, Terms &amp; Conditions,</w:t>
            </w:r>
            <w:r w:rsidRPr="002B0DBF">
              <w:rPr>
                <w:rFonts w:ascii="Times New Roman" w:hAnsi="Times New Roman" w:cs="Times New Roman"/>
                <w:spacing w:val="40"/>
              </w:rPr>
              <w:t xml:space="preserve"> </w:t>
            </w:r>
            <w:r w:rsidRPr="002B0DBF">
              <w:rPr>
                <w:rFonts w:ascii="Times New Roman" w:hAnsi="Times New Roman" w:cs="Times New Roman"/>
              </w:rPr>
              <w:t>Client Categorisation, Complaint Handling Policy, Order</w:t>
            </w:r>
            <w:r w:rsidRPr="002B0DBF">
              <w:rPr>
                <w:rFonts w:ascii="Times New Roman" w:hAnsi="Times New Roman" w:cs="Times New Roman"/>
                <w:spacing w:val="40"/>
              </w:rPr>
              <w:t xml:space="preserve"> </w:t>
            </w:r>
            <w:r w:rsidRPr="002B0DBF">
              <w:rPr>
                <w:rFonts w:ascii="Times New Roman" w:hAnsi="Times New Roman" w:cs="Times New Roman"/>
              </w:rPr>
              <w:t>Execution Policy,</w:t>
            </w:r>
            <w:r w:rsidRPr="002B0DBF">
              <w:rPr>
                <w:rFonts w:ascii="Times New Roman" w:hAnsi="Times New Roman" w:cs="Times New Roman"/>
                <w:spacing w:val="40"/>
              </w:rPr>
              <w:t xml:space="preserve"> </w:t>
            </w:r>
            <w:r w:rsidRPr="002B0DBF">
              <w:rPr>
                <w:rFonts w:ascii="Times New Roman" w:hAnsi="Times New Roman" w:cs="Times New Roman"/>
              </w:rPr>
              <w:t>the Key Investor Document and other documents, before opening an account and start trading with the Company. You</w:t>
            </w:r>
            <w:r w:rsidRPr="002B0DBF">
              <w:rPr>
                <w:rFonts w:ascii="Times New Roman" w:hAnsi="Times New Roman" w:cs="Times New Roman"/>
                <w:spacing w:val="40"/>
              </w:rPr>
              <w:t xml:space="preserve"> </w:t>
            </w:r>
            <w:r w:rsidRPr="002B0DBF">
              <w:rPr>
                <w:rFonts w:ascii="Times New Roman" w:hAnsi="Times New Roman" w:cs="Times New Roman"/>
              </w:rPr>
              <w:t xml:space="preserve">should ensure that you are familiar with all the terms and policies that apply to your account. This key information document does not contain all information relating to the product. For other information and the legally binding terms and conditions of the product, please refer to our website at </w:t>
            </w:r>
            <w:hyperlink r:id="rId14" w:history="1">
              <w:r w:rsidR="00521ABC" w:rsidRPr="00B97483">
                <w:rPr>
                  <w:rStyle w:val="Hyperlink"/>
                  <w:rFonts w:ascii="Times New Roman" w:hAnsi="Times New Roman" w:cs="Times New Roman"/>
                </w:rPr>
                <w:t>www.vsmarkets.com</w:t>
              </w:r>
            </w:hyperlink>
            <w:r w:rsidRPr="002B0DBF">
              <w:rPr>
                <w:rFonts w:ascii="Times New Roman" w:hAnsi="Times New Roman" w:cs="Times New Roman"/>
              </w:rPr>
              <w:t>.</w:t>
            </w:r>
          </w:p>
          <w:p w14:paraId="105CEDA9" w14:textId="7276FE46" w:rsidR="00EE0F5D" w:rsidRPr="00F77D84" w:rsidRDefault="00EE0F5D" w:rsidP="00F77D84">
            <w:pPr>
              <w:pStyle w:val="BodyText"/>
              <w:rPr>
                <w:rFonts w:ascii="Times New Roman" w:hAnsi="Times New Roman" w:cs="Times New Roman"/>
              </w:rPr>
            </w:pPr>
          </w:p>
        </w:tc>
      </w:tr>
    </w:tbl>
    <w:p w14:paraId="62EB8A07" w14:textId="77777777" w:rsidR="007E4EC2" w:rsidRPr="00427A1B" w:rsidRDefault="007E4EC2" w:rsidP="00427A1B">
      <w:pPr>
        <w:pStyle w:val="TableParagraph"/>
        <w:spacing w:line="215" w:lineRule="exact"/>
        <w:ind w:left="0"/>
        <w:rPr>
          <w:rFonts w:ascii="Times New Roman" w:hAnsi="Times New Roman" w:cs="Times New Roman"/>
          <w:b/>
          <w:sz w:val="20"/>
        </w:rPr>
        <w:sectPr w:rsidR="007E4EC2" w:rsidRPr="00427A1B" w:rsidSect="00F77D84">
          <w:type w:val="continuous"/>
          <w:pgSz w:w="11910" w:h="16840"/>
          <w:pgMar w:top="560" w:right="425" w:bottom="280" w:left="566" w:header="720" w:footer="720" w:gutter="0"/>
          <w:cols w:space="720"/>
        </w:sectPr>
      </w:pPr>
    </w:p>
    <w:p w14:paraId="25E9DD78" w14:textId="58C6F3F8" w:rsidR="00427A1B" w:rsidRPr="00427A1B" w:rsidRDefault="00427A1B" w:rsidP="00427A1B">
      <w:pPr>
        <w:pStyle w:val="BodyText"/>
        <w:spacing w:before="6" w:line="254" w:lineRule="auto"/>
        <w:ind w:left="0" w:right="331"/>
        <w:jc w:val="both"/>
        <w:rPr>
          <w:rFonts w:ascii="Times New Roman" w:hAnsi="Times New Roman" w:cs="Times New Roman"/>
        </w:rPr>
      </w:pPr>
    </w:p>
    <w:p w14:paraId="3869101B" w14:textId="57990F39" w:rsidR="007E4EC2" w:rsidRPr="00427A1B" w:rsidRDefault="007E4EC2">
      <w:pPr>
        <w:pStyle w:val="BodyText"/>
        <w:spacing w:before="6" w:line="254" w:lineRule="auto"/>
        <w:ind w:right="331"/>
        <w:jc w:val="both"/>
        <w:rPr>
          <w:rFonts w:ascii="Times New Roman" w:hAnsi="Times New Roman" w:cs="Times New Roman"/>
        </w:rPr>
      </w:pPr>
    </w:p>
    <w:sectPr w:rsidR="007E4EC2" w:rsidRPr="00427A1B" w:rsidSect="00F77D84">
      <w:pgSz w:w="11910" w:h="16840"/>
      <w:pgMar w:top="62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47CE2"/>
    <w:multiLevelType w:val="hybridMultilevel"/>
    <w:tmpl w:val="82EC1E1C"/>
    <w:lvl w:ilvl="0" w:tplc="9E14F8A0">
      <w:start w:val="1"/>
      <w:numFmt w:val="lowerRoman"/>
      <w:lvlText w:val="(%1)"/>
      <w:lvlJc w:val="left"/>
      <w:pPr>
        <w:ind w:left="729" w:hanging="361"/>
      </w:pPr>
      <w:rPr>
        <w:rFonts w:ascii="Trebuchet MS" w:eastAsia="Trebuchet MS" w:hAnsi="Trebuchet MS" w:cs="Trebuchet MS" w:hint="default"/>
        <w:b w:val="0"/>
        <w:bCs w:val="0"/>
        <w:i w:val="0"/>
        <w:iCs w:val="0"/>
        <w:spacing w:val="-4"/>
        <w:w w:val="100"/>
        <w:sz w:val="18"/>
        <w:szCs w:val="18"/>
        <w:lang w:val="en-US" w:eastAsia="en-US" w:bidi="ar-SA"/>
      </w:rPr>
    </w:lvl>
    <w:lvl w:ilvl="1" w:tplc="9C700BA2">
      <w:numFmt w:val="bullet"/>
      <w:lvlText w:val="•"/>
      <w:lvlJc w:val="left"/>
      <w:pPr>
        <w:ind w:left="1724" w:hanging="361"/>
      </w:pPr>
      <w:rPr>
        <w:rFonts w:hint="default"/>
        <w:lang w:val="en-US" w:eastAsia="en-US" w:bidi="ar-SA"/>
      </w:rPr>
    </w:lvl>
    <w:lvl w:ilvl="2" w:tplc="93688AE4">
      <w:numFmt w:val="bullet"/>
      <w:lvlText w:val="•"/>
      <w:lvlJc w:val="left"/>
      <w:pPr>
        <w:ind w:left="2729" w:hanging="361"/>
      </w:pPr>
      <w:rPr>
        <w:rFonts w:hint="default"/>
        <w:lang w:val="en-US" w:eastAsia="en-US" w:bidi="ar-SA"/>
      </w:rPr>
    </w:lvl>
    <w:lvl w:ilvl="3" w:tplc="E8325BF8">
      <w:numFmt w:val="bullet"/>
      <w:lvlText w:val="•"/>
      <w:lvlJc w:val="left"/>
      <w:pPr>
        <w:ind w:left="3733" w:hanging="361"/>
      </w:pPr>
      <w:rPr>
        <w:rFonts w:hint="default"/>
        <w:lang w:val="en-US" w:eastAsia="en-US" w:bidi="ar-SA"/>
      </w:rPr>
    </w:lvl>
    <w:lvl w:ilvl="4" w:tplc="BAA6196A">
      <w:numFmt w:val="bullet"/>
      <w:lvlText w:val="•"/>
      <w:lvlJc w:val="left"/>
      <w:pPr>
        <w:ind w:left="4738" w:hanging="361"/>
      </w:pPr>
      <w:rPr>
        <w:rFonts w:hint="default"/>
        <w:lang w:val="en-US" w:eastAsia="en-US" w:bidi="ar-SA"/>
      </w:rPr>
    </w:lvl>
    <w:lvl w:ilvl="5" w:tplc="734212DA">
      <w:numFmt w:val="bullet"/>
      <w:lvlText w:val="•"/>
      <w:lvlJc w:val="left"/>
      <w:pPr>
        <w:ind w:left="5742" w:hanging="361"/>
      </w:pPr>
      <w:rPr>
        <w:rFonts w:hint="default"/>
        <w:lang w:val="en-US" w:eastAsia="en-US" w:bidi="ar-SA"/>
      </w:rPr>
    </w:lvl>
    <w:lvl w:ilvl="6" w:tplc="91422C2A">
      <w:numFmt w:val="bullet"/>
      <w:lvlText w:val="•"/>
      <w:lvlJc w:val="left"/>
      <w:pPr>
        <w:ind w:left="6747" w:hanging="361"/>
      </w:pPr>
      <w:rPr>
        <w:rFonts w:hint="default"/>
        <w:lang w:val="en-US" w:eastAsia="en-US" w:bidi="ar-SA"/>
      </w:rPr>
    </w:lvl>
    <w:lvl w:ilvl="7" w:tplc="B52CF506">
      <w:numFmt w:val="bullet"/>
      <w:lvlText w:val="•"/>
      <w:lvlJc w:val="left"/>
      <w:pPr>
        <w:ind w:left="7751" w:hanging="361"/>
      </w:pPr>
      <w:rPr>
        <w:rFonts w:hint="default"/>
        <w:lang w:val="en-US" w:eastAsia="en-US" w:bidi="ar-SA"/>
      </w:rPr>
    </w:lvl>
    <w:lvl w:ilvl="8" w:tplc="94E24C12">
      <w:numFmt w:val="bullet"/>
      <w:lvlText w:val="•"/>
      <w:lvlJc w:val="left"/>
      <w:pPr>
        <w:ind w:left="8756" w:hanging="361"/>
      </w:pPr>
      <w:rPr>
        <w:rFonts w:hint="default"/>
        <w:lang w:val="en-US" w:eastAsia="en-US" w:bidi="ar-SA"/>
      </w:rPr>
    </w:lvl>
  </w:abstractNum>
  <w:abstractNum w:abstractNumId="1" w15:restartNumberingAfterBreak="0">
    <w:nsid w:val="68E15BC1"/>
    <w:multiLevelType w:val="hybridMultilevel"/>
    <w:tmpl w:val="77C8C102"/>
    <w:lvl w:ilvl="0" w:tplc="E1FAC6AC">
      <w:start w:val="1"/>
      <w:numFmt w:val="lowerRoman"/>
      <w:lvlText w:val="(%1)"/>
      <w:lvlJc w:val="left"/>
      <w:pPr>
        <w:ind w:left="729" w:hanging="361"/>
        <w:jc w:val="left"/>
      </w:pPr>
      <w:rPr>
        <w:rFonts w:ascii="Trebuchet MS" w:eastAsia="Trebuchet MS" w:hAnsi="Trebuchet MS" w:cs="Trebuchet MS" w:hint="default"/>
        <w:b w:val="0"/>
        <w:bCs w:val="0"/>
        <w:i w:val="0"/>
        <w:iCs w:val="0"/>
        <w:spacing w:val="-4"/>
        <w:w w:val="100"/>
        <w:sz w:val="18"/>
        <w:szCs w:val="18"/>
        <w:lang w:val="en-US" w:eastAsia="en-US" w:bidi="ar-SA"/>
      </w:rPr>
    </w:lvl>
    <w:lvl w:ilvl="1" w:tplc="42BC784E">
      <w:numFmt w:val="bullet"/>
      <w:lvlText w:val="•"/>
      <w:lvlJc w:val="left"/>
      <w:pPr>
        <w:ind w:left="1723" w:hanging="361"/>
      </w:pPr>
      <w:rPr>
        <w:rFonts w:hint="default"/>
        <w:lang w:val="en-US" w:eastAsia="en-US" w:bidi="ar-SA"/>
      </w:rPr>
    </w:lvl>
    <w:lvl w:ilvl="2" w:tplc="BE1A5EF2">
      <w:numFmt w:val="bullet"/>
      <w:lvlText w:val="•"/>
      <w:lvlJc w:val="left"/>
      <w:pPr>
        <w:ind w:left="2727" w:hanging="361"/>
      </w:pPr>
      <w:rPr>
        <w:rFonts w:hint="default"/>
        <w:lang w:val="en-US" w:eastAsia="en-US" w:bidi="ar-SA"/>
      </w:rPr>
    </w:lvl>
    <w:lvl w:ilvl="3" w:tplc="F41212E0">
      <w:numFmt w:val="bullet"/>
      <w:lvlText w:val="•"/>
      <w:lvlJc w:val="left"/>
      <w:pPr>
        <w:ind w:left="3731" w:hanging="361"/>
      </w:pPr>
      <w:rPr>
        <w:rFonts w:hint="default"/>
        <w:lang w:val="en-US" w:eastAsia="en-US" w:bidi="ar-SA"/>
      </w:rPr>
    </w:lvl>
    <w:lvl w:ilvl="4" w:tplc="6D0E4D22">
      <w:numFmt w:val="bullet"/>
      <w:lvlText w:val="•"/>
      <w:lvlJc w:val="left"/>
      <w:pPr>
        <w:ind w:left="4734" w:hanging="361"/>
      </w:pPr>
      <w:rPr>
        <w:rFonts w:hint="default"/>
        <w:lang w:val="en-US" w:eastAsia="en-US" w:bidi="ar-SA"/>
      </w:rPr>
    </w:lvl>
    <w:lvl w:ilvl="5" w:tplc="9A30BC96">
      <w:numFmt w:val="bullet"/>
      <w:lvlText w:val="•"/>
      <w:lvlJc w:val="left"/>
      <w:pPr>
        <w:ind w:left="5738" w:hanging="361"/>
      </w:pPr>
      <w:rPr>
        <w:rFonts w:hint="default"/>
        <w:lang w:val="en-US" w:eastAsia="en-US" w:bidi="ar-SA"/>
      </w:rPr>
    </w:lvl>
    <w:lvl w:ilvl="6" w:tplc="63B80C9C">
      <w:numFmt w:val="bullet"/>
      <w:lvlText w:val="•"/>
      <w:lvlJc w:val="left"/>
      <w:pPr>
        <w:ind w:left="6742" w:hanging="361"/>
      </w:pPr>
      <w:rPr>
        <w:rFonts w:hint="default"/>
        <w:lang w:val="en-US" w:eastAsia="en-US" w:bidi="ar-SA"/>
      </w:rPr>
    </w:lvl>
    <w:lvl w:ilvl="7" w:tplc="2C5068CE">
      <w:numFmt w:val="bullet"/>
      <w:lvlText w:val="•"/>
      <w:lvlJc w:val="left"/>
      <w:pPr>
        <w:ind w:left="7745" w:hanging="361"/>
      </w:pPr>
      <w:rPr>
        <w:rFonts w:hint="default"/>
        <w:lang w:val="en-US" w:eastAsia="en-US" w:bidi="ar-SA"/>
      </w:rPr>
    </w:lvl>
    <w:lvl w:ilvl="8" w:tplc="3224F92A">
      <w:numFmt w:val="bullet"/>
      <w:lvlText w:val="•"/>
      <w:lvlJc w:val="left"/>
      <w:pPr>
        <w:ind w:left="8749" w:hanging="361"/>
      </w:pPr>
      <w:rPr>
        <w:rFonts w:hint="default"/>
        <w:lang w:val="en-US" w:eastAsia="en-US" w:bidi="ar-SA"/>
      </w:rPr>
    </w:lvl>
  </w:abstractNum>
  <w:num w:numId="1" w16cid:durableId="1594319787">
    <w:abstractNumId w:val="0"/>
  </w:num>
  <w:num w:numId="2" w16cid:durableId="858271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4EC2"/>
    <w:rsid w:val="00132871"/>
    <w:rsid w:val="00174EA7"/>
    <w:rsid w:val="001F1527"/>
    <w:rsid w:val="00206514"/>
    <w:rsid w:val="00427A1B"/>
    <w:rsid w:val="00521ABC"/>
    <w:rsid w:val="00561EB5"/>
    <w:rsid w:val="005C2BB4"/>
    <w:rsid w:val="005F2E31"/>
    <w:rsid w:val="00600D84"/>
    <w:rsid w:val="00685198"/>
    <w:rsid w:val="00794C46"/>
    <w:rsid w:val="007A3044"/>
    <w:rsid w:val="007C1293"/>
    <w:rsid w:val="007E4EC2"/>
    <w:rsid w:val="008113D0"/>
    <w:rsid w:val="00825377"/>
    <w:rsid w:val="00841698"/>
    <w:rsid w:val="00870FED"/>
    <w:rsid w:val="0094326F"/>
    <w:rsid w:val="009750FD"/>
    <w:rsid w:val="009751FD"/>
    <w:rsid w:val="009D1964"/>
    <w:rsid w:val="00A76757"/>
    <w:rsid w:val="00B70683"/>
    <w:rsid w:val="00BD7FF8"/>
    <w:rsid w:val="00CC183C"/>
    <w:rsid w:val="00DD2610"/>
    <w:rsid w:val="00DD52B2"/>
    <w:rsid w:val="00DD738B"/>
    <w:rsid w:val="00E2681A"/>
    <w:rsid w:val="00E604A3"/>
    <w:rsid w:val="00EE0F5D"/>
    <w:rsid w:val="00F77D84"/>
    <w:rsid w:val="00F93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82F1"/>
  <w15:docId w15:val="{8DC3E082-029F-4756-A636-94C24EEC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2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4"/>
    </w:pPr>
  </w:style>
  <w:style w:type="table" w:styleId="TableGrid">
    <w:name w:val="Table Grid"/>
    <w:basedOn w:val="TableNormal"/>
    <w:uiPriority w:val="39"/>
    <w:rsid w:val="00427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27A1B"/>
    <w:rPr>
      <w:rFonts w:ascii="Cambria" w:eastAsia="Cambria" w:hAnsi="Cambria" w:cs="Cambria"/>
      <w:sz w:val="18"/>
      <w:szCs w:val="18"/>
    </w:rPr>
  </w:style>
  <w:style w:type="character" w:styleId="Hyperlink">
    <w:name w:val="Hyperlink"/>
    <w:basedOn w:val="DefaultParagraphFont"/>
    <w:uiPriority w:val="99"/>
    <w:unhideWhenUsed/>
    <w:rsid w:val="00174EA7"/>
    <w:rPr>
      <w:color w:val="0000FF" w:themeColor="hyperlink"/>
      <w:u w:val="single"/>
    </w:rPr>
  </w:style>
  <w:style w:type="character" w:styleId="UnresolvedMention">
    <w:name w:val="Unresolved Mention"/>
    <w:basedOn w:val="DefaultParagraphFont"/>
    <w:uiPriority w:val="99"/>
    <w:semiHidden/>
    <w:unhideWhenUsed/>
    <w:rsid w:val="00174EA7"/>
    <w:rPr>
      <w:color w:val="605E5C"/>
      <w:shd w:val="clear" w:color="auto" w:fill="E1DFDD"/>
    </w:rPr>
  </w:style>
  <w:style w:type="paragraph" w:styleId="NormalWeb">
    <w:name w:val="Normal (Web)"/>
    <w:basedOn w:val="Normal"/>
    <w:uiPriority w:val="99"/>
    <w:semiHidden/>
    <w:unhideWhenUsed/>
    <w:rsid w:val="001F15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gov.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vsmarkets.com" TargetMode="External"/><Relationship Id="rId14" Type="http://schemas.openxmlformats.org/officeDocument/2006/relationships/hyperlink" Target="http://www.vsmark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8a506c-718f-4af7-b1ba-6957bdb9ef8c">
      <Terms xmlns="http://schemas.microsoft.com/office/infopath/2007/PartnerControls"/>
    </lcf76f155ced4ddcb4097134ff3c332f>
    <TaxCatchAll xmlns="45b418b8-dc16-41c6-a3f7-4db431a7dc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C3A5F0F0B3C64EAAC6A00C44121968" ma:contentTypeVersion="11" ma:contentTypeDescription="Create a new document." ma:contentTypeScope="" ma:versionID="7515399ae766c01dd3f7730ee80b28d5">
  <xsd:schema xmlns:xsd="http://www.w3.org/2001/XMLSchema" xmlns:xs="http://www.w3.org/2001/XMLSchema" xmlns:p="http://schemas.microsoft.com/office/2006/metadata/properties" xmlns:ns2="f28a506c-718f-4af7-b1ba-6957bdb9ef8c" xmlns:ns3="45b418b8-dc16-41c6-a3f7-4db431a7dcab" targetNamespace="http://schemas.microsoft.com/office/2006/metadata/properties" ma:root="true" ma:fieldsID="c7546338adf42093e5bd02d7247f6525" ns2:_="" ns3:_="">
    <xsd:import namespace="f28a506c-718f-4af7-b1ba-6957bdb9ef8c"/>
    <xsd:import namespace="45b418b8-dc16-41c6-a3f7-4db431a7dc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a506c-718f-4af7-b1ba-6957bdb9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d98baf-958f-443b-b9c4-7ee494c1ba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18b8-dc16-41c6-a3f7-4db431a7dc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a58f3b-7f0b-49c3-9f12-fc3f371afbff}" ma:internalName="TaxCatchAll" ma:showField="CatchAllData" ma:web="45b418b8-dc16-41c6-a3f7-4db431a7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93B36-94A2-4AB8-931F-ECCC6631E225}">
  <ds:schemaRefs>
    <ds:schemaRef ds:uri="http://schemas.microsoft.com/sharepoint/v3/contenttype/forms"/>
  </ds:schemaRefs>
</ds:datastoreItem>
</file>

<file path=customXml/itemProps2.xml><?xml version="1.0" encoding="utf-8"?>
<ds:datastoreItem xmlns:ds="http://schemas.openxmlformats.org/officeDocument/2006/customXml" ds:itemID="{3461C163-53B1-41A7-91DF-7AC2C4D367AE}">
  <ds:schemaRefs>
    <ds:schemaRef ds:uri="http://schemas.microsoft.com/office/2006/metadata/properties"/>
    <ds:schemaRef ds:uri="http://schemas.microsoft.com/office/infopath/2007/PartnerControls"/>
    <ds:schemaRef ds:uri="f28a506c-718f-4af7-b1ba-6957bdb9ef8c"/>
    <ds:schemaRef ds:uri="45b418b8-dc16-41c6-a3f7-4db431a7dcab"/>
  </ds:schemaRefs>
</ds:datastoreItem>
</file>

<file path=customXml/itemProps3.xml><?xml version="1.0" encoding="utf-8"?>
<ds:datastoreItem xmlns:ds="http://schemas.openxmlformats.org/officeDocument/2006/customXml" ds:itemID="{9F33E9DE-C70B-4E1B-89E2-A4D4B13B9A93}">
  <ds:schemaRefs>
    <ds:schemaRef ds:uri="http://schemas.openxmlformats.org/officeDocument/2006/bibliography"/>
  </ds:schemaRefs>
</ds:datastoreItem>
</file>

<file path=customXml/itemProps4.xml><?xml version="1.0" encoding="utf-8"?>
<ds:datastoreItem xmlns:ds="http://schemas.openxmlformats.org/officeDocument/2006/customXml" ds:itemID="{EF38AAEE-A2D2-4953-A086-BF231B2D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a506c-718f-4af7-b1ba-6957bdb9ef8c"/>
    <ds:schemaRef ds:uri="45b418b8-dc16-41c6-a3f7-4db431a7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Theocharis Panayi</dc:creator>
  <cp:lastModifiedBy>Petya Mylona</cp:lastModifiedBy>
  <cp:revision>25</cp:revision>
  <cp:lastPrinted>2025-11-03T18:06:00Z</cp:lastPrinted>
  <dcterms:created xsi:type="dcterms:W3CDTF">2025-10-31T14:49:00Z</dcterms:created>
  <dcterms:modified xsi:type="dcterms:W3CDTF">2025-12-08T08:37:00Z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for Microsoft 365</vt:lpwstr>
  </property>
  <property fmtid="{D5CDD505-2E9C-101B-9397-08002B2CF9AE}" pid="4" name="LastSaved">
    <vt:filetime>2025-10-31T00:00:00Z</vt:filetime>
  </property>
  <property fmtid="{D5CDD505-2E9C-101B-9397-08002B2CF9AE}" pid="5" name="Producer">
    <vt:lpwstr>Microsoft® Word for Microsoft 365</vt:lpwstr>
  </property>
  <property fmtid="{D5CDD505-2E9C-101B-9397-08002B2CF9AE}" pid="6" name="ContentTypeId">
    <vt:lpwstr>0x010100D0C3A5F0F0B3C64EAAC6A00C44121968</vt:lpwstr>
  </property>
  <property fmtid="{D5CDD505-2E9C-101B-9397-08002B2CF9AE}" pid="7" name="MediaServiceImageTags">
    <vt:lpwstr/>
  </property>
</Properties>
</file>