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48"/>
          <w:szCs w:val="48"/>
          <w:rtl w:val="0"/>
        </w:rPr>
        <w:t xml:space="preserve">Chelsi Architzel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ff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chelsi@chelsiarchitzel.com |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804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714-9677 |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Charlotte, NC |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32"/>
            <w:szCs w:val="32"/>
            <w:u w:val="single"/>
            <w:rtl w:val="0"/>
          </w:rPr>
          <w:t xml:space="preserve">Portfolio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widowControl w:val="0"/>
        <w:pBdr>
          <w:bottom w:color="000000" w:space="1" w:sz="6" w:val="single"/>
        </w:pBdr>
        <w:ind w:left="0"/>
        <w:jc w:val="left"/>
        <w:rPr>
          <w:vertAlign w:val="baseline"/>
        </w:rPr>
      </w:pPr>
      <w:bookmarkStart w:colFirst="0" w:colLast="0" w:name="_heading=h.f6jc5ibvkjjd" w:id="0"/>
      <w:bookmarkEnd w:id="0"/>
      <w:r w:rsidDel="00000000" w:rsidR="00000000" w:rsidRPr="00000000">
        <w:rPr>
          <w:vertAlign w:val="baseline"/>
          <w:rtl w:val="0"/>
        </w:rPr>
        <w:t xml:space="preserve">WORK EXPERIENCE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4"/>
          <w:szCs w:val="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52.00000000000003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Premier Yarns</w:t>
        <w:tab/>
        <w:tab/>
        <w:tab/>
        <w:tab/>
        <w:tab/>
        <w:tab/>
        <w:tab/>
        <w:tab/>
        <w:t xml:space="preserve">                        Jan. 2024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– Nov. 2025</w:t>
      </w:r>
    </w:p>
    <w:p w:rsidR="00000000" w:rsidDel="00000000" w:rsidP="00000000" w:rsidRDefault="00000000" w:rsidRPr="00000000" w14:paraId="00000008">
      <w:pPr>
        <w:widowControl w:val="0"/>
        <w:spacing w:line="252.00000000000003" w:lineRule="auto"/>
        <w:rPr>
          <w:rFonts w:ascii="Garamond" w:cs="Garamond" w:eastAsia="Garamond" w:hAnsi="Garamond"/>
          <w:i w:val="1"/>
          <w:iCs w:val="1"/>
          <w:highlight w:val="white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highlight w:val="white"/>
          <w:rtl w:val="0"/>
        </w:rPr>
        <w:t xml:space="preserve">Creative Marketing Manager| Jan. 2025 – Nov. 2025                                                                   Hybrid | Harrisburg, NC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spacing w:line="252.00000000000003" w:lineRule="auto"/>
        <w:ind w:left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highlight w:val="white"/>
          <w:rtl w:val="0"/>
        </w:rPr>
        <w:t xml:space="preserve">Premier Yarns is a leading North American yarn distributor generating nearly $20 million annually, specializing in high-quality yarns sold through over 3,000 retail locations and a growing D2C e-commerce platform.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spacing w:line="252.00000000000003" w:lineRule="auto"/>
        <w:ind w:left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highlight w:val="white"/>
          <w:rtl w:val="0"/>
        </w:rPr>
        <w:t xml:space="preserve">As Creative Marketing Manager, I led strategy and execution for a high-impact, limited-edition product campaign addressing $5.5 million in inventory surplus—</w:t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3"/>
        </w:numPr>
        <w:spacing w:line="252.00000000000003" w:lineRule="auto"/>
        <w:ind w:left="108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highlight w:val="white"/>
          <w:rtl w:val="0"/>
        </w:rPr>
        <w:t xml:space="preserve">Developed and launched the go-to-market campaign that generated six-figure revenue in under 48 hours and increased repeat purchase rate by 30% through data analysis, multi-channel marketing and a compelling brand narrative.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3"/>
        </w:numPr>
        <w:spacing w:line="252.00000000000003" w:lineRule="auto"/>
        <w:ind w:left="360"/>
        <w:rPr>
          <w:rFonts w:ascii="Garamond" w:cs="Garamond" w:eastAsia="Garamond" w:hAnsi="Garamond"/>
          <w:highlight w:val="white"/>
        </w:rPr>
      </w:pPr>
      <w:r w:rsidDel="00000000" w:rsidR="00000000" w:rsidRPr="00000000">
        <w:rPr>
          <w:rFonts w:ascii="Garamond" w:cs="Garamond" w:eastAsia="Garamond" w:hAnsi="Garamond"/>
          <w:highlight w:val="white"/>
          <w:rtl w:val="0"/>
        </w:rPr>
        <w:t xml:space="preserve">Created and managed a flexible visual brand system across retail and digital platforms, leading cross-functional collaboration to enhance brand cohesion and enrich the overall customer experience at every interaction point.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3"/>
        </w:numPr>
        <w:spacing w:line="252.00000000000003" w:lineRule="auto"/>
        <w:ind w:left="360"/>
        <w:rPr>
          <w:rFonts w:ascii="Garamond" w:cs="Garamond" w:eastAsia="Garamond" w:hAnsi="Garamond"/>
          <w:highlight w:val="white"/>
        </w:rPr>
      </w:pPr>
      <w:r w:rsidDel="00000000" w:rsidR="00000000" w:rsidRPr="00000000">
        <w:rPr>
          <w:rFonts w:ascii="Garamond" w:cs="Garamond" w:eastAsia="Garamond" w:hAnsi="Garamond"/>
          <w:highlight w:val="white"/>
          <w:rtl w:val="0"/>
        </w:rPr>
        <w:t xml:space="preserve">Spearheaded content and design optimization across paid, owned, and earned channels.</w:t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3"/>
        </w:numPr>
        <w:spacing w:line="252.00000000000003" w:lineRule="auto"/>
        <w:ind w:left="1080" w:hanging="360"/>
        <w:rPr>
          <w:rFonts w:ascii="Garamond" w:cs="Garamond" w:eastAsia="Garamond" w:hAnsi="Garamond"/>
          <w:highlight w:val="white"/>
        </w:rPr>
      </w:pPr>
      <w:r w:rsidDel="00000000" w:rsidR="00000000" w:rsidRPr="00000000">
        <w:rPr>
          <w:rFonts w:ascii="Garamond" w:cs="Garamond" w:eastAsia="Garamond" w:hAnsi="Garamond"/>
          <w:highlight w:val="white"/>
          <w:rtl w:val="0"/>
        </w:rPr>
        <w:t xml:space="preserve">Implemented repeatable e-mail marketing templates, improving campaign CTR by 45% and driving a 25% increase in e-commerce conversion.</w:t>
      </w:r>
    </w:p>
    <w:p w:rsidR="00000000" w:rsidDel="00000000" w:rsidP="00000000" w:rsidRDefault="00000000" w:rsidRPr="00000000" w14:paraId="0000000F">
      <w:pPr>
        <w:widowControl w:val="0"/>
        <w:spacing w:line="252.00000000000003" w:lineRule="auto"/>
        <w:rPr>
          <w:rFonts w:ascii="Garamond" w:cs="Garamond" w:eastAsia="Garamond" w:hAnsi="Garamond"/>
          <w:i w:val="1"/>
          <w:iCs w:val="1"/>
          <w:highlight w:val="white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highlight w:val="white"/>
          <w:rtl w:val="0"/>
        </w:rPr>
        <w:t xml:space="preserve">Graphic Designer | Jan. 2024 – Dec. 2025    </w:t>
        <w:tab/>
        <w:t xml:space="preserve">                                                                               </w:t>
        <w:tab/>
        <w:t xml:space="preserve">     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</w:pPr>
      <w:r w:rsidDel="00000000" w:rsidR="00000000" w:rsidRPr="00000000">
        <w:rPr>
          <w:rtl w:val="0"/>
        </w:rPr>
        <w:t xml:space="preserve">Designed and produced compelling visual assets for over 30 annual digital and print marketing campaigns, supporting brand storytelling and customer engagement initiatives while maintaining consistent brand standards.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52.00000000000003" w:lineRule="auto"/>
        <w:ind w:left="0" w:firstLine="0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Resident Culture Brewing Company                                                                                  Oct. 2019 – Dec. 2023</w:t>
      </w:r>
    </w:p>
    <w:p w:rsidR="00000000" w:rsidDel="00000000" w:rsidP="00000000" w:rsidRDefault="00000000" w:rsidRPr="00000000" w14:paraId="00000013">
      <w:pPr>
        <w:widowControl w:val="0"/>
        <w:spacing w:line="252.00000000000003" w:lineRule="auto"/>
        <w:ind w:left="0" w:firstLine="0"/>
        <w:rPr>
          <w:rFonts w:ascii="Garamond" w:cs="Garamond" w:eastAsia="Garamond" w:hAnsi="Garamond"/>
          <w:i w:val="1"/>
          <w:iCs w:val="1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Marketing Designer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         </w:t>
        <w:tab/>
        <w:t xml:space="preserve">  Charlotte, NC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  <w:t xml:space="preserve">Resident Culture Brewing Company is a Charlotte-based craft brewery that generates approximately $4 million in annual revenue, operating primarily in B2B through local distribution and expanding D2C sales via online and on-site channels.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  <w:t xml:space="preserve">Crafted integrated brand campaigns and marketing initiatives that strengthened customer connections across wholesale, taproom experiences, and growing online and in-person sales channels.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  <w:t xml:space="preserve">Oversaw the creation of consistent and engaging visual content including packaging, retail materials, and digital assets, supporting brand growth and expanding direct-to-consumer sales through multi-channel marketing.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Title"/>
        <w:widowControl w:val="0"/>
        <w:pBdr>
          <w:bottom w:color="000000" w:space="1" w:sz="6" w:val="single"/>
        </w:pBdr>
        <w:ind w:left="0"/>
        <w:jc w:val="left"/>
        <w:rPr>
          <w:sz w:val="4"/>
          <w:szCs w:val="4"/>
          <w:vertAlign w:val="baseline"/>
        </w:rPr>
      </w:pPr>
      <w:bookmarkStart w:colFirst="0" w:colLast="0" w:name="_heading=h.1fgqmynuz95i" w:id="1"/>
      <w:bookmarkEnd w:id="1"/>
      <w:r w:rsidDel="00000000" w:rsidR="00000000" w:rsidRPr="00000000">
        <w:rPr>
          <w:vertAlign w:val="baseline"/>
          <w:rtl w:val="0"/>
        </w:rPr>
        <w:t xml:space="preserve">EDUCATION</w:t>
      </w:r>
      <w:r w:rsidDel="00000000" w:rsidR="00000000" w:rsidRPr="00000000">
        <w:rPr>
          <w:sz w:val="4"/>
          <w:szCs w:val="4"/>
          <w:vertAlign w:val="baseline"/>
          <w:rtl w:val="0"/>
        </w:rPr>
        <w:tab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Central Piedmont Community College</w:t>
      </w: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  <w:tab/>
        <w:tab/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Sep. 2018 – Sep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Major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: </w:t>
      </w:r>
      <w:r w:rsidDel="00000000" w:rsidR="00000000" w:rsidRPr="00000000">
        <w:rPr>
          <w:rFonts w:ascii="Garamond" w:cs="Garamond" w:eastAsia="Garamond" w:hAnsi="Garamond"/>
          <w:i w:val="1"/>
          <w:iCs w:val="1"/>
          <w:u w:val="single"/>
          <w:rtl w:val="0"/>
        </w:rPr>
        <w:t xml:space="preserve">Visual Arts</w:t>
      </w:r>
      <w:r w:rsidDel="00000000" w:rsidR="00000000" w:rsidRPr="00000000">
        <w:rPr>
          <w:i w:val="1"/>
          <w:iCs w:val="1"/>
          <w:rtl w:val="0"/>
        </w:rPr>
        <w:tab/>
        <w:tab/>
        <w:tab/>
        <w:tab/>
        <w:tab/>
        <w:tab/>
        <w:tab/>
        <w:tab/>
        <w:tab/>
        <w:tab/>
        <w:tab/>
        <w:t xml:space="preserve">   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Charlotte, NC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Relevant Coursework: Digital Design, Art History &amp; Appreciation, 2D &amp; 3D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Title"/>
        <w:widowControl w:val="0"/>
        <w:pBdr>
          <w:bottom w:color="000000" w:space="1" w:sz="6" w:val="single"/>
        </w:pBdr>
        <w:ind w:left="0"/>
        <w:jc w:val="left"/>
        <w:rPr>
          <w:vertAlign w:val="baseline"/>
        </w:rPr>
      </w:pPr>
      <w:bookmarkStart w:colFirst="0" w:colLast="0" w:name="_heading=h.fdrc1yqqorj0" w:id="2"/>
      <w:bookmarkEnd w:id="2"/>
      <w:r w:rsidDel="00000000" w:rsidR="00000000" w:rsidRPr="00000000">
        <w:rPr>
          <w:vertAlign w:val="baseline"/>
          <w:rtl w:val="0"/>
        </w:rPr>
        <w:t xml:space="preserve">SKILLS &amp; INTERESTS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Technologies: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Adobe Creative Suite (Photoshop, Illustrator, InDesign, After Effects); Figma; Webflow; Framer; Canva; Google Workspace; Marketing Automation Tools (e.g., HubSpot, Klaviyo, Mailchimp, Shopify, Hootsuite); Social Media Management Tools (e.g., Sprout Social, Buffer, Planable, Planoly); AI-Powered Creative Tools (e.g., Adobe Firefly, ChatGPT, Perplexity, Sora, Midjourney, Gemini)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Skills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: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Brand Strategy; Creative Direction; Integrated Campaign Development; Visual Communication; Cross-functional Team Leadership; Product Marketing; Data-driven Creativity; Project Management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Interests: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Organic Gardening; Biodiversity and Ecology; Nutrition Science; Work–life Balance; Eco-minded Living; Woodworking; Home Renovation; Outdoors &amp; Nature</w:t>
      </w:r>
      <w:r w:rsidDel="00000000" w:rsidR="00000000" w:rsidRPr="00000000">
        <w:rPr>
          <w:rtl w:val="0"/>
        </w:rPr>
        <w:t xml:space="preserve">; NFL; Jacksonville Jaguars</w:t>
      </w:r>
      <w:r w:rsidDel="00000000" w:rsidR="00000000" w:rsidRPr="00000000">
        <w:rPr>
          <w:rtl w:val="0"/>
        </w:rPr>
      </w:r>
    </w:p>
    <w:sectPr>
      <w:headerReference r:id="rId8" w:type="first"/>
      <w:footerReference r:id="rId9" w:type="first"/>
      <w:pgSz w:h="15840" w:w="12240" w:orient="portrait"/>
      <w:pgMar w:bottom="414" w:top="180" w:left="720" w:right="720" w:header="144" w:footer="28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tabs>
        <w:tab w:val="center" w:leader="none" w:pos="4680"/>
        <w:tab w:val="right" w:leader="none" w:pos="9360"/>
      </w:tabs>
      <w:jc w:val="center"/>
      <w:rPr>
        <w:i w:val="1"/>
        <w:iCs w:val="1"/>
        <w:color w:val="7f7f7f"/>
        <w:sz w:val="8"/>
        <w:szCs w:val="8"/>
      </w:rPr>
    </w:pPr>
    <w:r w:rsidDel="00000000" w:rsidR="00000000" w:rsidRPr="00000000">
      <w:rPr>
        <w:i w:val="1"/>
        <w:iCs w:val="1"/>
        <w:color w:val="ff0000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4"/>
        <w:szCs w:val="24"/>
        <w:lang w:val="en"/>
      </w:rPr>
    </w:rPrDefault>
    <w:pPrDefault>
      <w:pPr>
        <w:spacing w:line="252.00000000000003" w:lineRule="auto"/>
        <w:ind w:left="36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bottom w:color="000000" w:space="1" w:sz="6" w:val="single"/>
      </w:pBdr>
      <w:ind w:left="0"/>
      <w:jc w:val="left"/>
    </w:pPr>
    <w:rPr>
      <w:b w:val="1"/>
      <w:bCs w:val="1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chelsiarchitzel.com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fn2Ut3/SupHL96ZJ8BG6CUe5lw==">CgMxLjAyDmguZjZqYzVpYnZrampkMg5oLjFmZ3FteW51ejk1aTIOaC5mZHJjMXlxcW9yajA4AHIhMVp2TEVWcXU3bVFIMGV0YUdYVVE4RWJEa0RFSjhfWnF4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2018-02-17T18:11:00Z</dcterms:created>
  <dc:creator>Colin McIntosh</dc:creator>
</cp:coreProperties>
</file>