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60"/>
      </w:pPr>
      <w:r>
        <w:drawing>
          <wp:inline distT="0" distB="0" distL="0" distR="0">
            <wp:extent cx="2476500" cy="73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b/>
          <w:bCs/>
          <w:color w:val="24304A"/>
          <w:sz w:val="48"/>
          <w:szCs w:val="48"/>
        </w:rPr>
        <w:t xml:space="preserve">NEW BUSINESS STARTER KIT</w:t>
      </w:r>
    </w:p>
    <w:p>
      <w:pPr>
        <w:spacing w:after="520"/>
      </w:pPr>
      <w:r>
        <w:rPr>
          <w:rFonts w:ascii="Arial" w:cs="Arial" w:eastAsia="Arial" w:hAnsi="Arial"/>
          <w:color w:val="5A6480"/>
          <w:sz w:val="24"/>
          <w:szCs w:val="24"/>
        </w:rPr>
        <w:t xml:space="preserve">Getting set up properly in Australia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Date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Before you register anything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Most of what goes wrong in a new business is decided in the first month, not the first year. Four questions are worth answering before you spend money.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Will this make money? Test it in the Business Viability Calculator (STA002) before committing.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What will it cost to start, and do I have that? Use the Startup Costs Calculator (STA003).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How many sales do I need to break even? Use the Break-Even Calculator (STA011).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Can I survive the gap between doing the work and being paid? Use the Cash Flow Forecast (STA016).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Choosing a structure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This is the decision that is most expensive to change later. There is no universally right answer — it depends on risk, income level, who else is involved and what you intend to do with the business eventually.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400"/>
        <w:gridCol w:w="3826"/>
      </w:tblGrid>
      <w:tr>
        <w:trPr>
          <w:tblHeader/>
        </w:trP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Structure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Suits</w:t>
            </w:r>
          </w:p>
        </w:tc>
        <w:tc>
          <w:tcPr>
            <w:tcW w:type="dxa" w:w="3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Watch out for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Sole trader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One person, low risk, starting small</w:t>
            </w:r>
          </w:p>
        </w:tc>
        <w:tc>
          <w:tcPr>
            <w:tcW w:type="dxa" w:w="3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No asset protection. Business debts are your debts.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Partnership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Two or more people sharing a business</w:t>
            </w:r>
          </w:p>
        </w:tc>
        <w:tc>
          <w:tcPr>
            <w:tcW w:type="dxa" w:w="3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Each partner is liable for the whole of the partnership's debts.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Trading with risk, multiple owners, reinvesting profit</w:t>
            </w:r>
          </w:p>
        </w:tc>
        <w:tc>
          <w:tcPr>
            <w:tcW w:type="dxa" w:w="3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Set-up and annual costs, director duties, Division 7A on loans to owners.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Trust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Holding assets, distributing income across a family group</w:t>
            </w:r>
          </w:p>
        </w:tc>
        <w:tc>
          <w:tcPr>
            <w:tcW w:type="dxa" w:w="3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Complex, needs a deed and careful annual resolutions.</w:t>
            </w:r>
          </w:p>
        </w:tc>
      </w:tr>
    </w:tbl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Talk to us before you register. Changing structure later can trigger capital gains tax and stamp duty.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Registrations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200"/>
        <w:gridCol w:w="2826"/>
      </w:tblGrid>
      <w:tr>
        <w:trPr>
          <w:tblHeader/>
        </w:trP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Registration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When you need it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Where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ABN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Almost always, before you invoice anyone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abr.gov.au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If trading under anything other than your own name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asic.gov.au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GST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Turnover of $75,000 or more, or if you drive a taxi or rideshare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ato.gov.au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PAYG withholding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Before you first pay an employee or a contractor without an ABN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ato.gov.au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TFN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Companies, partnerships and trusts need their own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ato.gov.au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Domain name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Once the business name is secured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auda.org.au registrars</w:t>
            </w:r>
          </w:p>
        </w:tc>
      </w:tr>
      <w:tr>
        <w:tc>
          <w:tcPr>
            <w:tcW w:type="dxa" w:w="2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Licences</w:t>
            </w:r>
          </w:p>
        </w:tc>
        <w:tc>
          <w:tcPr>
            <w:tcW w:type="dxa" w:w="4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Trade, food, liquor, building — varies by industry and state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ablis.business.gov.au</w:t>
            </w:r>
          </w:p>
        </w:tc>
      </w:tr>
    </w:tbl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You can register for GST voluntarily below $75,000. It lets you claim GST on purchases but adds a BAS every quarter.</w:t>
      </w:r>
    </w:p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Your obligations once you start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24304A"/>
          <w:sz w:val="22"/>
          <w:szCs w:val="22"/>
        </w:rPr>
        <w:t xml:space="preserve">Records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The ATO requires records to be kept for five years, in English, and to explain every transaction. In practice this means cloud accounting software from day one — reconstructing a year from a shoebox costs far more than the subscription.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24304A"/>
          <w:sz w:val="22"/>
          <w:szCs w:val="22"/>
        </w:rPr>
        <w:t xml:space="preserve">If you employ people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Superannuation guarantee at 12% of ordinary time earnings, paid quarterly.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PAYG withholding from wages, reported through Single Touch Payroll each pay run.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Correct award rates. Check the award on fairwork.gov.au — getting this wrong is expensive.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Workers compensation insurance before the first employee starts.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24304A"/>
          <w:sz w:val="22"/>
          <w:szCs w:val="22"/>
        </w:rPr>
        <w:t xml:space="preserve">If you use contractors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Calling someone a contractor does not make them one. If they work like an employee, superannuation and PAYG can still apply. The distinction turns on control, delegation, risk and how they are paid — not on what the agreement says.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The first-year calendar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When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Monthly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Reconcile the bank. Review your cash position against forecast.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Each pay run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Single Touch Payroll report to the ATO.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28 Oct / 28 Feb / 28 Apr / 28 Jul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Quarterly BAS, if you lodge quarterly.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28 Oct / 28 Jan / 28 Apr / 28 Jul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Superannuation guarantee payments.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14 July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Finalise Single Touch Payroll for the prior year.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31 October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Income tax return, if lodging yourself.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May (following year)</w:t>
            </w:r>
          </w:p>
        </w:tc>
        <w:tc>
          <w:tcPr>
            <w:tcW w:type="dxa" w:w="6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Income tax return, if lodging through us.</w:t>
            </w:r>
          </w:p>
        </w:tc>
      </w:tr>
    </w:tbl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Lodgement dates shift for public holidays and differ if you lodge through a tax agent. We will confirm your dates.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Setting money aside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The single most common failure in a first-year business is spending money that was never theirs. Open a second bank account and move money into it every time you are paid: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GST — roughly one eleventh of everything you invoice.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Income tax — a working estimate is 25 to 30 per cent of profit.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Superannuation — if you employ anyone, 12% of their ordinary earnings.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Money in that account is not available to spend. Treating it as a buffer is how businesses end up on an ATO payment plan.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First-year checklist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8026"/>
      </w:tblGrid>
      <w:tr>
        <w:trPr>
          <w:tblHeader/>
        </w:trP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Done</w:t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Task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Structure decided and set up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ABN registered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 registered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GST registered (or decision recorded not to)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TFN obtained for the entity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bank account opened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Second account opened for tax and GST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Accounting software set up and bank feeds connected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Insurances arranged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Licences and permits obtained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Terms of trade and quote template prepared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Payroll set up and STP connected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Record-keeping routine agreed</w:t>
            </w:r>
          </w:p>
        </w:tc>
      </w:tr>
      <w:tr>
        <w:tc>
          <w:tcPr>
            <w:tcW w:type="dxa" w:w="1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8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First meeting with us booked</w:t>
            </w:r>
          </w:p>
        </w:tc>
      </w:tr>
    </w:tbl>
    <w:p>
      <w:pPr>
        <w:spacing w:before="340"/>
      </w:pP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This template is a general guide and does not take your particular circumstances into account. It is not financial, tax, accounting or legal advice. Speak to us before relying on it for a decision.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A93A3"/>
        <w:sz w:val="16"/>
        <w:szCs w:val="16"/>
      </w:rPr>
      <w:t xml:space="preserve">Waycorp Advisors  ·  Waycorp Advisors.com  ·  </w:t>
    </w:r>
    <w:r>
      <w:rPr>
        <w:rFonts w:ascii="Arial" w:cs="Arial" w:eastAsia="Arial" w:hAnsi="Arial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8A93A3"/>
        <w:sz w:val="16"/>
        <w:szCs w:val="16"/>
      </w:rPr>
      <w:t xml:space="preserve">New Business Starter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endnotes" Target="endnotes.xml"/><Relationship Id="rId9" Type="http://schemas.openxmlformats.org/officeDocument/2006/relationships/image" Target="media/80e4328720a9349f1ebc3d3e6a168c96a1c15d6c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550F7B-D5A1-476F-B5E3-AF44B82AB291}"/>
</file>

<file path=customXml/itemProps2.xml><?xml version="1.0" encoding="utf-8"?>
<ds:datastoreItem xmlns:ds="http://schemas.openxmlformats.org/officeDocument/2006/customXml" ds:itemID="{A743A377-5DEC-4A0F-BF95-945C5894D3B7}"/>
</file>

<file path=customXml/itemProps3.xml><?xml version="1.0" encoding="utf-8"?>
<ds:datastoreItem xmlns:ds="http://schemas.openxmlformats.org/officeDocument/2006/customXml" ds:itemID="{247D1847-5E6B-4B9C-952D-9BE2FC59E889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STA001 - New Business Starter Kit</dc:title>
  <dc:creator>Waycorp Advisors</dc:creator>
  <cp:lastModifiedBy>Un-named</cp:lastModifiedBy>
  <cp:revision>1</cp:revision>
  <dcterms:created xsi:type="dcterms:W3CDTF">2026-08-17T08:42:56Z</dcterms:created>
  <dcterms:modified xsi:type="dcterms:W3CDTF">2026-08-17T08:42:56Z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0x010100405EEDA63167C84AAAB7EBC030D07BC1</vt:lpwstr>
  </property>
</Properties>
</file>