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B3E66" w14:textId="77777777" w:rsidR="00104137" w:rsidRPr="00C40A0D" w:rsidRDefault="00000000">
      <w:pPr>
        <w:spacing w:after="40"/>
        <w:jc w:val="center"/>
        <w:rPr>
          <w:rFonts w:ascii="Figtree" w:hAnsi="Figtree"/>
          <w:sz w:val="22"/>
          <w:szCs w:val="22"/>
        </w:rPr>
      </w:pPr>
      <w:r w:rsidRPr="00C40A0D">
        <w:rPr>
          <w:rFonts w:ascii="Figtree" w:eastAsia="Calibri" w:hAnsi="Figtree" w:cs="Calibri"/>
          <w:b/>
          <w:bCs/>
          <w:spacing w:val="28"/>
          <w:sz w:val="22"/>
          <w:szCs w:val="22"/>
        </w:rPr>
        <w:t>PARTNERSHIP TO ALIGN COMMUNITY CARE</w:t>
      </w:r>
    </w:p>
    <w:p w14:paraId="6BC59F3A" w14:textId="5291E3B4" w:rsidR="00104137" w:rsidRPr="00A0743E" w:rsidRDefault="00000000">
      <w:pPr>
        <w:pBdr>
          <w:bottom w:val="single" w:sz="8" w:space="8" w:color="444444"/>
        </w:pBdr>
        <w:spacing w:after="260"/>
        <w:jc w:val="center"/>
        <w:rPr>
          <w:rFonts w:ascii="Figtree" w:hAnsi="Figtree"/>
          <w:b/>
          <w:bCs/>
          <w:sz w:val="22"/>
          <w:szCs w:val="22"/>
        </w:rPr>
      </w:pPr>
      <w:r w:rsidRPr="00A0743E">
        <w:rPr>
          <w:rFonts w:ascii="Figtree" w:eastAsia="Calibri" w:hAnsi="Figtree" w:cs="Calibri"/>
          <w:b/>
          <w:bCs/>
          <w:i/>
          <w:iCs/>
          <w:color w:val="555555"/>
          <w:sz w:val="22"/>
          <w:szCs w:val="22"/>
        </w:rPr>
        <w:t>Template Comment Language for Partner Organizations</w:t>
      </w:r>
      <w:r w:rsidR="00C40A0D" w:rsidRPr="00A0743E">
        <w:rPr>
          <w:rFonts w:ascii="Figtree" w:eastAsia="Calibri" w:hAnsi="Figtree" w:cs="Calibri"/>
          <w:b/>
          <w:bCs/>
          <w:i/>
          <w:iCs/>
          <w:color w:val="555555"/>
          <w:sz w:val="22"/>
          <w:szCs w:val="22"/>
        </w:rPr>
        <w:br/>
      </w:r>
      <w:r w:rsidRPr="00A0743E">
        <w:rPr>
          <w:rFonts w:ascii="Figtree" w:eastAsia="Calibri" w:hAnsi="Figtree" w:cs="Calibri"/>
          <w:b/>
          <w:bCs/>
          <w:i/>
          <w:iCs/>
          <w:color w:val="555555"/>
          <w:sz w:val="22"/>
          <w:szCs w:val="22"/>
        </w:rPr>
        <w:t>CY 2027 Medicare Physician Fee Schedule</w:t>
      </w:r>
    </w:p>
    <w:p w14:paraId="177A5B8D" w14:textId="77777777" w:rsidR="00104137" w:rsidRPr="00A0743E" w:rsidRDefault="00000000">
      <w:pPr>
        <w:spacing w:before="120" w:after="200" w:line="258" w:lineRule="auto"/>
        <w:rPr>
          <w:rFonts w:ascii="Figtree" w:hAnsi="Figtree"/>
          <w:sz w:val="24"/>
          <w:szCs w:val="24"/>
        </w:rPr>
      </w:pPr>
      <w:r w:rsidRPr="00A0743E">
        <w:rPr>
          <w:rFonts w:ascii="Figtree" w:eastAsia="Calibri" w:hAnsi="Figtree" w:cs="Calibri"/>
          <w:b/>
          <w:bCs/>
          <w:color w:val="1F3864"/>
          <w:sz w:val="24"/>
          <w:szCs w:val="24"/>
        </w:rPr>
        <w:t>How to Use This Template</w:t>
      </w:r>
    </w:p>
    <w:p w14:paraId="4C16DDDB" w14:textId="77777777" w:rsidR="00104137" w:rsidRPr="00C40A0D" w:rsidRDefault="00000000">
      <w:pPr>
        <w:pBdr>
          <w:top w:val="single" w:sz="4" w:space="8" w:color="F0CFCF"/>
          <w:left w:val="single" w:sz="18" w:space="8" w:color="9B2C2C"/>
          <w:right w:val="single" w:sz="4" w:space="6" w:color="F0CFCF"/>
        </w:pBdr>
        <w:shd w:val="clear" w:color="auto" w:fill="FBEAEA"/>
        <w:spacing w:before="60" w:after="60" w:line="258" w:lineRule="auto"/>
        <w:ind w:left="172"/>
        <w:rPr>
          <w:rFonts w:ascii="Figtree" w:hAnsi="Figtree"/>
          <w:sz w:val="22"/>
          <w:szCs w:val="22"/>
        </w:rPr>
      </w:pPr>
      <w:r w:rsidRPr="00C40A0D">
        <w:rPr>
          <w:rFonts w:ascii="Figtree" w:eastAsia="Calibri" w:hAnsi="Figtree" w:cs="Calibri"/>
          <w:b/>
          <w:bCs/>
          <w:color w:val="9B2C2C"/>
          <w:sz w:val="22"/>
          <w:szCs w:val="22"/>
        </w:rPr>
        <w:t>COMMENTS ARE DUE MONDAY, SEPTEMBER 14, 2026.</w:t>
      </w:r>
    </w:p>
    <w:p w14:paraId="2449E5CA" w14:textId="0B2F7027" w:rsidR="00104137" w:rsidRPr="00C40A0D" w:rsidRDefault="00000000">
      <w:pPr>
        <w:pBdr>
          <w:left w:val="single" w:sz="18" w:space="8" w:color="9B2C2C"/>
          <w:bottom w:val="single" w:sz="4" w:space="8" w:color="F0CFCF"/>
          <w:right w:val="single" w:sz="4" w:space="6" w:color="F0CFCF"/>
        </w:pBdr>
        <w:shd w:val="clear" w:color="auto" w:fill="FBEAEA"/>
        <w:spacing w:after="220" w:line="258" w:lineRule="auto"/>
        <w:ind w:left="172"/>
        <w:rPr>
          <w:rFonts w:ascii="Figtree" w:hAnsi="Figtree"/>
          <w:sz w:val="22"/>
          <w:szCs w:val="22"/>
        </w:rPr>
      </w:pPr>
      <w:r w:rsidRPr="00C40A0D">
        <w:rPr>
          <w:rFonts w:ascii="Figtree" w:eastAsia="Calibri" w:hAnsi="Figtree" w:cs="Calibri"/>
          <w:sz w:val="22"/>
          <w:szCs w:val="22"/>
        </w:rPr>
        <w:t xml:space="preserve">Submit at </w:t>
      </w:r>
      <w:r w:rsidRPr="00C40A0D">
        <w:rPr>
          <w:rFonts w:ascii="Figtree" w:eastAsia="Calibri" w:hAnsi="Figtree" w:cs="Calibri"/>
          <w:b/>
          <w:bCs/>
          <w:sz w:val="22"/>
          <w:szCs w:val="22"/>
        </w:rPr>
        <w:t>regulations.gov</w:t>
      </w:r>
      <w:r w:rsidRPr="00C40A0D">
        <w:rPr>
          <w:rFonts w:ascii="Figtree" w:eastAsia="Calibri" w:hAnsi="Figtree" w:cs="Calibri"/>
          <w:sz w:val="22"/>
          <w:szCs w:val="22"/>
        </w:rPr>
        <w:t xml:space="preserve"> under docket </w:t>
      </w:r>
      <w:hyperlink r:id="rId7" w:anchor="h-142" w:history="1">
        <w:r w:rsidR="00104137" w:rsidRPr="00C40A0D">
          <w:rPr>
            <w:rStyle w:val="Hyperlink"/>
            <w:rFonts w:ascii="Figtree" w:eastAsia="Calibri" w:hAnsi="Figtree" w:cs="Calibri"/>
            <w:b/>
            <w:bCs/>
            <w:sz w:val="22"/>
            <w:szCs w:val="22"/>
          </w:rPr>
          <w:t>CMS-1848-P</w:t>
        </w:r>
      </w:hyperlink>
      <w:r w:rsidRPr="00C40A0D">
        <w:rPr>
          <w:rFonts w:ascii="Figtree" w:eastAsia="Calibri" w:hAnsi="Figtree" w:cs="Calibri"/>
          <w:sz w:val="22"/>
          <w:szCs w:val="22"/>
        </w:rPr>
        <w:t xml:space="preserve">. Paste your letter into the </w:t>
      </w:r>
      <w:hyperlink r:id="rId8" w:anchor="open-comment" w:history="1">
        <w:r w:rsidRPr="0089268B">
          <w:rPr>
            <w:rStyle w:val="Hyperlink"/>
            <w:rFonts w:ascii="Figtree" w:eastAsia="Calibri" w:hAnsi="Figtree" w:cs="Calibri"/>
            <w:sz w:val="22"/>
            <w:szCs w:val="22"/>
          </w:rPr>
          <w:t>comment field</w:t>
        </w:r>
      </w:hyperlink>
      <w:r w:rsidRPr="00C40A0D">
        <w:rPr>
          <w:rFonts w:ascii="Figtree" w:eastAsia="Calibri" w:hAnsi="Figtree" w:cs="Calibri"/>
          <w:sz w:val="22"/>
          <w:szCs w:val="22"/>
        </w:rPr>
        <w:t xml:space="preserve"> or upload it as a PDF on your organization's letterhead.</w:t>
      </w:r>
    </w:p>
    <w:p w14:paraId="05CA1D1C" w14:textId="77777777" w:rsidR="00F97031" w:rsidRDefault="00F97031">
      <w:pPr>
        <w:spacing w:after="150" w:line="258" w:lineRule="auto"/>
        <w:rPr>
          <w:rFonts w:ascii="Figtree" w:eastAsia="Calibri" w:hAnsi="Figtree" w:cs="Calibri"/>
          <w:b/>
          <w:bCs/>
          <w:sz w:val="22"/>
          <w:szCs w:val="22"/>
        </w:rPr>
      </w:pPr>
      <w:hyperlink r:id="rId9" w:history="1">
        <w:r w:rsidR="00000000" w:rsidRPr="00F97031">
          <w:rPr>
            <w:rStyle w:val="Hyperlink"/>
            <w:rFonts w:ascii="Figtree" w:eastAsia="Calibri" w:hAnsi="Figtree" w:cs="Calibri"/>
            <w:b/>
            <w:bCs/>
            <w:sz w:val="22"/>
            <w:szCs w:val="22"/>
          </w:rPr>
          <w:t>CMS has proposed a Medicare Part B payment pathway for health and well-being coaching</w:t>
        </w:r>
      </w:hyperlink>
      <w:r w:rsidR="00000000" w:rsidRPr="00F97031">
        <w:rPr>
          <w:rFonts w:ascii="Figtree" w:eastAsia="Calibri" w:hAnsi="Figtree" w:cs="Calibri"/>
          <w:b/>
          <w:bCs/>
          <w:sz w:val="22"/>
          <w:szCs w:val="22"/>
        </w:rPr>
        <w:t xml:space="preserve">. It is a significant opportunity for the community-based workforce, but several decisions in the final rule will determine whether </w:t>
      </w:r>
      <w:r w:rsidR="00C40A0D" w:rsidRPr="00F97031">
        <w:rPr>
          <w:rFonts w:ascii="Figtree" w:eastAsia="Calibri" w:hAnsi="Figtree" w:cs="Calibri"/>
          <w:b/>
          <w:bCs/>
          <w:sz w:val="22"/>
          <w:szCs w:val="22"/>
        </w:rPr>
        <w:t xml:space="preserve">community-based </w:t>
      </w:r>
      <w:r w:rsidR="00000000" w:rsidRPr="00F97031">
        <w:rPr>
          <w:rFonts w:ascii="Figtree" w:eastAsia="Calibri" w:hAnsi="Figtree" w:cs="Calibri"/>
          <w:b/>
          <w:bCs/>
          <w:sz w:val="22"/>
          <w:szCs w:val="22"/>
        </w:rPr>
        <w:t xml:space="preserve">organizations </w:t>
      </w:r>
      <w:r w:rsidR="00C40A0D" w:rsidRPr="00F97031">
        <w:rPr>
          <w:rFonts w:ascii="Figtree" w:eastAsia="Calibri" w:hAnsi="Figtree" w:cs="Calibri"/>
          <w:b/>
          <w:bCs/>
          <w:sz w:val="22"/>
          <w:szCs w:val="22"/>
        </w:rPr>
        <w:t xml:space="preserve">can implement </w:t>
      </w:r>
      <w:r w:rsidR="00000000" w:rsidRPr="00F97031">
        <w:rPr>
          <w:rFonts w:ascii="Figtree" w:eastAsia="Calibri" w:hAnsi="Figtree" w:cs="Calibri"/>
          <w:b/>
          <w:bCs/>
          <w:sz w:val="22"/>
          <w:szCs w:val="22"/>
        </w:rPr>
        <w:t xml:space="preserve">the benefit. </w:t>
      </w:r>
    </w:p>
    <w:p w14:paraId="420137F2" w14:textId="00B6F463" w:rsidR="00104137" w:rsidRPr="00C40A0D" w:rsidRDefault="00000000">
      <w:pPr>
        <w:spacing w:after="150" w:line="258" w:lineRule="auto"/>
        <w:rPr>
          <w:rFonts w:ascii="Figtree" w:hAnsi="Figtree"/>
          <w:sz w:val="22"/>
          <w:szCs w:val="22"/>
        </w:rPr>
      </w:pPr>
      <w:r w:rsidRPr="005615CC">
        <w:rPr>
          <w:rFonts w:ascii="Figtree" w:eastAsia="Calibri" w:hAnsi="Figtree" w:cs="Calibri"/>
          <w:b/>
          <w:bCs/>
          <w:sz w:val="22"/>
          <w:szCs w:val="22"/>
        </w:rPr>
        <w:t xml:space="preserve">The Partnership has </w:t>
      </w:r>
      <w:r w:rsidR="00C40A0D" w:rsidRPr="005615CC">
        <w:rPr>
          <w:rFonts w:ascii="Figtree" w:eastAsia="Calibri" w:hAnsi="Figtree" w:cs="Calibri"/>
          <w:b/>
          <w:bCs/>
          <w:sz w:val="22"/>
          <w:szCs w:val="22"/>
        </w:rPr>
        <w:t>developed</w:t>
      </w:r>
      <w:r w:rsidRPr="005615CC">
        <w:rPr>
          <w:rFonts w:ascii="Figtree" w:eastAsia="Calibri" w:hAnsi="Figtree" w:cs="Calibri"/>
          <w:b/>
          <w:bCs/>
          <w:sz w:val="22"/>
          <w:szCs w:val="22"/>
        </w:rPr>
        <w:t xml:space="preserve"> a detailed</w:t>
      </w:r>
      <w:hyperlink r:id="rId10" w:history="1">
        <w:r w:rsidRPr="005615CC">
          <w:rPr>
            <w:rStyle w:val="Hyperlink"/>
            <w:rFonts w:ascii="Figtree" w:eastAsia="Calibri" w:hAnsi="Figtree" w:cs="Calibri"/>
            <w:b/>
            <w:bCs/>
            <w:sz w:val="22"/>
            <w:szCs w:val="22"/>
          </w:rPr>
          <w:t xml:space="preserve"> co</w:t>
        </w:r>
        <w:r w:rsidRPr="005615CC">
          <w:rPr>
            <w:rStyle w:val="Hyperlink"/>
            <w:rFonts w:ascii="Figtree" w:eastAsia="Calibri" w:hAnsi="Figtree" w:cs="Calibri"/>
            <w:b/>
            <w:bCs/>
            <w:sz w:val="22"/>
            <w:szCs w:val="22"/>
          </w:rPr>
          <w:t>m</w:t>
        </w:r>
        <w:r w:rsidRPr="005615CC">
          <w:rPr>
            <w:rStyle w:val="Hyperlink"/>
            <w:rFonts w:ascii="Figtree" w:eastAsia="Calibri" w:hAnsi="Figtree" w:cs="Calibri"/>
            <w:b/>
            <w:bCs/>
            <w:sz w:val="22"/>
            <w:szCs w:val="22"/>
          </w:rPr>
          <w:t>ment letter</w:t>
        </w:r>
      </w:hyperlink>
      <w:r w:rsidR="00A9668A" w:rsidRPr="00A9668A">
        <w:rPr>
          <w:rFonts w:ascii="Figtree" w:eastAsia="Calibri" w:hAnsi="Figtree" w:cs="Calibri"/>
          <w:b/>
          <w:bCs/>
          <w:sz w:val="22"/>
          <w:szCs w:val="22"/>
        </w:rPr>
        <w:t xml:space="preserve"> available for </w:t>
      </w:r>
      <w:hyperlink r:id="rId11" w:history="1">
        <w:r w:rsidR="00A9668A" w:rsidRPr="00E4652E">
          <w:rPr>
            <w:rStyle w:val="Hyperlink"/>
            <w:rFonts w:ascii="Figtree" w:eastAsia="Calibri" w:hAnsi="Figtree" w:cs="Calibri"/>
            <w:b/>
            <w:bCs/>
            <w:sz w:val="22"/>
            <w:szCs w:val="22"/>
          </w:rPr>
          <w:t>organizational sign-on</w:t>
        </w:r>
        <w:r w:rsidR="005615CC" w:rsidRPr="00E4652E">
          <w:rPr>
            <w:rStyle w:val="Hyperlink"/>
            <w:rFonts w:ascii="Figtree" w:eastAsia="Calibri" w:hAnsi="Figtree" w:cs="Calibri"/>
            <w:b/>
            <w:bCs/>
            <w:sz w:val="22"/>
            <w:szCs w:val="22"/>
          </w:rPr>
          <w:t xml:space="preserve"> by 5:00 p.m. ET on Monday, September 14</w:t>
        </w:r>
      </w:hyperlink>
      <w:r w:rsidRPr="00C40A0D">
        <w:rPr>
          <w:rFonts w:ascii="Figtree" w:eastAsia="Calibri" w:hAnsi="Figtree" w:cs="Calibri"/>
          <w:sz w:val="22"/>
          <w:szCs w:val="22"/>
        </w:rPr>
        <w:t xml:space="preserve"> making six recommendations. </w:t>
      </w:r>
      <w:r w:rsidRPr="00F97031">
        <w:rPr>
          <w:rFonts w:ascii="Figtree" w:eastAsia="Calibri" w:hAnsi="Figtree" w:cs="Calibri"/>
          <w:b/>
          <w:bCs/>
          <w:sz w:val="22"/>
          <w:szCs w:val="22"/>
        </w:rPr>
        <w:t>This template</w:t>
      </w:r>
      <w:r w:rsidRPr="00C40A0D">
        <w:rPr>
          <w:rFonts w:ascii="Figtree" w:eastAsia="Calibri" w:hAnsi="Figtree" w:cs="Calibri"/>
          <w:sz w:val="22"/>
          <w:szCs w:val="22"/>
        </w:rPr>
        <w:t xml:space="preserve"> lets </w:t>
      </w:r>
      <w:r w:rsidR="00C40A0D">
        <w:rPr>
          <w:rFonts w:ascii="Figtree" w:eastAsia="Calibri" w:hAnsi="Figtree" w:cs="Calibri"/>
          <w:sz w:val="22"/>
          <w:szCs w:val="22"/>
        </w:rPr>
        <w:t xml:space="preserve">you or </w:t>
      </w:r>
      <w:r w:rsidRPr="00C40A0D">
        <w:rPr>
          <w:rFonts w:ascii="Figtree" w:eastAsia="Calibri" w:hAnsi="Figtree" w:cs="Calibri"/>
          <w:sz w:val="22"/>
          <w:szCs w:val="22"/>
        </w:rPr>
        <w:t xml:space="preserve">your organization </w:t>
      </w:r>
      <w:r w:rsidR="00C40A0D">
        <w:rPr>
          <w:rFonts w:ascii="Figtree" w:eastAsia="Calibri" w:hAnsi="Figtree" w:cs="Calibri"/>
          <w:sz w:val="22"/>
          <w:szCs w:val="22"/>
        </w:rPr>
        <w:t>submit</w:t>
      </w:r>
      <w:r w:rsidRPr="00C40A0D">
        <w:rPr>
          <w:rFonts w:ascii="Figtree" w:eastAsia="Calibri" w:hAnsi="Figtree" w:cs="Calibri"/>
          <w:sz w:val="22"/>
          <w:szCs w:val="22"/>
        </w:rPr>
        <w:t xml:space="preserve"> </w:t>
      </w:r>
      <w:r w:rsidR="00C40A0D">
        <w:rPr>
          <w:rFonts w:ascii="Figtree" w:eastAsia="Calibri" w:hAnsi="Figtree" w:cs="Calibri"/>
          <w:sz w:val="22"/>
          <w:szCs w:val="22"/>
        </w:rPr>
        <w:t>your</w:t>
      </w:r>
      <w:r w:rsidRPr="00C40A0D">
        <w:rPr>
          <w:rFonts w:ascii="Figtree" w:eastAsia="Calibri" w:hAnsi="Figtree" w:cs="Calibri"/>
          <w:sz w:val="22"/>
          <w:szCs w:val="22"/>
        </w:rPr>
        <w:t xml:space="preserve"> own comment in support, in your own voice.</w:t>
      </w:r>
    </w:p>
    <w:p w14:paraId="43CC1648" w14:textId="0840ACB2" w:rsidR="00104137" w:rsidRPr="00C40A0D" w:rsidRDefault="00000000">
      <w:pPr>
        <w:spacing w:after="150" w:line="258" w:lineRule="auto"/>
        <w:rPr>
          <w:rFonts w:ascii="Figtree" w:hAnsi="Figtree"/>
          <w:sz w:val="22"/>
          <w:szCs w:val="22"/>
        </w:rPr>
      </w:pPr>
      <w:r w:rsidRPr="00C40A0D">
        <w:rPr>
          <w:rFonts w:ascii="Figtree" w:eastAsia="Calibri" w:hAnsi="Figtree" w:cs="Calibri"/>
          <w:b/>
          <w:bCs/>
          <w:sz w:val="22"/>
          <w:szCs w:val="22"/>
        </w:rPr>
        <w:t xml:space="preserve">Why </w:t>
      </w:r>
      <w:r w:rsidR="00C40A0D">
        <w:rPr>
          <w:rFonts w:ascii="Figtree" w:eastAsia="Calibri" w:hAnsi="Figtree" w:cs="Calibri"/>
          <w:b/>
          <w:bCs/>
          <w:sz w:val="22"/>
          <w:szCs w:val="22"/>
        </w:rPr>
        <w:t>submit</w:t>
      </w:r>
      <w:r w:rsidRPr="00C40A0D">
        <w:rPr>
          <w:rFonts w:ascii="Figtree" w:eastAsia="Calibri" w:hAnsi="Figtree" w:cs="Calibri"/>
          <w:b/>
          <w:bCs/>
          <w:sz w:val="22"/>
          <w:szCs w:val="22"/>
        </w:rPr>
        <w:t xml:space="preserve"> separately? </w:t>
      </w:r>
      <w:r w:rsidRPr="00C40A0D">
        <w:rPr>
          <w:rFonts w:ascii="Figtree" w:eastAsia="Calibri" w:hAnsi="Figtree" w:cs="Calibri"/>
          <w:sz w:val="22"/>
          <w:szCs w:val="22"/>
        </w:rPr>
        <w:t xml:space="preserve">CMS weighs the number and diversity of commenters, and </w:t>
      </w:r>
      <w:r w:rsidR="00A9668A">
        <w:rPr>
          <w:rFonts w:ascii="Figtree" w:eastAsia="Calibri" w:hAnsi="Figtree" w:cs="Calibri"/>
          <w:sz w:val="22"/>
          <w:szCs w:val="22"/>
        </w:rPr>
        <w:t xml:space="preserve">it’s important that the agency </w:t>
      </w:r>
      <w:r w:rsidR="00AF2A16">
        <w:rPr>
          <w:rFonts w:ascii="Figtree" w:eastAsia="Calibri" w:hAnsi="Figtree" w:cs="Calibri"/>
          <w:sz w:val="22"/>
          <w:szCs w:val="22"/>
        </w:rPr>
        <w:t>hears</w:t>
      </w:r>
      <w:r w:rsidR="00A9668A">
        <w:rPr>
          <w:rFonts w:ascii="Figtree" w:eastAsia="Calibri" w:hAnsi="Figtree" w:cs="Calibri"/>
          <w:sz w:val="22"/>
          <w:szCs w:val="22"/>
        </w:rPr>
        <w:t xml:space="preserve"> from</w:t>
      </w:r>
      <w:r w:rsidRPr="00C40A0D">
        <w:rPr>
          <w:rFonts w:ascii="Figtree" w:eastAsia="Calibri" w:hAnsi="Figtree" w:cs="Calibri"/>
          <w:sz w:val="22"/>
          <w:szCs w:val="22"/>
        </w:rPr>
        <w:t xml:space="preserve"> organizations that </w:t>
      </w:r>
      <w:r w:rsidR="00A9668A" w:rsidRPr="00C40A0D">
        <w:rPr>
          <w:rFonts w:ascii="Figtree" w:eastAsia="Calibri" w:hAnsi="Figtree" w:cs="Calibri"/>
          <w:sz w:val="22"/>
          <w:szCs w:val="22"/>
        </w:rPr>
        <w:t>deliver</w:t>
      </w:r>
      <w:r w:rsidRPr="00C40A0D">
        <w:rPr>
          <w:rFonts w:ascii="Figtree" w:eastAsia="Calibri" w:hAnsi="Figtree" w:cs="Calibri"/>
          <w:sz w:val="22"/>
          <w:szCs w:val="22"/>
        </w:rPr>
        <w:t xml:space="preserve"> </w:t>
      </w:r>
      <w:r w:rsidR="00A9668A">
        <w:rPr>
          <w:rFonts w:ascii="Figtree" w:eastAsia="Calibri" w:hAnsi="Figtree" w:cs="Calibri"/>
          <w:sz w:val="22"/>
          <w:szCs w:val="22"/>
        </w:rPr>
        <w:t>the proposed</w:t>
      </w:r>
      <w:r w:rsidRPr="00C40A0D">
        <w:rPr>
          <w:rFonts w:ascii="Figtree" w:eastAsia="Calibri" w:hAnsi="Figtree" w:cs="Calibri"/>
          <w:sz w:val="22"/>
          <w:szCs w:val="22"/>
        </w:rPr>
        <w:t xml:space="preserve"> service</w:t>
      </w:r>
      <w:r w:rsidR="00A9668A">
        <w:rPr>
          <w:rFonts w:ascii="Figtree" w:eastAsia="Calibri" w:hAnsi="Figtree" w:cs="Calibri"/>
          <w:sz w:val="22"/>
          <w:szCs w:val="22"/>
        </w:rPr>
        <w:t>s</w:t>
      </w:r>
      <w:r w:rsidRPr="00C40A0D">
        <w:rPr>
          <w:rFonts w:ascii="Figtree" w:eastAsia="Calibri" w:hAnsi="Figtree" w:cs="Calibri"/>
          <w:sz w:val="22"/>
          <w:szCs w:val="22"/>
        </w:rPr>
        <w:t xml:space="preserve">. The Partnership letter </w:t>
      </w:r>
      <w:r w:rsidR="00A9668A">
        <w:rPr>
          <w:rFonts w:ascii="Figtree" w:eastAsia="Calibri" w:hAnsi="Figtree" w:cs="Calibri"/>
          <w:sz w:val="22"/>
          <w:szCs w:val="22"/>
        </w:rPr>
        <w:t>includes</w:t>
      </w:r>
      <w:r w:rsidRPr="00C40A0D">
        <w:rPr>
          <w:rFonts w:ascii="Figtree" w:eastAsia="Calibri" w:hAnsi="Figtree" w:cs="Calibri"/>
          <w:sz w:val="22"/>
          <w:szCs w:val="22"/>
        </w:rPr>
        <w:t xml:space="preserve"> the policy argument</w:t>
      </w:r>
      <w:r w:rsidR="00A9668A">
        <w:rPr>
          <w:rFonts w:ascii="Figtree" w:eastAsia="Calibri" w:hAnsi="Figtree" w:cs="Calibri"/>
          <w:sz w:val="22"/>
          <w:szCs w:val="22"/>
        </w:rPr>
        <w:t xml:space="preserve">, but </w:t>
      </w:r>
      <w:r w:rsidRPr="00C40A0D">
        <w:rPr>
          <w:rFonts w:ascii="Figtree" w:eastAsia="Calibri" w:hAnsi="Figtree" w:cs="Calibri"/>
          <w:sz w:val="22"/>
          <w:szCs w:val="22"/>
        </w:rPr>
        <w:t>your experience</w:t>
      </w:r>
      <w:r w:rsidR="00A9668A">
        <w:rPr>
          <w:rFonts w:ascii="Figtree" w:eastAsia="Calibri" w:hAnsi="Figtree" w:cs="Calibri"/>
          <w:sz w:val="22"/>
          <w:szCs w:val="22"/>
        </w:rPr>
        <w:t xml:space="preserve">, your </w:t>
      </w:r>
      <w:r w:rsidRPr="00C40A0D">
        <w:rPr>
          <w:rFonts w:ascii="Figtree" w:eastAsia="Calibri" w:hAnsi="Figtree" w:cs="Calibri"/>
          <w:sz w:val="22"/>
          <w:szCs w:val="22"/>
        </w:rPr>
        <w:t>workshops, your sites, your workforce, your budget</w:t>
      </w:r>
      <w:r w:rsidR="00A9668A">
        <w:rPr>
          <w:rFonts w:ascii="Figtree" w:eastAsia="Calibri" w:hAnsi="Figtree" w:cs="Calibri"/>
          <w:sz w:val="22"/>
          <w:szCs w:val="22"/>
        </w:rPr>
        <w:t xml:space="preserve"> are important</w:t>
      </w:r>
      <w:r w:rsidRPr="00C40A0D">
        <w:rPr>
          <w:rFonts w:ascii="Figtree" w:eastAsia="Calibri" w:hAnsi="Figtree" w:cs="Calibri"/>
          <w:sz w:val="22"/>
          <w:szCs w:val="22"/>
        </w:rPr>
        <w:t xml:space="preserve">. </w:t>
      </w:r>
      <w:r w:rsidR="00A9668A">
        <w:rPr>
          <w:rFonts w:ascii="Figtree" w:eastAsia="Calibri" w:hAnsi="Figtree" w:cs="Calibri"/>
          <w:sz w:val="22"/>
          <w:szCs w:val="22"/>
        </w:rPr>
        <w:t>The gold boxes in this template offer some comment prompts that will help inform your input to CMS</w:t>
      </w:r>
      <w:r w:rsidR="00D30A35">
        <w:rPr>
          <w:rFonts w:ascii="Figtree" w:eastAsia="Calibri" w:hAnsi="Figtree" w:cs="Calibri"/>
          <w:sz w:val="22"/>
          <w:szCs w:val="22"/>
        </w:rPr>
        <w:t xml:space="preserve">. </w:t>
      </w:r>
      <w:r w:rsidR="00D30A35" w:rsidRPr="00D30A35">
        <w:rPr>
          <w:rFonts w:ascii="Figtree" w:eastAsia="Calibri" w:hAnsi="Figtree" w:cs="Calibri"/>
          <w:i/>
          <w:iCs/>
          <w:sz w:val="22"/>
          <w:szCs w:val="22"/>
        </w:rPr>
        <w:t xml:space="preserve">NOTE: </w:t>
      </w:r>
      <w:r w:rsidR="00A9668A" w:rsidRPr="00D30A35">
        <w:rPr>
          <w:rFonts w:ascii="Figtree" w:eastAsia="Calibri" w:hAnsi="Figtree" w:cs="Calibri"/>
          <w:i/>
          <w:iCs/>
          <w:sz w:val="22"/>
          <w:szCs w:val="22"/>
        </w:rPr>
        <w:t>you do not have to answer any/</w:t>
      </w:r>
      <w:proofErr w:type="gramStart"/>
      <w:r w:rsidR="00A9668A" w:rsidRPr="00D30A35">
        <w:rPr>
          <w:rFonts w:ascii="Figtree" w:eastAsia="Calibri" w:hAnsi="Figtree" w:cs="Calibri"/>
          <w:i/>
          <w:iCs/>
          <w:sz w:val="22"/>
          <w:szCs w:val="22"/>
        </w:rPr>
        <w:t>all of</w:t>
      </w:r>
      <w:proofErr w:type="gramEnd"/>
      <w:r w:rsidR="00A9668A" w:rsidRPr="00D30A35">
        <w:rPr>
          <w:rFonts w:ascii="Figtree" w:eastAsia="Calibri" w:hAnsi="Figtree" w:cs="Calibri"/>
          <w:i/>
          <w:iCs/>
          <w:sz w:val="22"/>
          <w:szCs w:val="22"/>
        </w:rPr>
        <w:t xml:space="preserve"> these questions—they are </w:t>
      </w:r>
      <w:r w:rsidR="00D30A35" w:rsidRPr="00D30A35">
        <w:rPr>
          <w:rFonts w:ascii="Figtree" w:eastAsia="Calibri" w:hAnsi="Figtree" w:cs="Calibri"/>
          <w:i/>
          <w:iCs/>
          <w:sz w:val="22"/>
          <w:szCs w:val="22"/>
        </w:rPr>
        <w:t>comment</w:t>
      </w:r>
      <w:r w:rsidR="00A9668A" w:rsidRPr="00D30A35">
        <w:rPr>
          <w:rFonts w:ascii="Figtree" w:eastAsia="Calibri" w:hAnsi="Figtree" w:cs="Calibri"/>
          <w:i/>
          <w:iCs/>
          <w:sz w:val="22"/>
          <w:szCs w:val="22"/>
        </w:rPr>
        <w:t xml:space="preserve"> </w:t>
      </w:r>
      <w:proofErr w:type="gramStart"/>
      <w:r w:rsidR="00A9668A" w:rsidRPr="00D30A35">
        <w:rPr>
          <w:rFonts w:ascii="Figtree" w:eastAsia="Calibri" w:hAnsi="Figtree" w:cs="Calibri"/>
          <w:i/>
          <w:iCs/>
          <w:sz w:val="22"/>
          <w:szCs w:val="22"/>
        </w:rPr>
        <w:t>prompts</w:t>
      </w:r>
      <w:proofErr w:type="gramEnd"/>
      <w:r w:rsidR="00D30A35" w:rsidRPr="00D30A35">
        <w:rPr>
          <w:rFonts w:ascii="Figtree" w:eastAsia="Calibri" w:hAnsi="Figtree" w:cs="Calibri"/>
          <w:i/>
          <w:iCs/>
          <w:sz w:val="22"/>
          <w:szCs w:val="22"/>
        </w:rPr>
        <w:t xml:space="preserve"> and should only be answered as relevant to you/your organization. They are also not meant to limit your responses</w:t>
      </w:r>
      <w:r w:rsidR="00A9668A" w:rsidRPr="00D30A35">
        <w:rPr>
          <w:rFonts w:ascii="Figtree" w:eastAsia="Calibri" w:hAnsi="Figtree" w:cs="Calibri"/>
          <w:i/>
          <w:iCs/>
          <w:sz w:val="22"/>
          <w:szCs w:val="22"/>
        </w:rPr>
        <w:t xml:space="preserve">. </w:t>
      </w:r>
    </w:p>
    <w:p w14:paraId="077F9A0F" w14:textId="77777777" w:rsidR="00104137" w:rsidRPr="00A0743E" w:rsidRDefault="00000000">
      <w:pPr>
        <w:keepNext/>
        <w:pBdr>
          <w:bottom w:val="single" w:sz="6" w:space="4" w:color="BBBBBB"/>
        </w:pBdr>
        <w:spacing w:before="300" w:after="140" w:line="258" w:lineRule="auto"/>
        <w:rPr>
          <w:rFonts w:ascii="Figtree" w:hAnsi="Figtree"/>
          <w:sz w:val="24"/>
          <w:szCs w:val="24"/>
        </w:rPr>
      </w:pPr>
      <w:r w:rsidRPr="00A0743E">
        <w:rPr>
          <w:rFonts w:ascii="Figtree" w:eastAsia="Calibri" w:hAnsi="Figtree" w:cs="Calibri"/>
          <w:b/>
          <w:bCs/>
          <w:color w:val="1F3864"/>
          <w:sz w:val="24"/>
          <w:szCs w:val="24"/>
        </w:rPr>
        <w:t>Pick your version</w:t>
      </w:r>
    </w:p>
    <w:p w14:paraId="4545D304" w14:textId="6525F0AD" w:rsidR="00104137" w:rsidRPr="00C40A0D" w:rsidRDefault="00A9668A">
      <w:pPr>
        <w:spacing w:after="100" w:line="258" w:lineRule="auto"/>
        <w:rPr>
          <w:rFonts w:ascii="Figtree" w:hAnsi="Figtree"/>
          <w:sz w:val="22"/>
          <w:szCs w:val="22"/>
        </w:rPr>
      </w:pPr>
      <w:hyperlink w:anchor="TemplateA" w:history="1">
        <w:r w:rsidRPr="00A9668A">
          <w:rPr>
            <w:rStyle w:val="Hyperlink"/>
            <w:rFonts w:ascii="Figtree" w:eastAsia="Calibri" w:hAnsi="Figtree" w:cs="Calibri"/>
            <w:b/>
            <w:bCs/>
            <w:sz w:val="22"/>
            <w:szCs w:val="22"/>
            <w:highlight w:val="yellow"/>
          </w:rPr>
          <w:t>Template A</w:t>
        </w:r>
      </w:hyperlink>
      <w:r w:rsidRPr="00A9668A">
        <w:rPr>
          <w:rFonts w:ascii="Figtree" w:eastAsia="Calibri" w:hAnsi="Figtree" w:cs="Calibri"/>
          <w:b/>
          <w:bCs/>
          <w:sz w:val="22"/>
          <w:szCs w:val="22"/>
          <w:highlight w:val="yellow"/>
        </w:rPr>
        <w:t xml:space="preserve"> </w:t>
      </w:r>
      <w:r w:rsidRPr="00A9668A">
        <w:rPr>
          <w:rFonts w:ascii="Figtree" w:eastAsia="Calibri" w:hAnsi="Figtree" w:cs="Calibri"/>
          <w:sz w:val="22"/>
          <w:szCs w:val="22"/>
          <w:highlight w:val="yellow"/>
        </w:rPr>
        <w:t>(page 3)</w:t>
      </w:r>
      <w:r w:rsidRPr="00C40A0D">
        <w:rPr>
          <w:rFonts w:ascii="Figtree" w:eastAsia="Calibri" w:hAnsi="Figtree" w:cs="Calibri"/>
          <w:sz w:val="22"/>
          <w:szCs w:val="22"/>
        </w:rPr>
        <w:t xml:space="preserve"> — </w:t>
      </w:r>
      <w:r>
        <w:rPr>
          <w:rFonts w:ascii="Figtree" w:eastAsia="Calibri" w:hAnsi="Figtree" w:cs="Calibri"/>
          <w:sz w:val="22"/>
          <w:szCs w:val="22"/>
        </w:rPr>
        <w:t xml:space="preserve">is written for </w:t>
      </w:r>
      <w:r w:rsidRPr="00C40A0D">
        <w:rPr>
          <w:rFonts w:ascii="Figtree" w:eastAsia="Calibri" w:hAnsi="Figtree" w:cs="Calibri"/>
          <w:sz w:val="22"/>
          <w:szCs w:val="22"/>
        </w:rPr>
        <w:t>community-based organizations</w:t>
      </w:r>
      <w:r>
        <w:rPr>
          <w:rFonts w:ascii="Figtree" w:eastAsia="Calibri" w:hAnsi="Figtree" w:cs="Calibri"/>
          <w:sz w:val="22"/>
          <w:szCs w:val="22"/>
        </w:rPr>
        <w:t xml:space="preserve"> (CCHs, AAAs</w:t>
      </w:r>
      <w:r w:rsidRPr="00C40A0D">
        <w:rPr>
          <w:rFonts w:ascii="Figtree" w:eastAsia="Calibri" w:hAnsi="Figtree" w:cs="Calibri"/>
          <w:sz w:val="22"/>
          <w:szCs w:val="22"/>
        </w:rPr>
        <w:t>, senior centers, and others</w:t>
      </w:r>
      <w:r>
        <w:rPr>
          <w:rFonts w:ascii="Figtree" w:eastAsia="Calibri" w:hAnsi="Figtree" w:cs="Calibri"/>
          <w:sz w:val="22"/>
          <w:szCs w:val="22"/>
        </w:rPr>
        <w:t>)</w:t>
      </w:r>
      <w:r w:rsidRPr="00C40A0D">
        <w:rPr>
          <w:rFonts w:ascii="Figtree" w:eastAsia="Calibri" w:hAnsi="Figtree" w:cs="Calibri"/>
          <w:sz w:val="22"/>
          <w:szCs w:val="22"/>
        </w:rPr>
        <w:t xml:space="preserve"> who deliver Title III-D evidence-based programs directly to participants.</w:t>
      </w:r>
    </w:p>
    <w:p w14:paraId="22BD28AE" w14:textId="64A7E160" w:rsidR="00104137" w:rsidRPr="00C40A0D" w:rsidRDefault="00A9668A">
      <w:pPr>
        <w:spacing w:after="100" w:line="258" w:lineRule="auto"/>
        <w:rPr>
          <w:rFonts w:ascii="Figtree" w:hAnsi="Figtree"/>
          <w:sz w:val="22"/>
          <w:szCs w:val="22"/>
        </w:rPr>
      </w:pPr>
      <w:hyperlink w:anchor="TemplateB" w:history="1">
        <w:r w:rsidRPr="00A9668A">
          <w:rPr>
            <w:rStyle w:val="Hyperlink"/>
            <w:rFonts w:ascii="Figtree" w:eastAsia="Calibri" w:hAnsi="Figtree" w:cs="Calibri"/>
            <w:b/>
            <w:bCs/>
            <w:sz w:val="22"/>
            <w:szCs w:val="22"/>
            <w:highlight w:val="yellow"/>
          </w:rPr>
          <w:t>Template B</w:t>
        </w:r>
      </w:hyperlink>
      <w:r w:rsidRPr="00A9668A">
        <w:rPr>
          <w:rFonts w:ascii="Figtree" w:eastAsia="Calibri" w:hAnsi="Figtree" w:cs="Calibri"/>
          <w:b/>
          <w:bCs/>
          <w:sz w:val="22"/>
          <w:szCs w:val="22"/>
          <w:highlight w:val="yellow"/>
        </w:rPr>
        <w:t xml:space="preserve"> </w:t>
      </w:r>
      <w:r w:rsidRPr="00A9668A">
        <w:rPr>
          <w:rFonts w:ascii="Figtree" w:eastAsia="Calibri" w:hAnsi="Figtree" w:cs="Calibri"/>
          <w:sz w:val="22"/>
          <w:szCs w:val="22"/>
          <w:highlight w:val="yellow"/>
        </w:rPr>
        <w:t>(page 8)</w:t>
      </w:r>
      <w:r w:rsidRPr="00C40A0D">
        <w:rPr>
          <w:rFonts w:ascii="Figtree" w:eastAsia="Calibri" w:hAnsi="Figtree" w:cs="Calibri"/>
          <w:sz w:val="22"/>
          <w:szCs w:val="22"/>
        </w:rPr>
        <w:t xml:space="preserve"> — </w:t>
      </w:r>
      <w:r>
        <w:rPr>
          <w:rFonts w:ascii="Figtree" w:eastAsia="Calibri" w:hAnsi="Figtree" w:cs="Calibri"/>
          <w:sz w:val="22"/>
          <w:szCs w:val="22"/>
        </w:rPr>
        <w:t xml:space="preserve">is intended for organizations that convene, contract with, or support CBOs (e.g., </w:t>
      </w:r>
      <w:r w:rsidRPr="00C40A0D">
        <w:rPr>
          <w:rFonts w:ascii="Figtree" w:eastAsia="Calibri" w:hAnsi="Figtree" w:cs="Calibri"/>
          <w:sz w:val="22"/>
          <w:szCs w:val="22"/>
        </w:rPr>
        <w:t>Community Care Hubs, health systems, health plans, and national or state associations</w:t>
      </w:r>
      <w:r>
        <w:rPr>
          <w:rFonts w:ascii="Figtree" w:eastAsia="Calibri" w:hAnsi="Figtree" w:cs="Calibri"/>
          <w:sz w:val="22"/>
          <w:szCs w:val="22"/>
        </w:rPr>
        <w:t>, etc.).</w:t>
      </w:r>
    </w:p>
    <w:p w14:paraId="4DCE6816" w14:textId="4AE21012" w:rsidR="00104137" w:rsidRPr="00C40A0D" w:rsidRDefault="00000000">
      <w:pPr>
        <w:spacing w:after="150" w:line="258" w:lineRule="auto"/>
        <w:rPr>
          <w:rFonts w:ascii="Figtree" w:hAnsi="Figtree"/>
          <w:sz w:val="22"/>
          <w:szCs w:val="22"/>
        </w:rPr>
      </w:pPr>
      <w:r w:rsidRPr="00A9668A">
        <w:rPr>
          <w:rFonts w:ascii="Figtree" w:eastAsia="Calibri" w:hAnsi="Figtree" w:cs="Calibri"/>
          <w:b/>
          <w:bCs/>
          <w:sz w:val="22"/>
          <w:szCs w:val="22"/>
        </w:rPr>
        <w:t>If both describe you</w:t>
      </w:r>
      <w:r w:rsidRPr="00C40A0D">
        <w:rPr>
          <w:rFonts w:ascii="Figtree" w:eastAsia="Calibri" w:hAnsi="Figtree" w:cs="Calibri"/>
          <w:sz w:val="22"/>
          <w:szCs w:val="22"/>
        </w:rPr>
        <w:t xml:space="preserve">, </w:t>
      </w:r>
      <w:r w:rsidR="006204A0">
        <w:rPr>
          <w:rFonts w:ascii="Figtree" w:eastAsia="Calibri" w:hAnsi="Figtree" w:cs="Calibri"/>
          <w:sz w:val="22"/>
          <w:szCs w:val="22"/>
        </w:rPr>
        <w:t xml:space="preserve">consider </w:t>
      </w:r>
      <w:r w:rsidRPr="00C40A0D">
        <w:rPr>
          <w:rFonts w:ascii="Figtree" w:eastAsia="Calibri" w:hAnsi="Figtree" w:cs="Calibri"/>
          <w:sz w:val="22"/>
          <w:szCs w:val="22"/>
        </w:rPr>
        <w:t>us</w:t>
      </w:r>
      <w:r w:rsidR="006204A0">
        <w:rPr>
          <w:rFonts w:ascii="Figtree" w:eastAsia="Calibri" w:hAnsi="Figtree" w:cs="Calibri"/>
          <w:sz w:val="22"/>
          <w:szCs w:val="22"/>
        </w:rPr>
        <w:t>ing</w:t>
      </w:r>
      <w:r w:rsidRPr="00C40A0D">
        <w:rPr>
          <w:rFonts w:ascii="Figtree" w:eastAsia="Calibri" w:hAnsi="Figtree" w:cs="Calibri"/>
          <w:sz w:val="22"/>
          <w:szCs w:val="22"/>
        </w:rPr>
        <w:t xml:space="preserve"> </w:t>
      </w:r>
      <w:hyperlink w:anchor="TemplateA" w:history="1">
        <w:r w:rsidRPr="006204A0">
          <w:rPr>
            <w:rStyle w:val="Hyperlink"/>
            <w:rFonts w:ascii="Figtree" w:eastAsia="Calibri" w:hAnsi="Figtree" w:cs="Calibri"/>
            <w:sz w:val="22"/>
            <w:szCs w:val="22"/>
          </w:rPr>
          <w:t>Template A</w:t>
        </w:r>
      </w:hyperlink>
      <w:r w:rsidRPr="00C40A0D">
        <w:rPr>
          <w:rFonts w:ascii="Figtree" w:eastAsia="Calibri" w:hAnsi="Figtree" w:cs="Calibri"/>
          <w:sz w:val="22"/>
          <w:szCs w:val="22"/>
        </w:rPr>
        <w:t xml:space="preserve"> and borrow any network-level language from </w:t>
      </w:r>
      <w:hyperlink w:anchor="TemplateB" w:history="1">
        <w:r w:rsidRPr="006204A0">
          <w:rPr>
            <w:rStyle w:val="Hyperlink"/>
            <w:rFonts w:ascii="Figtree" w:eastAsia="Calibri" w:hAnsi="Figtree" w:cs="Calibri"/>
            <w:sz w:val="22"/>
            <w:szCs w:val="22"/>
          </w:rPr>
          <w:t>Template B</w:t>
        </w:r>
      </w:hyperlink>
      <w:r w:rsidRPr="00C40A0D">
        <w:rPr>
          <w:rFonts w:ascii="Figtree" w:eastAsia="Calibri" w:hAnsi="Figtree" w:cs="Calibri"/>
          <w:sz w:val="22"/>
          <w:szCs w:val="22"/>
        </w:rPr>
        <w:t xml:space="preserve"> that fits.</w:t>
      </w:r>
    </w:p>
    <w:p w14:paraId="027BFBC6" w14:textId="20125EC0" w:rsidR="00104137" w:rsidRPr="00A0743E" w:rsidRDefault="00A9668A">
      <w:pPr>
        <w:keepNext/>
        <w:pBdr>
          <w:bottom w:val="single" w:sz="6" w:space="4" w:color="BBBBBB"/>
        </w:pBdr>
        <w:spacing w:before="300" w:after="140" w:line="258" w:lineRule="auto"/>
        <w:rPr>
          <w:rFonts w:ascii="Figtree" w:hAnsi="Figtree"/>
          <w:sz w:val="24"/>
          <w:szCs w:val="24"/>
        </w:rPr>
      </w:pPr>
      <w:r w:rsidRPr="00A0743E">
        <w:rPr>
          <w:rFonts w:ascii="Figtree" w:eastAsia="Calibri" w:hAnsi="Figtree" w:cs="Calibri"/>
          <w:b/>
          <w:bCs/>
          <w:color w:val="1F3864"/>
          <w:sz w:val="24"/>
          <w:szCs w:val="24"/>
        </w:rPr>
        <w:t xml:space="preserve">Instructions </w:t>
      </w:r>
    </w:p>
    <w:p w14:paraId="69767DFE" w14:textId="77777777" w:rsidR="00104137" w:rsidRPr="00C40A0D" w:rsidRDefault="00000000">
      <w:pPr>
        <w:pStyle w:val="ListParagraph"/>
        <w:numPr>
          <w:ilvl w:val="0"/>
          <w:numId w:val="2"/>
        </w:numPr>
        <w:spacing w:after="110" w:line="258" w:lineRule="auto"/>
        <w:rPr>
          <w:rFonts w:ascii="Figtree" w:hAnsi="Figtree"/>
          <w:sz w:val="22"/>
          <w:szCs w:val="22"/>
        </w:rPr>
      </w:pPr>
      <w:r w:rsidRPr="00C40A0D">
        <w:rPr>
          <w:rFonts w:ascii="Figtree" w:eastAsia="Calibri" w:hAnsi="Figtree" w:cs="Calibri"/>
          <w:b/>
          <w:bCs/>
          <w:sz w:val="22"/>
          <w:szCs w:val="22"/>
        </w:rPr>
        <w:t xml:space="preserve">Fill in every gold placeholder. </w:t>
      </w:r>
      <w:r w:rsidRPr="00C40A0D">
        <w:rPr>
          <w:rFonts w:ascii="Figtree" w:eastAsia="Calibri" w:hAnsi="Figtree" w:cs="Calibri"/>
          <w:sz w:val="22"/>
          <w:szCs w:val="22"/>
        </w:rPr>
        <w:t xml:space="preserve">Anything in </w:t>
      </w:r>
      <w:r w:rsidRPr="005615CC">
        <w:rPr>
          <w:rFonts w:ascii="Figtree" w:eastAsia="Calibri" w:hAnsi="Figtree" w:cs="Calibri"/>
          <w:b/>
          <w:bCs/>
          <w:color w:val="8A6100"/>
          <w:sz w:val="22"/>
          <w:szCs w:val="22"/>
        </w:rPr>
        <w:t>[BRACKETS AND GOLD TYPE]</w:t>
      </w:r>
      <w:r w:rsidRPr="00C40A0D">
        <w:rPr>
          <w:rFonts w:ascii="Figtree" w:eastAsia="Calibri" w:hAnsi="Figtree" w:cs="Calibri"/>
          <w:sz w:val="22"/>
          <w:szCs w:val="22"/>
        </w:rPr>
        <w:t xml:space="preserve"> is meant to be replaced — dates, names, your organization, and the example boxes.</w:t>
      </w:r>
    </w:p>
    <w:p w14:paraId="01CC79C8" w14:textId="77B80304" w:rsidR="00104137" w:rsidRPr="00C40A0D" w:rsidRDefault="00000000">
      <w:pPr>
        <w:pStyle w:val="ListParagraph"/>
        <w:numPr>
          <w:ilvl w:val="0"/>
          <w:numId w:val="2"/>
        </w:numPr>
        <w:spacing w:after="110" w:line="258" w:lineRule="auto"/>
        <w:rPr>
          <w:rFonts w:ascii="Figtree" w:hAnsi="Figtree"/>
          <w:sz w:val="22"/>
          <w:szCs w:val="22"/>
        </w:rPr>
      </w:pPr>
      <w:r w:rsidRPr="00C40A0D">
        <w:rPr>
          <w:rFonts w:ascii="Figtree" w:eastAsia="Calibri" w:hAnsi="Figtree" w:cs="Calibri"/>
          <w:b/>
          <w:bCs/>
          <w:sz w:val="22"/>
          <w:szCs w:val="22"/>
        </w:rPr>
        <w:t xml:space="preserve">Answer </w:t>
      </w:r>
      <w:r w:rsidR="00A9668A">
        <w:rPr>
          <w:rFonts w:ascii="Figtree" w:eastAsia="Calibri" w:hAnsi="Figtree" w:cs="Calibri"/>
          <w:b/>
          <w:bCs/>
          <w:sz w:val="22"/>
          <w:szCs w:val="22"/>
        </w:rPr>
        <w:t xml:space="preserve">appropriate/relevant </w:t>
      </w:r>
      <w:r w:rsidRPr="00C40A0D">
        <w:rPr>
          <w:rFonts w:ascii="Figtree" w:eastAsia="Calibri" w:hAnsi="Figtree" w:cs="Calibri"/>
          <w:b/>
          <w:bCs/>
          <w:sz w:val="22"/>
          <w:szCs w:val="22"/>
        </w:rPr>
        <w:t xml:space="preserve">prompts in the shaded boxes, then delete the prompts. </w:t>
      </w:r>
      <w:r w:rsidR="00A9668A">
        <w:rPr>
          <w:rFonts w:ascii="Figtree" w:eastAsia="Calibri" w:hAnsi="Figtree" w:cs="Calibri"/>
          <w:b/>
          <w:bCs/>
          <w:sz w:val="22"/>
          <w:szCs w:val="22"/>
        </w:rPr>
        <w:t>We know time is short! Do what you can…</w:t>
      </w:r>
      <w:r w:rsidRPr="00C40A0D">
        <w:rPr>
          <w:rFonts w:ascii="Figtree" w:eastAsia="Calibri" w:hAnsi="Figtree" w:cs="Calibri"/>
          <w:sz w:val="22"/>
          <w:szCs w:val="22"/>
        </w:rPr>
        <w:t>Each box asks two or three specific questions. Write two to four sentences in response. Specific beats eloquent: numbers, place names, and dates land harder than adjectives.</w:t>
      </w:r>
    </w:p>
    <w:p w14:paraId="1C68A57B" w14:textId="1C672C8C" w:rsidR="00104137" w:rsidRPr="00C40A0D" w:rsidRDefault="00A9668A">
      <w:pPr>
        <w:pStyle w:val="ListParagraph"/>
        <w:numPr>
          <w:ilvl w:val="0"/>
          <w:numId w:val="2"/>
        </w:numPr>
        <w:spacing w:after="110" w:line="258" w:lineRule="auto"/>
        <w:rPr>
          <w:rFonts w:ascii="Figtree" w:hAnsi="Figtree"/>
          <w:sz w:val="22"/>
          <w:szCs w:val="22"/>
        </w:rPr>
      </w:pPr>
      <w:r>
        <w:rPr>
          <w:rFonts w:ascii="Figtree" w:eastAsia="Calibri" w:hAnsi="Figtree" w:cs="Calibri"/>
          <w:b/>
          <w:bCs/>
          <w:sz w:val="22"/>
          <w:szCs w:val="22"/>
        </w:rPr>
        <w:lastRenderedPageBreak/>
        <w:t>Feel free to keep</w:t>
      </w:r>
      <w:r w:rsidRPr="00C40A0D">
        <w:rPr>
          <w:rFonts w:ascii="Figtree" w:eastAsia="Calibri" w:hAnsi="Figtree" w:cs="Calibri"/>
          <w:b/>
          <w:bCs/>
          <w:sz w:val="22"/>
          <w:szCs w:val="22"/>
        </w:rPr>
        <w:t xml:space="preserve"> the RECOMMENDATION language as written. </w:t>
      </w:r>
      <w:r w:rsidRPr="00C40A0D">
        <w:rPr>
          <w:rFonts w:ascii="Figtree" w:eastAsia="Calibri" w:hAnsi="Figtree" w:cs="Calibri"/>
          <w:sz w:val="22"/>
          <w:szCs w:val="22"/>
        </w:rPr>
        <w:t xml:space="preserve">The blue boxes are the actual asks. When many commenters request the same thing in the same words, it is easier for CMS to act on. </w:t>
      </w:r>
    </w:p>
    <w:p w14:paraId="41433F3B" w14:textId="3A627361" w:rsidR="00104137" w:rsidRPr="00A9668A" w:rsidRDefault="00A9668A" w:rsidP="00A9668A">
      <w:pPr>
        <w:pStyle w:val="ListParagraph"/>
        <w:numPr>
          <w:ilvl w:val="0"/>
          <w:numId w:val="2"/>
        </w:numPr>
        <w:spacing w:after="110" w:line="258" w:lineRule="auto"/>
        <w:rPr>
          <w:rFonts w:ascii="Figtree" w:hAnsi="Figtree"/>
          <w:sz w:val="22"/>
          <w:szCs w:val="22"/>
        </w:rPr>
      </w:pPr>
      <w:r w:rsidRPr="00A9668A">
        <w:rPr>
          <w:rFonts w:ascii="Figtree" w:eastAsia="Calibri" w:hAnsi="Figtree" w:cs="Calibri"/>
          <w:b/>
          <w:bCs/>
          <w:sz w:val="22"/>
          <w:szCs w:val="22"/>
        </w:rPr>
        <w:t xml:space="preserve">Comment only on what you can and keep or cut the sources list as needed. </w:t>
      </w:r>
    </w:p>
    <w:p w14:paraId="4BDD9579" w14:textId="77777777" w:rsidR="00104137" w:rsidRPr="00A0743E" w:rsidRDefault="00000000">
      <w:pPr>
        <w:keepNext/>
        <w:pBdr>
          <w:bottom w:val="single" w:sz="6" w:space="4" w:color="BBBBBB"/>
        </w:pBdr>
        <w:spacing w:before="300" w:after="140" w:line="258" w:lineRule="auto"/>
        <w:rPr>
          <w:rFonts w:ascii="Figtree" w:hAnsi="Figtree"/>
          <w:sz w:val="24"/>
          <w:szCs w:val="24"/>
        </w:rPr>
      </w:pPr>
      <w:r w:rsidRPr="00A0743E">
        <w:rPr>
          <w:rFonts w:ascii="Figtree" w:eastAsia="Calibri" w:hAnsi="Figtree" w:cs="Calibri"/>
          <w:b/>
          <w:bCs/>
          <w:color w:val="1F3864"/>
          <w:sz w:val="24"/>
          <w:szCs w:val="24"/>
        </w:rPr>
        <w:t>Before you send</w:t>
      </w:r>
    </w:p>
    <w:p w14:paraId="49C33EEE" w14:textId="7E010E7B" w:rsidR="00A9668A" w:rsidRPr="00A9668A" w:rsidRDefault="00E4652E">
      <w:pPr>
        <w:pStyle w:val="ListParagraph"/>
        <w:numPr>
          <w:ilvl w:val="0"/>
          <w:numId w:val="3"/>
        </w:numPr>
        <w:spacing w:after="100" w:line="258" w:lineRule="auto"/>
        <w:rPr>
          <w:rFonts w:ascii="Figtree" w:hAnsi="Figtree"/>
          <w:sz w:val="22"/>
          <w:szCs w:val="22"/>
          <w:highlight w:val="yellow"/>
        </w:rPr>
      </w:pPr>
      <w:hyperlink r:id="rId12" w:history="1">
        <w:r w:rsidR="00A9668A" w:rsidRPr="00E4652E">
          <w:rPr>
            <w:rStyle w:val="Hyperlink"/>
            <w:rFonts w:ascii="Figtree" w:hAnsi="Figtree"/>
            <w:b/>
            <w:bCs/>
            <w:sz w:val="22"/>
            <w:szCs w:val="22"/>
            <w:highlight w:val="yellow"/>
          </w:rPr>
          <w:t>Make sure to sign on</w:t>
        </w:r>
      </w:hyperlink>
      <w:r w:rsidR="00A9668A" w:rsidRPr="00A9668A">
        <w:rPr>
          <w:rFonts w:ascii="Figtree" w:hAnsi="Figtree"/>
          <w:b/>
          <w:bCs/>
          <w:sz w:val="22"/>
          <w:szCs w:val="22"/>
          <w:highlight w:val="yellow"/>
        </w:rPr>
        <w:t xml:space="preserve"> to the </w:t>
      </w:r>
      <w:hyperlink r:id="rId13" w:history="1">
        <w:r w:rsidR="00A9668A" w:rsidRPr="005615CC">
          <w:rPr>
            <w:rStyle w:val="Hyperlink"/>
            <w:rFonts w:ascii="Figtree" w:hAnsi="Figtree"/>
            <w:b/>
            <w:bCs/>
            <w:sz w:val="22"/>
            <w:szCs w:val="22"/>
            <w:highlight w:val="yellow"/>
          </w:rPr>
          <w:t>Partnership letter</w:t>
        </w:r>
      </w:hyperlink>
      <w:r w:rsidR="00A9668A" w:rsidRPr="00A9668A">
        <w:rPr>
          <w:rFonts w:ascii="Figtree" w:hAnsi="Figtree"/>
          <w:b/>
          <w:bCs/>
          <w:sz w:val="22"/>
          <w:szCs w:val="22"/>
          <w:highlight w:val="yellow"/>
        </w:rPr>
        <w:t xml:space="preserve"> if you can</w:t>
      </w:r>
      <w:r w:rsidR="005615CC">
        <w:rPr>
          <w:rFonts w:ascii="Figtree" w:hAnsi="Figtree"/>
          <w:b/>
          <w:bCs/>
          <w:sz w:val="22"/>
          <w:szCs w:val="22"/>
          <w:highlight w:val="yellow"/>
        </w:rPr>
        <w:t xml:space="preserve"> by </w:t>
      </w:r>
      <w:hyperlink r:id="rId14" w:history="1">
        <w:r w:rsidR="005615CC" w:rsidRPr="00E4652E">
          <w:rPr>
            <w:rStyle w:val="Hyperlink"/>
            <w:rFonts w:ascii="Figtree" w:hAnsi="Figtree"/>
            <w:b/>
            <w:bCs/>
            <w:sz w:val="22"/>
            <w:szCs w:val="22"/>
            <w:highlight w:val="yellow"/>
          </w:rPr>
          <w:t>5:00 p.m. ET on Monday, September 14</w:t>
        </w:r>
      </w:hyperlink>
      <w:r w:rsidR="00A9668A" w:rsidRPr="00A9668A">
        <w:rPr>
          <w:rFonts w:ascii="Figtree" w:hAnsi="Figtree"/>
          <w:b/>
          <w:bCs/>
          <w:sz w:val="22"/>
          <w:szCs w:val="22"/>
          <w:highlight w:val="yellow"/>
        </w:rPr>
        <w:t>!</w:t>
      </w:r>
      <w:r w:rsidR="00A9668A" w:rsidRPr="00A9668A">
        <w:rPr>
          <w:rFonts w:ascii="Figtree" w:hAnsi="Figtree"/>
          <w:sz w:val="22"/>
          <w:szCs w:val="22"/>
          <w:highlight w:val="yellow"/>
        </w:rPr>
        <w:t xml:space="preserve"> (Again, we know it’s a short turnaround!)</w:t>
      </w:r>
    </w:p>
    <w:p w14:paraId="0EBC1109" w14:textId="73B38A08" w:rsidR="00104137" w:rsidRPr="00A9668A" w:rsidRDefault="00000000">
      <w:pPr>
        <w:pStyle w:val="ListParagraph"/>
        <w:numPr>
          <w:ilvl w:val="0"/>
          <w:numId w:val="3"/>
        </w:numPr>
        <w:spacing w:after="100" w:line="258" w:lineRule="auto"/>
        <w:rPr>
          <w:rFonts w:ascii="Figtree" w:hAnsi="Figtree"/>
          <w:b/>
          <w:bCs/>
          <w:sz w:val="22"/>
          <w:szCs w:val="22"/>
        </w:rPr>
      </w:pPr>
      <w:r w:rsidRPr="00A9668A">
        <w:rPr>
          <w:rFonts w:ascii="Figtree" w:eastAsia="Calibri" w:hAnsi="Figtree" w:cs="Calibri"/>
          <w:b/>
          <w:bCs/>
          <w:sz w:val="22"/>
          <w:szCs w:val="22"/>
        </w:rPr>
        <w:t>Every gold placeholder replaced, and no prompt questions left in the boxes.</w:t>
      </w:r>
    </w:p>
    <w:p w14:paraId="5FE64415" w14:textId="77777777" w:rsidR="00104137" w:rsidRPr="00C40A0D" w:rsidRDefault="00000000">
      <w:pPr>
        <w:pStyle w:val="ListParagraph"/>
        <w:numPr>
          <w:ilvl w:val="0"/>
          <w:numId w:val="3"/>
        </w:numPr>
        <w:spacing w:after="100" w:line="258" w:lineRule="auto"/>
        <w:rPr>
          <w:rFonts w:ascii="Figtree" w:hAnsi="Figtree"/>
          <w:sz w:val="22"/>
          <w:szCs w:val="22"/>
        </w:rPr>
      </w:pPr>
      <w:r w:rsidRPr="00C40A0D">
        <w:rPr>
          <w:rFonts w:ascii="Figtree" w:eastAsia="Calibri" w:hAnsi="Figtree" w:cs="Calibri"/>
          <w:sz w:val="22"/>
          <w:szCs w:val="22"/>
        </w:rPr>
        <w:t>Letter is on your organization's letterhead and signed by someone who can speak for it.</w:t>
      </w:r>
    </w:p>
    <w:p w14:paraId="1FCED437" w14:textId="1D8EA439" w:rsidR="00104137" w:rsidRPr="00C40A0D" w:rsidRDefault="00000000">
      <w:pPr>
        <w:pStyle w:val="ListParagraph"/>
        <w:numPr>
          <w:ilvl w:val="0"/>
          <w:numId w:val="3"/>
        </w:numPr>
        <w:spacing w:after="100" w:line="258" w:lineRule="auto"/>
        <w:rPr>
          <w:rFonts w:ascii="Figtree" w:hAnsi="Figtree"/>
          <w:sz w:val="22"/>
          <w:szCs w:val="22"/>
        </w:rPr>
      </w:pPr>
      <w:r w:rsidRPr="00C40A0D">
        <w:rPr>
          <w:rFonts w:ascii="Figtree" w:eastAsia="Calibri" w:hAnsi="Figtree" w:cs="Calibri"/>
          <w:sz w:val="22"/>
          <w:szCs w:val="22"/>
        </w:rPr>
        <w:t>Your own examples appear</w:t>
      </w:r>
      <w:r w:rsidR="00A9668A">
        <w:rPr>
          <w:rFonts w:ascii="Figtree" w:eastAsia="Calibri" w:hAnsi="Figtree" w:cs="Calibri"/>
          <w:sz w:val="22"/>
          <w:szCs w:val="22"/>
        </w:rPr>
        <w:t xml:space="preserve"> where relevant.</w:t>
      </w:r>
    </w:p>
    <w:p w14:paraId="5CAFFBC0" w14:textId="6368EEE9" w:rsidR="00104137" w:rsidRPr="00C40A0D" w:rsidRDefault="00A9668A">
      <w:pPr>
        <w:pStyle w:val="ListParagraph"/>
        <w:numPr>
          <w:ilvl w:val="0"/>
          <w:numId w:val="3"/>
        </w:numPr>
        <w:spacing w:after="100" w:line="258" w:lineRule="auto"/>
        <w:rPr>
          <w:rFonts w:ascii="Figtree" w:hAnsi="Figtree"/>
          <w:sz w:val="22"/>
          <w:szCs w:val="22"/>
        </w:rPr>
      </w:pPr>
      <w:hyperlink r:id="rId15" w:anchor="h-142" w:history="1">
        <w:r w:rsidRPr="00A9668A">
          <w:rPr>
            <w:rStyle w:val="Hyperlink"/>
            <w:rFonts w:ascii="Figtree" w:eastAsia="Calibri" w:hAnsi="Figtree" w:cs="Calibri"/>
            <w:sz w:val="22"/>
            <w:szCs w:val="22"/>
          </w:rPr>
          <w:t>Submit at regulations.gov under CMS-1848-P by midnight ET on Monday, September 14</w:t>
        </w:r>
      </w:hyperlink>
      <w:r w:rsidRPr="00C40A0D">
        <w:rPr>
          <w:rFonts w:ascii="Figtree" w:eastAsia="Calibri" w:hAnsi="Figtree" w:cs="Calibri"/>
          <w:sz w:val="22"/>
          <w:szCs w:val="22"/>
        </w:rPr>
        <w:t>.</w:t>
      </w:r>
    </w:p>
    <w:p w14:paraId="6659D04F" w14:textId="7CC6DA59" w:rsidR="00104137" w:rsidRPr="00C40A0D" w:rsidRDefault="00000000">
      <w:pPr>
        <w:pStyle w:val="ListParagraph"/>
        <w:numPr>
          <w:ilvl w:val="0"/>
          <w:numId w:val="3"/>
        </w:numPr>
        <w:spacing w:after="200" w:line="258" w:lineRule="auto"/>
        <w:rPr>
          <w:rFonts w:ascii="Figtree" w:hAnsi="Figtree"/>
          <w:sz w:val="22"/>
          <w:szCs w:val="22"/>
        </w:rPr>
      </w:pPr>
      <w:r w:rsidRPr="00C40A0D">
        <w:rPr>
          <w:rFonts w:ascii="Figtree" w:eastAsia="Calibri" w:hAnsi="Figtree" w:cs="Calibri"/>
          <w:b/>
          <w:bCs/>
          <w:sz w:val="22"/>
          <w:szCs w:val="22"/>
        </w:rPr>
        <w:t xml:space="preserve">Optional but helpful: </w:t>
      </w:r>
      <w:r w:rsidRPr="00C40A0D">
        <w:rPr>
          <w:rFonts w:ascii="Figtree" w:eastAsia="Calibri" w:hAnsi="Figtree" w:cs="Calibri"/>
          <w:sz w:val="22"/>
          <w:szCs w:val="22"/>
        </w:rPr>
        <w:t xml:space="preserve">send a copy to Autumn Campbell at </w:t>
      </w:r>
      <w:hyperlink r:id="rId16" w:history="1">
        <w:r w:rsidR="00A9668A" w:rsidRPr="008702F2">
          <w:rPr>
            <w:rStyle w:val="Hyperlink"/>
            <w:rFonts w:ascii="Figtree" w:eastAsia="Calibri" w:hAnsi="Figtree" w:cs="Calibri"/>
            <w:sz w:val="22"/>
            <w:szCs w:val="22"/>
          </w:rPr>
          <w:t>acampbell@partnership2acc.org</w:t>
        </w:r>
      </w:hyperlink>
      <w:r w:rsidR="00A9668A">
        <w:rPr>
          <w:rFonts w:ascii="Figtree" w:eastAsia="Calibri" w:hAnsi="Figtree" w:cs="Calibri"/>
          <w:sz w:val="22"/>
          <w:szCs w:val="22"/>
        </w:rPr>
        <w:t xml:space="preserve"> </w:t>
      </w:r>
      <w:r w:rsidRPr="00C40A0D">
        <w:rPr>
          <w:rFonts w:ascii="Figtree" w:eastAsia="Calibri" w:hAnsi="Figtree" w:cs="Calibri"/>
          <w:sz w:val="22"/>
          <w:szCs w:val="22"/>
        </w:rPr>
        <w:t>so the Partnership can track coalition participation.</w:t>
      </w:r>
    </w:p>
    <w:p w14:paraId="1E99658E" w14:textId="77777777" w:rsidR="00104137" w:rsidRPr="00C40A0D" w:rsidRDefault="00000000">
      <w:pPr>
        <w:rPr>
          <w:rFonts w:ascii="Figtree" w:hAnsi="Figtree"/>
          <w:sz w:val="22"/>
          <w:szCs w:val="22"/>
        </w:rPr>
      </w:pPr>
      <w:r w:rsidRPr="00C40A0D">
        <w:rPr>
          <w:rFonts w:ascii="Figtree" w:hAnsi="Figtree"/>
          <w:sz w:val="22"/>
          <w:szCs w:val="22"/>
        </w:rPr>
        <w:br w:type="page"/>
      </w:r>
    </w:p>
    <w:p w14:paraId="7DD9BFEA" w14:textId="77777777" w:rsidR="00104137" w:rsidRPr="00C40A0D" w:rsidRDefault="00000000">
      <w:pPr>
        <w:spacing w:before="60" w:after="60" w:line="258" w:lineRule="auto"/>
        <w:rPr>
          <w:rFonts w:ascii="Figtree" w:hAnsi="Figtree"/>
          <w:sz w:val="22"/>
          <w:szCs w:val="22"/>
        </w:rPr>
      </w:pPr>
      <w:bookmarkStart w:id="0" w:name="TemplateA"/>
      <w:r w:rsidRPr="00C40A0D">
        <w:rPr>
          <w:rFonts w:ascii="Figtree" w:eastAsia="Calibri" w:hAnsi="Figtree" w:cs="Calibri"/>
          <w:b/>
          <w:bCs/>
          <w:color w:val="1F3864"/>
          <w:sz w:val="22"/>
          <w:szCs w:val="22"/>
        </w:rPr>
        <w:lastRenderedPageBreak/>
        <w:t>TEMPLATE A</w:t>
      </w:r>
    </w:p>
    <w:bookmarkEnd w:id="0"/>
    <w:p w14:paraId="25A47137" w14:textId="4586D24D" w:rsidR="00104137" w:rsidRPr="00C40A0D" w:rsidRDefault="00000000">
      <w:pPr>
        <w:pBdr>
          <w:bottom w:val="single" w:sz="8" w:space="6" w:color="1F3864"/>
        </w:pBdr>
        <w:spacing w:after="240" w:line="258" w:lineRule="auto"/>
        <w:rPr>
          <w:rFonts w:ascii="Figtree" w:hAnsi="Figtree"/>
          <w:sz w:val="22"/>
          <w:szCs w:val="22"/>
        </w:rPr>
      </w:pPr>
      <w:r w:rsidRPr="00C40A0D">
        <w:rPr>
          <w:rFonts w:ascii="Figtree" w:eastAsia="Calibri" w:hAnsi="Figtree" w:cs="Calibri"/>
          <w:i/>
          <w:iCs/>
          <w:color w:val="555555"/>
          <w:sz w:val="22"/>
          <w:szCs w:val="22"/>
        </w:rPr>
        <w:t xml:space="preserve">For organizations that deliver evidence-based programs directly </w:t>
      </w:r>
    </w:p>
    <w:p w14:paraId="3098128A" w14:textId="77777777" w:rsidR="00104137" w:rsidRPr="00C40A0D" w:rsidRDefault="00000000">
      <w:pPr>
        <w:spacing w:after="200" w:line="258" w:lineRule="auto"/>
        <w:rPr>
          <w:rFonts w:ascii="Figtree" w:hAnsi="Figtree"/>
          <w:sz w:val="22"/>
          <w:szCs w:val="22"/>
        </w:rPr>
      </w:pPr>
      <w:r w:rsidRPr="00C40A0D">
        <w:rPr>
          <w:rFonts w:ascii="Figtree" w:eastAsia="Calibri" w:hAnsi="Figtree" w:cs="Calibri"/>
          <w:b/>
          <w:bCs/>
          <w:color w:val="8A6100"/>
          <w:sz w:val="22"/>
          <w:szCs w:val="22"/>
        </w:rPr>
        <w:t>[DATE]</w:t>
      </w:r>
    </w:p>
    <w:p w14:paraId="550BFD84" w14:textId="77777777" w:rsidR="00104137" w:rsidRPr="00C40A0D" w:rsidRDefault="00000000">
      <w:pPr>
        <w:spacing w:line="258" w:lineRule="auto"/>
        <w:rPr>
          <w:rFonts w:ascii="Figtree" w:hAnsi="Figtree"/>
          <w:sz w:val="22"/>
          <w:szCs w:val="22"/>
        </w:rPr>
      </w:pPr>
      <w:r w:rsidRPr="00C40A0D">
        <w:rPr>
          <w:rFonts w:ascii="Figtree" w:eastAsia="Calibri" w:hAnsi="Figtree" w:cs="Calibri"/>
          <w:b/>
          <w:bCs/>
          <w:sz w:val="22"/>
          <w:szCs w:val="22"/>
        </w:rPr>
        <w:t>The Honorable Mehmet Oz, MD</w:t>
      </w:r>
    </w:p>
    <w:p w14:paraId="4809926F" w14:textId="77777777" w:rsidR="00104137" w:rsidRPr="00C40A0D" w:rsidRDefault="00000000">
      <w:pPr>
        <w:spacing w:line="258" w:lineRule="auto"/>
        <w:rPr>
          <w:rFonts w:ascii="Figtree" w:hAnsi="Figtree"/>
          <w:sz w:val="22"/>
          <w:szCs w:val="22"/>
        </w:rPr>
      </w:pPr>
      <w:r w:rsidRPr="00C40A0D">
        <w:rPr>
          <w:rFonts w:ascii="Figtree" w:eastAsia="Calibri" w:hAnsi="Figtree" w:cs="Calibri"/>
          <w:sz w:val="22"/>
          <w:szCs w:val="22"/>
        </w:rPr>
        <w:t>Administrator, Centers for Medicare &amp; Medicaid Services</w:t>
      </w:r>
    </w:p>
    <w:p w14:paraId="3243923A" w14:textId="77777777" w:rsidR="00104137" w:rsidRPr="00C40A0D" w:rsidRDefault="00000000">
      <w:pPr>
        <w:spacing w:line="258" w:lineRule="auto"/>
        <w:rPr>
          <w:rFonts w:ascii="Figtree" w:hAnsi="Figtree"/>
          <w:sz w:val="22"/>
          <w:szCs w:val="22"/>
        </w:rPr>
      </w:pPr>
      <w:r w:rsidRPr="00C40A0D">
        <w:rPr>
          <w:rFonts w:ascii="Figtree" w:eastAsia="Calibri" w:hAnsi="Figtree" w:cs="Calibri"/>
          <w:sz w:val="22"/>
          <w:szCs w:val="22"/>
        </w:rPr>
        <w:t>U.S. Department of Health and Human Services</w:t>
      </w:r>
    </w:p>
    <w:p w14:paraId="654D961B" w14:textId="77777777" w:rsidR="00104137" w:rsidRPr="00C40A0D" w:rsidRDefault="00000000">
      <w:pPr>
        <w:spacing w:after="130" w:line="258" w:lineRule="auto"/>
        <w:rPr>
          <w:rFonts w:ascii="Figtree" w:hAnsi="Figtree"/>
          <w:sz w:val="22"/>
          <w:szCs w:val="22"/>
        </w:rPr>
      </w:pPr>
      <w:r w:rsidRPr="00C40A0D">
        <w:rPr>
          <w:rFonts w:ascii="Figtree" w:eastAsia="Calibri" w:hAnsi="Figtree" w:cs="Calibri"/>
          <w:sz w:val="22"/>
          <w:szCs w:val="22"/>
        </w:rPr>
        <w:t>7500 Security Boulevard, Baltimore, MD 21244</w:t>
      </w:r>
    </w:p>
    <w:p w14:paraId="6C847E3F" w14:textId="77777777" w:rsidR="00104137" w:rsidRPr="00C40A0D" w:rsidRDefault="00000000">
      <w:pPr>
        <w:spacing w:after="60" w:line="258" w:lineRule="auto"/>
        <w:rPr>
          <w:rFonts w:ascii="Figtree" w:hAnsi="Figtree"/>
          <w:sz w:val="22"/>
          <w:szCs w:val="22"/>
        </w:rPr>
      </w:pPr>
      <w:r w:rsidRPr="00C40A0D">
        <w:rPr>
          <w:rFonts w:ascii="Figtree" w:eastAsia="Calibri" w:hAnsi="Figtree" w:cs="Calibri"/>
          <w:b/>
          <w:bCs/>
          <w:sz w:val="22"/>
          <w:szCs w:val="22"/>
        </w:rPr>
        <w:t>Attention: CMS-1848-P (Medicare Program; CY 2027 Payment Policies Under the Physician Fee Schedule)</w:t>
      </w:r>
    </w:p>
    <w:p w14:paraId="31EC1B11" w14:textId="77777777" w:rsidR="00104137" w:rsidRPr="00C40A0D" w:rsidRDefault="00000000">
      <w:pPr>
        <w:spacing w:after="190" w:line="258" w:lineRule="auto"/>
        <w:rPr>
          <w:rFonts w:ascii="Figtree" w:hAnsi="Figtree"/>
          <w:sz w:val="22"/>
          <w:szCs w:val="22"/>
        </w:rPr>
      </w:pPr>
      <w:r w:rsidRPr="00C40A0D">
        <w:rPr>
          <w:rFonts w:ascii="Figtree" w:eastAsia="Calibri" w:hAnsi="Figtree" w:cs="Calibri"/>
          <w:i/>
          <w:iCs/>
          <w:sz w:val="22"/>
          <w:szCs w:val="22"/>
        </w:rPr>
        <w:t>Submitted electronically via https://www.regulations.gov</w:t>
      </w:r>
    </w:p>
    <w:p w14:paraId="49D72F78" w14:textId="77777777" w:rsidR="00104137" w:rsidRPr="00C40A0D" w:rsidRDefault="00000000">
      <w:pPr>
        <w:spacing w:after="200" w:line="258" w:lineRule="auto"/>
        <w:rPr>
          <w:rFonts w:ascii="Figtree" w:hAnsi="Figtree"/>
          <w:sz w:val="22"/>
          <w:szCs w:val="22"/>
        </w:rPr>
      </w:pPr>
      <w:r w:rsidRPr="00C40A0D">
        <w:rPr>
          <w:rFonts w:ascii="Figtree" w:eastAsia="Calibri" w:hAnsi="Figtree" w:cs="Calibri"/>
          <w:b/>
          <w:bCs/>
          <w:sz w:val="22"/>
          <w:szCs w:val="22"/>
        </w:rPr>
        <w:t>Re: Health and Well-Being Coaching Services (CPT Codes 0591T, 0592T, and 0593T) — Support for Finalization with General Supervision, Recognition of the ACL OAA Title III-D Workforce, Permanent Coding, and Preservation of the Proposed Valuation</w:t>
      </w:r>
    </w:p>
    <w:p w14:paraId="5F44F5B2" w14:textId="77777777" w:rsidR="00104137" w:rsidRPr="00C40A0D" w:rsidRDefault="00000000">
      <w:pPr>
        <w:spacing w:after="170" w:line="258" w:lineRule="auto"/>
        <w:rPr>
          <w:rFonts w:ascii="Figtree" w:hAnsi="Figtree"/>
          <w:sz w:val="22"/>
          <w:szCs w:val="22"/>
        </w:rPr>
      </w:pPr>
      <w:r w:rsidRPr="00C40A0D">
        <w:rPr>
          <w:rFonts w:ascii="Figtree" w:eastAsia="Calibri" w:hAnsi="Figtree" w:cs="Calibri"/>
          <w:sz w:val="22"/>
          <w:szCs w:val="22"/>
        </w:rPr>
        <w:t>Dear Administrator Oz:</w:t>
      </w:r>
    </w:p>
    <w:p w14:paraId="7392851A" w14:textId="24E113EA" w:rsidR="00104137" w:rsidRPr="00C40A0D" w:rsidRDefault="00000000">
      <w:pPr>
        <w:spacing w:after="150" w:line="258" w:lineRule="auto"/>
        <w:rPr>
          <w:rFonts w:ascii="Figtree" w:hAnsi="Figtree"/>
          <w:sz w:val="22"/>
          <w:szCs w:val="22"/>
        </w:rPr>
      </w:pPr>
      <w:r w:rsidRPr="00C40A0D">
        <w:rPr>
          <w:rFonts w:ascii="Figtree" w:eastAsia="Calibri" w:hAnsi="Figtree" w:cs="Calibri"/>
          <w:b/>
          <w:bCs/>
          <w:color w:val="8A6100"/>
          <w:sz w:val="22"/>
          <w:szCs w:val="22"/>
        </w:rPr>
        <w:t>[</w:t>
      </w:r>
      <w:r w:rsidRPr="00167DA6">
        <w:rPr>
          <w:rFonts w:ascii="Figtree" w:eastAsia="Calibri" w:hAnsi="Figtree" w:cs="Calibri"/>
          <w:b/>
          <w:bCs/>
          <w:color w:val="8A6100"/>
          <w:sz w:val="22"/>
          <w:szCs w:val="22"/>
        </w:rPr>
        <w:t>ORGANIZATION</w:t>
      </w:r>
      <w:r w:rsidRPr="00C40A0D">
        <w:rPr>
          <w:rFonts w:ascii="Figtree" w:eastAsia="Calibri" w:hAnsi="Figtree" w:cs="Calibri"/>
          <w:b/>
          <w:bCs/>
          <w:color w:val="8A6100"/>
          <w:sz w:val="22"/>
          <w:szCs w:val="22"/>
        </w:rPr>
        <w:t xml:space="preserve">] </w:t>
      </w:r>
      <w:r w:rsidRPr="00C40A0D">
        <w:rPr>
          <w:rFonts w:ascii="Figtree" w:eastAsia="Calibri" w:hAnsi="Figtree" w:cs="Calibri"/>
          <w:sz w:val="22"/>
          <w:szCs w:val="22"/>
        </w:rPr>
        <w:t>submits these comments in strong support of the proposed Medicare Part B payment pathway for health and well-being coaching (CPT codes 0591T, 0592T, and 0593T).</w:t>
      </w:r>
    </w:p>
    <w:p w14:paraId="570935AC" w14:textId="1BDEC3AC" w:rsidR="00104137" w:rsidRPr="00C40A0D" w:rsidRDefault="00000000">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sidRPr="00C40A0D">
        <w:rPr>
          <w:rFonts w:ascii="Figtree" w:eastAsia="Calibri" w:hAnsi="Figtree" w:cs="Calibri"/>
          <w:b/>
          <w:bCs/>
          <w:color w:val="8A6100"/>
          <w:spacing w:val="12"/>
          <w:sz w:val="22"/>
          <w:szCs w:val="22"/>
        </w:rPr>
        <w:t>ABOUT YOUR ORGANIZATION — REPLACE THIS BOX</w:t>
      </w:r>
      <w:r w:rsidR="00167DA6">
        <w:rPr>
          <w:rFonts w:ascii="Figtree" w:eastAsia="Calibri" w:hAnsi="Figtree" w:cs="Calibri"/>
          <w:b/>
          <w:bCs/>
          <w:color w:val="8A6100"/>
          <w:spacing w:val="12"/>
          <w:sz w:val="22"/>
          <w:szCs w:val="22"/>
        </w:rPr>
        <w:t xml:space="preserve"> WITHDETAILS</w:t>
      </w:r>
    </w:p>
    <w:p w14:paraId="175CF1CF"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is your organization, where do you operate, and how many older adults or people with disabilities do you serve each year?</w:t>
      </w:r>
    </w:p>
    <w:p w14:paraId="63B5625F"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Which Older Americans Act Title III-D evidence-based programs do you deliver (CDSMP, DSMP, Chronic Pain Self-Management, Stepping On, EnhanceFitness, Tai Ji Quan, others)?</w:t>
      </w:r>
    </w:p>
    <w:p w14:paraId="408BBDFD"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How long have you been delivering them, and roughly how many participants have completed a workshop with you?</w:t>
      </w:r>
    </w:p>
    <w:p w14:paraId="4C0466D4" w14:textId="01358F91"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 xml:space="preserve">We appreciate that CMS has recognized what community-based providers have demonstrated for two decades: that trained peer and lay facilitators, working in trusted community settings, produce measurable improvements in how people manage chronic conditions. Our comments address six decisions in the final rule that will determine whether </w:t>
      </w:r>
      <w:r w:rsidR="00167DA6">
        <w:rPr>
          <w:rFonts w:ascii="Figtree" w:eastAsia="Calibri" w:hAnsi="Figtree" w:cs="Calibri"/>
          <w:sz w:val="22"/>
          <w:szCs w:val="22"/>
        </w:rPr>
        <w:t xml:space="preserve">community-based </w:t>
      </w:r>
      <w:r w:rsidRPr="00C40A0D">
        <w:rPr>
          <w:rFonts w:ascii="Figtree" w:eastAsia="Calibri" w:hAnsi="Figtree" w:cs="Calibri"/>
          <w:sz w:val="22"/>
          <w:szCs w:val="22"/>
        </w:rPr>
        <w:t>organizations</w:t>
      </w:r>
      <w:r w:rsidR="00167DA6">
        <w:rPr>
          <w:rFonts w:ascii="Figtree" w:eastAsia="Calibri" w:hAnsi="Figtree" w:cs="Calibri"/>
          <w:sz w:val="22"/>
          <w:szCs w:val="22"/>
        </w:rPr>
        <w:t xml:space="preserve"> and providers</w:t>
      </w:r>
      <w:r w:rsidRPr="00C40A0D">
        <w:rPr>
          <w:rFonts w:ascii="Figtree" w:eastAsia="Calibri" w:hAnsi="Figtree" w:cs="Calibri"/>
          <w:sz w:val="22"/>
          <w:szCs w:val="22"/>
        </w:rPr>
        <w:t xml:space="preserve"> like ours can </w:t>
      </w:r>
      <w:r w:rsidR="00167DA6">
        <w:rPr>
          <w:rFonts w:ascii="Figtree" w:eastAsia="Calibri" w:hAnsi="Figtree" w:cs="Calibri"/>
          <w:sz w:val="22"/>
          <w:szCs w:val="22"/>
        </w:rPr>
        <w:t>reasonably implement</w:t>
      </w:r>
      <w:r w:rsidRPr="00C40A0D">
        <w:rPr>
          <w:rFonts w:ascii="Figtree" w:eastAsia="Calibri" w:hAnsi="Figtree" w:cs="Calibri"/>
          <w:sz w:val="22"/>
          <w:szCs w:val="22"/>
        </w:rPr>
        <w:t xml:space="preserve"> this benefit.</w:t>
      </w:r>
    </w:p>
    <w:p w14:paraId="5FE9BDA3"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1. Establish General Supervision as the Supervision Standard</w:t>
      </w:r>
    </w:p>
    <w:p w14:paraId="251D0243" w14:textId="77777777" w:rsidR="00104137" w:rsidRPr="00C40A0D" w:rsidRDefault="00000000">
      <w:pPr>
        <w:pBdr>
          <w:top w:val="single" w:sz="2" w:space="6" w:color="EEF2F8"/>
          <w:left w:val="single" w:sz="18" w:space="8" w:color="1F3864"/>
          <w:bottom w:val="single" w:sz="2" w:space="6" w:color="EEF2F8"/>
          <w:right w:val="single" w:sz="2" w:space="6" w:color="EEF2F8"/>
        </w:pBdr>
        <w:shd w:val="clear" w:color="auto" w:fill="EEF2F8"/>
        <w:spacing w:before="130" w:after="160" w:line="258" w:lineRule="auto"/>
        <w:ind w:left="172"/>
        <w:rPr>
          <w:rFonts w:ascii="Figtree" w:hAnsi="Figtree"/>
          <w:sz w:val="22"/>
          <w:szCs w:val="22"/>
        </w:rPr>
      </w:pPr>
      <w:r w:rsidRPr="00C40A0D">
        <w:rPr>
          <w:rFonts w:ascii="Figtree" w:eastAsia="Calibri" w:hAnsi="Figtree" w:cs="Calibri"/>
          <w:b/>
          <w:bCs/>
          <w:sz w:val="22"/>
          <w:szCs w:val="22"/>
        </w:rPr>
        <w:t xml:space="preserve">RECOMMENDATION 1. </w:t>
      </w:r>
      <w:r w:rsidRPr="00C40A0D">
        <w:rPr>
          <w:rFonts w:ascii="Figtree" w:eastAsia="Calibri" w:hAnsi="Figtree" w:cs="Calibri"/>
          <w:sz w:val="22"/>
          <w:szCs w:val="22"/>
        </w:rPr>
        <w:t>CMS should establish general supervision as the supervision standard for CPT codes 0591T, 0592T, and 0593T and their successors, including when the services are furnished by auxiliary personnel employed by or contracting with community-based organizations and Community Care Hubs.</w:t>
      </w:r>
    </w:p>
    <w:p w14:paraId="64EC9B54" w14:textId="59AC0E07"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 xml:space="preserve">The proposed rule states that these codes may be "performed under direct supervision of the billing practitioner, as defined by § 410.26(a)(3)." But 42 CFR 410.26(a)(3) defines </w:t>
      </w:r>
      <w:r w:rsidRPr="00C40A0D">
        <w:rPr>
          <w:rFonts w:ascii="Figtree" w:eastAsia="Calibri" w:hAnsi="Figtree" w:cs="Calibri"/>
          <w:i/>
          <w:iCs/>
          <w:sz w:val="22"/>
          <w:szCs w:val="22"/>
        </w:rPr>
        <w:t>general</w:t>
      </w:r>
      <w:r w:rsidRPr="00C40A0D">
        <w:rPr>
          <w:rFonts w:ascii="Figtree" w:eastAsia="Calibri" w:hAnsi="Figtree" w:cs="Calibri"/>
          <w:sz w:val="22"/>
          <w:szCs w:val="22"/>
        </w:rPr>
        <w:t xml:space="preserve"> </w:t>
      </w:r>
      <w:r w:rsidRPr="00C40A0D">
        <w:rPr>
          <w:rFonts w:ascii="Figtree" w:eastAsia="Calibri" w:hAnsi="Figtree" w:cs="Calibri"/>
          <w:sz w:val="22"/>
          <w:szCs w:val="22"/>
        </w:rPr>
        <w:lastRenderedPageBreak/>
        <w:t xml:space="preserve">supervision; direct supervision is defined at § 410.26(a)(2). We ask CMS to resolve this in favor of general supervision, consistent with the care management codes CMS </w:t>
      </w:r>
      <w:r w:rsidR="00167DA6" w:rsidRPr="00C40A0D">
        <w:rPr>
          <w:rFonts w:ascii="Figtree" w:eastAsia="Calibri" w:hAnsi="Figtree" w:cs="Calibri"/>
          <w:sz w:val="22"/>
          <w:szCs w:val="22"/>
        </w:rPr>
        <w:t>cross walked</w:t>
      </w:r>
      <w:r w:rsidRPr="00C40A0D">
        <w:rPr>
          <w:rFonts w:ascii="Figtree" w:eastAsia="Calibri" w:hAnsi="Figtree" w:cs="Calibri"/>
          <w:sz w:val="22"/>
          <w:szCs w:val="22"/>
        </w:rPr>
        <w:t xml:space="preserve"> for valuation, which are themselves furnished under general supervision.</w:t>
      </w:r>
      <w:r w:rsidRPr="00C40A0D">
        <w:rPr>
          <w:rFonts w:ascii="Figtree" w:eastAsia="Calibri" w:hAnsi="Figtree" w:cs="Calibri"/>
          <w:sz w:val="22"/>
          <w:szCs w:val="22"/>
          <w:vertAlign w:val="superscript"/>
        </w:rPr>
        <w:t>1</w:t>
      </w:r>
    </w:p>
    <w:p w14:paraId="640FE14C" w14:textId="77777777"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This is not a technical preference. These services are delivered in the community: in a national study of nearly 12,000 urban-dwelling participants in Chronic Disease Self-Management Education programs, 84.6 percent received them in community-based locations and only 15.5 percent inside a healthcare organization.</w:t>
      </w:r>
      <w:r w:rsidRPr="00C40A0D">
        <w:rPr>
          <w:rFonts w:ascii="Figtree" w:eastAsia="Calibri" w:hAnsi="Figtree" w:cs="Calibri"/>
          <w:sz w:val="22"/>
          <w:szCs w:val="22"/>
          <w:vertAlign w:val="superscript"/>
        </w:rPr>
        <w:t>3</w:t>
      </w:r>
      <w:r w:rsidRPr="00C40A0D">
        <w:rPr>
          <w:rFonts w:ascii="Figtree" w:eastAsia="Calibri" w:hAnsi="Figtree" w:cs="Calibri"/>
          <w:sz w:val="22"/>
          <w:szCs w:val="22"/>
        </w:rPr>
        <w:t xml:space="preserve"> A direct supervision standard would require a billing practitioner to be immediately available throughout every session — including evenings, weekends, and multi-hour group workshops — and would end community delivery as it currently exists.</w:t>
      </w:r>
    </w:p>
    <w:p w14:paraId="5042FD25" w14:textId="2BB8FF3C" w:rsidR="00104137" w:rsidRPr="00C40A0D" w:rsidRDefault="00167DA6">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Pr>
          <w:rFonts w:ascii="Figtree" w:eastAsia="Calibri" w:hAnsi="Figtree" w:cs="Calibri"/>
          <w:b/>
          <w:bCs/>
          <w:color w:val="8A6100"/>
          <w:spacing w:val="12"/>
          <w:sz w:val="22"/>
          <w:szCs w:val="22"/>
        </w:rPr>
        <w:t>YOUR ORGANIZATION’S EXPERIENCE AS APPROPRIATE/RELEVANT AS APPROPRIATE/RELEVANT</w:t>
      </w:r>
    </w:p>
    <w:p w14:paraId="34F65ACB" w14:textId="64470B86"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proofErr w:type="gramStart"/>
      <w:r w:rsidRPr="00C40A0D">
        <w:rPr>
          <w:rFonts w:ascii="Figtree" w:eastAsia="Calibri" w:hAnsi="Figtree" w:cs="Calibri"/>
          <w:color w:val="8A6100"/>
          <w:sz w:val="22"/>
          <w:szCs w:val="22"/>
        </w:rPr>
        <w:t xml:space="preserve">→  </w:t>
      </w:r>
      <w:r w:rsidR="00167DA6">
        <w:rPr>
          <w:rFonts w:ascii="Figtree" w:eastAsia="Calibri" w:hAnsi="Figtree" w:cs="Calibri"/>
          <w:i/>
          <w:iCs/>
          <w:color w:val="333333"/>
          <w:sz w:val="22"/>
          <w:szCs w:val="22"/>
        </w:rPr>
        <w:t>Do you/where</w:t>
      </w:r>
      <w:proofErr w:type="gramEnd"/>
      <w:r w:rsidR="00167DA6">
        <w:rPr>
          <w:rFonts w:ascii="Figtree" w:eastAsia="Calibri" w:hAnsi="Figtree" w:cs="Calibri"/>
          <w:i/>
          <w:iCs/>
          <w:color w:val="333333"/>
          <w:sz w:val="22"/>
          <w:szCs w:val="22"/>
        </w:rPr>
        <w:t xml:space="preserve"> do</w:t>
      </w:r>
      <w:r w:rsidRPr="00C40A0D">
        <w:rPr>
          <w:rFonts w:ascii="Figtree" w:eastAsia="Calibri" w:hAnsi="Figtree" w:cs="Calibri"/>
          <w:i/>
          <w:iCs/>
          <w:color w:val="333333"/>
          <w:sz w:val="22"/>
          <w:szCs w:val="22"/>
        </w:rPr>
        <w:t xml:space="preserve"> you </w:t>
      </w:r>
      <w:proofErr w:type="gramStart"/>
      <w:r w:rsidRPr="00C40A0D">
        <w:rPr>
          <w:rFonts w:ascii="Figtree" w:eastAsia="Calibri" w:hAnsi="Figtree" w:cs="Calibri"/>
          <w:i/>
          <w:iCs/>
          <w:color w:val="333333"/>
          <w:sz w:val="22"/>
          <w:szCs w:val="22"/>
        </w:rPr>
        <w:t>actually hold</w:t>
      </w:r>
      <w:proofErr w:type="gramEnd"/>
      <w:r w:rsidRPr="00C40A0D">
        <w:rPr>
          <w:rFonts w:ascii="Figtree" w:eastAsia="Calibri" w:hAnsi="Figtree" w:cs="Calibri"/>
          <w:i/>
          <w:iCs/>
          <w:color w:val="333333"/>
          <w:sz w:val="22"/>
          <w:szCs w:val="22"/>
        </w:rPr>
        <w:t xml:space="preserve"> workshops? Name the sites — senior centers, subsidized housing, libraries, churches, tribal centers, rural clinics.</w:t>
      </w:r>
    </w:p>
    <w:p w14:paraId="6A05FC3A"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How many sessions do you run outside standard clinic hours (evenings, weekends), and why does that timing matter to your participants?</w:t>
      </w:r>
    </w:p>
    <w:p w14:paraId="02AA3F26"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supervising clinical relationships do you have today, and what would change if a physician had to be immediately available for every session?</w:t>
      </w:r>
    </w:p>
    <w:p w14:paraId="584554DE" w14:textId="45D6DBA9"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 xml:space="preserve">2. Confirm </w:t>
      </w:r>
      <w:r w:rsidR="00167DA6">
        <w:rPr>
          <w:rFonts w:ascii="Figtree" w:eastAsia="Calibri" w:hAnsi="Figtree" w:cs="Calibri"/>
          <w:b/>
          <w:bCs/>
          <w:color w:val="1F3864"/>
          <w:sz w:val="22"/>
          <w:szCs w:val="22"/>
        </w:rPr>
        <w:t xml:space="preserve">that OAA </w:t>
      </w:r>
      <w:r w:rsidRPr="00C40A0D">
        <w:rPr>
          <w:rFonts w:ascii="Figtree" w:eastAsia="Calibri" w:hAnsi="Figtree" w:cs="Calibri"/>
          <w:b/>
          <w:bCs/>
          <w:color w:val="1F3864"/>
          <w:sz w:val="22"/>
          <w:szCs w:val="22"/>
        </w:rPr>
        <w:t>Title III-D Group Workshops Are Billable Under CPT 0593T</w:t>
      </w:r>
    </w:p>
    <w:p w14:paraId="76D5AE1A" w14:textId="03C04F2E" w:rsidR="00104137" w:rsidRPr="00C40A0D" w:rsidRDefault="00000000">
      <w:pPr>
        <w:pBdr>
          <w:top w:val="single" w:sz="2" w:space="6" w:color="EEF2F8"/>
          <w:left w:val="single" w:sz="18" w:space="8" w:color="1F3864"/>
          <w:bottom w:val="single" w:sz="2" w:space="6" w:color="EEF2F8"/>
          <w:right w:val="single" w:sz="2" w:space="6" w:color="EEF2F8"/>
        </w:pBdr>
        <w:shd w:val="clear" w:color="auto" w:fill="EEF2F8"/>
        <w:spacing w:before="130" w:after="160" w:line="258" w:lineRule="auto"/>
        <w:ind w:left="172"/>
        <w:rPr>
          <w:rFonts w:ascii="Figtree" w:hAnsi="Figtree"/>
          <w:sz w:val="22"/>
          <w:szCs w:val="22"/>
        </w:rPr>
      </w:pPr>
      <w:r w:rsidRPr="00C40A0D">
        <w:rPr>
          <w:rFonts w:ascii="Figtree" w:eastAsia="Calibri" w:hAnsi="Figtree" w:cs="Calibri"/>
          <w:b/>
          <w:bCs/>
          <w:sz w:val="22"/>
          <w:szCs w:val="22"/>
        </w:rPr>
        <w:t xml:space="preserve">RECOMMENDATION 2. </w:t>
      </w:r>
      <w:r w:rsidRPr="00C40A0D">
        <w:rPr>
          <w:rFonts w:ascii="Figtree" w:eastAsia="Calibri" w:hAnsi="Figtree" w:cs="Calibri"/>
          <w:sz w:val="22"/>
          <w:szCs w:val="22"/>
        </w:rPr>
        <w:t>CMS should state explicitly in the final rule that delivering an ACL OAA Title III-D approved evidence-based group workshop (such as CDSMP, DSMP, Stepping On, EnhanceFitness</w:t>
      </w:r>
      <w:r w:rsidR="00167DA6">
        <w:rPr>
          <w:rFonts w:ascii="Figtree" w:eastAsia="Calibri" w:hAnsi="Figtree" w:cs="Calibri"/>
          <w:sz w:val="22"/>
          <w:szCs w:val="22"/>
        </w:rPr>
        <w:t>, etc.</w:t>
      </w:r>
      <w:r w:rsidRPr="00C40A0D">
        <w:rPr>
          <w:rFonts w:ascii="Figtree" w:eastAsia="Calibri" w:hAnsi="Figtree" w:cs="Calibri"/>
          <w:sz w:val="22"/>
          <w:szCs w:val="22"/>
        </w:rPr>
        <w:t>) at fidelity qualifies as a billable group coaching service under CPT 0593T, provided general supervision requirements and all other conditions of payment are met; and that an individual's OAA Title III-D training qualifies that individual to furnish group health coaching under 0593T for the specific program(s) in which the training was completed.</w:t>
      </w:r>
    </w:p>
    <w:p w14:paraId="7E850A09" w14:textId="77777777"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The proposed rule describes health coaching as an individualized, patient-directed behavioral change strategy. Title III-D programs meet that definition by design: participants set their own goals, build weekly action plans, problem-solve barriers, and report back to the group, under a standardized curriculum and fidelity protocol. To be approved as an ACL evidence-based program at all, an intervention must demonstrate efficacy under experimental or quasi-experimental design, publish in a peer-reviewed journal, and maintain standardized dissemination manuals and leader training protocols.</w:t>
      </w:r>
      <w:r w:rsidRPr="00C40A0D">
        <w:rPr>
          <w:rFonts w:ascii="Figtree" w:eastAsia="Calibri" w:hAnsi="Figtree" w:cs="Calibri"/>
          <w:sz w:val="22"/>
          <w:szCs w:val="22"/>
          <w:vertAlign w:val="superscript"/>
        </w:rPr>
        <w:t>4,5</w:t>
      </w:r>
      <w:r w:rsidRPr="00C40A0D">
        <w:rPr>
          <w:rFonts w:ascii="Figtree" w:eastAsia="Calibri" w:hAnsi="Figtree" w:cs="Calibri"/>
          <w:sz w:val="22"/>
          <w:szCs w:val="22"/>
        </w:rPr>
        <w:t xml:space="preserve"> This is a credentialed workforce, not ad hoc staff.</w:t>
      </w:r>
    </w:p>
    <w:p w14:paraId="50DEFF5E" w14:textId="72464971" w:rsidR="00104137" w:rsidRDefault="00000000">
      <w:pPr>
        <w:spacing w:after="150" w:line="258" w:lineRule="auto"/>
        <w:rPr>
          <w:rFonts w:ascii="Figtree" w:eastAsia="Calibri" w:hAnsi="Figtree" w:cs="Calibri"/>
          <w:sz w:val="22"/>
          <w:szCs w:val="22"/>
        </w:rPr>
      </w:pPr>
      <w:r w:rsidRPr="00C40A0D">
        <w:rPr>
          <w:rFonts w:ascii="Figtree" w:eastAsia="Calibri" w:hAnsi="Figtree" w:cs="Calibri"/>
          <w:sz w:val="22"/>
          <w:szCs w:val="22"/>
        </w:rPr>
        <w:t>The group code is also where this model becomes financially sustainable</w:t>
      </w:r>
      <w:r w:rsidR="00167DA6">
        <w:rPr>
          <w:rFonts w:ascii="Figtree" w:eastAsia="Calibri" w:hAnsi="Figtree" w:cs="Calibri"/>
          <w:sz w:val="22"/>
          <w:szCs w:val="22"/>
        </w:rPr>
        <w:t xml:space="preserve"> and scalable</w:t>
      </w:r>
      <w:r w:rsidRPr="00C40A0D">
        <w:rPr>
          <w:rFonts w:ascii="Figtree" w:eastAsia="Calibri" w:hAnsi="Figtree" w:cs="Calibri"/>
          <w:sz w:val="22"/>
          <w:szCs w:val="22"/>
        </w:rPr>
        <w:t>. At the proposed Addendum B valuation, CPT 0593T yields approximately $22.66 per 30-minute unit per beneficiary</w:t>
      </w:r>
      <w:r w:rsidRPr="00C40A0D">
        <w:rPr>
          <w:rFonts w:ascii="Figtree" w:eastAsia="Calibri" w:hAnsi="Figtree" w:cs="Calibri"/>
          <w:sz w:val="22"/>
          <w:szCs w:val="22"/>
          <w:vertAlign w:val="superscript"/>
        </w:rPr>
        <w:t>2</w:t>
      </w:r>
      <w:r w:rsidRPr="00C40A0D">
        <w:rPr>
          <w:rFonts w:ascii="Figtree" w:eastAsia="Calibri" w:hAnsi="Figtree" w:cs="Calibri"/>
          <w:sz w:val="22"/>
          <w:szCs w:val="22"/>
        </w:rPr>
        <w:t xml:space="preserve">—about $679.80 per participant across a standard 15-hour workshop. </w:t>
      </w:r>
    </w:p>
    <w:p w14:paraId="79D27B60" w14:textId="77777777" w:rsidR="00167DA6" w:rsidRPr="00C40A0D" w:rsidRDefault="00167DA6">
      <w:pPr>
        <w:spacing w:after="150" w:line="258" w:lineRule="auto"/>
        <w:rPr>
          <w:rFonts w:ascii="Figtree" w:hAnsi="Figtree"/>
          <w:sz w:val="22"/>
          <w:szCs w:val="22"/>
        </w:rPr>
      </w:pPr>
    </w:p>
    <w:p w14:paraId="15F79BFB" w14:textId="591175EE" w:rsidR="00104137" w:rsidRPr="00C40A0D" w:rsidRDefault="00167DA6">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Pr>
          <w:rFonts w:ascii="Figtree" w:eastAsia="Calibri" w:hAnsi="Figtree" w:cs="Calibri"/>
          <w:b/>
          <w:bCs/>
          <w:color w:val="8A6100"/>
          <w:spacing w:val="12"/>
          <w:sz w:val="22"/>
          <w:szCs w:val="22"/>
        </w:rPr>
        <w:lastRenderedPageBreak/>
        <w:t>YOUR ORGANIZATION’S EXPERIENCE AS APPROPRIATE/RELEVANT</w:t>
      </w:r>
    </w:p>
    <w:p w14:paraId="5727B610"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How many staff or volunteer leaders do you have with ACL-recognized training, and in which specific programs?</w:t>
      </w:r>
    </w:p>
    <w:p w14:paraId="29806166"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 xml:space="preserve">Describe what fidelity </w:t>
      </w:r>
      <w:proofErr w:type="gramStart"/>
      <w:r w:rsidRPr="00C40A0D">
        <w:rPr>
          <w:rFonts w:ascii="Figtree" w:eastAsia="Calibri" w:hAnsi="Figtree" w:cs="Calibri"/>
          <w:i/>
          <w:iCs/>
          <w:color w:val="333333"/>
          <w:sz w:val="22"/>
          <w:szCs w:val="22"/>
        </w:rPr>
        <w:t>actually requires</w:t>
      </w:r>
      <w:proofErr w:type="gramEnd"/>
      <w:r w:rsidRPr="00C40A0D">
        <w:rPr>
          <w:rFonts w:ascii="Figtree" w:eastAsia="Calibri" w:hAnsi="Figtree" w:cs="Calibri"/>
          <w:i/>
          <w:iCs/>
          <w:color w:val="333333"/>
          <w:sz w:val="22"/>
          <w:szCs w:val="22"/>
        </w:rPr>
        <w:t xml:space="preserve"> of you — leader training hours, master trainer certification, licensure, fidelity monitoring.</w:t>
      </w:r>
    </w:p>
    <w:p w14:paraId="3D255AE0"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outcomes have you seen in your own participants? Completion rates, self-reported health, A1c, falls, hospital use — whatever you track.</w:t>
      </w:r>
    </w:p>
    <w:p w14:paraId="5D1C0E87"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3. Defer to ACL to Define Training Completion and Maintain the Program Roster</w:t>
      </w:r>
    </w:p>
    <w:p w14:paraId="18663201" w14:textId="77777777" w:rsidR="00104137" w:rsidRPr="00C40A0D" w:rsidRDefault="00000000">
      <w:pPr>
        <w:pBdr>
          <w:top w:val="single" w:sz="2" w:space="6" w:color="EEF2F8"/>
          <w:left w:val="single" w:sz="18" w:space="8" w:color="1F3864"/>
          <w:bottom w:val="single" w:sz="2" w:space="6" w:color="EEF2F8"/>
          <w:right w:val="single" w:sz="2" w:space="6" w:color="EEF2F8"/>
        </w:pBdr>
        <w:shd w:val="clear" w:color="auto" w:fill="EEF2F8"/>
        <w:spacing w:before="130" w:after="160" w:line="258" w:lineRule="auto"/>
        <w:ind w:left="172"/>
        <w:rPr>
          <w:rFonts w:ascii="Figtree" w:hAnsi="Figtree"/>
          <w:sz w:val="22"/>
          <w:szCs w:val="22"/>
        </w:rPr>
      </w:pPr>
      <w:r w:rsidRPr="00C40A0D">
        <w:rPr>
          <w:rFonts w:ascii="Figtree" w:eastAsia="Calibri" w:hAnsi="Figtree" w:cs="Calibri"/>
          <w:b/>
          <w:bCs/>
          <w:sz w:val="22"/>
          <w:szCs w:val="22"/>
        </w:rPr>
        <w:t xml:space="preserve">RECOMMENDATION 3. </w:t>
      </w:r>
      <w:r w:rsidRPr="00C40A0D">
        <w:rPr>
          <w:rFonts w:ascii="Figtree" w:eastAsia="Calibri" w:hAnsi="Figtree" w:cs="Calibri"/>
          <w:sz w:val="22"/>
          <w:szCs w:val="22"/>
        </w:rPr>
        <w:t>CMS should formally defer to the Administration for Community Living to define the criteria under which an individual has completed training to provide one or more ACL OAA Title III-D evidence-based programs, and should direct that ACL maintain, publish, and routinely update an official roster of qualifying programs together with the associated coach training requirements for each. That roster should serve as the safe-harbor standard for auxiliary personnel qualification under § 410.26(a)(1) and for Medicare audit purposes.</w:t>
      </w:r>
    </w:p>
    <w:p w14:paraId="2399057D" w14:textId="4C593B24"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"Trained through an ACL program" is an administrative category, not an auditable credential. ACL already maintains the list of approved evidence-based programs and publishes the minimum training requirements for each.</w:t>
      </w:r>
      <w:r w:rsidRPr="00C40A0D">
        <w:rPr>
          <w:rFonts w:ascii="Figtree" w:eastAsia="Calibri" w:hAnsi="Figtree" w:cs="Calibri"/>
          <w:sz w:val="22"/>
          <w:szCs w:val="22"/>
          <w:vertAlign w:val="superscript"/>
        </w:rPr>
        <w:t>5</w:t>
      </w:r>
      <w:r w:rsidRPr="00C40A0D">
        <w:rPr>
          <w:rFonts w:ascii="Figtree" w:eastAsia="Calibri" w:hAnsi="Figtree" w:cs="Calibri"/>
          <w:sz w:val="22"/>
          <w:szCs w:val="22"/>
        </w:rPr>
        <w:t xml:space="preserve"> </w:t>
      </w:r>
      <w:r w:rsidR="00167DA6">
        <w:rPr>
          <w:rFonts w:ascii="Figtree" w:eastAsia="Calibri" w:hAnsi="Figtree" w:cs="Calibri"/>
          <w:sz w:val="22"/>
          <w:szCs w:val="22"/>
        </w:rPr>
        <w:t xml:space="preserve">We don’t believe that </w:t>
      </w:r>
      <w:r w:rsidRPr="00C40A0D">
        <w:rPr>
          <w:rFonts w:ascii="Figtree" w:eastAsia="Calibri" w:hAnsi="Figtree" w:cs="Calibri"/>
          <w:sz w:val="22"/>
          <w:szCs w:val="22"/>
        </w:rPr>
        <w:t>CMS should</w:t>
      </w:r>
      <w:r w:rsidR="00167DA6">
        <w:rPr>
          <w:rFonts w:ascii="Figtree" w:eastAsia="Calibri" w:hAnsi="Figtree" w:cs="Calibri"/>
          <w:sz w:val="22"/>
          <w:szCs w:val="22"/>
        </w:rPr>
        <w:t xml:space="preserve"> regulatorily</w:t>
      </w:r>
      <w:r w:rsidRPr="00C40A0D">
        <w:rPr>
          <w:rFonts w:ascii="Figtree" w:eastAsia="Calibri" w:hAnsi="Figtree" w:cs="Calibri"/>
          <w:sz w:val="22"/>
          <w:szCs w:val="22"/>
        </w:rPr>
        <w:t xml:space="preserve"> rebuild that infrastructure. A</w:t>
      </w:r>
      <w:r w:rsidR="00167DA6">
        <w:rPr>
          <w:rFonts w:ascii="Figtree" w:eastAsia="Calibri" w:hAnsi="Figtree" w:cs="Calibri"/>
          <w:sz w:val="22"/>
          <w:szCs w:val="22"/>
        </w:rPr>
        <w:t>n ACL-driven and updated</w:t>
      </w:r>
      <w:r w:rsidRPr="00C40A0D">
        <w:rPr>
          <w:rFonts w:ascii="Figtree" w:eastAsia="Calibri" w:hAnsi="Figtree" w:cs="Calibri"/>
          <w:sz w:val="22"/>
          <w:szCs w:val="22"/>
        </w:rPr>
        <w:t xml:space="preserve"> roster would </w:t>
      </w:r>
      <w:r w:rsidR="00167DA6">
        <w:rPr>
          <w:rFonts w:ascii="Figtree" w:eastAsia="Calibri" w:hAnsi="Figtree" w:cs="Calibri"/>
          <w:sz w:val="22"/>
          <w:szCs w:val="22"/>
        </w:rPr>
        <w:t>provide</w:t>
      </w:r>
      <w:r w:rsidRPr="00C40A0D">
        <w:rPr>
          <w:rFonts w:ascii="Figtree" w:eastAsia="Calibri" w:hAnsi="Figtree" w:cs="Calibri"/>
          <w:sz w:val="22"/>
          <w:szCs w:val="22"/>
        </w:rPr>
        <w:t xml:space="preserve"> one standard to verify </w:t>
      </w:r>
      <w:r w:rsidR="00167DA6">
        <w:rPr>
          <w:rFonts w:ascii="Figtree" w:eastAsia="Calibri" w:hAnsi="Figtree" w:cs="Calibri"/>
          <w:sz w:val="22"/>
          <w:szCs w:val="22"/>
        </w:rPr>
        <w:t xml:space="preserve">program </w:t>
      </w:r>
      <w:r w:rsidRPr="00C40A0D">
        <w:rPr>
          <w:rFonts w:ascii="Figtree" w:eastAsia="Calibri" w:hAnsi="Figtree" w:cs="Calibri"/>
          <w:sz w:val="22"/>
          <w:szCs w:val="22"/>
        </w:rPr>
        <w:t>eligibility and to defend on audit afterward.</w:t>
      </w:r>
    </w:p>
    <w:p w14:paraId="40745DEF" w14:textId="4D6EA0BF" w:rsidR="00104137" w:rsidRPr="00C40A0D" w:rsidRDefault="00167DA6">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Pr>
          <w:rFonts w:ascii="Figtree" w:eastAsia="Calibri" w:hAnsi="Figtree" w:cs="Calibri"/>
          <w:b/>
          <w:bCs/>
          <w:color w:val="8A6100"/>
          <w:spacing w:val="12"/>
          <w:sz w:val="22"/>
          <w:szCs w:val="22"/>
        </w:rPr>
        <w:t>YOUR ORGANIZATION’S EXPERIENCE AS APPROPRIATE/RELEVANT</w:t>
      </w:r>
    </w:p>
    <w:p w14:paraId="4B446547"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How do you verify and document leader training today? What records do you keep, and what does that cost you in staff time?</w:t>
      </w:r>
    </w:p>
    <w:p w14:paraId="19EE2B43"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Have you encountered a payer, partner, or auditor who questioned whether your leaders were adequately credentialed? What happened?</w:t>
      </w:r>
    </w:p>
    <w:p w14:paraId="60FE7457"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4. Defer to ACL to Issue Braided Funding and Non-Duplication Guidance</w:t>
      </w:r>
    </w:p>
    <w:p w14:paraId="1CC226FE" w14:textId="77777777" w:rsidR="00104137" w:rsidRPr="00C40A0D" w:rsidRDefault="00000000">
      <w:pPr>
        <w:pBdr>
          <w:top w:val="single" w:sz="2" w:space="6" w:color="EEF2F8"/>
          <w:left w:val="single" w:sz="18" w:space="8" w:color="1F3864"/>
          <w:bottom w:val="single" w:sz="2" w:space="6" w:color="EEF2F8"/>
          <w:right w:val="single" w:sz="2" w:space="6" w:color="EEF2F8"/>
        </w:pBdr>
        <w:shd w:val="clear" w:color="auto" w:fill="EEF2F8"/>
        <w:spacing w:before="130" w:after="160" w:line="258" w:lineRule="auto"/>
        <w:ind w:left="172"/>
        <w:rPr>
          <w:rFonts w:ascii="Figtree" w:hAnsi="Figtree"/>
          <w:sz w:val="22"/>
          <w:szCs w:val="22"/>
        </w:rPr>
      </w:pPr>
      <w:r w:rsidRPr="00C40A0D">
        <w:rPr>
          <w:rFonts w:ascii="Figtree" w:eastAsia="Calibri" w:hAnsi="Figtree" w:cs="Calibri"/>
          <w:b/>
          <w:bCs/>
          <w:sz w:val="22"/>
          <w:szCs w:val="22"/>
        </w:rPr>
        <w:t xml:space="preserve">RECOMMENDATION 4. </w:t>
      </w:r>
      <w:r w:rsidRPr="00C40A0D">
        <w:rPr>
          <w:rFonts w:ascii="Figtree" w:eastAsia="Calibri" w:hAnsi="Figtree" w:cs="Calibri"/>
          <w:sz w:val="22"/>
          <w:szCs w:val="22"/>
        </w:rPr>
        <w:t>CMS should formally defer to ACL to issue explicit guidance on braided funding and non-duplication, and we urge that the guidance be issued concurrently with the final rule.</w:t>
      </w:r>
    </w:p>
    <w:p w14:paraId="5F5E9BA3" w14:textId="1E98FB48"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 xml:space="preserve">Federal anti-supplantation rules mean </w:t>
      </w:r>
      <w:r w:rsidR="00167DA6">
        <w:rPr>
          <w:rFonts w:ascii="Figtree" w:eastAsia="Calibri" w:hAnsi="Figtree" w:cs="Calibri"/>
          <w:sz w:val="22"/>
          <w:szCs w:val="22"/>
        </w:rPr>
        <w:t xml:space="preserve">OAA </w:t>
      </w:r>
      <w:r w:rsidRPr="00C40A0D">
        <w:rPr>
          <w:rFonts w:ascii="Figtree" w:eastAsia="Calibri" w:hAnsi="Figtree" w:cs="Calibri"/>
          <w:sz w:val="22"/>
          <w:szCs w:val="22"/>
        </w:rPr>
        <w:t xml:space="preserve">Title III-D grant dollars cannot pay for a service simultaneously billed to Medicare Part B. Without clear guidance on how to separate the two within a single workshop, </w:t>
      </w:r>
      <w:r w:rsidR="00167DA6">
        <w:rPr>
          <w:rFonts w:ascii="Figtree" w:eastAsia="Calibri" w:hAnsi="Figtree" w:cs="Calibri"/>
          <w:sz w:val="22"/>
          <w:szCs w:val="22"/>
        </w:rPr>
        <w:t>community-based providers could</w:t>
      </w:r>
      <w:r w:rsidRPr="00C40A0D">
        <w:rPr>
          <w:rFonts w:ascii="Figtree" w:eastAsia="Calibri" w:hAnsi="Figtree" w:cs="Calibri"/>
          <w:sz w:val="22"/>
          <w:szCs w:val="22"/>
        </w:rPr>
        <w:t xml:space="preserve"> risk audit exposure</w:t>
      </w:r>
      <w:r w:rsidR="00167DA6">
        <w:rPr>
          <w:rFonts w:ascii="Figtree" w:eastAsia="Calibri" w:hAnsi="Figtree" w:cs="Calibri"/>
          <w:sz w:val="22"/>
          <w:szCs w:val="22"/>
        </w:rPr>
        <w:t xml:space="preserve">, </w:t>
      </w:r>
      <w:r w:rsidRPr="00C40A0D">
        <w:rPr>
          <w:rFonts w:ascii="Figtree" w:eastAsia="Calibri" w:hAnsi="Figtree" w:cs="Calibri"/>
          <w:sz w:val="22"/>
          <w:szCs w:val="22"/>
        </w:rPr>
        <w:t>and a benefit that is finalized but not billed helps no one. The underlying issue is capacity: from 2016 through 2022, ACL grantees reached roughly 176,000 participants nationally</w:t>
      </w:r>
      <w:r w:rsidRPr="00C40A0D">
        <w:rPr>
          <w:rFonts w:ascii="Figtree" w:eastAsia="Calibri" w:hAnsi="Figtree" w:cs="Calibri"/>
          <w:sz w:val="22"/>
          <w:szCs w:val="22"/>
          <w:vertAlign w:val="superscript"/>
        </w:rPr>
        <w:t>4</w:t>
      </w:r>
      <w:r w:rsidRPr="00C40A0D">
        <w:rPr>
          <w:rFonts w:ascii="Figtree" w:eastAsia="Calibri" w:hAnsi="Figtree" w:cs="Calibri"/>
          <w:sz w:val="22"/>
          <w:szCs w:val="22"/>
        </w:rPr>
        <w:t xml:space="preserve"> — a small fraction of the Medicare population living with two or more chronic conditions. This benefit is the first mechanism that would let delivery scale to need rather than to the ceiling of a formula grant.</w:t>
      </w:r>
    </w:p>
    <w:p w14:paraId="4B85B35A" w14:textId="79B350C1" w:rsidR="00104137" w:rsidRPr="00C40A0D" w:rsidRDefault="00167DA6">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Pr>
          <w:rFonts w:ascii="Figtree" w:eastAsia="Calibri" w:hAnsi="Figtree" w:cs="Calibri"/>
          <w:b/>
          <w:bCs/>
          <w:color w:val="8A6100"/>
          <w:spacing w:val="12"/>
          <w:sz w:val="22"/>
          <w:szCs w:val="22"/>
        </w:rPr>
        <w:lastRenderedPageBreak/>
        <w:t>YOUR ORGANIZATION’S EXPERIENCE AS APPROPRIATE/RELEVANT</w:t>
      </w:r>
    </w:p>
    <w:p w14:paraId="633E5631" w14:textId="35C5635E"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share of your evidence-based programming is funded by</w:t>
      </w:r>
      <w:r w:rsidR="00167DA6">
        <w:rPr>
          <w:rFonts w:ascii="Figtree" w:eastAsia="Calibri" w:hAnsi="Figtree" w:cs="Calibri"/>
          <w:i/>
          <w:iCs/>
          <w:color w:val="333333"/>
          <w:sz w:val="22"/>
          <w:szCs w:val="22"/>
        </w:rPr>
        <w:t xml:space="preserve"> OAA</w:t>
      </w:r>
      <w:r w:rsidRPr="00C40A0D">
        <w:rPr>
          <w:rFonts w:ascii="Figtree" w:eastAsia="Calibri" w:hAnsi="Figtree" w:cs="Calibri"/>
          <w:i/>
          <w:iCs/>
          <w:color w:val="333333"/>
          <w:sz w:val="22"/>
          <w:szCs w:val="22"/>
        </w:rPr>
        <w:t xml:space="preserve"> Title III-D or other grants, and how has that funding trended?</w:t>
      </w:r>
    </w:p>
    <w:p w14:paraId="697D6F1D"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How many people in your service area want a workshop you cannot currently offer? Do you keep a waitlist, or turn away referrals?</w:t>
      </w:r>
    </w:p>
    <w:p w14:paraId="0C1C9929"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specifically would you need documented in guidance before your finance staff would be comfortable billing Medicare for a workshop?</w:t>
      </w:r>
    </w:p>
    <w:p w14:paraId="402C6368"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5. Move to Permanent Coding While Preserving the Proposed Valuation</w:t>
      </w:r>
    </w:p>
    <w:p w14:paraId="01EE5863" w14:textId="262EC77C" w:rsidR="00104137" w:rsidRPr="00C40A0D" w:rsidRDefault="00000000">
      <w:pPr>
        <w:pBdr>
          <w:top w:val="single" w:sz="2" w:space="6" w:color="EEF2F8"/>
          <w:left w:val="single" w:sz="18" w:space="8" w:color="1F3864"/>
          <w:bottom w:val="single" w:sz="2" w:space="6" w:color="EEF2F8"/>
          <w:right w:val="single" w:sz="2" w:space="6" w:color="EEF2F8"/>
        </w:pBdr>
        <w:shd w:val="clear" w:color="auto" w:fill="EEF2F8"/>
        <w:spacing w:before="130" w:after="160" w:line="258" w:lineRule="auto"/>
        <w:ind w:left="172"/>
        <w:rPr>
          <w:rFonts w:ascii="Figtree" w:hAnsi="Figtree"/>
          <w:sz w:val="22"/>
          <w:szCs w:val="22"/>
        </w:rPr>
      </w:pPr>
      <w:r w:rsidRPr="00C40A0D">
        <w:rPr>
          <w:rFonts w:ascii="Figtree" w:eastAsia="Calibri" w:hAnsi="Figtree" w:cs="Calibri"/>
          <w:b/>
          <w:bCs/>
          <w:sz w:val="22"/>
          <w:szCs w:val="22"/>
        </w:rPr>
        <w:t xml:space="preserve">RECOMMENDATION 5. </w:t>
      </w:r>
      <w:r w:rsidRPr="00C40A0D">
        <w:rPr>
          <w:rFonts w:ascii="Figtree" w:eastAsia="Calibri" w:hAnsi="Figtree" w:cs="Calibri"/>
          <w:sz w:val="22"/>
          <w:szCs w:val="22"/>
        </w:rPr>
        <w:t>CMS should transition the health coaching benefit from the temporary Category III CPT code set to permanent codes and should hold the proposed Addendum B valuation of CPT 0593T—</w:t>
      </w:r>
      <w:proofErr w:type="gramStart"/>
      <w:r w:rsidRPr="00C40A0D">
        <w:rPr>
          <w:rFonts w:ascii="Figtree" w:eastAsia="Calibri" w:hAnsi="Figtree" w:cs="Calibri"/>
          <w:sz w:val="22"/>
          <w:szCs w:val="22"/>
        </w:rPr>
        <w:t>in particular the</w:t>
      </w:r>
      <w:proofErr w:type="gramEnd"/>
      <w:r w:rsidRPr="00C40A0D">
        <w:rPr>
          <w:rFonts w:ascii="Figtree" w:eastAsia="Calibri" w:hAnsi="Figtree" w:cs="Calibri"/>
          <w:sz w:val="22"/>
          <w:szCs w:val="22"/>
        </w:rPr>
        <w:t xml:space="preserve"> 0.44 non-facility practice expense RVU—fully intact through that transition.</w:t>
      </w:r>
    </w:p>
    <w:p w14:paraId="2FC18C02" w14:textId="689F4279" w:rsidR="00104137" w:rsidRPr="00C40A0D" w:rsidRDefault="00167DA6">
      <w:pPr>
        <w:spacing w:after="150" w:line="258" w:lineRule="auto"/>
        <w:rPr>
          <w:rFonts w:ascii="Figtree" w:hAnsi="Figtree"/>
          <w:sz w:val="22"/>
          <w:szCs w:val="22"/>
        </w:rPr>
      </w:pPr>
      <w:r>
        <w:rPr>
          <w:rFonts w:ascii="Figtree" w:eastAsia="Calibri" w:hAnsi="Figtree" w:cs="Calibri"/>
          <w:sz w:val="22"/>
          <w:szCs w:val="22"/>
        </w:rPr>
        <w:t xml:space="preserve">Temporary CPT </w:t>
      </w:r>
      <w:r w:rsidRPr="00C40A0D">
        <w:rPr>
          <w:rFonts w:ascii="Figtree" w:eastAsia="Calibri" w:hAnsi="Figtree" w:cs="Calibri"/>
          <w:sz w:val="22"/>
          <w:szCs w:val="22"/>
        </w:rPr>
        <w:t xml:space="preserve">Category III codes are treated across the payer and billing ecosystem as emerging-technology tracking codes and </w:t>
      </w:r>
      <w:r w:rsidR="00AF2A16" w:rsidRPr="00C40A0D">
        <w:rPr>
          <w:rFonts w:ascii="Figtree" w:eastAsia="Calibri" w:hAnsi="Figtree" w:cs="Calibri"/>
          <w:sz w:val="22"/>
          <w:szCs w:val="22"/>
        </w:rPr>
        <w:t>can be</w:t>
      </w:r>
      <w:r w:rsidRPr="00C40A0D">
        <w:rPr>
          <w:rFonts w:ascii="Figtree" w:eastAsia="Calibri" w:hAnsi="Figtree" w:cs="Calibri"/>
          <w:sz w:val="22"/>
          <w:szCs w:val="22"/>
        </w:rPr>
        <w:t xml:space="preserve"> flagged as experimental or non-covered,</w:t>
      </w:r>
      <w:r w:rsidRPr="00C40A0D">
        <w:rPr>
          <w:rFonts w:ascii="Figtree" w:eastAsia="Calibri" w:hAnsi="Figtree" w:cs="Calibri"/>
          <w:sz w:val="22"/>
          <w:szCs w:val="22"/>
          <w:vertAlign w:val="superscript"/>
        </w:rPr>
        <w:t>6</w:t>
      </w:r>
      <w:r w:rsidRPr="00C40A0D">
        <w:rPr>
          <w:rFonts w:ascii="Figtree" w:eastAsia="Calibri" w:hAnsi="Figtree" w:cs="Calibri"/>
          <w:sz w:val="22"/>
          <w:szCs w:val="22"/>
        </w:rPr>
        <w:t xml:space="preserve"> which invites denials and routing failures. Permanent HCPCS Level II G-codes</w:t>
      </w:r>
      <w:r>
        <w:rPr>
          <w:rFonts w:ascii="Figtree" w:eastAsia="Calibri" w:hAnsi="Figtree" w:cs="Calibri"/>
          <w:sz w:val="22"/>
          <w:szCs w:val="22"/>
        </w:rPr>
        <w:t xml:space="preserve"> (e.g., </w:t>
      </w:r>
      <w:r w:rsidRPr="00C40A0D">
        <w:rPr>
          <w:rFonts w:ascii="Figtree" w:eastAsia="Calibri" w:hAnsi="Figtree" w:cs="Calibri"/>
          <w:sz w:val="22"/>
          <w:szCs w:val="22"/>
        </w:rPr>
        <w:t>G0108 and G0109 for Diabetes Self-Management Training</w:t>
      </w:r>
      <w:r>
        <w:rPr>
          <w:rFonts w:ascii="Figtree" w:eastAsia="Calibri" w:hAnsi="Figtree" w:cs="Calibri"/>
          <w:sz w:val="22"/>
          <w:szCs w:val="22"/>
        </w:rPr>
        <w:t>)</w:t>
      </w:r>
      <w:r w:rsidRPr="00C40A0D">
        <w:rPr>
          <w:rFonts w:ascii="Figtree" w:eastAsia="Calibri" w:hAnsi="Figtree" w:cs="Calibri"/>
          <w:sz w:val="22"/>
          <w:szCs w:val="22"/>
        </w:rPr>
        <w:t xml:space="preserve"> are supported by MACs, Medicaid agencies, commercial insurers, and EHR billing modules.</w:t>
      </w:r>
    </w:p>
    <w:p w14:paraId="2F24EB7E" w14:textId="7CAD6671" w:rsidR="00104137" w:rsidRPr="00C40A0D" w:rsidRDefault="00167DA6">
      <w:pPr>
        <w:spacing w:after="150" w:line="258" w:lineRule="auto"/>
        <w:rPr>
          <w:rFonts w:ascii="Figtree" w:hAnsi="Figtree"/>
          <w:sz w:val="22"/>
          <w:szCs w:val="22"/>
        </w:rPr>
      </w:pPr>
      <w:r>
        <w:rPr>
          <w:rFonts w:ascii="Figtree" w:eastAsia="Calibri" w:hAnsi="Figtree" w:cs="Calibri"/>
          <w:sz w:val="22"/>
          <w:szCs w:val="22"/>
        </w:rPr>
        <w:t>While we support creating a permanent health coaching code, it is vital that the agency preserve the currently proposed</w:t>
      </w:r>
      <w:r w:rsidRPr="00C40A0D">
        <w:rPr>
          <w:rFonts w:ascii="Figtree" w:eastAsia="Calibri" w:hAnsi="Figtree" w:cs="Calibri"/>
          <w:sz w:val="22"/>
          <w:szCs w:val="22"/>
        </w:rPr>
        <w:t xml:space="preserve"> valuation</w:t>
      </w:r>
      <w:r>
        <w:rPr>
          <w:rFonts w:ascii="Figtree" w:eastAsia="Calibri" w:hAnsi="Figtree" w:cs="Calibri"/>
          <w:sz w:val="22"/>
          <w:szCs w:val="22"/>
        </w:rPr>
        <w:t>, which accounts for significant indirect costs that community providers bear. Health coaching delivered in the c</w:t>
      </w:r>
      <w:r w:rsidRPr="00C40A0D">
        <w:rPr>
          <w:rFonts w:ascii="Figtree" w:eastAsia="Calibri" w:hAnsi="Figtree" w:cs="Calibri"/>
          <w:sz w:val="22"/>
          <w:szCs w:val="22"/>
        </w:rPr>
        <w:t>ommunity carries the full cost of space, scheduling, outreach, technology, and administration. The 0.44 non-facility PE RVU reflects that. Conforming it downward would cut group payment by roughly a third.</w:t>
      </w:r>
    </w:p>
    <w:p w14:paraId="366B052F" w14:textId="534974C2" w:rsidR="00104137" w:rsidRPr="00C40A0D" w:rsidRDefault="00167DA6">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Pr>
          <w:rFonts w:ascii="Figtree" w:eastAsia="Calibri" w:hAnsi="Figtree" w:cs="Calibri"/>
          <w:b/>
          <w:bCs/>
          <w:color w:val="8A6100"/>
          <w:spacing w:val="12"/>
          <w:sz w:val="22"/>
          <w:szCs w:val="22"/>
        </w:rPr>
        <w:t>YOUR ORGANIZATION’S EXPERIENCE AS APPROPRIATE/RELEVANT</w:t>
      </w:r>
    </w:p>
    <w:p w14:paraId="42B2AFB2"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 xml:space="preserve">What does it </w:t>
      </w:r>
      <w:proofErr w:type="gramStart"/>
      <w:r w:rsidRPr="00C40A0D">
        <w:rPr>
          <w:rFonts w:ascii="Figtree" w:eastAsia="Calibri" w:hAnsi="Figtree" w:cs="Calibri"/>
          <w:i/>
          <w:iCs/>
          <w:color w:val="333333"/>
          <w:sz w:val="22"/>
          <w:szCs w:val="22"/>
        </w:rPr>
        <w:t>actually cost</w:t>
      </w:r>
      <w:proofErr w:type="gramEnd"/>
      <w:r w:rsidRPr="00C40A0D">
        <w:rPr>
          <w:rFonts w:ascii="Figtree" w:eastAsia="Calibri" w:hAnsi="Figtree" w:cs="Calibri"/>
          <w:i/>
          <w:iCs/>
          <w:color w:val="333333"/>
          <w:sz w:val="22"/>
          <w:szCs w:val="22"/>
        </w:rPr>
        <w:t xml:space="preserve"> you to deliver one 15-hour workshop — staff time, space, materials, outreach, transportation, interpretation?</w:t>
      </w:r>
    </w:p>
    <w:p w14:paraId="5C0B0E6A"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At roughly $22.66 per unit versus $15.44, does the workshop cover its cost? Be concrete about which side of the line you fall on.</w:t>
      </w:r>
    </w:p>
    <w:p w14:paraId="2F34CEAD"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If you bill other payers today, describe any trouble you have had with temporary or non-standard codes.</w:t>
      </w:r>
    </w:p>
    <w:p w14:paraId="17E99858"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6. Any HCPCS Substitution Must Carry an Explicit Valuation Commitment</w:t>
      </w:r>
    </w:p>
    <w:p w14:paraId="7786251B" w14:textId="62D61808" w:rsidR="00104137" w:rsidRPr="00C40A0D" w:rsidRDefault="00000000">
      <w:pPr>
        <w:pBdr>
          <w:top w:val="single" w:sz="2" w:space="6" w:color="EEF2F8"/>
          <w:left w:val="single" w:sz="18" w:space="8" w:color="1F3864"/>
          <w:bottom w:val="single" w:sz="2" w:space="6" w:color="EEF2F8"/>
          <w:right w:val="single" w:sz="2" w:space="6" w:color="EEF2F8"/>
        </w:pBdr>
        <w:shd w:val="clear" w:color="auto" w:fill="EEF2F8"/>
        <w:spacing w:before="130" w:after="160" w:line="258" w:lineRule="auto"/>
        <w:ind w:left="172"/>
        <w:rPr>
          <w:rFonts w:ascii="Figtree" w:hAnsi="Figtree"/>
          <w:sz w:val="22"/>
          <w:szCs w:val="22"/>
        </w:rPr>
      </w:pPr>
      <w:r w:rsidRPr="00C40A0D">
        <w:rPr>
          <w:rFonts w:ascii="Figtree" w:eastAsia="Calibri" w:hAnsi="Figtree" w:cs="Calibri"/>
          <w:b/>
          <w:bCs/>
          <w:sz w:val="22"/>
          <w:szCs w:val="22"/>
        </w:rPr>
        <w:t xml:space="preserve">RECOMMENDATION 6. </w:t>
      </w:r>
      <w:r w:rsidRPr="00C40A0D">
        <w:rPr>
          <w:rFonts w:ascii="Figtree" w:eastAsia="Calibri" w:hAnsi="Figtree" w:cs="Calibri"/>
          <w:sz w:val="22"/>
          <w:szCs w:val="22"/>
        </w:rPr>
        <w:t>If CMS finalizes HCPCS Level II G-codes in place of CPT 0591T, 0592T, and 0593T, the final rule must explicitly commit</w:t>
      </w:r>
      <w:r w:rsidR="00167DA6">
        <w:rPr>
          <w:rFonts w:ascii="Figtree" w:eastAsia="Calibri" w:hAnsi="Figtree" w:cs="Calibri"/>
          <w:sz w:val="22"/>
          <w:szCs w:val="22"/>
        </w:rPr>
        <w:t xml:space="preserve"> </w:t>
      </w:r>
      <w:r w:rsidRPr="00C40A0D">
        <w:rPr>
          <w:rFonts w:ascii="Figtree" w:eastAsia="Calibri" w:hAnsi="Figtree" w:cs="Calibri"/>
          <w:sz w:val="22"/>
          <w:szCs w:val="22"/>
        </w:rPr>
        <w:t>that the successor group code carries the proposed valuation of CPT 0593T without reduction, including the 0.44 non-facility practice expense RVU, the 0.23 work RVU, and the 0.02 malpractice RVU, and that the successor individual codes carry the full proposed valuations of 0591T and 0592T.</w:t>
      </w:r>
    </w:p>
    <w:p w14:paraId="177AF53F" w14:textId="77777777" w:rsidR="00167DA6" w:rsidRPr="00167DA6" w:rsidRDefault="00000000" w:rsidP="00167DA6">
      <w:pPr>
        <w:spacing w:after="150" w:line="258" w:lineRule="auto"/>
        <w:rPr>
          <w:rFonts w:ascii="Figtree" w:eastAsia="Calibri" w:hAnsi="Figtree" w:cs="Calibri"/>
          <w:sz w:val="22"/>
          <w:szCs w:val="22"/>
        </w:rPr>
      </w:pPr>
      <w:r w:rsidRPr="00C40A0D">
        <w:rPr>
          <w:rFonts w:ascii="Figtree" w:eastAsia="Calibri" w:hAnsi="Figtree" w:cs="Calibri"/>
          <w:sz w:val="22"/>
          <w:szCs w:val="22"/>
        </w:rPr>
        <w:lastRenderedPageBreak/>
        <w:t>CMS has solicited comment on establishing Medicare-specific G-codes in lieu of pricing the Category III codes.</w:t>
      </w:r>
      <w:r w:rsidRPr="00C40A0D">
        <w:rPr>
          <w:rFonts w:ascii="Figtree" w:eastAsia="Calibri" w:hAnsi="Figtree" w:cs="Calibri"/>
          <w:sz w:val="22"/>
          <w:szCs w:val="22"/>
          <w:vertAlign w:val="superscript"/>
        </w:rPr>
        <w:t>1</w:t>
      </w:r>
      <w:r w:rsidRPr="00C40A0D">
        <w:rPr>
          <w:rFonts w:ascii="Figtree" w:eastAsia="Calibri" w:hAnsi="Figtree" w:cs="Calibri"/>
          <w:sz w:val="22"/>
          <w:szCs w:val="22"/>
        </w:rPr>
        <w:t xml:space="preserve"> </w:t>
      </w:r>
      <w:r w:rsidR="00167DA6" w:rsidRPr="00167DA6">
        <w:rPr>
          <w:rFonts w:ascii="Figtree" w:eastAsia="Calibri" w:hAnsi="Figtree" w:cs="Calibri"/>
          <w:sz w:val="22"/>
          <w:szCs w:val="22"/>
        </w:rPr>
        <w:t xml:space="preserve">While we support that substitution, if CMS establishes HCPCS Level II G-codes, the agency must include a valuation commitment that reflects the currently proposed RVUs. </w:t>
      </w:r>
    </w:p>
    <w:p w14:paraId="704A8566" w14:textId="631F2D01" w:rsidR="00104137" w:rsidRPr="00C40A0D" w:rsidRDefault="00167DA6" w:rsidP="00167DA6">
      <w:pPr>
        <w:spacing w:after="150" w:line="258" w:lineRule="auto"/>
        <w:rPr>
          <w:rFonts w:ascii="Figtree" w:hAnsi="Figtree"/>
          <w:sz w:val="22"/>
          <w:szCs w:val="22"/>
        </w:rPr>
      </w:pPr>
      <w:r w:rsidRPr="00167DA6">
        <w:rPr>
          <w:rFonts w:ascii="Figtree" w:eastAsia="Calibri" w:hAnsi="Figtree" w:cs="Calibri"/>
          <w:sz w:val="22"/>
          <w:szCs w:val="22"/>
        </w:rPr>
        <w:t>Because newly established G-codes would be valued de novo, a substitution executed without a valuation commitment creates precisely the risk described in Recommendation 5. Successor codes automatically conformed to G0109’s finished RVU profile would cut the group code’s payment by roughly a third.</w:t>
      </w:r>
    </w:p>
    <w:p w14:paraId="75EC9F59" w14:textId="5CDCCE68" w:rsidR="00104137" w:rsidRPr="00C40A0D" w:rsidRDefault="00167DA6">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Pr>
          <w:rFonts w:ascii="Figtree" w:eastAsia="Calibri" w:hAnsi="Figtree" w:cs="Calibri"/>
          <w:b/>
          <w:bCs/>
          <w:color w:val="8A6100"/>
          <w:spacing w:val="12"/>
          <w:sz w:val="22"/>
          <w:szCs w:val="22"/>
        </w:rPr>
        <w:t>YOUR ORGANIZATION’S EXPERIENCE AS APPROPRIATE/RELEVANT</w:t>
      </w:r>
      <w:r w:rsidRPr="00C40A0D">
        <w:rPr>
          <w:rFonts w:ascii="Figtree" w:eastAsia="Calibri" w:hAnsi="Figtree" w:cs="Calibri"/>
          <w:b/>
          <w:bCs/>
          <w:color w:val="8A6100"/>
          <w:spacing w:val="12"/>
          <w:sz w:val="22"/>
          <w:szCs w:val="22"/>
        </w:rPr>
        <w:t xml:space="preserve"> (OPTIONAL)</w:t>
      </w:r>
    </w:p>
    <w:p w14:paraId="11AA1EEF"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would your organization commit to — hiring, training, new sites — if the valuation were durable? What would you hold back if it were not?</w:t>
      </w:r>
    </w:p>
    <w:p w14:paraId="46716534"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Conclusion</w:t>
      </w:r>
    </w:p>
    <w:p w14:paraId="07446671" w14:textId="77777777"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We appreciate the opportunity to comment and the Agency's leadership in extending the fee schedule to the community-based workforce. Finalized with the supervision standard, workforce recognition, coding structure, and valuation commitments described above, this benefit would reach beneficiaries through organizations that are already trusted, trained, and staffed to serve them. We would welcome the opportunity to share operational detail from our programs with the Agency.</w:t>
      </w:r>
    </w:p>
    <w:p w14:paraId="661ABBC4" w14:textId="77777777" w:rsidR="00104137" w:rsidRPr="00C40A0D" w:rsidRDefault="00000000">
      <w:pPr>
        <w:spacing w:after="320" w:line="258" w:lineRule="auto"/>
        <w:rPr>
          <w:rFonts w:ascii="Figtree" w:hAnsi="Figtree"/>
          <w:sz w:val="22"/>
          <w:szCs w:val="22"/>
        </w:rPr>
      </w:pPr>
      <w:r w:rsidRPr="00C40A0D">
        <w:rPr>
          <w:rFonts w:ascii="Figtree" w:eastAsia="Calibri" w:hAnsi="Figtree" w:cs="Calibri"/>
          <w:color w:val="8A6100"/>
          <w:sz w:val="22"/>
          <w:szCs w:val="22"/>
        </w:rPr>
        <w:t>Please contact [NAME, TITLE] at [EMAIL / PHONE] with any questions.</w:t>
      </w:r>
    </w:p>
    <w:p w14:paraId="2AA22951" w14:textId="77777777" w:rsidR="00104137" w:rsidRPr="00C40A0D" w:rsidRDefault="00000000">
      <w:pPr>
        <w:spacing w:after="420" w:line="258" w:lineRule="auto"/>
        <w:rPr>
          <w:rFonts w:ascii="Figtree" w:hAnsi="Figtree"/>
          <w:sz w:val="22"/>
          <w:szCs w:val="22"/>
        </w:rPr>
      </w:pPr>
      <w:r w:rsidRPr="00C40A0D">
        <w:rPr>
          <w:rFonts w:ascii="Figtree" w:eastAsia="Calibri" w:hAnsi="Figtree" w:cs="Calibri"/>
          <w:sz w:val="22"/>
          <w:szCs w:val="22"/>
        </w:rPr>
        <w:t>Sincerely,</w:t>
      </w:r>
    </w:p>
    <w:p w14:paraId="2A17DD79" w14:textId="77777777" w:rsidR="00104137" w:rsidRPr="00C40A0D" w:rsidRDefault="00000000">
      <w:pPr>
        <w:spacing w:line="258" w:lineRule="auto"/>
        <w:rPr>
          <w:rFonts w:ascii="Figtree" w:hAnsi="Figtree"/>
          <w:sz w:val="22"/>
          <w:szCs w:val="22"/>
        </w:rPr>
      </w:pPr>
      <w:r w:rsidRPr="00C40A0D">
        <w:rPr>
          <w:rFonts w:ascii="Figtree" w:eastAsia="Calibri" w:hAnsi="Figtree" w:cs="Calibri"/>
          <w:b/>
          <w:bCs/>
          <w:color w:val="8A6100"/>
          <w:sz w:val="22"/>
          <w:szCs w:val="22"/>
        </w:rPr>
        <w:t>[NAME]</w:t>
      </w:r>
    </w:p>
    <w:p w14:paraId="709824A6" w14:textId="77777777" w:rsidR="00104137" w:rsidRPr="00C40A0D" w:rsidRDefault="00000000">
      <w:pPr>
        <w:spacing w:line="258" w:lineRule="auto"/>
        <w:rPr>
          <w:rFonts w:ascii="Figtree" w:hAnsi="Figtree"/>
          <w:sz w:val="22"/>
          <w:szCs w:val="22"/>
        </w:rPr>
      </w:pPr>
      <w:r w:rsidRPr="00C40A0D">
        <w:rPr>
          <w:rFonts w:ascii="Figtree" w:eastAsia="Calibri" w:hAnsi="Figtree" w:cs="Calibri"/>
          <w:color w:val="8A6100"/>
          <w:sz w:val="22"/>
          <w:szCs w:val="22"/>
        </w:rPr>
        <w:t>[TITLE]</w:t>
      </w:r>
    </w:p>
    <w:p w14:paraId="17C2EF44" w14:textId="77777777" w:rsidR="00104137" w:rsidRPr="00C40A0D" w:rsidRDefault="00000000">
      <w:pPr>
        <w:spacing w:line="258" w:lineRule="auto"/>
        <w:rPr>
          <w:rFonts w:ascii="Figtree" w:hAnsi="Figtree"/>
          <w:sz w:val="22"/>
          <w:szCs w:val="22"/>
        </w:rPr>
      </w:pPr>
      <w:r w:rsidRPr="00C40A0D">
        <w:rPr>
          <w:rFonts w:ascii="Figtree" w:eastAsia="Calibri" w:hAnsi="Figtree" w:cs="Calibri"/>
          <w:color w:val="8A6100"/>
          <w:sz w:val="22"/>
          <w:szCs w:val="22"/>
        </w:rPr>
        <w:t>[ORGANIZATION]</w:t>
      </w:r>
    </w:p>
    <w:p w14:paraId="2C61BA07" w14:textId="77777777" w:rsidR="00104137" w:rsidRPr="00C40A0D" w:rsidRDefault="00000000">
      <w:pPr>
        <w:spacing w:after="200" w:line="258" w:lineRule="auto"/>
        <w:rPr>
          <w:rFonts w:ascii="Figtree" w:hAnsi="Figtree"/>
          <w:sz w:val="22"/>
          <w:szCs w:val="22"/>
        </w:rPr>
      </w:pPr>
      <w:r w:rsidRPr="00C40A0D">
        <w:rPr>
          <w:rFonts w:ascii="Figtree" w:eastAsia="Calibri" w:hAnsi="Figtree" w:cs="Calibri"/>
          <w:color w:val="8A6100"/>
          <w:sz w:val="22"/>
          <w:szCs w:val="22"/>
        </w:rPr>
        <w:t>[CITY, STATE]</w:t>
      </w:r>
    </w:p>
    <w:p w14:paraId="3C2A6C78"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Sources</w:t>
      </w:r>
    </w:p>
    <w:p w14:paraId="42900DD6" w14:textId="76B2603A" w:rsidR="00104137" w:rsidRPr="00167DA6" w:rsidRDefault="00000000">
      <w:pPr>
        <w:pStyle w:val="ListParagraph"/>
        <w:numPr>
          <w:ilvl w:val="0"/>
          <w:numId w:val="4"/>
        </w:numPr>
        <w:spacing w:after="90"/>
        <w:rPr>
          <w:rFonts w:ascii="Figtree" w:hAnsi="Figtree"/>
          <w:sz w:val="16"/>
          <w:szCs w:val="16"/>
        </w:rPr>
      </w:pPr>
      <w:r w:rsidRPr="00167DA6">
        <w:rPr>
          <w:rFonts w:ascii="Figtree" w:eastAsia="Calibri" w:hAnsi="Figtree" w:cs="Calibri"/>
          <w:sz w:val="16"/>
          <w:szCs w:val="16"/>
        </w:rPr>
        <w:t xml:space="preserve">Centers for Medicare &amp; Medicaid Services. Medicare and Medicaid Programs; CY 2027 Payment Policies Under the Physician Fee Schedule (Proposed Rule, CMS-1848-P). Federal Register document 2026-14327 (July 16, 2026): preamble section II.D.3.c.(56). </w:t>
      </w:r>
      <w:hyperlink r:id="rId17" w:history="1">
        <w:r w:rsidR="00AF2A16" w:rsidRPr="008702F2">
          <w:rPr>
            <w:rStyle w:val="Hyperlink"/>
            <w:rFonts w:ascii="Figtree" w:eastAsia="Calibri" w:hAnsi="Figtree" w:cs="Calibri"/>
            <w:sz w:val="16"/>
            <w:szCs w:val="16"/>
          </w:rPr>
          <w:t>https://www.federalregister.gov/d/2026-14327/p-610</w:t>
        </w:r>
      </w:hyperlink>
      <w:r w:rsidRPr="00167DA6">
        <w:rPr>
          <w:rFonts w:ascii="Figtree" w:eastAsia="Calibri" w:hAnsi="Figtree" w:cs="Calibri"/>
          <w:sz w:val="16"/>
          <w:szCs w:val="16"/>
        </w:rPr>
        <w:t>.</w:t>
      </w:r>
      <w:r w:rsidR="00AF2A16">
        <w:rPr>
          <w:rFonts w:ascii="Figtree" w:eastAsia="Calibri" w:hAnsi="Figtree" w:cs="Calibri"/>
          <w:sz w:val="16"/>
          <w:szCs w:val="16"/>
        </w:rPr>
        <w:t xml:space="preserve"> </w:t>
      </w:r>
    </w:p>
    <w:p w14:paraId="2B6FA735" w14:textId="2E2A4CA4" w:rsidR="00104137" w:rsidRPr="00167DA6" w:rsidRDefault="00000000">
      <w:pPr>
        <w:pStyle w:val="ListParagraph"/>
        <w:numPr>
          <w:ilvl w:val="0"/>
          <w:numId w:val="4"/>
        </w:numPr>
        <w:spacing w:after="90"/>
        <w:rPr>
          <w:rFonts w:ascii="Figtree" w:hAnsi="Figtree"/>
          <w:sz w:val="16"/>
          <w:szCs w:val="16"/>
        </w:rPr>
      </w:pPr>
      <w:r w:rsidRPr="00167DA6">
        <w:rPr>
          <w:rFonts w:ascii="Figtree" w:eastAsia="Calibri" w:hAnsi="Figtree" w:cs="Calibri"/>
          <w:sz w:val="16"/>
          <w:szCs w:val="16"/>
        </w:rPr>
        <w:t xml:space="preserve">Centers for Medicare &amp; Medicaid Services. CY 2027 PFS Proposed Rule Addenda: Addendum B (proposed relative value units; CPT 0593T and HCPCS G0109). </w:t>
      </w:r>
      <w:hyperlink r:id="rId18" w:history="1">
        <w:r w:rsidR="00AF2A16" w:rsidRPr="008702F2">
          <w:rPr>
            <w:rStyle w:val="Hyperlink"/>
            <w:rFonts w:ascii="Figtree" w:eastAsia="Calibri" w:hAnsi="Figtree" w:cs="Calibri"/>
            <w:sz w:val="16"/>
            <w:szCs w:val="16"/>
          </w:rPr>
          <w:t>https://www.cms.gov/files/zip/cy-2027-pfs-proposed-rule-addenda.zip</w:t>
        </w:r>
      </w:hyperlink>
      <w:r w:rsidRPr="00167DA6">
        <w:rPr>
          <w:rFonts w:ascii="Figtree" w:eastAsia="Calibri" w:hAnsi="Figtree" w:cs="Calibri"/>
          <w:sz w:val="16"/>
          <w:szCs w:val="16"/>
        </w:rPr>
        <w:t>.</w:t>
      </w:r>
      <w:r w:rsidR="00AF2A16">
        <w:rPr>
          <w:rFonts w:ascii="Figtree" w:eastAsia="Calibri" w:hAnsi="Figtree" w:cs="Calibri"/>
          <w:sz w:val="16"/>
          <w:szCs w:val="16"/>
        </w:rPr>
        <w:t xml:space="preserve"> </w:t>
      </w:r>
    </w:p>
    <w:p w14:paraId="756E5545" w14:textId="10E7B4FE" w:rsidR="00104137" w:rsidRPr="00167DA6" w:rsidRDefault="00000000">
      <w:pPr>
        <w:pStyle w:val="ListParagraph"/>
        <w:numPr>
          <w:ilvl w:val="0"/>
          <w:numId w:val="4"/>
        </w:numPr>
        <w:spacing w:after="90"/>
        <w:rPr>
          <w:rFonts w:ascii="Figtree" w:hAnsi="Figtree"/>
          <w:sz w:val="16"/>
          <w:szCs w:val="16"/>
        </w:rPr>
      </w:pPr>
      <w:r w:rsidRPr="00167DA6">
        <w:rPr>
          <w:rFonts w:ascii="Figtree" w:eastAsia="Calibri" w:hAnsi="Figtree" w:cs="Calibri"/>
          <w:sz w:val="16"/>
          <w:szCs w:val="16"/>
        </w:rPr>
        <w:t>Mingo CA, Smith ML, Ahn S, Jiang L, Cho J, Towne SD Jr, Ory MG. Chronic Disease Self-Management Education (CDSME) program delivery and attendance among urban-dwelling African Americans. Frontiers in Public Health. 2015;2:174. doi:10.3389/fpubh.2014.00174.</w:t>
      </w:r>
      <w:r w:rsidR="00AF2A16">
        <w:rPr>
          <w:rFonts w:ascii="Figtree" w:eastAsia="Calibri" w:hAnsi="Figtree" w:cs="Calibri"/>
          <w:sz w:val="16"/>
          <w:szCs w:val="16"/>
        </w:rPr>
        <w:t xml:space="preserve"> </w:t>
      </w:r>
    </w:p>
    <w:p w14:paraId="24CA410A" w14:textId="77777777" w:rsidR="00104137" w:rsidRPr="00167DA6" w:rsidRDefault="00000000">
      <w:pPr>
        <w:pStyle w:val="ListParagraph"/>
        <w:numPr>
          <w:ilvl w:val="0"/>
          <w:numId w:val="4"/>
        </w:numPr>
        <w:spacing w:after="90"/>
        <w:rPr>
          <w:rFonts w:ascii="Figtree" w:hAnsi="Figtree"/>
          <w:sz w:val="16"/>
          <w:szCs w:val="16"/>
        </w:rPr>
      </w:pPr>
      <w:r w:rsidRPr="00167DA6">
        <w:rPr>
          <w:rFonts w:ascii="Figtree" w:eastAsia="Calibri" w:hAnsi="Figtree" w:cs="Calibri"/>
          <w:sz w:val="16"/>
          <w:szCs w:val="16"/>
        </w:rPr>
        <w:t>Coyle P, Tripken J, Perera S, Juarez GA, Spencer-Brown L, Cameron K, Brach JS. Dissemination and implementation of evidence-based programs for people with chronic disease: the impact of the COVID-19 pandemic. Frontiers in Public Health. 2024;11:1276387. doi:10.3389/fpubh.2023.1276387.</w:t>
      </w:r>
    </w:p>
    <w:p w14:paraId="7E2DD19B" w14:textId="6268A953" w:rsidR="00104137" w:rsidRPr="00167DA6" w:rsidRDefault="00000000">
      <w:pPr>
        <w:pStyle w:val="ListParagraph"/>
        <w:numPr>
          <w:ilvl w:val="0"/>
          <w:numId w:val="4"/>
        </w:numPr>
        <w:spacing w:after="90"/>
        <w:rPr>
          <w:rFonts w:ascii="Figtree" w:hAnsi="Figtree"/>
          <w:sz w:val="16"/>
          <w:szCs w:val="16"/>
        </w:rPr>
      </w:pPr>
      <w:r w:rsidRPr="00167DA6">
        <w:rPr>
          <w:rFonts w:ascii="Figtree" w:eastAsia="Calibri" w:hAnsi="Figtree" w:cs="Calibri"/>
          <w:sz w:val="16"/>
          <w:szCs w:val="16"/>
        </w:rPr>
        <w:t xml:space="preserve">Administration for Community Living. Health Promotion: Evidence-Based Disease Prevention Program Criteria. </w:t>
      </w:r>
      <w:hyperlink r:id="rId19" w:history="1">
        <w:r w:rsidR="00AF2A16" w:rsidRPr="008702F2">
          <w:rPr>
            <w:rStyle w:val="Hyperlink"/>
            <w:rFonts w:ascii="Figtree" w:eastAsia="Calibri" w:hAnsi="Figtree" w:cs="Calibri"/>
            <w:sz w:val="16"/>
            <w:szCs w:val="16"/>
          </w:rPr>
          <w:t>https://acl.gov/programs/health-wellness/disease-prevention</w:t>
        </w:r>
      </w:hyperlink>
      <w:r w:rsidRPr="00167DA6">
        <w:rPr>
          <w:rFonts w:ascii="Figtree" w:eastAsia="Calibri" w:hAnsi="Figtree" w:cs="Calibri"/>
          <w:sz w:val="16"/>
          <w:szCs w:val="16"/>
        </w:rPr>
        <w:t>.</w:t>
      </w:r>
      <w:r w:rsidR="00AF2A16">
        <w:rPr>
          <w:rFonts w:ascii="Figtree" w:eastAsia="Calibri" w:hAnsi="Figtree" w:cs="Calibri"/>
          <w:sz w:val="16"/>
          <w:szCs w:val="16"/>
        </w:rPr>
        <w:t xml:space="preserve"> </w:t>
      </w:r>
    </w:p>
    <w:p w14:paraId="3ECF1142" w14:textId="7D4888F1" w:rsidR="00104137" w:rsidRPr="00167DA6" w:rsidRDefault="00000000">
      <w:pPr>
        <w:pStyle w:val="ListParagraph"/>
        <w:numPr>
          <w:ilvl w:val="0"/>
          <w:numId w:val="4"/>
        </w:numPr>
        <w:spacing w:after="90"/>
        <w:rPr>
          <w:rFonts w:ascii="Figtree" w:hAnsi="Figtree"/>
          <w:sz w:val="16"/>
          <w:szCs w:val="16"/>
        </w:rPr>
      </w:pPr>
      <w:r w:rsidRPr="00167DA6">
        <w:rPr>
          <w:rFonts w:ascii="Figtree" w:eastAsia="Calibri" w:hAnsi="Figtree" w:cs="Calibri"/>
          <w:sz w:val="16"/>
          <w:szCs w:val="16"/>
        </w:rPr>
        <w:t xml:space="preserve">American Medical Association. CPT Category III Codes (emerging technology, temporary tracking code set). </w:t>
      </w:r>
      <w:hyperlink r:id="rId20" w:history="1">
        <w:r w:rsidR="00AF2A16" w:rsidRPr="008702F2">
          <w:rPr>
            <w:rStyle w:val="Hyperlink"/>
            <w:rFonts w:ascii="Figtree" w:eastAsia="Calibri" w:hAnsi="Figtree" w:cs="Calibri"/>
            <w:sz w:val="16"/>
            <w:szCs w:val="16"/>
          </w:rPr>
          <w:t>https://www.ama-assn.org/practice-management/cpt/category-iii-codes</w:t>
        </w:r>
      </w:hyperlink>
      <w:r w:rsidRPr="00167DA6">
        <w:rPr>
          <w:rFonts w:ascii="Figtree" w:eastAsia="Calibri" w:hAnsi="Figtree" w:cs="Calibri"/>
          <w:sz w:val="16"/>
          <w:szCs w:val="16"/>
        </w:rPr>
        <w:t>.</w:t>
      </w:r>
      <w:r w:rsidR="00AF2A16">
        <w:rPr>
          <w:rFonts w:ascii="Figtree" w:eastAsia="Calibri" w:hAnsi="Figtree" w:cs="Calibri"/>
          <w:sz w:val="16"/>
          <w:szCs w:val="16"/>
        </w:rPr>
        <w:t xml:space="preserve"> </w:t>
      </w:r>
    </w:p>
    <w:p w14:paraId="30B82FF2" w14:textId="77777777" w:rsidR="00104137" w:rsidRPr="00C40A0D" w:rsidRDefault="00000000">
      <w:pPr>
        <w:spacing w:before="60" w:after="60" w:line="258" w:lineRule="auto"/>
        <w:rPr>
          <w:rFonts w:ascii="Figtree" w:hAnsi="Figtree"/>
          <w:sz w:val="22"/>
          <w:szCs w:val="22"/>
        </w:rPr>
      </w:pPr>
      <w:bookmarkStart w:id="1" w:name="TemplateB"/>
      <w:r w:rsidRPr="00C40A0D">
        <w:rPr>
          <w:rFonts w:ascii="Figtree" w:eastAsia="Calibri" w:hAnsi="Figtree" w:cs="Calibri"/>
          <w:b/>
          <w:bCs/>
          <w:color w:val="1F3864"/>
          <w:sz w:val="22"/>
          <w:szCs w:val="22"/>
        </w:rPr>
        <w:lastRenderedPageBreak/>
        <w:t>TEMPLATE B</w:t>
      </w:r>
    </w:p>
    <w:bookmarkEnd w:id="1"/>
    <w:p w14:paraId="251420B8" w14:textId="77777777" w:rsidR="00104137" w:rsidRPr="00C40A0D" w:rsidRDefault="00000000">
      <w:pPr>
        <w:pBdr>
          <w:bottom w:val="single" w:sz="8" w:space="6" w:color="1F3864"/>
        </w:pBdr>
        <w:spacing w:after="240" w:line="258" w:lineRule="auto"/>
        <w:rPr>
          <w:rFonts w:ascii="Figtree" w:hAnsi="Figtree"/>
          <w:sz w:val="22"/>
          <w:szCs w:val="22"/>
        </w:rPr>
      </w:pPr>
      <w:r w:rsidRPr="00C40A0D">
        <w:rPr>
          <w:rFonts w:ascii="Figtree" w:eastAsia="Calibri" w:hAnsi="Figtree" w:cs="Calibri"/>
          <w:i/>
          <w:iCs/>
          <w:color w:val="555555"/>
          <w:sz w:val="22"/>
          <w:szCs w:val="22"/>
        </w:rPr>
        <w:t>For organizations that convene, contract with, or support a delivery network — Community Care Hubs, health systems, health plans, and state or national associations</w:t>
      </w:r>
    </w:p>
    <w:p w14:paraId="10380977" w14:textId="77777777" w:rsidR="00104137" w:rsidRPr="00C40A0D" w:rsidRDefault="00000000">
      <w:pPr>
        <w:spacing w:after="200" w:line="258" w:lineRule="auto"/>
        <w:rPr>
          <w:rFonts w:ascii="Figtree" w:hAnsi="Figtree"/>
          <w:sz w:val="22"/>
          <w:szCs w:val="22"/>
        </w:rPr>
      </w:pPr>
      <w:r w:rsidRPr="00C40A0D">
        <w:rPr>
          <w:rFonts w:ascii="Figtree" w:eastAsia="Calibri" w:hAnsi="Figtree" w:cs="Calibri"/>
          <w:b/>
          <w:bCs/>
          <w:color w:val="8A6100"/>
          <w:sz w:val="22"/>
          <w:szCs w:val="22"/>
        </w:rPr>
        <w:t>[DATE]</w:t>
      </w:r>
    </w:p>
    <w:p w14:paraId="50CFCCCE" w14:textId="77777777" w:rsidR="00104137" w:rsidRPr="00C40A0D" w:rsidRDefault="00000000">
      <w:pPr>
        <w:spacing w:line="258" w:lineRule="auto"/>
        <w:rPr>
          <w:rFonts w:ascii="Figtree" w:hAnsi="Figtree"/>
          <w:sz w:val="22"/>
          <w:szCs w:val="22"/>
        </w:rPr>
      </w:pPr>
      <w:r w:rsidRPr="00C40A0D">
        <w:rPr>
          <w:rFonts w:ascii="Figtree" w:eastAsia="Calibri" w:hAnsi="Figtree" w:cs="Calibri"/>
          <w:b/>
          <w:bCs/>
          <w:sz w:val="22"/>
          <w:szCs w:val="22"/>
        </w:rPr>
        <w:t>The Honorable Mehmet Oz, MD</w:t>
      </w:r>
    </w:p>
    <w:p w14:paraId="4EF0EBFA" w14:textId="77777777" w:rsidR="00104137" w:rsidRPr="00C40A0D" w:rsidRDefault="00000000">
      <w:pPr>
        <w:spacing w:line="258" w:lineRule="auto"/>
        <w:rPr>
          <w:rFonts w:ascii="Figtree" w:hAnsi="Figtree"/>
          <w:sz w:val="22"/>
          <w:szCs w:val="22"/>
        </w:rPr>
      </w:pPr>
      <w:r w:rsidRPr="00C40A0D">
        <w:rPr>
          <w:rFonts w:ascii="Figtree" w:eastAsia="Calibri" w:hAnsi="Figtree" w:cs="Calibri"/>
          <w:sz w:val="22"/>
          <w:szCs w:val="22"/>
        </w:rPr>
        <w:t>Administrator, Centers for Medicare &amp; Medicaid Services</w:t>
      </w:r>
    </w:p>
    <w:p w14:paraId="0B99BA4D" w14:textId="77777777" w:rsidR="00104137" w:rsidRPr="00C40A0D" w:rsidRDefault="00000000">
      <w:pPr>
        <w:spacing w:line="258" w:lineRule="auto"/>
        <w:rPr>
          <w:rFonts w:ascii="Figtree" w:hAnsi="Figtree"/>
          <w:sz w:val="22"/>
          <w:szCs w:val="22"/>
        </w:rPr>
      </w:pPr>
      <w:r w:rsidRPr="00C40A0D">
        <w:rPr>
          <w:rFonts w:ascii="Figtree" w:eastAsia="Calibri" w:hAnsi="Figtree" w:cs="Calibri"/>
          <w:sz w:val="22"/>
          <w:szCs w:val="22"/>
        </w:rPr>
        <w:t>U.S. Department of Health and Human Services</w:t>
      </w:r>
    </w:p>
    <w:p w14:paraId="238CE5B4" w14:textId="77777777" w:rsidR="00104137" w:rsidRPr="00C40A0D" w:rsidRDefault="00000000">
      <w:pPr>
        <w:spacing w:after="130" w:line="258" w:lineRule="auto"/>
        <w:rPr>
          <w:rFonts w:ascii="Figtree" w:hAnsi="Figtree"/>
          <w:sz w:val="22"/>
          <w:szCs w:val="22"/>
        </w:rPr>
      </w:pPr>
      <w:r w:rsidRPr="00C40A0D">
        <w:rPr>
          <w:rFonts w:ascii="Figtree" w:eastAsia="Calibri" w:hAnsi="Figtree" w:cs="Calibri"/>
          <w:sz w:val="22"/>
          <w:szCs w:val="22"/>
        </w:rPr>
        <w:t>7500 Security Boulevard, Baltimore, MD 21244</w:t>
      </w:r>
    </w:p>
    <w:p w14:paraId="6F54FA09" w14:textId="77777777" w:rsidR="00104137" w:rsidRPr="00C40A0D" w:rsidRDefault="00000000">
      <w:pPr>
        <w:spacing w:after="60" w:line="258" w:lineRule="auto"/>
        <w:rPr>
          <w:rFonts w:ascii="Figtree" w:hAnsi="Figtree"/>
          <w:sz w:val="22"/>
          <w:szCs w:val="22"/>
        </w:rPr>
      </w:pPr>
      <w:r w:rsidRPr="00C40A0D">
        <w:rPr>
          <w:rFonts w:ascii="Figtree" w:eastAsia="Calibri" w:hAnsi="Figtree" w:cs="Calibri"/>
          <w:b/>
          <w:bCs/>
          <w:sz w:val="22"/>
          <w:szCs w:val="22"/>
        </w:rPr>
        <w:t>Attention: CMS-1848-P (Medicare Program; CY 2027 Payment Policies Under the Physician Fee Schedule)</w:t>
      </w:r>
    </w:p>
    <w:p w14:paraId="2A092EB2" w14:textId="77777777" w:rsidR="00104137" w:rsidRPr="00C40A0D" w:rsidRDefault="00000000">
      <w:pPr>
        <w:spacing w:after="190" w:line="258" w:lineRule="auto"/>
        <w:rPr>
          <w:rFonts w:ascii="Figtree" w:hAnsi="Figtree"/>
          <w:sz w:val="22"/>
          <w:szCs w:val="22"/>
        </w:rPr>
      </w:pPr>
      <w:r w:rsidRPr="00C40A0D">
        <w:rPr>
          <w:rFonts w:ascii="Figtree" w:eastAsia="Calibri" w:hAnsi="Figtree" w:cs="Calibri"/>
          <w:i/>
          <w:iCs/>
          <w:sz w:val="22"/>
          <w:szCs w:val="22"/>
        </w:rPr>
        <w:t>Submitted electronically via https://www.regulations.gov</w:t>
      </w:r>
    </w:p>
    <w:p w14:paraId="3D512D38" w14:textId="77777777" w:rsidR="00104137" w:rsidRPr="00C40A0D" w:rsidRDefault="00000000">
      <w:pPr>
        <w:spacing w:after="200" w:line="258" w:lineRule="auto"/>
        <w:rPr>
          <w:rFonts w:ascii="Figtree" w:hAnsi="Figtree"/>
          <w:sz w:val="22"/>
          <w:szCs w:val="22"/>
        </w:rPr>
      </w:pPr>
      <w:r w:rsidRPr="00C40A0D">
        <w:rPr>
          <w:rFonts w:ascii="Figtree" w:eastAsia="Calibri" w:hAnsi="Figtree" w:cs="Calibri"/>
          <w:b/>
          <w:bCs/>
          <w:sz w:val="22"/>
          <w:szCs w:val="22"/>
        </w:rPr>
        <w:t>Re: Health and Well-Being Coaching Services (CPT Codes 0591T, 0592T, and 0593T) — Support for Finalization with General Supervision, Recognition of the ACL OAA Title III-D Workforce, Permanent Coding, and Preservation of the Proposed Valuation</w:t>
      </w:r>
    </w:p>
    <w:p w14:paraId="6E408CEA" w14:textId="77777777" w:rsidR="00104137" w:rsidRPr="00C40A0D" w:rsidRDefault="00000000">
      <w:pPr>
        <w:spacing w:after="170" w:line="258" w:lineRule="auto"/>
        <w:rPr>
          <w:rFonts w:ascii="Figtree" w:hAnsi="Figtree"/>
          <w:sz w:val="22"/>
          <w:szCs w:val="22"/>
        </w:rPr>
      </w:pPr>
      <w:r w:rsidRPr="00C40A0D">
        <w:rPr>
          <w:rFonts w:ascii="Figtree" w:eastAsia="Calibri" w:hAnsi="Figtree" w:cs="Calibri"/>
          <w:sz w:val="22"/>
          <w:szCs w:val="22"/>
        </w:rPr>
        <w:t>Dear Administrator Oz:</w:t>
      </w:r>
    </w:p>
    <w:p w14:paraId="3D6AE977" w14:textId="72E68820" w:rsidR="00104137" w:rsidRPr="00C40A0D" w:rsidRDefault="00000000">
      <w:pPr>
        <w:spacing w:after="150" w:line="258" w:lineRule="auto"/>
        <w:rPr>
          <w:rFonts w:ascii="Figtree" w:hAnsi="Figtree"/>
          <w:sz w:val="22"/>
          <w:szCs w:val="22"/>
        </w:rPr>
      </w:pPr>
      <w:r w:rsidRPr="00C40A0D">
        <w:rPr>
          <w:rFonts w:ascii="Figtree" w:eastAsia="Calibri" w:hAnsi="Figtree" w:cs="Calibri"/>
          <w:b/>
          <w:bCs/>
          <w:color w:val="8A6100"/>
          <w:sz w:val="22"/>
          <w:szCs w:val="22"/>
        </w:rPr>
        <w:t xml:space="preserve">[ORGANIZATION] </w:t>
      </w:r>
      <w:r w:rsidRPr="00C40A0D">
        <w:rPr>
          <w:rFonts w:ascii="Figtree" w:eastAsia="Calibri" w:hAnsi="Figtree" w:cs="Calibri"/>
          <w:sz w:val="22"/>
          <w:szCs w:val="22"/>
        </w:rPr>
        <w:t>submits these comments in strong support of the proposed Medicare Part B payment pathway for health and well-being coaching (CPT codes 0591T, 0592T, and 0593T).</w:t>
      </w:r>
    </w:p>
    <w:p w14:paraId="498B48D4" w14:textId="375DAE6E" w:rsidR="00104137" w:rsidRPr="00C40A0D" w:rsidRDefault="00000000">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sidRPr="00C40A0D">
        <w:rPr>
          <w:rFonts w:ascii="Figtree" w:eastAsia="Calibri" w:hAnsi="Figtree" w:cs="Calibri"/>
          <w:b/>
          <w:bCs/>
          <w:color w:val="8A6100"/>
          <w:spacing w:val="12"/>
          <w:sz w:val="22"/>
          <w:szCs w:val="22"/>
        </w:rPr>
        <w:t>ABOUT YOUR ORGANIZATION — REPLACE THIS BOX</w:t>
      </w:r>
      <w:r w:rsidR="00167DA6">
        <w:rPr>
          <w:rFonts w:ascii="Figtree" w:eastAsia="Calibri" w:hAnsi="Figtree" w:cs="Calibri"/>
          <w:b/>
          <w:bCs/>
          <w:color w:val="8A6100"/>
          <w:spacing w:val="12"/>
          <w:sz w:val="22"/>
          <w:szCs w:val="22"/>
        </w:rPr>
        <w:t xml:space="preserve"> WITH DETAILS</w:t>
      </w:r>
    </w:p>
    <w:p w14:paraId="7F75DB9B"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is your organization, and what is your role — do you contract with community-based organizations, convene a network, cover lives, or represent members?</w:t>
      </w:r>
    </w:p>
    <w:p w14:paraId="6776CD68"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How many partner organizations, members, sites, or covered beneficiaries does that network reach, and across what geography?</w:t>
      </w:r>
    </w:p>
    <w:p w14:paraId="53B2F19C"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community-delivered services do you already coordinate or pay for today (CHI, PIN, CCM, CoCM, evidence-based programs, HRSN screening and referral)?</w:t>
      </w:r>
    </w:p>
    <w:p w14:paraId="12EBDDEB" w14:textId="716435FC"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 xml:space="preserve">We write from the position of an organization that has already built infrastructure to connect clinical care with community-delivered services. Our comments address six decisions in the final rule that will determine whether the health coaching benefit can be operationalized across a </w:t>
      </w:r>
      <w:r w:rsidR="00167DA6">
        <w:rPr>
          <w:rFonts w:ascii="Figtree" w:eastAsia="Calibri" w:hAnsi="Figtree" w:cs="Calibri"/>
          <w:sz w:val="22"/>
          <w:szCs w:val="22"/>
        </w:rPr>
        <w:t xml:space="preserve">community provider </w:t>
      </w:r>
      <w:r w:rsidRPr="00C40A0D">
        <w:rPr>
          <w:rFonts w:ascii="Figtree" w:eastAsia="Calibri" w:hAnsi="Figtree" w:cs="Calibri"/>
          <w:sz w:val="22"/>
          <w:szCs w:val="22"/>
        </w:rPr>
        <w:t>network.</w:t>
      </w:r>
    </w:p>
    <w:p w14:paraId="7DAD3797"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1. Establish General Supervision as the Supervision Standard</w:t>
      </w:r>
    </w:p>
    <w:p w14:paraId="793A9709" w14:textId="77777777" w:rsidR="00104137" w:rsidRPr="00C40A0D" w:rsidRDefault="00000000">
      <w:pPr>
        <w:pBdr>
          <w:top w:val="single" w:sz="2" w:space="6" w:color="EEF2F8"/>
          <w:left w:val="single" w:sz="18" w:space="8" w:color="1F3864"/>
          <w:bottom w:val="single" w:sz="2" w:space="6" w:color="EEF2F8"/>
          <w:right w:val="single" w:sz="2" w:space="6" w:color="EEF2F8"/>
        </w:pBdr>
        <w:shd w:val="clear" w:color="auto" w:fill="EEF2F8"/>
        <w:spacing w:before="130" w:after="160" w:line="258" w:lineRule="auto"/>
        <w:ind w:left="172"/>
        <w:rPr>
          <w:rFonts w:ascii="Figtree" w:hAnsi="Figtree"/>
          <w:sz w:val="22"/>
          <w:szCs w:val="22"/>
        </w:rPr>
      </w:pPr>
      <w:r w:rsidRPr="00C40A0D">
        <w:rPr>
          <w:rFonts w:ascii="Figtree" w:eastAsia="Calibri" w:hAnsi="Figtree" w:cs="Calibri"/>
          <w:b/>
          <w:bCs/>
          <w:sz w:val="22"/>
          <w:szCs w:val="22"/>
        </w:rPr>
        <w:t xml:space="preserve">RECOMMENDATION 1. </w:t>
      </w:r>
      <w:r w:rsidRPr="00C40A0D">
        <w:rPr>
          <w:rFonts w:ascii="Figtree" w:eastAsia="Calibri" w:hAnsi="Figtree" w:cs="Calibri"/>
          <w:sz w:val="22"/>
          <w:szCs w:val="22"/>
        </w:rPr>
        <w:t>CMS should establish general supervision as the supervision standard for CPT codes 0591T, 0592T, and 0593T and their successors, including when the services are furnished by auxiliary personnel employed by or contracting with community-based organizations and Community Care Hubs.</w:t>
      </w:r>
    </w:p>
    <w:p w14:paraId="57C125C9" w14:textId="6DE1BEBD"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 xml:space="preserve">The proposed rule states that these codes may be "performed under direct supervision of the billing practitioner, as defined by § 410.26(a)(3)." But 42 CFR 410.26(a)(3) defines </w:t>
      </w:r>
      <w:r w:rsidRPr="00C40A0D">
        <w:rPr>
          <w:rFonts w:ascii="Figtree" w:eastAsia="Calibri" w:hAnsi="Figtree" w:cs="Calibri"/>
          <w:i/>
          <w:iCs/>
          <w:sz w:val="22"/>
          <w:szCs w:val="22"/>
        </w:rPr>
        <w:t>general</w:t>
      </w:r>
      <w:r w:rsidRPr="00C40A0D">
        <w:rPr>
          <w:rFonts w:ascii="Figtree" w:eastAsia="Calibri" w:hAnsi="Figtree" w:cs="Calibri"/>
          <w:sz w:val="22"/>
          <w:szCs w:val="22"/>
        </w:rPr>
        <w:t xml:space="preserve"> </w:t>
      </w:r>
      <w:r w:rsidRPr="00C40A0D">
        <w:rPr>
          <w:rFonts w:ascii="Figtree" w:eastAsia="Calibri" w:hAnsi="Figtree" w:cs="Calibri"/>
          <w:sz w:val="22"/>
          <w:szCs w:val="22"/>
        </w:rPr>
        <w:lastRenderedPageBreak/>
        <w:t xml:space="preserve">supervision; direct supervision is defined at § 410.26(a)(2). We ask CMS to resolve this in favor of general supervision, consistent with the care management codes CMS </w:t>
      </w:r>
      <w:r w:rsidR="00167DA6" w:rsidRPr="00C40A0D">
        <w:rPr>
          <w:rFonts w:ascii="Figtree" w:eastAsia="Calibri" w:hAnsi="Figtree" w:cs="Calibri"/>
          <w:sz w:val="22"/>
          <w:szCs w:val="22"/>
        </w:rPr>
        <w:t>cross walked</w:t>
      </w:r>
      <w:r w:rsidRPr="00C40A0D">
        <w:rPr>
          <w:rFonts w:ascii="Figtree" w:eastAsia="Calibri" w:hAnsi="Figtree" w:cs="Calibri"/>
          <w:sz w:val="22"/>
          <w:szCs w:val="22"/>
        </w:rPr>
        <w:t xml:space="preserve"> for valuation, which are themselves furnished under general supervision.</w:t>
      </w:r>
      <w:r w:rsidRPr="00C40A0D">
        <w:rPr>
          <w:rFonts w:ascii="Figtree" w:eastAsia="Calibri" w:hAnsi="Figtree" w:cs="Calibri"/>
          <w:sz w:val="22"/>
          <w:szCs w:val="22"/>
          <w:vertAlign w:val="superscript"/>
        </w:rPr>
        <w:t>1</w:t>
      </w:r>
    </w:p>
    <w:p w14:paraId="27D3710E" w14:textId="68DCCDB9"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 xml:space="preserve">General supervision is the arrangement under which community-delivered care management already operates. It is what allows a network to place a trained coach in a beneficiary's home or a community site while keeping the billing clinician fully informed through shared records, rather than requiring real-time clinician presence for every encounter. A direct supervision standard would confine this benefit to </w:t>
      </w:r>
      <w:r w:rsidR="00167DA6">
        <w:rPr>
          <w:rFonts w:ascii="Figtree" w:eastAsia="Calibri" w:hAnsi="Figtree" w:cs="Calibri"/>
          <w:sz w:val="22"/>
          <w:szCs w:val="22"/>
        </w:rPr>
        <w:t xml:space="preserve">the very limited number of clinical provider </w:t>
      </w:r>
      <w:r w:rsidRPr="00C40A0D">
        <w:rPr>
          <w:rFonts w:ascii="Figtree" w:eastAsia="Calibri" w:hAnsi="Figtree" w:cs="Calibri"/>
          <w:sz w:val="22"/>
          <w:szCs w:val="22"/>
        </w:rPr>
        <w:t>organizations with clinician capacity to spare</w:t>
      </w:r>
      <w:r w:rsidR="00167DA6">
        <w:rPr>
          <w:rFonts w:ascii="Figtree" w:eastAsia="Calibri" w:hAnsi="Figtree" w:cs="Calibri"/>
          <w:sz w:val="22"/>
          <w:szCs w:val="22"/>
        </w:rPr>
        <w:t>, which contradicts the intent of the code and will significantly restrict beneficiary access to these services.</w:t>
      </w:r>
    </w:p>
    <w:p w14:paraId="75A4E22D" w14:textId="508E4695" w:rsidR="00104137" w:rsidRPr="00C40A0D" w:rsidRDefault="00167DA6">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Pr>
          <w:rFonts w:ascii="Figtree" w:eastAsia="Calibri" w:hAnsi="Figtree" w:cs="Calibri"/>
          <w:b/>
          <w:bCs/>
          <w:color w:val="8A6100"/>
          <w:spacing w:val="12"/>
          <w:sz w:val="22"/>
          <w:szCs w:val="22"/>
        </w:rPr>
        <w:t>YOUR ORGANIZATION’S EXPERIENCE AS APPROPRIATE/RELEVANT</w:t>
      </w:r>
    </w:p>
    <w:p w14:paraId="5185CC1C" w14:textId="6EFB9B70"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00167DA6">
        <w:rPr>
          <w:rFonts w:ascii="Figtree" w:eastAsia="Calibri" w:hAnsi="Figtree" w:cs="Calibri"/>
          <w:i/>
          <w:iCs/>
          <w:color w:val="333333"/>
          <w:sz w:val="22"/>
          <w:szCs w:val="22"/>
        </w:rPr>
        <w:t>Do you contract with / H</w:t>
      </w:r>
      <w:r w:rsidRPr="00C40A0D">
        <w:rPr>
          <w:rFonts w:ascii="Figtree" w:eastAsia="Calibri" w:hAnsi="Figtree" w:cs="Calibri"/>
          <w:i/>
          <w:iCs/>
          <w:color w:val="333333"/>
          <w:sz w:val="22"/>
          <w:szCs w:val="22"/>
        </w:rPr>
        <w:t>ow many community-based organizations do you contract with or support, and where?</w:t>
      </w:r>
    </w:p>
    <w:p w14:paraId="14F44071"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supervision and oversight arrangements do you use today for community-delivered billable services? Describe your quality assurance, records, and clinical accountability chain.</w:t>
      </w:r>
    </w:p>
    <w:p w14:paraId="7958E299"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would a direct supervision requirement do to your network's capacity to furnish this benefit — how many of your partners could still participate?</w:t>
      </w:r>
    </w:p>
    <w:p w14:paraId="61FA0695" w14:textId="2A0CEA98"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 xml:space="preserve">2. Confirm </w:t>
      </w:r>
      <w:r w:rsidR="00167DA6">
        <w:rPr>
          <w:rFonts w:ascii="Figtree" w:eastAsia="Calibri" w:hAnsi="Figtree" w:cs="Calibri"/>
          <w:b/>
          <w:bCs/>
          <w:color w:val="1F3864"/>
          <w:sz w:val="22"/>
          <w:szCs w:val="22"/>
        </w:rPr>
        <w:t xml:space="preserve">that OAA </w:t>
      </w:r>
      <w:r w:rsidRPr="00C40A0D">
        <w:rPr>
          <w:rFonts w:ascii="Figtree" w:eastAsia="Calibri" w:hAnsi="Figtree" w:cs="Calibri"/>
          <w:b/>
          <w:bCs/>
          <w:color w:val="1F3864"/>
          <w:sz w:val="22"/>
          <w:szCs w:val="22"/>
        </w:rPr>
        <w:t>Title III-D Group Workshops Are Billable Under CPT 0593T</w:t>
      </w:r>
    </w:p>
    <w:p w14:paraId="4FDB7DD6" w14:textId="5D5C7B5B" w:rsidR="00104137" w:rsidRPr="00C40A0D" w:rsidRDefault="00000000">
      <w:pPr>
        <w:pBdr>
          <w:top w:val="single" w:sz="2" w:space="6" w:color="EEF2F8"/>
          <w:left w:val="single" w:sz="18" w:space="8" w:color="1F3864"/>
          <w:bottom w:val="single" w:sz="2" w:space="6" w:color="EEF2F8"/>
          <w:right w:val="single" w:sz="2" w:space="6" w:color="EEF2F8"/>
        </w:pBdr>
        <w:shd w:val="clear" w:color="auto" w:fill="EEF2F8"/>
        <w:spacing w:before="130" w:after="160" w:line="258" w:lineRule="auto"/>
        <w:ind w:left="172"/>
        <w:rPr>
          <w:rFonts w:ascii="Figtree" w:hAnsi="Figtree"/>
          <w:sz w:val="22"/>
          <w:szCs w:val="22"/>
        </w:rPr>
      </w:pPr>
      <w:r w:rsidRPr="00C40A0D">
        <w:rPr>
          <w:rFonts w:ascii="Figtree" w:eastAsia="Calibri" w:hAnsi="Figtree" w:cs="Calibri"/>
          <w:b/>
          <w:bCs/>
          <w:sz w:val="22"/>
          <w:szCs w:val="22"/>
        </w:rPr>
        <w:t xml:space="preserve">RECOMMENDATION 2. </w:t>
      </w:r>
      <w:r w:rsidRPr="00C40A0D">
        <w:rPr>
          <w:rFonts w:ascii="Figtree" w:eastAsia="Calibri" w:hAnsi="Figtree" w:cs="Calibri"/>
          <w:sz w:val="22"/>
          <w:szCs w:val="22"/>
        </w:rPr>
        <w:t>CMS should state explicitly in the final rule that delivering an ACL OAA Title III-D approved evidence-based group workshop (such as CDSMP, DSMP, Stepping On, or EnhanceFitness</w:t>
      </w:r>
      <w:r w:rsidR="00167DA6">
        <w:rPr>
          <w:rFonts w:ascii="Figtree" w:eastAsia="Calibri" w:hAnsi="Figtree" w:cs="Calibri"/>
          <w:sz w:val="22"/>
          <w:szCs w:val="22"/>
        </w:rPr>
        <w:t>, etc.</w:t>
      </w:r>
      <w:r w:rsidRPr="00C40A0D">
        <w:rPr>
          <w:rFonts w:ascii="Figtree" w:eastAsia="Calibri" w:hAnsi="Figtree" w:cs="Calibri"/>
          <w:sz w:val="22"/>
          <w:szCs w:val="22"/>
        </w:rPr>
        <w:t>) at fidelity qualifies as a billable group coaching service under CPT 0593T, provided general supervision requirements and all other conditions of payment are met; and that an individual's OAA Title III-D training qualifies that individual to furnish group health coaching under 0593T for the specific program(s) in which the training was completed.</w:t>
      </w:r>
    </w:p>
    <w:p w14:paraId="32775050" w14:textId="12B4094F" w:rsidR="00104137" w:rsidRPr="00C40A0D" w:rsidRDefault="00167DA6">
      <w:pPr>
        <w:spacing w:after="150" w:line="258" w:lineRule="auto"/>
        <w:rPr>
          <w:rFonts w:ascii="Figtree" w:hAnsi="Figtree"/>
          <w:sz w:val="22"/>
          <w:szCs w:val="22"/>
        </w:rPr>
      </w:pPr>
      <w:r>
        <w:rPr>
          <w:rFonts w:ascii="Figtree" w:eastAsia="Calibri" w:hAnsi="Figtree" w:cs="Calibri"/>
          <w:sz w:val="22"/>
          <w:szCs w:val="22"/>
        </w:rPr>
        <w:t xml:space="preserve">Older Americans Act </w:t>
      </w:r>
      <w:r w:rsidRPr="00C40A0D">
        <w:rPr>
          <w:rFonts w:ascii="Figtree" w:eastAsia="Calibri" w:hAnsi="Figtree" w:cs="Calibri"/>
          <w:sz w:val="22"/>
          <w:szCs w:val="22"/>
        </w:rPr>
        <w:t>Title III-D programs meet the proposed rule's own definition of health coaching: participants set individual goals, build action plans, and problem-solve barriers under a standardized curriculum and fidelity protocol. ACL approval already requires demonstrated efficacy under experimental or quasi-experimental design, peer-reviewed publication, and standardized leader training.</w:t>
      </w:r>
      <w:r w:rsidRPr="00C40A0D">
        <w:rPr>
          <w:rFonts w:ascii="Figtree" w:eastAsia="Calibri" w:hAnsi="Figtree" w:cs="Calibri"/>
          <w:sz w:val="22"/>
          <w:szCs w:val="22"/>
          <w:vertAlign w:val="superscript"/>
        </w:rPr>
        <w:t>4,5</w:t>
      </w:r>
      <w:r w:rsidRPr="00C40A0D">
        <w:rPr>
          <w:rFonts w:ascii="Figtree" w:eastAsia="Calibri" w:hAnsi="Figtree" w:cs="Calibri"/>
          <w:sz w:val="22"/>
          <w:szCs w:val="22"/>
        </w:rPr>
        <w:t xml:space="preserve"> Recognizing these programs as billable under 0593T lets a network </w:t>
      </w:r>
      <w:r>
        <w:rPr>
          <w:rFonts w:ascii="Figtree" w:eastAsia="Calibri" w:hAnsi="Figtree" w:cs="Calibri"/>
          <w:sz w:val="22"/>
          <w:szCs w:val="22"/>
        </w:rPr>
        <w:t>efficiently refer</w:t>
      </w:r>
      <w:r w:rsidRPr="00C40A0D">
        <w:rPr>
          <w:rFonts w:ascii="Figtree" w:eastAsia="Calibri" w:hAnsi="Figtree" w:cs="Calibri"/>
          <w:sz w:val="22"/>
          <w:szCs w:val="22"/>
        </w:rPr>
        <w:t xml:space="preserve"> beneficiaries into an existing, quality-assured delivery capacity.</w:t>
      </w:r>
    </w:p>
    <w:p w14:paraId="2650D12D" w14:textId="66D615E6" w:rsidR="00104137" w:rsidRDefault="00000000">
      <w:pPr>
        <w:spacing w:after="150" w:line="258" w:lineRule="auto"/>
        <w:rPr>
          <w:rFonts w:ascii="Figtree" w:eastAsia="Calibri" w:hAnsi="Figtree" w:cs="Calibri"/>
          <w:sz w:val="22"/>
          <w:szCs w:val="22"/>
        </w:rPr>
      </w:pPr>
      <w:r w:rsidRPr="00C40A0D">
        <w:rPr>
          <w:rFonts w:ascii="Figtree" w:eastAsia="Calibri" w:hAnsi="Figtree" w:cs="Calibri"/>
          <w:sz w:val="22"/>
          <w:szCs w:val="22"/>
        </w:rPr>
        <w:t>The group code is also what makes network participation financeable</w:t>
      </w:r>
      <w:r w:rsidR="00167DA6">
        <w:rPr>
          <w:rFonts w:ascii="Figtree" w:eastAsia="Calibri" w:hAnsi="Figtree" w:cs="Calibri"/>
          <w:sz w:val="22"/>
          <w:szCs w:val="22"/>
        </w:rPr>
        <w:t xml:space="preserve"> and scalable</w:t>
      </w:r>
      <w:r w:rsidRPr="00C40A0D">
        <w:rPr>
          <w:rFonts w:ascii="Figtree" w:eastAsia="Calibri" w:hAnsi="Figtree" w:cs="Calibri"/>
          <w:sz w:val="22"/>
          <w:szCs w:val="22"/>
        </w:rPr>
        <w:t>. At the proposed valuation, CPT 0593T yields approximately $22.66 per 30-minute unit per beneficiary</w:t>
      </w:r>
      <w:r w:rsidRPr="00C40A0D">
        <w:rPr>
          <w:rFonts w:ascii="Figtree" w:eastAsia="Calibri" w:hAnsi="Figtree" w:cs="Calibri"/>
          <w:sz w:val="22"/>
          <w:szCs w:val="22"/>
          <w:vertAlign w:val="superscript"/>
        </w:rPr>
        <w:t>2</w:t>
      </w:r>
      <w:r w:rsidRPr="00C40A0D">
        <w:rPr>
          <w:rFonts w:ascii="Figtree" w:eastAsia="Calibri" w:hAnsi="Figtree" w:cs="Calibri"/>
          <w:sz w:val="22"/>
          <w:szCs w:val="22"/>
        </w:rPr>
        <w:t>—roughly $679.80 per participant across a standard 15-hour workshop. That is the difference between a contracted community program that sustains itself and one that requires continuing subsidy.</w:t>
      </w:r>
    </w:p>
    <w:p w14:paraId="7BC6B1DF" w14:textId="77777777" w:rsidR="00167DA6" w:rsidRDefault="00167DA6">
      <w:pPr>
        <w:spacing w:after="150" w:line="258" w:lineRule="auto"/>
        <w:rPr>
          <w:rFonts w:ascii="Figtree" w:eastAsia="Calibri" w:hAnsi="Figtree" w:cs="Calibri"/>
          <w:sz w:val="22"/>
          <w:szCs w:val="22"/>
        </w:rPr>
      </w:pPr>
    </w:p>
    <w:p w14:paraId="4DB5A566" w14:textId="77777777" w:rsidR="00167DA6" w:rsidRPr="00C40A0D" w:rsidRDefault="00167DA6">
      <w:pPr>
        <w:spacing w:after="150" w:line="258" w:lineRule="auto"/>
        <w:rPr>
          <w:rFonts w:ascii="Figtree" w:hAnsi="Figtree"/>
          <w:sz w:val="22"/>
          <w:szCs w:val="22"/>
        </w:rPr>
      </w:pPr>
    </w:p>
    <w:p w14:paraId="05756319" w14:textId="346EBABB" w:rsidR="00104137" w:rsidRPr="00C40A0D" w:rsidRDefault="00167DA6">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Pr>
          <w:rFonts w:ascii="Figtree" w:eastAsia="Calibri" w:hAnsi="Figtree" w:cs="Calibri"/>
          <w:b/>
          <w:bCs/>
          <w:color w:val="8A6100"/>
          <w:spacing w:val="12"/>
          <w:sz w:val="22"/>
          <w:szCs w:val="22"/>
        </w:rPr>
        <w:lastRenderedPageBreak/>
        <w:t>YOUR ORGANIZATION’S EXPERIENCE AS APPROPRIATE/RELEVANT</w:t>
      </w:r>
    </w:p>
    <w:p w14:paraId="03676EF5"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How many beneficiaries flow through evidence-based programming in your network annually, and how many organizations deliver it?</w:t>
      </w:r>
    </w:p>
    <w:p w14:paraId="32185B50"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referral pathways already connect your clinical partners to community programs? What volume moves through them?</w:t>
      </w:r>
    </w:p>
    <w:p w14:paraId="6B73C947"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outcomes or utilization effects have you measured across the network — completion, readmissions, total cost of care, member satisfaction?</w:t>
      </w:r>
    </w:p>
    <w:p w14:paraId="53FD91FE"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3. Defer to ACL to Define Training Completion and Maintain the Program Roster</w:t>
      </w:r>
    </w:p>
    <w:p w14:paraId="41D69803" w14:textId="77777777" w:rsidR="00104137" w:rsidRPr="00C40A0D" w:rsidRDefault="00000000">
      <w:pPr>
        <w:pBdr>
          <w:top w:val="single" w:sz="2" w:space="6" w:color="EEF2F8"/>
          <w:left w:val="single" w:sz="18" w:space="8" w:color="1F3864"/>
          <w:bottom w:val="single" w:sz="2" w:space="6" w:color="EEF2F8"/>
          <w:right w:val="single" w:sz="2" w:space="6" w:color="EEF2F8"/>
        </w:pBdr>
        <w:shd w:val="clear" w:color="auto" w:fill="EEF2F8"/>
        <w:spacing w:before="130" w:after="160" w:line="258" w:lineRule="auto"/>
        <w:ind w:left="172"/>
        <w:rPr>
          <w:rFonts w:ascii="Figtree" w:hAnsi="Figtree"/>
          <w:sz w:val="22"/>
          <w:szCs w:val="22"/>
        </w:rPr>
      </w:pPr>
      <w:r w:rsidRPr="00C40A0D">
        <w:rPr>
          <w:rFonts w:ascii="Figtree" w:eastAsia="Calibri" w:hAnsi="Figtree" w:cs="Calibri"/>
          <w:b/>
          <w:bCs/>
          <w:sz w:val="22"/>
          <w:szCs w:val="22"/>
        </w:rPr>
        <w:t xml:space="preserve">RECOMMENDATION 3. </w:t>
      </w:r>
      <w:r w:rsidRPr="00C40A0D">
        <w:rPr>
          <w:rFonts w:ascii="Figtree" w:eastAsia="Calibri" w:hAnsi="Figtree" w:cs="Calibri"/>
          <w:sz w:val="22"/>
          <w:szCs w:val="22"/>
        </w:rPr>
        <w:t>CMS should formally defer to the Administration for Community Living to define the criteria under which an individual has completed training to provide one or more ACL OAA Title III-D evidence-based programs, and should direct that ACL maintain, publish, and routinely update an official roster of qualifying programs together with the associated coach training requirements for each. That roster should serve as the safe-harbor standard for auxiliary personnel qualification under § 410.26(a)(1) and for Medicare audit purposes.</w:t>
      </w:r>
    </w:p>
    <w:p w14:paraId="609283A7" w14:textId="69D6ACFD"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 xml:space="preserve">"Trained through an ACL program" is an administrative category, not an auditable </w:t>
      </w:r>
      <w:r w:rsidR="00AF2A16" w:rsidRPr="00C40A0D">
        <w:rPr>
          <w:rFonts w:ascii="Figtree" w:eastAsia="Calibri" w:hAnsi="Figtree" w:cs="Calibri"/>
          <w:sz w:val="22"/>
          <w:szCs w:val="22"/>
        </w:rPr>
        <w:t>credential</w:t>
      </w:r>
      <w:r w:rsidR="00AF2A16">
        <w:rPr>
          <w:rFonts w:ascii="Figtree" w:eastAsia="Calibri" w:hAnsi="Figtree" w:cs="Calibri"/>
          <w:sz w:val="22"/>
          <w:szCs w:val="22"/>
        </w:rPr>
        <w:t xml:space="preserve">, a </w:t>
      </w:r>
      <w:r w:rsidRPr="00C40A0D">
        <w:rPr>
          <w:rFonts w:ascii="Figtree" w:eastAsia="Calibri" w:hAnsi="Figtree" w:cs="Calibri"/>
          <w:sz w:val="22"/>
          <w:szCs w:val="22"/>
        </w:rPr>
        <w:t>distinction that falls hardest on organizations verifying qualifications across many contracted partners at once. ACL already maintains the approved program list and publishes minimum training requirements for each.</w:t>
      </w:r>
      <w:r w:rsidRPr="00C40A0D">
        <w:rPr>
          <w:rFonts w:ascii="Figtree" w:eastAsia="Calibri" w:hAnsi="Figtree" w:cs="Calibri"/>
          <w:sz w:val="22"/>
          <w:szCs w:val="22"/>
          <w:vertAlign w:val="superscript"/>
        </w:rPr>
        <w:t>5</w:t>
      </w:r>
      <w:r w:rsidRPr="00C40A0D">
        <w:rPr>
          <w:rFonts w:ascii="Figtree" w:eastAsia="Calibri" w:hAnsi="Figtree" w:cs="Calibri"/>
          <w:sz w:val="22"/>
          <w:szCs w:val="22"/>
        </w:rPr>
        <w:t xml:space="preserve"> </w:t>
      </w:r>
      <w:r w:rsidR="00167DA6" w:rsidRPr="00C40A0D">
        <w:rPr>
          <w:rFonts w:ascii="Figtree" w:eastAsia="Calibri" w:hAnsi="Figtree" w:cs="Calibri"/>
          <w:sz w:val="22"/>
          <w:szCs w:val="22"/>
        </w:rPr>
        <w:t>A</w:t>
      </w:r>
      <w:r w:rsidR="00167DA6">
        <w:rPr>
          <w:rFonts w:ascii="Figtree" w:eastAsia="Calibri" w:hAnsi="Figtree" w:cs="Calibri"/>
          <w:sz w:val="22"/>
          <w:szCs w:val="22"/>
        </w:rPr>
        <w:t>n ACL-driven and updated</w:t>
      </w:r>
      <w:r w:rsidR="00167DA6" w:rsidRPr="00C40A0D">
        <w:rPr>
          <w:rFonts w:ascii="Figtree" w:eastAsia="Calibri" w:hAnsi="Figtree" w:cs="Calibri"/>
          <w:sz w:val="22"/>
          <w:szCs w:val="22"/>
        </w:rPr>
        <w:t xml:space="preserve"> roster would </w:t>
      </w:r>
      <w:r w:rsidR="00167DA6">
        <w:rPr>
          <w:rFonts w:ascii="Figtree" w:eastAsia="Calibri" w:hAnsi="Figtree" w:cs="Calibri"/>
          <w:sz w:val="22"/>
          <w:szCs w:val="22"/>
        </w:rPr>
        <w:t>provide</w:t>
      </w:r>
      <w:r w:rsidR="00167DA6" w:rsidRPr="00C40A0D">
        <w:rPr>
          <w:rFonts w:ascii="Figtree" w:eastAsia="Calibri" w:hAnsi="Figtree" w:cs="Calibri"/>
          <w:sz w:val="22"/>
          <w:szCs w:val="22"/>
        </w:rPr>
        <w:t xml:space="preserve"> </w:t>
      </w:r>
      <w:r w:rsidRPr="00C40A0D">
        <w:rPr>
          <w:rFonts w:ascii="Figtree" w:eastAsia="Calibri" w:hAnsi="Figtree" w:cs="Calibri"/>
          <w:sz w:val="22"/>
          <w:szCs w:val="22"/>
        </w:rPr>
        <w:t xml:space="preserve">network </w:t>
      </w:r>
      <w:r w:rsidR="00AF2A16" w:rsidRPr="00C40A0D">
        <w:rPr>
          <w:rFonts w:ascii="Figtree" w:eastAsia="Calibri" w:hAnsi="Figtree" w:cs="Calibri"/>
          <w:sz w:val="22"/>
          <w:szCs w:val="22"/>
        </w:rPr>
        <w:t>operators with</w:t>
      </w:r>
      <w:r w:rsidRPr="00C40A0D">
        <w:rPr>
          <w:rFonts w:ascii="Figtree" w:eastAsia="Calibri" w:hAnsi="Figtree" w:cs="Calibri"/>
          <w:sz w:val="22"/>
          <w:szCs w:val="22"/>
        </w:rPr>
        <w:t xml:space="preserve"> </w:t>
      </w:r>
      <w:r w:rsidR="00167DA6" w:rsidRPr="00C40A0D">
        <w:rPr>
          <w:rFonts w:ascii="Figtree" w:eastAsia="Calibri" w:hAnsi="Figtree" w:cs="Calibri"/>
          <w:sz w:val="22"/>
          <w:szCs w:val="22"/>
        </w:rPr>
        <w:t xml:space="preserve">one standard to verify </w:t>
      </w:r>
      <w:r w:rsidR="00167DA6">
        <w:rPr>
          <w:rFonts w:ascii="Figtree" w:eastAsia="Calibri" w:hAnsi="Figtree" w:cs="Calibri"/>
          <w:sz w:val="22"/>
          <w:szCs w:val="22"/>
        </w:rPr>
        <w:t xml:space="preserve">program </w:t>
      </w:r>
      <w:r w:rsidR="00167DA6" w:rsidRPr="00C40A0D">
        <w:rPr>
          <w:rFonts w:ascii="Figtree" w:eastAsia="Calibri" w:hAnsi="Figtree" w:cs="Calibri"/>
          <w:sz w:val="22"/>
          <w:szCs w:val="22"/>
        </w:rPr>
        <w:t>eligibility</w:t>
      </w:r>
      <w:r w:rsidRPr="00C40A0D">
        <w:rPr>
          <w:rFonts w:ascii="Figtree" w:eastAsia="Calibri" w:hAnsi="Figtree" w:cs="Calibri"/>
          <w:sz w:val="22"/>
          <w:szCs w:val="22"/>
        </w:rPr>
        <w:t xml:space="preserve">, and one defensible answer on audit, instead of </w:t>
      </w:r>
      <w:r w:rsidR="00167DA6">
        <w:rPr>
          <w:rFonts w:ascii="Figtree" w:eastAsia="Calibri" w:hAnsi="Figtree" w:cs="Calibri"/>
          <w:sz w:val="22"/>
          <w:szCs w:val="22"/>
        </w:rPr>
        <w:t xml:space="preserve">making a partner-by-partner </w:t>
      </w:r>
      <w:r w:rsidRPr="00C40A0D">
        <w:rPr>
          <w:rFonts w:ascii="Figtree" w:eastAsia="Calibri" w:hAnsi="Figtree" w:cs="Calibri"/>
          <w:sz w:val="22"/>
          <w:szCs w:val="22"/>
        </w:rPr>
        <w:t>judgment call.</w:t>
      </w:r>
    </w:p>
    <w:p w14:paraId="6FD19254" w14:textId="387CA054" w:rsidR="00104137" w:rsidRPr="00C40A0D" w:rsidRDefault="00167DA6">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Pr>
          <w:rFonts w:ascii="Figtree" w:eastAsia="Calibri" w:hAnsi="Figtree" w:cs="Calibri"/>
          <w:b/>
          <w:bCs/>
          <w:color w:val="8A6100"/>
          <w:spacing w:val="12"/>
          <w:sz w:val="22"/>
          <w:szCs w:val="22"/>
        </w:rPr>
        <w:t>YOUR ORGANIZATION’S EXPERIENCE AS APPROPRIATE/RELEVANT</w:t>
      </w:r>
    </w:p>
    <w:p w14:paraId="55E79999"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How do you credential and monitor staff qualifications across your contracted partners today, and what does that administration cost?</w:t>
      </w:r>
    </w:p>
    <w:p w14:paraId="30FC70CE"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compliance or audit risk does the current ambiguity create for your organization as the contracting or billing entity?</w:t>
      </w:r>
    </w:p>
    <w:p w14:paraId="5F8049BA"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4. Defer to ACL to Issue Braided Funding and Non-Duplication Guidance</w:t>
      </w:r>
    </w:p>
    <w:p w14:paraId="57995BEE" w14:textId="77777777" w:rsidR="00104137" w:rsidRPr="00C40A0D" w:rsidRDefault="00000000">
      <w:pPr>
        <w:pBdr>
          <w:top w:val="single" w:sz="2" w:space="6" w:color="EEF2F8"/>
          <w:left w:val="single" w:sz="18" w:space="8" w:color="1F3864"/>
          <w:bottom w:val="single" w:sz="2" w:space="6" w:color="EEF2F8"/>
          <w:right w:val="single" w:sz="2" w:space="6" w:color="EEF2F8"/>
        </w:pBdr>
        <w:shd w:val="clear" w:color="auto" w:fill="EEF2F8"/>
        <w:spacing w:before="130" w:after="160" w:line="258" w:lineRule="auto"/>
        <w:ind w:left="172"/>
        <w:rPr>
          <w:rFonts w:ascii="Figtree" w:hAnsi="Figtree"/>
          <w:sz w:val="22"/>
          <w:szCs w:val="22"/>
        </w:rPr>
      </w:pPr>
      <w:r w:rsidRPr="00C40A0D">
        <w:rPr>
          <w:rFonts w:ascii="Figtree" w:eastAsia="Calibri" w:hAnsi="Figtree" w:cs="Calibri"/>
          <w:b/>
          <w:bCs/>
          <w:sz w:val="22"/>
          <w:szCs w:val="22"/>
        </w:rPr>
        <w:t xml:space="preserve">RECOMMENDATION 4. </w:t>
      </w:r>
      <w:r w:rsidRPr="00C40A0D">
        <w:rPr>
          <w:rFonts w:ascii="Figtree" w:eastAsia="Calibri" w:hAnsi="Figtree" w:cs="Calibri"/>
          <w:sz w:val="22"/>
          <w:szCs w:val="22"/>
        </w:rPr>
        <w:t>CMS should formally defer to ACL to issue explicit guidance on braided funding and non-duplication, and we urge that the guidance be issued concurrently with the final rule.</w:t>
      </w:r>
    </w:p>
    <w:p w14:paraId="3168A0DD" w14:textId="34DDC1B6"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 xml:space="preserve">Federal anti-supplantation rules mean Title III-D dollars cannot pay for a service simultaneously billed to Medicare Part B. Network operators sit directly on this seam: we braid funding across grants, plan contracts, and fee-for-service revenue, and our partners look to us for the cost-allocation methodology. Without guidance, the </w:t>
      </w:r>
      <w:r w:rsidR="00167DA6">
        <w:rPr>
          <w:rFonts w:ascii="Figtree" w:eastAsia="Calibri" w:hAnsi="Figtree" w:cs="Calibri"/>
          <w:sz w:val="22"/>
          <w:szCs w:val="22"/>
        </w:rPr>
        <w:t xml:space="preserve">risk </w:t>
      </w:r>
      <w:r w:rsidRPr="00C40A0D">
        <w:rPr>
          <w:rFonts w:ascii="Figtree" w:eastAsia="Calibri" w:hAnsi="Figtree" w:cs="Calibri"/>
          <w:sz w:val="22"/>
          <w:szCs w:val="22"/>
        </w:rPr>
        <w:t>is that contracted organizations decline to bill rather than risk exposure. The capacity case is straightforward — from 2016 through 2022, ACL grantees reached roughly 176,000 participants nationally,</w:t>
      </w:r>
      <w:r w:rsidRPr="00C40A0D">
        <w:rPr>
          <w:rFonts w:ascii="Figtree" w:eastAsia="Calibri" w:hAnsi="Figtree" w:cs="Calibri"/>
          <w:sz w:val="22"/>
          <w:szCs w:val="22"/>
          <w:vertAlign w:val="superscript"/>
        </w:rPr>
        <w:t>4</w:t>
      </w:r>
      <w:r w:rsidRPr="00C40A0D">
        <w:rPr>
          <w:rFonts w:ascii="Figtree" w:eastAsia="Calibri" w:hAnsi="Figtree" w:cs="Calibri"/>
          <w:sz w:val="22"/>
          <w:szCs w:val="22"/>
        </w:rPr>
        <w:t xml:space="preserve"> a small fraction of Medicare </w:t>
      </w:r>
      <w:r w:rsidRPr="00C40A0D">
        <w:rPr>
          <w:rFonts w:ascii="Figtree" w:eastAsia="Calibri" w:hAnsi="Figtree" w:cs="Calibri"/>
          <w:sz w:val="22"/>
          <w:szCs w:val="22"/>
        </w:rPr>
        <w:lastRenderedPageBreak/>
        <w:t>beneficiaries living with multiple chronic conditions. This benefit is what lets delivery scale to need rather than to grant capacity.</w:t>
      </w:r>
    </w:p>
    <w:p w14:paraId="15F00B3D" w14:textId="76258266" w:rsidR="00104137" w:rsidRPr="00C40A0D" w:rsidRDefault="00167DA6">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Pr>
          <w:rFonts w:ascii="Figtree" w:eastAsia="Calibri" w:hAnsi="Figtree" w:cs="Calibri"/>
          <w:b/>
          <w:bCs/>
          <w:color w:val="8A6100"/>
          <w:spacing w:val="12"/>
          <w:sz w:val="22"/>
          <w:szCs w:val="22"/>
        </w:rPr>
        <w:t>YOUR ORGANIZATION’S EXPERIENCE AS APPROPRIATE/RELEVANT</w:t>
      </w:r>
    </w:p>
    <w:p w14:paraId="34EBEB8B"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Describe your current braided funding arrangements and where non-duplication ambiguity creates the most risk.</w:t>
      </w:r>
    </w:p>
    <w:p w14:paraId="59B7F8CE"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Have contracted partners declined to bill, or declined to participate, because funding rules were unclear? What did that cost in reach?</w:t>
      </w:r>
    </w:p>
    <w:p w14:paraId="01D0D15A"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would your organization need documented before you would advise partners to bill Medicare for a workshop?</w:t>
      </w:r>
    </w:p>
    <w:p w14:paraId="42FC2D5B"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5. Move to Permanent Coding While Preserving the Proposed Valuation</w:t>
      </w:r>
    </w:p>
    <w:p w14:paraId="5F64D6B9" w14:textId="37395798" w:rsidR="00104137" w:rsidRPr="00C40A0D" w:rsidRDefault="00000000">
      <w:pPr>
        <w:pBdr>
          <w:top w:val="single" w:sz="2" w:space="6" w:color="EEF2F8"/>
          <w:left w:val="single" w:sz="18" w:space="8" w:color="1F3864"/>
          <w:bottom w:val="single" w:sz="2" w:space="6" w:color="EEF2F8"/>
          <w:right w:val="single" w:sz="2" w:space="6" w:color="EEF2F8"/>
        </w:pBdr>
        <w:shd w:val="clear" w:color="auto" w:fill="EEF2F8"/>
        <w:spacing w:before="130" w:after="160" w:line="258" w:lineRule="auto"/>
        <w:ind w:left="172"/>
        <w:rPr>
          <w:rFonts w:ascii="Figtree" w:hAnsi="Figtree"/>
          <w:sz w:val="22"/>
          <w:szCs w:val="22"/>
        </w:rPr>
      </w:pPr>
      <w:r w:rsidRPr="00C40A0D">
        <w:rPr>
          <w:rFonts w:ascii="Figtree" w:eastAsia="Calibri" w:hAnsi="Figtree" w:cs="Calibri"/>
          <w:b/>
          <w:bCs/>
          <w:sz w:val="22"/>
          <w:szCs w:val="22"/>
        </w:rPr>
        <w:t xml:space="preserve">RECOMMENDATION 5. </w:t>
      </w:r>
      <w:r w:rsidRPr="00C40A0D">
        <w:rPr>
          <w:rFonts w:ascii="Figtree" w:eastAsia="Calibri" w:hAnsi="Figtree" w:cs="Calibri"/>
          <w:sz w:val="22"/>
          <w:szCs w:val="22"/>
        </w:rPr>
        <w:t>CMS should transition the health coaching benefit from the temporary Category III CPT code set to permanent codes and should hold the proposed Addendum B valuation of CPT 0593T—</w:t>
      </w:r>
      <w:proofErr w:type="gramStart"/>
      <w:r w:rsidRPr="00C40A0D">
        <w:rPr>
          <w:rFonts w:ascii="Figtree" w:eastAsia="Calibri" w:hAnsi="Figtree" w:cs="Calibri"/>
          <w:sz w:val="22"/>
          <w:szCs w:val="22"/>
        </w:rPr>
        <w:t>in particular the</w:t>
      </w:r>
      <w:proofErr w:type="gramEnd"/>
      <w:r w:rsidRPr="00C40A0D">
        <w:rPr>
          <w:rFonts w:ascii="Figtree" w:eastAsia="Calibri" w:hAnsi="Figtree" w:cs="Calibri"/>
          <w:sz w:val="22"/>
          <w:szCs w:val="22"/>
        </w:rPr>
        <w:t xml:space="preserve"> 0.44 non-facility practice expense RVU—fully intact through that transition.</w:t>
      </w:r>
    </w:p>
    <w:p w14:paraId="3A8E5FCF" w14:textId="082AB67E"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 xml:space="preserve">Temporary Category III codes are treated across the payer and billing ecosystem as emerging-technology tracking codes and </w:t>
      </w:r>
      <w:r w:rsidR="00167DA6">
        <w:rPr>
          <w:rFonts w:ascii="Figtree" w:eastAsia="Calibri" w:hAnsi="Figtree" w:cs="Calibri"/>
          <w:sz w:val="22"/>
          <w:szCs w:val="22"/>
        </w:rPr>
        <w:t xml:space="preserve">can be </w:t>
      </w:r>
      <w:r w:rsidRPr="00C40A0D">
        <w:rPr>
          <w:rFonts w:ascii="Figtree" w:eastAsia="Calibri" w:hAnsi="Figtree" w:cs="Calibri"/>
          <w:sz w:val="22"/>
          <w:szCs w:val="22"/>
        </w:rPr>
        <w:t>flagged as experimental or non-covered by default,</w:t>
      </w:r>
      <w:r w:rsidRPr="00C40A0D">
        <w:rPr>
          <w:rFonts w:ascii="Figtree" w:eastAsia="Calibri" w:hAnsi="Figtree" w:cs="Calibri"/>
          <w:sz w:val="22"/>
          <w:szCs w:val="22"/>
          <w:vertAlign w:val="superscript"/>
        </w:rPr>
        <w:t>6</w:t>
      </w:r>
      <w:r w:rsidRPr="00C40A0D">
        <w:rPr>
          <w:rFonts w:ascii="Figtree" w:eastAsia="Calibri" w:hAnsi="Figtree" w:cs="Calibri"/>
          <w:sz w:val="22"/>
          <w:szCs w:val="22"/>
        </w:rPr>
        <w:t xml:space="preserve"> which </w:t>
      </w:r>
      <w:r w:rsidR="00167DA6">
        <w:rPr>
          <w:rFonts w:ascii="Figtree" w:eastAsia="Calibri" w:hAnsi="Figtree" w:cs="Calibri"/>
          <w:sz w:val="22"/>
          <w:szCs w:val="22"/>
        </w:rPr>
        <w:t>risks</w:t>
      </w:r>
      <w:r w:rsidRPr="00C40A0D">
        <w:rPr>
          <w:rFonts w:ascii="Figtree" w:eastAsia="Calibri" w:hAnsi="Figtree" w:cs="Calibri"/>
          <w:sz w:val="22"/>
          <w:szCs w:val="22"/>
        </w:rPr>
        <w:t xml:space="preserve"> denials and routing failures at exactly the scale a network operates. They also complicate Medicare Advantage coverage, which now reaches more than half of Medicare beneficiaries. Permanent HCPCS Level II G-codes are universally supported by MACs, Medicaid agencies, commercial insurers, and EHR billing modules.</w:t>
      </w:r>
    </w:p>
    <w:p w14:paraId="02FE518F" w14:textId="5BCE5E87"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 xml:space="preserve">The valuation must survive that transition. </w:t>
      </w:r>
      <w:r w:rsidR="00167DA6">
        <w:rPr>
          <w:rFonts w:ascii="Figtree" w:eastAsia="Calibri" w:hAnsi="Figtree" w:cs="Calibri"/>
          <w:sz w:val="22"/>
          <w:szCs w:val="22"/>
        </w:rPr>
        <w:t>Simply c</w:t>
      </w:r>
      <w:r w:rsidRPr="00C40A0D">
        <w:rPr>
          <w:rFonts w:ascii="Figtree" w:eastAsia="Calibri" w:hAnsi="Figtree" w:cs="Calibri"/>
          <w:sz w:val="22"/>
          <w:szCs w:val="22"/>
        </w:rPr>
        <w:t>onforming CPT 0593T to G0109's finished non-facility total of 0.47 RVUs would drop payment from roughly $22.66 to $15.44 per unit</w:t>
      </w:r>
      <w:r w:rsidRPr="00C40A0D">
        <w:rPr>
          <w:rFonts w:ascii="Figtree" w:eastAsia="Calibri" w:hAnsi="Figtree" w:cs="Calibri"/>
          <w:sz w:val="22"/>
          <w:szCs w:val="22"/>
          <w:vertAlign w:val="superscript"/>
        </w:rPr>
        <w:t>2</w:t>
      </w:r>
      <w:r w:rsidRPr="00C40A0D">
        <w:rPr>
          <w:rFonts w:ascii="Figtree" w:eastAsia="Calibri" w:hAnsi="Figtree" w:cs="Calibri"/>
          <w:sz w:val="22"/>
          <w:szCs w:val="22"/>
        </w:rPr>
        <w:t>. Community</w:t>
      </w:r>
      <w:r w:rsidR="00167DA6">
        <w:rPr>
          <w:rFonts w:ascii="Figtree" w:eastAsia="Calibri" w:hAnsi="Figtree" w:cs="Calibri"/>
          <w:sz w:val="22"/>
          <w:szCs w:val="22"/>
        </w:rPr>
        <w:t>-based providers</w:t>
      </w:r>
      <w:r w:rsidRPr="00C40A0D">
        <w:rPr>
          <w:rFonts w:ascii="Figtree" w:eastAsia="Calibri" w:hAnsi="Figtree" w:cs="Calibri"/>
          <w:sz w:val="22"/>
          <w:szCs w:val="22"/>
        </w:rPr>
        <w:t xml:space="preserve"> bear the full cost of space, scheduling, outreach, technology, and administration; the 0.44 non-facility PE RVU reflects that structure. Across a network, a roughly one-third reduction is the difference between a financeable service line and one that cannot be contracted for.</w:t>
      </w:r>
    </w:p>
    <w:p w14:paraId="718B87C1" w14:textId="19F0C91B" w:rsidR="00104137" w:rsidRPr="00C40A0D" w:rsidRDefault="00167DA6">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Pr>
          <w:rFonts w:ascii="Figtree" w:eastAsia="Calibri" w:hAnsi="Figtree" w:cs="Calibri"/>
          <w:b/>
          <w:bCs/>
          <w:color w:val="8A6100"/>
          <w:spacing w:val="12"/>
          <w:sz w:val="22"/>
          <w:szCs w:val="22"/>
        </w:rPr>
        <w:t>YOUR ORGANIZATION’S EXPERIENCE AS APPROPRIATE/RELEVANT</w:t>
      </w:r>
    </w:p>
    <w:p w14:paraId="10E3E8C9"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Model the valuation difference across your network's projected volume — what does a one-third reduction mean in aggregate?</w:t>
      </w:r>
    </w:p>
    <w:p w14:paraId="12662031" w14:textId="77777777" w:rsidR="00104137" w:rsidRPr="00C40A0D" w:rsidRDefault="00000000">
      <w:pPr>
        <w:pBdr>
          <w:left w:val="single" w:sz="18" w:space="8" w:color="8A6100"/>
          <w:right w:val="single" w:sz="4" w:space="6" w:color="E8D9B5"/>
        </w:pBdr>
        <w:shd w:val="clear" w:color="auto" w:fill="FDF6E6"/>
        <w:spacing w:before="6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has your experience been billing or adjudicating temporary codes across MACs, Medicaid, and MA plans?</w:t>
      </w:r>
    </w:p>
    <w:p w14:paraId="72EDC1FA"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infrastructure investment have you already made that assumes durable, nationally priced codes?</w:t>
      </w:r>
    </w:p>
    <w:p w14:paraId="26378D48"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lastRenderedPageBreak/>
        <w:t>6. Any HCPCS Substitution Must Carry an Explicit Valuation Commitment</w:t>
      </w:r>
    </w:p>
    <w:p w14:paraId="3C33C791" w14:textId="77777777" w:rsidR="00104137" w:rsidRPr="00C40A0D" w:rsidRDefault="00000000">
      <w:pPr>
        <w:pBdr>
          <w:top w:val="single" w:sz="2" w:space="6" w:color="EEF2F8"/>
          <w:left w:val="single" w:sz="18" w:space="8" w:color="1F3864"/>
          <w:bottom w:val="single" w:sz="2" w:space="6" w:color="EEF2F8"/>
          <w:right w:val="single" w:sz="2" w:space="6" w:color="EEF2F8"/>
        </w:pBdr>
        <w:shd w:val="clear" w:color="auto" w:fill="EEF2F8"/>
        <w:spacing w:before="130" w:after="160" w:line="258" w:lineRule="auto"/>
        <w:ind w:left="172"/>
        <w:rPr>
          <w:rFonts w:ascii="Figtree" w:hAnsi="Figtree"/>
          <w:sz w:val="22"/>
          <w:szCs w:val="22"/>
        </w:rPr>
      </w:pPr>
      <w:r w:rsidRPr="00C40A0D">
        <w:rPr>
          <w:rFonts w:ascii="Figtree" w:eastAsia="Calibri" w:hAnsi="Figtree" w:cs="Calibri"/>
          <w:b/>
          <w:bCs/>
          <w:sz w:val="22"/>
          <w:szCs w:val="22"/>
        </w:rPr>
        <w:t xml:space="preserve">RECOMMENDATION 6. </w:t>
      </w:r>
      <w:r w:rsidRPr="00C40A0D">
        <w:rPr>
          <w:rFonts w:ascii="Figtree" w:eastAsia="Calibri" w:hAnsi="Figtree" w:cs="Calibri"/>
          <w:sz w:val="22"/>
          <w:szCs w:val="22"/>
        </w:rPr>
        <w:t>If CMS finalizes HCPCS Level II G-codes in place of CPT 0591T, 0592T, and 0593T, the final rule must explicitly commit — in both the preamble and Addendum B — that the successor group code carries the proposed valuation of CPT 0593T without reduction, including the 0.44 non-facility practice expense RVU, the 0.23 work RVU, and the 0.02 malpractice RVU, and that the successor individual codes carry the full proposed valuations of 0591T and 0592T.</w:t>
      </w:r>
    </w:p>
    <w:p w14:paraId="53E7B131" w14:textId="77777777" w:rsidR="00167DA6" w:rsidRPr="00167DA6" w:rsidRDefault="00000000" w:rsidP="00167DA6">
      <w:pPr>
        <w:spacing w:after="150" w:line="258" w:lineRule="auto"/>
        <w:rPr>
          <w:rFonts w:ascii="Figtree" w:eastAsia="Calibri" w:hAnsi="Figtree" w:cs="Calibri"/>
          <w:sz w:val="22"/>
          <w:szCs w:val="22"/>
        </w:rPr>
      </w:pPr>
      <w:r w:rsidRPr="00C40A0D">
        <w:rPr>
          <w:rFonts w:ascii="Figtree" w:eastAsia="Calibri" w:hAnsi="Figtree" w:cs="Calibri"/>
          <w:sz w:val="22"/>
          <w:szCs w:val="22"/>
        </w:rPr>
        <w:t>CMS has solicited comment on establishing Medicare-specific G-codes in lieu of pricing the Category III codes.</w:t>
      </w:r>
      <w:r w:rsidRPr="00C40A0D">
        <w:rPr>
          <w:rFonts w:ascii="Figtree" w:eastAsia="Calibri" w:hAnsi="Figtree" w:cs="Calibri"/>
          <w:sz w:val="22"/>
          <w:szCs w:val="22"/>
          <w:vertAlign w:val="superscript"/>
        </w:rPr>
        <w:t>1</w:t>
      </w:r>
      <w:r w:rsidRPr="00C40A0D">
        <w:rPr>
          <w:rFonts w:ascii="Figtree" w:eastAsia="Calibri" w:hAnsi="Figtree" w:cs="Calibri"/>
          <w:sz w:val="22"/>
          <w:szCs w:val="22"/>
        </w:rPr>
        <w:t xml:space="preserve"> </w:t>
      </w:r>
      <w:r w:rsidR="00167DA6" w:rsidRPr="00167DA6">
        <w:rPr>
          <w:rFonts w:ascii="Figtree" w:eastAsia="Calibri" w:hAnsi="Figtree" w:cs="Calibri"/>
          <w:sz w:val="22"/>
          <w:szCs w:val="22"/>
        </w:rPr>
        <w:t xml:space="preserve">While we support that substitution, if CMS establishes HCPCS Level II G-codes, the agency must include a valuation commitment that reflects the currently proposed RVUs. </w:t>
      </w:r>
    </w:p>
    <w:p w14:paraId="5DBB7796" w14:textId="720125F1" w:rsidR="00167DA6" w:rsidRPr="00C40A0D" w:rsidRDefault="00167DA6" w:rsidP="00167DA6">
      <w:pPr>
        <w:spacing w:after="150" w:line="258" w:lineRule="auto"/>
        <w:rPr>
          <w:rFonts w:ascii="Figtree" w:hAnsi="Figtree"/>
          <w:sz w:val="22"/>
          <w:szCs w:val="22"/>
        </w:rPr>
      </w:pPr>
      <w:r w:rsidRPr="00167DA6">
        <w:rPr>
          <w:rFonts w:ascii="Figtree" w:eastAsia="Calibri" w:hAnsi="Figtree" w:cs="Calibri"/>
          <w:sz w:val="22"/>
          <w:szCs w:val="22"/>
        </w:rPr>
        <w:t xml:space="preserve">Because newly established G-codes would be valued de novo, a substitution executed without a valuation commitment creates precisely the risk described in Recommendation 5. Successor codes automatically conformed to G0109’s finished RVU profile would cut the group code’s payment by roughly a third. </w:t>
      </w:r>
      <w:r w:rsidRPr="00C40A0D">
        <w:rPr>
          <w:rFonts w:ascii="Figtree" w:eastAsia="Calibri" w:hAnsi="Figtree" w:cs="Calibri"/>
          <w:sz w:val="22"/>
          <w:szCs w:val="22"/>
        </w:rPr>
        <w:t>Network operators make multi-year contracting and capital decisions on the strength of published valuation; the substitution should be valuation-neutral on its face.</w:t>
      </w:r>
    </w:p>
    <w:p w14:paraId="0F4C075D" w14:textId="06E88B76" w:rsidR="00104137" w:rsidRPr="00C40A0D" w:rsidRDefault="00167DA6">
      <w:pPr>
        <w:pBdr>
          <w:top w:val="single" w:sz="4" w:space="8" w:color="E8D9B5"/>
          <w:left w:val="single" w:sz="18" w:space="8" w:color="8A6100"/>
          <w:right w:val="single" w:sz="4" w:space="6" w:color="E8D9B5"/>
        </w:pBdr>
        <w:shd w:val="clear" w:color="auto" w:fill="FDF6E6"/>
        <w:spacing w:before="170" w:line="258" w:lineRule="auto"/>
        <w:ind w:left="172"/>
        <w:rPr>
          <w:rFonts w:ascii="Figtree" w:hAnsi="Figtree"/>
          <w:sz w:val="22"/>
          <w:szCs w:val="22"/>
        </w:rPr>
      </w:pPr>
      <w:r>
        <w:rPr>
          <w:rFonts w:ascii="Figtree" w:eastAsia="Calibri" w:hAnsi="Figtree" w:cs="Calibri"/>
          <w:b/>
          <w:bCs/>
          <w:color w:val="8A6100"/>
          <w:spacing w:val="12"/>
          <w:sz w:val="22"/>
          <w:szCs w:val="22"/>
        </w:rPr>
        <w:t>YOUR ORGANIZATION’S EXPERIENCE AS APPROPRIATE/RELEVANT</w:t>
      </w:r>
      <w:r w:rsidRPr="00C40A0D">
        <w:rPr>
          <w:rFonts w:ascii="Figtree" w:eastAsia="Calibri" w:hAnsi="Figtree" w:cs="Calibri"/>
          <w:b/>
          <w:bCs/>
          <w:color w:val="8A6100"/>
          <w:spacing w:val="12"/>
          <w:sz w:val="22"/>
          <w:szCs w:val="22"/>
        </w:rPr>
        <w:t xml:space="preserve"> (OPTIONAL)</w:t>
      </w:r>
    </w:p>
    <w:p w14:paraId="72C32A96" w14:textId="77777777" w:rsidR="00104137" w:rsidRPr="00C40A0D" w:rsidRDefault="00000000">
      <w:pPr>
        <w:pBdr>
          <w:left w:val="single" w:sz="18" w:space="8" w:color="8A6100"/>
          <w:bottom w:val="single" w:sz="4" w:space="8" w:color="E8D9B5"/>
          <w:right w:val="single" w:sz="4" w:space="6" w:color="E8D9B5"/>
        </w:pBdr>
        <w:shd w:val="clear" w:color="auto" w:fill="FDF6E6"/>
        <w:spacing w:before="60" w:after="120" w:line="258" w:lineRule="auto"/>
        <w:ind w:left="172"/>
        <w:rPr>
          <w:rFonts w:ascii="Figtree" w:hAnsi="Figtree"/>
          <w:sz w:val="22"/>
          <w:szCs w:val="22"/>
        </w:rPr>
      </w:pPr>
      <w:r w:rsidRPr="00C40A0D">
        <w:rPr>
          <w:rFonts w:ascii="Figtree" w:eastAsia="Calibri" w:hAnsi="Figtree" w:cs="Calibri"/>
          <w:color w:val="8A6100"/>
          <w:sz w:val="22"/>
          <w:szCs w:val="22"/>
        </w:rPr>
        <w:t xml:space="preserve">→  </w:t>
      </w:r>
      <w:r w:rsidRPr="00C40A0D">
        <w:rPr>
          <w:rFonts w:ascii="Figtree" w:eastAsia="Calibri" w:hAnsi="Figtree" w:cs="Calibri"/>
          <w:i/>
          <w:iCs/>
          <w:color w:val="333333"/>
          <w:sz w:val="22"/>
          <w:szCs w:val="22"/>
        </w:rPr>
        <w:t>What contracting, staffing, or capital decisions in your organization depend on valuation certainty over the next two to three years?</w:t>
      </w:r>
    </w:p>
    <w:p w14:paraId="4445B859"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t>Conclusion</w:t>
      </w:r>
    </w:p>
    <w:p w14:paraId="41BE11E9" w14:textId="77777777" w:rsidR="00104137" w:rsidRPr="00C40A0D" w:rsidRDefault="00000000">
      <w:pPr>
        <w:spacing w:after="150" w:line="258" w:lineRule="auto"/>
        <w:rPr>
          <w:rFonts w:ascii="Figtree" w:hAnsi="Figtree"/>
          <w:sz w:val="22"/>
          <w:szCs w:val="22"/>
        </w:rPr>
      </w:pPr>
      <w:r w:rsidRPr="00C40A0D">
        <w:rPr>
          <w:rFonts w:ascii="Figtree" w:eastAsia="Calibri" w:hAnsi="Figtree" w:cs="Calibri"/>
          <w:sz w:val="22"/>
          <w:szCs w:val="22"/>
        </w:rPr>
        <w:t>We appreciate the opportunity to comment and the Agency's leadership in extending the fee schedule to the community-based workforce. Finalized with the supervision standard, workforce recognition, coding structure, and valuation commitments described above, this benefit would reach beneficiaries through organizations that are already trusted, trained, and staffed to serve them. We would welcome the opportunity to share network-level operational and utilization detail with the Agency.</w:t>
      </w:r>
    </w:p>
    <w:p w14:paraId="33C200D8" w14:textId="77777777" w:rsidR="00104137" w:rsidRPr="00C40A0D" w:rsidRDefault="00000000">
      <w:pPr>
        <w:spacing w:after="320" w:line="258" w:lineRule="auto"/>
        <w:rPr>
          <w:rFonts w:ascii="Figtree" w:hAnsi="Figtree"/>
          <w:sz w:val="22"/>
          <w:szCs w:val="22"/>
        </w:rPr>
      </w:pPr>
      <w:r w:rsidRPr="00C40A0D">
        <w:rPr>
          <w:rFonts w:ascii="Figtree" w:eastAsia="Calibri" w:hAnsi="Figtree" w:cs="Calibri"/>
          <w:color w:val="8A6100"/>
          <w:sz w:val="22"/>
          <w:szCs w:val="22"/>
        </w:rPr>
        <w:t>Please contact [NAME, TITLE] at [EMAIL / PHONE] with any questions.</w:t>
      </w:r>
    </w:p>
    <w:p w14:paraId="34A73935" w14:textId="77777777" w:rsidR="00104137" w:rsidRPr="00C40A0D" w:rsidRDefault="00000000">
      <w:pPr>
        <w:spacing w:after="420" w:line="258" w:lineRule="auto"/>
        <w:rPr>
          <w:rFonts w:ascii="Figtree" w:hAnsi="Figtree"/>
          <w:sz w:val="22"/>
          <w:szCs w:val="22"/>
        </w:rPr>
      </w:pPr>
      <w:r w:rsidRPr="00C40A0D">
        <w:rPr>
          <w:rFonts w:ascii="Figtree" w:eastAsia="Calibri" w:hAnsi="Figtree" w:cs="Calibri"/>
          <w:sz w:val="22"/>
          <w:szCs w:val="22"/>
        </w:rPr>
        <w:t>Sincerely,</w:t>
      </w:r>
    </w:p>
    <w:p w14:paraId="0E4A7ED3" w14:textId="77777777" w:rsidR="00104137" w:rsidRPr="00C40A0D" w:rsidRDefault="00000000">
      <w:pPr>
        <w:spacing w:line="258" w:lineRule="auto"/>
        <w:rPr>
          <w:rFonts w:ascii="Figtree" w:hAnsi="Figtree"/>
          <w:sz w:val="22"/>
          <w:szCs w:val="22"/>
        </w:rPr>
      </w:pPr>
      <w:r w:rsidRPr="00C40A0D">
        <w:rPr>
          <w:rFonts w:ascii="Figtree" w:eastAsia="Calibri" w:hAnsi="Figtree" w:cs="Calibri"/>
          <w:b/>
          <w:bCs/>
          <w:color w:val="8A6100"/>
          <w:sz w:val="22"/>
          <w:szCs w:val="22"/>
        </w:rPr>
        <w:t>[NAME]</w:t>
      </w:r>
    </w:p>
    <w:p w14:paraId="5AF00C96" w14:textId="77777777" w:rsidR="00104137" w:rsidRPr="00C40A0D" w:rsidRDefault="00000000">
      <w:pPr>
        <w:spacing w:line="258" w:lineRule="auto"/>
        <w:rPr>
          <w:rFonts w:ascii="Figtree" w:hAnsi="Figtree"/>
          <w:sz w:val="22"/>
          <w:szCs w:val="22"/>
        </w:rPr>
      </w:pPr>
      <w:r w:rsidRPr="00C40A0D">
        <w:rPr>
          <w:rFonts w:ascii="Figtree" w:eastAsia="Calibri" w:hAnsi="Figtree" w:cs="Calibri"/>
          <w:color w:val="8A6100"/>
          <w:sz w:val="22"/>
          <w:szCs w:val="22"/>
        </w:rPr>
        <w:t>[TITLE]</w:t>
      </w:r>
    </w:p>
    <w:p w14:paraId="461FCF94" w14:textId="77777777" w:rsidR="00104137" w:rsidRPr="00C40A0D" w:rsidRDefault="00000000">
      <w:pPr>
        <w:spacing w:line="258" w:lineRule="auto"/>
        <w:rPr>
          <w:rFonts w:ascii="Figtree" w:hAnsi="Figtree"/>
          <w:sz w:val="22"/>
          <w:szCs w:val="22"/>
        </w:rPr>
      </w:pPr>
      <w:r w:rsidRPr="00C40A0D">
        <w:rPr>
          <w:rFonts w:ascii="Figtree" w:eastAsia="Calibri" w:hAnsi="Figtree" w:cs="Calibri"/>
          <w:color w:val="8A6100"/>
          <w:sz w:val="22"/>
          <w:szCs w:val="22"/>
        </w:rPr>
        <w:t>[ORGANIZATION]</w:t>
      </w:r>
    </w:p>
    <w:p w14:paraId="4D6B289F" w14:textId="77777777" w:rsidR="00104137" w:rsidRPr="00C40A0D" w:rsidRDefault="00000000">
      <w:pPr>
        <w:spacing w:after="200" w:line="258" w:lineRule="auto"/>
        <w:rPr>
          <w:rFonts w:ascii="Figtree" w:hAnsi="Figtree"/>
          <w:sz w:val="22"/>
          <w:szCs w:val="22"/>
        </w:rPr>
      </w:pPr>
      <w:r w:rsidRPr="00C40A0D">
        <w:rPr>
          <w:rFonts w:ascii="Figtree" w:eastAsia="Calibri" w:hAnsi="Figtree" w:cs="Calibri"/>
          <w:color w:val="8A6100"/>
          <w:sz w:val="22"/>
          <w:szCs w:val="22"/>
        </w:rPr>
        <w:t>[CITY, STATE]</w:t>
      </w:r>
    </w:p>
    <w:p w14:paraId="23023D05" w14:textId="77777777" w:rsidR="00104137" w:rsidRPr="00C40A0D" w:rsidRDefault="00000000">
      <w:pPr>
        <w:keepNext/>
        <w:pBdr>
          <w:bottom w:val="single" w:sz="6" w:space="4" w:color="BBBBBB"/>
        </w:pBdr>
        <w:spacing w:before="300" w:after="140" w:line="258" w:lineRule="auto"/>
        <w:rPr>
          <w:rFonts w:ascii="Figtree" w:hAnsi="Figtree"/>
          <w:sz w:val="22"/>
          <w:szCs w:val="22"/>
        </w:rPr>
      </w:pPr>
      <w:r w:rsidRPr="00C40A0D">
        <w:rPr>
          <w:rFonts w:ascii="Figtree" w:eastAsia="Calibri" w:hAnsi="Figtree" w:cs="Calibri"/>
          <w:b/>
          <w:bCs/>
          <w:color w:val="1F3864"/>
          <w:sz w:val="22"/>
          <w:szCs w:val="22"/>
        </w:rPr>
        <w:lastRenderedPageBreak/>
        <w:t>Sources</w:t>
      </w:r>
    </w:p>
    <w:p w14:paraId="27EBB9D1" w14:textId="3290ED11" w:rsidR="00104137" w:rsidRPr="00167DA6" w:rsidRDefault="00000000">
      <w:pPr>
        <w:pStyle w:val="ListParagraph"/>
        <w:numPr>
          <w:ilvl w:val="0"/>
          <w:numId w:val="4"/>
        </w:numPr>
        <w:spacing w:after="90"/>
        <w:rPr>
          <w:rFonts w:ascii="Figtree" w:hAnsi="Figtree"/>
          <w:sz w:val="16"/>
          <w:szCs w:val="16"/>
        </w:rPr>
      </w:pPr>
      <w:r w:rsidRPr="00167DA6">
        <w:rPr>
          <w:rFonts w:ascii="Figtree" w:eastAsia="Calibri" w:hAnsi="Figtree" w:cs="Calibri"/>
          <w:sz w:val="16"/>
          <w:szCs w:val="16"/>
        </w:rPr>
        <w:t xml:space="preserve">Centers for Medicare &amp; Medicaid Services. Medicare and Medicaid Programs; CY 2027 Payment Policies Under the Physician Fee Schedule (Proposed Rule, CMS-1848-P). Federal Register document 2026-14327 (July 16, 2026): preamble section II.D.3.c.(56). </w:t>
      </w:r>
      <w:hyperlink r:id="rId21" w:history="1">
        <w:r w:rsidR="00167DA6" w:rsidRPr="008702F2">
          <w:rPr>
            <w:rStyle w:val="Hyperlink"/>
            <w:rFonts w:ascii="Figtree" w:eastAsia="Calibri" w:hAnsi="Figtree" w:cs="Calibri"/>
            <w:sz w:val="16"/>
            <w:szCs w:val="16"/>
          </w:rPr>
          <w:t>https://www.federalregister.gov/d/2026-14327/p-610</w:t>
        </w:r>
      </w:hyperlink>
      <w:r w:rsidRPr="00167DA6">
        <w:rPr>
          <w:rFonts w:ascii="Figtree" w:eastAsia="Calibri" w:hAnsi="Figtree" w:cs="Calibri"/>
          <w:sz w:val="16"/>
          <w:szCs w:val="16"/>
        </w:rPr>
        <w:t>.</w:t>
      </w:r>
      <w:r w:rsidR="00167DA6">
        <w:rPr>
          <w:rFonts w:ascii="Figtree" w:eastAsia="Calibri" w:hAnsi="Figtree" w:cs="Calibri"/>
          <w:sz w:val="16"/>
          <w:szCs w:val="16"/>
        </w:rPr>
        <w:t xml:space="preserve">                                                                                                          </w:t>
      </w:r>
    </w:p>
    <w:p w14:paraId="194447F7" w14:textId="6287C22F" w:rsidR="00104137" w:rsidRPr="00167DA6" w:rsidRDefault="00000000">
      <w:pPr>
        <w:pStyle w:val="ListParagraph"/>
        <w:numPr>
          <w:ilvl w:val="0"/>
          <w:numId w:val="4"/>
        </w:numPr>
        <w:spacing w:after="90"/>
        <w:rPr>
          <w:rFonts w:ascii="Figtree" w:hAnsi="Figtree"/>
          <w:sz w:val="16"/>
          <w:szCs w:val="16"/>
        </w:rPr>
      </w:pPr>
      <w:r w:rsidRPr="00167DA6">
        <w:rPr>
          <w:rFonts w:ascii="Figtree" w:eastAsia="Calibri" w:hAnsi="Figtree" w:cs="Calibri"/>
          <w:sz w:val="16"/>
          <w:szCs w:val="16"/>
        </w:rPr>
        <w:t xml:space="preserve">Centers for Medicare &amp; Medicaid Services. CY 2027 PFS Proposed Rule Addenda: Addendum B (proposed relative value units; CPT 0593T and HCPCS G0109). </w:t>
      </w:r>
      <w:hyperlink r:id="rId22" w:history="1">
        <w:r w:rsidR="00167DA6" w:rsidRPr="008702F2">
          <w:rPr>
            <w:rStyle w:val="Hyperlink"/>
            <w:rFonts w:ascii="Figtree" w:eastAsia="Calibri" w:hAnsi="Figtree" w:cs="Calibri"/>
            <w:sz w:val="16"/>
            <w:szCs w:val="16"/>
          </w:rPr>
          <w:t>https://www.cms.gov/files/zip/cy-2027-pfs-proposed-rule-addenda.zip</w:t>
        </w:r>
      </w:hyperlink>
      <w:r w:rsidRPr="00167DA6">
        <w:rPr>
          <w:rFonts w:ascii="Figtree" w:eastAsia="Calibri" w:hAnsi="Figtree" w:cs="Calibri"/>
          <w:sz w:val="16"/>
          <w:szCs w:val="16"/>
        </w:rPr>
        <w:t>.</w:t>
      </w:r>
      <w:r w:rsidR="00167DA6">
        <w:rPr>
          <w:rFonts w:ascii="Figtree" w:eastAsia="Calibri" w:hAnsi="Figtree" w:cs="Calibri"/>
          <w:sz w:val="16"/>
          <w:szCs w:val="16"/>
        </w:rPr>
        <w:t xml:space="preserve"> </w:t>
      </w:r>
    </w:p>
    <w:p w14:paraId="6B899BAE" w14:textId="211C157A" w:rsidR="00104137" w:rsidRPr="00167DA6" w:rsidRDefault="00000000">
      <w:pPr>
        <w:pStyle w:val="ListParagraph"/>
        <w:numPr>
          <w:ilvl w:val="0"/>
          <w:numId w:val="4"/>
        </w:numPr>
        <w:spacing w:after="90"/>
        <w:rPr>
          <w:rFonts w:ascii="Figtree" w:hAnsi="Figtree"/>
          <w:sz w:val="16"/>
          <w:szCs w:val="16"/>
        </w:rPr>
      </w:pPr>
      <w:r w:rsidRPr="00167DA6">
        <w:rPr>
          <w:rFonts w:ascii="Figtree" w:eastAsia="Calibri" w:hAnsi="Figtree" w:cs="Calibri"/>
          <w:sz w:val="16"/>
          <w:szCs w:val="16"/>
        </w:rPr>
        <w:t>Mingo CA, Smith ML, Ahn S, Jiang L, Cho J, Towne SD Jr, Ory MG. Chronic Disease Self-Management Education (CDSME) program delivery and attendance among urban-dwelling African Americans. Frontiers in Public Health. 2015;2:174. doi:10.3389/fpubh.2014.00174.</w:t>
      </w:r>
      <w:r w:rsidR="00167DA6">
        <w:rPr>
          <w:rFonts w:ascii="Figtree" w:eastAsia="Calibri" w:hAnsi="Figtree" w:cs="Calibri"/>
          <w:sz w:val="16"/>
          <w:szCs w:val="16"/>
        </w:rPr>
        <w:t xml:space="preserve"> </w:t>
      </w:r>
    </w:p>
    <w:p w14:paraId="192650F5" w14:textId="1D034288" w:rsidR="00104137" w:rsidRPr="00167DA6" w:rsidRDefault="00000000">
      <w:pPr>
        <w:pStyle w:val="ListParagraph"/>
        <w:numPr>
          <w:ilvl w:val="0"/>
          <w:numId w:val="4"/>
        </w:numPr>
        <w:spacing w:after="90"/>
        <w:rPr>
          <w:rFonts w:ascii="Figtree" w:hAnsi="Figtree"/>
          <w:sz w:val="16"/>
          <w:szCs w:val="16"/>
        </w:rPr>
      </w:pPr>
      <w:r w:rsidRPr="00167DA6">
        <w:rPr>
          <w:rFonts w:ascii="Figtree" w:eastAsia="Calibri" w:hAnsi="Figtree" w:cs="Calibri"/>
          <w:sz w:val="16"/>
          <w:szCs w:val="16"/>
        </w:rPr>
        <w:t>Coyle P, Tripken J, Perera S, Juarez GA, Spencer-Brown L, Cameron K, Brach JS. Dissemination and implementation of evidence-based programs for people with chronic disease: the impact of the COVID-19 pandemic. Frontiers in Public Health. 2024;11:1276387. doi:10.3389/fpubh.2023.1276387.</w:t>
      </w:r>
      <w:r w:rsidR="00167DA6">
        <w:rPr>
          <w:rFonts w:ascii="Figtree" w:eastAsia="Calibri" w:hAnsi="Figtree" w:cs="Calibri"/>
          <w:sz w:val="16"/>
          <w:szCs w:val="16"/>
        </w:rPr>
        <w:t xml:space="preserve"> </w:t>
      </w:r>
    </w:p>
    <w:p w14:paraId="6DFC8C76" w14:textId="46F1E1A7" w:rsidR="00104137" w:rsidRPr="00167DA6" w:rsidRDefault="00000000">
      <w:pPr>
        <w:pStyle w:val="ListParagraph"/>
        <w:numPr>
          <w:ilvl w:val="0"/>
          <w:numId w:val="4"/>
        </w:numPr>
        <w:spacing w:after="90"/>
        <w:rPr>
          <w:rFonts w:ascii="Figtree" w:hAnsi="Figtree"/>
          <w:sz w:val="16"/>
          <w:szCs w:val="16"/>
        </w:rPr>
      </w:pPr>
      <w:r w:rsidRPr="00167DA6">
        <w:rPr>
          <w:rFonts w:ascii="Figtree" w:eastAsia="Calibri" w:hAnsi="Figtree" w:cs="Calibri"/>
          <w:sz w:val="16"/>
          <w:szCs w:val="16"/>
        </w:rPr>
        <w:t xml:space="preserve">Administration for Community Living. Health Promotion: Evidence-Based Disease Prevention Program Criteria. </w:t>
      </w:r>
      <w:hyperlink r:id="rId23" w:history="1">
        <w:r w:rsidR="00167DA6" w:rsidRPr="008702F2">
          <w:rPr>
            <w:rStyle w:val="Hyperlink"/>
            <w:rFonts w:ascii="Figtree" w:eastAsia="Calibri" w:hAnsi="Figtree" w:cs="Calibri"/>
            <w:sz w:val="16"/>
            <w:szCs w:val="16"/>
          </w:rPr>
          <w:t>https://acl.gov/programs/health-wellness/disease-prevention</w:t>
        </w:r>
      </w:hyperlink>
      <w:r w:rsidRPr="00167DA6">
        <w:rPr>
          <w:rFonts w:ascii="Figtree" w:eastAsia="Calibri" w:hAnsi="Figtree" w:cs="Calibri"/>
          <w:sz w:val="16"/>
          <w:szCs w:val="16"/>
        </w:rPr>
        <w:t>.</w:t>
      </w:r>
      <w:r w:rsidR="00167DA6">
        <w:rPr>
          <w:rFonts w:ascii="Figtree" w:eastAsia="Calibri" w:hAnsi="Figtree" w:cs="Calibri"/>
          <w:sz w:val="16"/>
          <w:szCs w:val="16"/>
        </w:rPr>
        <w:t xml:space="preserve"> </w:t>
      </w:r>
    </w:p>
    <w:p w14:paraId="0CA57352" w14:textId="18266A70" w:rsidR="00104137" w:rsidRPr="00167DA6" w:rsidRDefault="00000000">
      <w:pPr>
        <w:pStyle w:val="ListParagraph"/>
        <w:numPr>
          <w:ilvl w:val="0"/>
          <w:numId w:val="4"/>
        </w:numPr>
        <w:spacing w:after="90"/>
        <w:rPr>
          <w:rFonts w:ascii="Figtree" w:hAnsi="Figtree"/>
          <w:sz w:val="16"/>
          <w:szCs w:val="16"/>
        </w:rPr>
      </w:pPr>
      <w:r w:rsidRPr="00167DA6">
        <w:rPr>
          <w:rFonts w:ascii="Figtree" w:eastAsia="Calibri" w:hAnsi="Figtree" w:cs="Calibri"/>
          <w:sz w:val="16"/>
          <w:szCs w:val="16"/>
        </w:rPr>
        <w:t xml:space="preserve">American Medical Association. CPT Category III Codes (emerging technology, temporary tracking code set). </w:t>
      </w:r>
      <w:hyperlink r:id="rId24" w:history="1">
        <w:r w:rsidR="00167DA6" w:rsidRPr="008702F2">
          <w:rPr>
            <w:rStyle w:val="Hyperlink"/>
            <w:rFonts w:ascii="Figtree" w:eastAsia="Calibri" w:hAnsi="Figtree" w:cs="Calibri"/>
            <w:sz w:val="16"/>
            <w:szCs w:val="16"/>
          </w:rPr>
          <w:t>https://www.ama-assn.org/practice-management/cpt/category-iii-codes</w:t>
        </w:r>
      </w:hyperlink>
      <w:r w:rsidRPr="00167DA6">
        <w:rPr>
          <w:rFonts w:ascii="Figtree" w:eastAsia="Calibri" w:hAnsi="Figtree" w:cs="Calibri"/>
          <w:sz w:val="16"/>
          <w:szCs w:val="16"/>
        </w:rPr>
        <w:t>.</w:t>
      </w:r>
      <w:r w:rsidR="00167DA6">
        <w:rPr>
          <w:rFonts w:ascii="Figtree" w:eastAsia="Calibri" w:hAnsi="Figtree" w:cs="Calibri"/>
          <w:sz w:val="16"/>
          <w:szCs w:val="16"/>
        </w:rPr>
        <w:t xml:space="preserve"> </w:t>
      </w:r>
    </w:p>
    <w:sectPr w:rsidR="00104137" w:rsidRPr="00167DA6">
      <w:footerReference w:type="default" r:id="rId25"/>
      <w:pgSz w:w="12240" w:h="15840"/>
      <w:pgMar w:top="1296" w:right="1440" w:bottom="1296"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7FF76" w14:textId="77777777" w:rsidR="00FF7161" w:rsidRDefault="00FF7161">
      <w:r>
        <w:separator/>
      </w:r>
    </w:p>
  </w:endnote>
  <w:endnote w:type="continuationSeparator" w:id="0">
    <w:p w14:paraId="3EFDEB96" w14:textId="77777777" w:rsidR="00FF7161" w:rsidRDefault="00FF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gtree">
    <w:altName w:val="Calibri"/>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A497" w14:textId="77777777" w:rsidR="00104137" w:rsidRDefault="00000000">
    <w:pPr>
      <w:jc w:val="center"/>
    </w:pPr>
    <w:r>
      <w:rPr>
        <w:rFonts w:ascii="Calibri" w:eastAsia="Calibri" w:hAnsi="Calibri" w:cs="Calibri"/>
        <w:color w:val="808080"/>
        <w:sz w:val="15"/>
        <w:szCs w:val="15"/>
      </w:rPr>
      <w:t xml:space="preserve">Partnership to Align Community Care  ·  Sign-On Comment Template, CMS-1848-P  ·  Page </w:t>
    </w:r>
    <w:r>
      <w:rPr>
        <w:rFonts w:ascii="Calibri" w:eastAsia="Calibri" w:hAnsi="Calibri" w:cs="Calibri"/>
        <w:color w:val="808080"/>
        <w:sz w:val="15"/>
        <w:szCs w:val="15"/>
      </w:rPr>
      <w:fldChar w:fldCharType="begin"/>
    </w:r>
    <w:r>
      <w:rPr>
        <w:rFonts w:ascii="Calibri" w:eastAsia="Calibri" w:hAnsi="Calibri" w:cs="Calibri"/>
        <w:color w:val="808080"/>
        <w:sz w:val="15"/>
        <w:szCs w:val="15"/>
      </w:rPr>
      <w:instrText>PAGE</w:instrText>
    </w:r>
    <w:r>
      <w:rPr>
        <w:rFonts w:ascii="Calibri" w:eastAsia="Calibri" w:hAnsi="Calibri" w:cs="Calibri"/>
        <w:color w:val="808080"/>
        <w:sz w:val="15"/>
        <w:szCs w:val="15"/>
      </w:rPr>
      <w:fldChar w:fldCharType="separate"/>
    </w:r>
    <w:r w:rsidR="00C40A0D">
      <w:rPr>
        <w:rFonts w:ascii="Calibri" w:eastAsia="Calibri" w:hAnsi="Calibri" w:cs="Calibri"/>
        <w:noProof/>
        <w:color w:val="808080"/>
        <w:sz w:val="15"/>
        <w:szCs w:val="15"/>
      </w:rPr>
      <w:t>1</w:t>
    </w:r>
    <w:r>
      <w:rPr>
        <w:rFonts w:ascii="Calibri" w:eastAsia="Calibri" w:hAnsi="Calibri" w:cs="Calibri"/>
        <w:color w:val="808080"/>
        <w:sz w:val="15"/>
        <w:szCs w:val="15"/>
      </w:rPr>
      <w:fldChar w:fldCharType="end"/>
    </w:r>
    <w:r>
      <w:rPr>
        <w:rFonts w:ascii="Calibri" w:eastAsia="Calibri" w:hAnsi="Calibri" w:cs="Calibri"/>
        <w:color w:val="808080"/>
        <w:sz w:val="15"/>
        <w:szCs w:val="15"/>
      </w:rPr>
      <w:t xml:space="preserve"> of </w:t>
    </w:r>
    <w:r>
      <w:rPr>
        <w:rFonts w:ascii="Calibri" w:eastAsia="Calibri" w:hAnsi="Calibri" w:cs="Calibri"/>
        <w:color w:val="808080"/>
        <w:sz w:val="15"/>
        <w:szCs w:val="15"/>
      </w:rPr>
      <w:fldChar w:fldCharType="begin"/>
    </w:r>
    <w:r>
      <w:rPr>
        <w:rFonts w:ascii="Calibri" w:eastAsia="Calibri" w:hAnsi="Calibri" w:cs="Calibri"/>
        <w:color w:val="808080"/>
        <w:sz w:val="15"/>
        <w:szCs w:val="15"/>
      </w:rPr>
      <w:instrText>NUMPAGES</w:instrText>
    </w:r>
    <w:r>
      <w:rPr>
        <w:rFonts w:ascii="Calibri" w:eastAsia="Calibri" w:hAnsi="Calibri" w:cs="Calibri"/>
        <w:color w:val="808080"/>
        <w:sz w:val="15"/>
        <w:szCs w:val="15"/>
      </w:rPr>
      <w:fldChar w:fldCharType="separate"/>
    </w:r>
    <w:r w:rsidR="00C40A0D">
      <w:rPr>
        <w:rFonts w:ascii="Calibri" w:eastAsia="Calibri" w:hAnsi="Calibri" w:cs="Calibri"/>
        <w:noProof/>
        <w:color w:val="808080"/>
        <w:sz w:val="15"/>
        <w:szCs w:val="15"/>
      </w:rPr>
      <w:t>2</w:t>
    </w:r>
    <w:r>
      <w:rPr>
        <w:rFonts w:ascii="Calibri" w:eastAsia="Calibri" w:hAnsi="Calibri" w:cs="Calibri"/>
        <w:color w:val="80808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EDEDC" w14:textId="77777777" w:rsidR="00FF7161" w:rsidRDefault="00FF7161">
      <w:r>
        <w:separator/>
      </w:r>
    </w:p>
  </w:footnote>
  <w:footnote w:type="continuationSeparator" w:id="0">
    <w:p w14:paraId="572C0C7F" w14:textId="77777777" w:rsidR="00FF7161" w:rsidRDefault="00FF7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059F"/>
    <w:multiLevelType w:val="hybridMultilevel"/>
    <w:tmpl w:val="C22A72E6"/>
    <w:lvl w:ilvl="0" w:tplc="80E0A0F6">
      <w:start w:val="1"/>
      <w:numFmt w:val="bullet"/>
      <w:lvlText w:val="•"/>
      <w:lvlJc w:val="left"/>
      <w:pPr>
        <w:ind w:left="547" w:hanging="273"/>
      </w:pPr>
    </w:lvl>
    <w:lvl w:ilvl="1" w:tplc="9E7A2048">
      <w:numFmt w:val="decimal"/>
      <w:lvlText w:val=""/>
      <w:lvlJc w:val="left"/>
    </w:lvl>
    <w:lvl w:ilvl="2" w:tplc="CB18D68C">
      <w:numFmt w:val="decimal"/>
      <w:lvlText w:val=""/>
      <w:lvlJc w:val="left"/>
    </w:lvl>
    <w:lvl w:ilvl="3" w:tplc="561A89AA">
      <w:numFmt w:val="decimal"/>
      <w:lvlText w:val=""/>
      <w:lvlJc w:val="left"/>
    </w:lvl>
    <w:lvl w:ilvl="4" w:tplc="A9D4C13E">
      <w:numFmt w:val="decimal"/>
      <w:lvlText w:val=""/>
      <w:lvlJc w:val="left"/>
    </w:lvl>
    <w:lvl w:ilvl="5" w:tplc="EE886B06">
      <w:numFmt w:val="decimal"/>
      <w:lvlText w:val=""/>
      <w:lvlJc w:val="left"/>
    </w:lvl>
    <w:lvl w:ilvl="6" w:tplc="3306EBCA">
      <w:numFmt w:val="decimal"/>
      <w:lvlText w:val=""/>
      <w:lvlJc w:val="left"/>
    </w:lvl>
    <w:lvl w:ilvl="7" w:tplc="3AC60F98">
      <w:numFmt w:val="decimal"/>
      <w:lvlText w:val=""/>
      <w:lvlJc w:val="left"/>
    </w:lvl>
    <w:lvl w:ilvl="8" w:tplc="780E1750">
      <w:numFmt w:val="decimal"/>
      <w:lvlText w:val=""/>
      <w:lvlJc w:val="left"/>
    </w:lvl>
  </w:abstractNum>
  <w:abstractNum w:abstractNumId="1" w15:restartNumberingAfterBreak="0">
    <w:nsid w:val="056343C2"/>
    <w:multiLevelType w:val="hybridMultilevel"/>
    <w:tmpl w:val="5F4E99AA"/>
    <w:lvl w:ilvl="0" w:tplc="8B06E556">
      <w:start w:val="1"/>
      <w:numFmt w:val="decimal"/>
      <w:lvlText w:val="%1."/>
      <w:lvlJc w:val="left"/>
      <w:pPr>
        <w:ind w:left="518" w:hanging="518"/>
      </w:pPr>
    </w:lvl>
    <w:lvl w:ilvl="1" w:tplc="9000B312">
      <w:numFmt w:val="decimal"/>
      <w:lvlText w:val=""/>
      <w:lvlJc w:val="left"/>
    </w:lvl>
    <w:lvl w:ilvl="2" w:tplc="62DC2376">
      <w:numFmt w:val="decimal"/>
      <w:lvlText w:val=""/>
      <w:lvlJc w:val="left"/>
    </w:lvl>
    <w:lvl w:ilvl="3" w:tplc="AB764E02">
      <w:numFmt w:val="decimal"/>
      <w:lvlText w:val=""/>
      <w:lvlJc w:val="left"/>
    </w:lvl>
    <w:lvl w:ilvl="4" w:tplc="0C80F5BE">
      <w:numFmt w:val="decimal"/>
      <w:lvlText w:val=""/>
      <w:lvlJc w:val="left"/>
    </w:lvl>
    <w:lvl w:ilvl="5" w:tplc="3AEE1A78">
      <w:numFmt w:val="decimal"/>
      <w:lvlText w:val=""/>
      <w:lvlJc w:val="left"/>
    </w:lvl>
    <w:lvl w:ilvl="6" w:tplc="E376E59C">
      <w:numFmt w:val="decimal"/>
      <w:lvlText w:val=""/>
      <w:lvlJc w:val="left"/>
    </w:lvl>
    <w:lvl w:ilvl="7" w:tplc="400A47FC">
      <w:numFmt w:val="decimal"/>
      <w:lvlText w:val=""/>
      <w:lvlJc w:val="left"/>
    </w:lvl>
    <w:lvl w:ilvl="8" w:tplc="14820B66">
      <w:numFmt w:val="decimal"/>
      <w:lvlText w:val=""/>
      <w:lvlJc w:val="left"/>
    </w:lvl>
  </w:abstractNum>
  <w:abstractNum w:abstractNumId="2" w15:restartNumberingAfterBreak="0">
    <w:nsid w:val="1252000D"/>
    <w:multiLevelType w:val="hybridMultilevel"/>
    <w:tmpl w:val="36CC7A80"/>
    <w:lvl w:ilvl="0" w:tplc="DDB4CEEA">
      <w:start w:val="1"/>
      <w:numFmt w:val="decimal"/>
      <w:lvlText w:val="%1."/>
      <w:lvlJc w:val="left"/>
      <w:pPr>
        <w:ind w:left="576" w:hanging="360"/>
      </w:pPr>
    </w:lvl>
    <w:lvl w:ilvl="1" w:tplc="9E886FEE">
      <w:numFmt w:val="decimal"/>
      <w:lvlText w:val=""/>
      <w:lvlJc w:val="left"/>
    </w:lvl>
    <w:lvl w:ilvl="2" w:tplc="561E2F14">
      <w:numFmt w:val="decimal"/>
      <w:lvlText w:val=""/>
      <w:lvlJc w:val="left"/>
    </w:lvl>
    <w:lvl w:ilvl="3" w:tplc="567C571C">
      <w:numFmt w:val="decimal"/>
      <w:lvlText w:val=""/>
      <w:lvlJc w:val="left"/>
    </w:lvl>
    <w:lvl w:ilvl="4" w:tplc="3BB29F58">
      <w:numFmt w:val="decimal"/>
      <w:lvlText w:val=""/>
      <w:lvlJc w:val="left"/>
    </w:lvl>
    <w:lvl w:ilvl="5" w:tplc="87626272">
      <w:numFmt w:val="decimal"/>
      <w:lvlText w:val=""/>
      <w:lvlJc w:val="left"/>
    </w:lvl>
    <w:lvl w:ilvl="6" w:tplc="39085EB2">
      <w:numFmt w:val="decimal"/>
      <w:lvlText w:val=""/>
      <w:lvlJc w:val="left"/>
    </w:lvl>
    <w:lvl w:ilvl="7" w:tplc="6A048F9C">
      <w:numFmt w:val="decimal"/>
      <w:lvlText w:val=""/>
      <w:lvlJc w:val="left"/>
    </w:lvl>
    <w:lvl w:ilvl="8" w:tplc="C5641534">
      <w:numFmt w:val="decimal"/>
      <w:lvlText w:val=""/>
      <w:lvlJc w:val="left"/>
    </w:lvl>
  </w:abstractNum>
  <w:abstractNum w:abstractNumId="3" w15:restartNumberingAfterBreak="0">
    <w:nsid w:val="327436DF"/>
    <w:multiLevelType w:val="hybridMultilevel"/>
    <w:tmpl w:val="907EBB76"/>
    <w:lvl w:ilvl="0" w:tplc="575E45D8">
      <w:start w:val="1"/>
      <w:numFmt w:val="decimal"/>
      <w:lvlText w:val="%1."/>
      <w:lvlJc w:val="left"/>
      <w:pPr>
        <w:ind w:left="576" w:hanging="360"/>
      </w:pPr>
    </w:lvl>
    <w:lvl w:ilvl="1" w:tplc="D3305A20">
      <w:numFmt w:val="decimal"/>
      <w:lvlText w:val=""/>
      <w:lvlJc w:val="left"/>
    </w:lvl>
    <w:lvl w:ilvl="2" w:tplc="0FD8570A">
      <w:numFmt w:val="decimal"/>
      <w:lvlText w:val=""/>
      <w:lvlJc w:val="left"/>
    </w:lvl>
    <w:lvl w:ilvl="3" w:tplc="897497BC">
      <w:numFmt w:val="decimal"/>
      <w:lvlText w:val=""/>
      <w:lvlJc w:val="left"/>
    </w:lvl>
    <w:lvl w:ilvl="4" w:tplc="AC5275EA">
      <w:numFmt w:val="decimal"/>
      <w:lvlText w:val=""/>
      <w:lvlJc w:val="left"/>
    </w:lvl>
    <w:lvl w:ilvl="5" w:tplc="065A1208">
      <w:numFmt w:val="decimal"/>
      <w:lvlText w:val=""/>
      <w:lvlJc w:val="left"/>
    </w:lvl>
    <w:lvl w:ilvl="6" w:tplc="362ED5E8">
      <w:numFmt w:val="decimal"/>
      <w:lvlText w:val=""/>
      <w:lvlJc w:val="left"/>
    </w:lvl>
    <w:lvl w:ilvl="7" w:tplc="AD1EC26A">
      <w:numFmt w:val="decimal"/>
      <w:lvlText w:val=""/>
      <w:lvlJc w:val="left"/>
    </w:lvl>
    <w:lvl w:ilvl="8" w:tplc="DFF6836A">
      <w:numFmt w:val="decimal"/>
      <w:lvlText w:val=""/>
      <w:lvlJc w:val="left"/>
    </w:lvl>
  </w:abstractNum>
  <w:abstractNum w:abstractNumId="4" w15:restartNumberingAfterBreak="0">
    <w:nsid w:val="653F6425"/>
    <w:multiLevelType w:val="hybridMultilevel"/>
    <w:tmpl w:val="3BC41DAA"/>
    <w:lvl w:ilvl="0" w:tplc="744CE96E">
      <w:start w:val="1"/>
      <w:numFmt w:val="bullet"/>
      <w:lvlText w:val="●"/>
      <w:lvlJc w:val="left"/>
      <w:pPr>
        <w:ind w:left="720" w:hanging="360"/>
      </w:pPr>
    </w:lvl>
    <w:lvl w:ilvl="1" w:tplc="B77CB178">
      <w:start w:val="1"/>
      <w:numFmt w:val="bullet"/>
      <w:lvlText w:val="○"/>
      <w:lvlJc w:val="left"/>
      <w:pPr>
        <w:ind w:left="1440" w:hanging="360"/>
      </w:pPr>
    </w:lvl>
    <w:lvl w:ilvl="2" w:tplc="B5843C40">
      <w:start w:val="1"/>
      <w:numFmt w:val="bullet"/>
      <w:lvlText w:val="■"/>
      <w:lvlJc w:val="left"/>
      <w:pPr>
        <w:ind w:left="2160" w:hanging="360"/>
      </w:pPr>
    </w:lvl>
    <w:lvl w:ilvl="3" w:tplc="B526EEE8">
      <w:start w:val="1"/>
      <w:numFmt w:val="bullet"/>
      <w:lvlText w:val="●"/>
      <w:lvlJc w:val="left"/>
      <w:pPr>
        <w:ind w:left="2880" w:hanging="360"/>
      </w:pPr>
    </w:lvl>
    <w:lvl w:ilvl="4" w:tplc="E8F493A6">
      <w:start w:val="1"/>
      <w:numFmt w:val="bullet"/>
      <w:lvlText w:val="○"/>
      <w:lvlJc w:val="left"/>
      <w:pPr>
        <w:ind w:left="3600" w:hanging="360"/>
      </w:pPr>
    </w:lvl>
    <w:lvl w:ilvl="5" w:tplc="B40CC67A">
      <w:start w:val="1"/>
      <w:numFmt w:val="bullet"/>
      <w:lvlText w:val="■"/>
      <w:lvlJc w:val="left"/>
      <w:pPr>
        <w:ind w:left="4320" w:hanging="360"/>
      </w:pPr>
    </w:lvl>
    <w:lvl w:ilvl="6" w:tplc="ACFCD99A">
      <w:start w:val="1"/>
      <w:numFmt w:val="bullet"/>
      <w:lvlText w:val="●"/>
      <w:lvlJc w:val="left"/>
      <w:pPr>
        <w:ind w:left="5040" w:hanging="360"/>
      </w:pPr>
    </w:lvl>
    <w:lvl w:ilvl="7" w:tplc="9146AFDC">
      <w:start w:val="1"/>
      <w:numFmt w:val="bullet"/>
      <w:lvlText w:val="●"/>
      <w:lvlJc w:val="left"/>
      <w:pPr>
        <w:ind w:left="5760" w:hanging="360"/>
      </w:pPr>
    </w:lvl>
    <w:lvl w:ilvl="8" w:tplc="38023556">
      <w:start w:val="1"/>
      <w:numFmt w:val="bullet"/>
      <w:lvlText w:val="●"/>
      <w:lvlJc w:val="left"/>
      <w:pPr>
        <w:ind w:left="6480" w:hanging="360"/>
      </w:pPr>
    </w:lvl>
  </w:abstractNum>
  <w:num w:numId="1" w16cid:durableId="1905488662">
    <w:abstractNumId w:val="4"/>
    <w:lvlOverride w:ilvl="0">
      <w:startOverride w:val="1"/>
    </w:lvlOverride>
  </w:num>
  <w:num w:numId="2" w16cid:durableId="1558541521">
    <w:abstractNumId w:val="2"/>
    <w:lvlOverride w:ilvl="0">
      <w:startOverride w:val="1"/>
    </w:lvlOverride>
  </w:num>
  <w:num w:numId="3" w16cid:durableId="1485315041">
    <w:abstractNumId w:val="0"/>
    <w:lvlOverride w:ilvl="0">
      <w:startOverride w:val="1"/>
    </w:lvlOverride>
  </w:num>
  <w:num w:numId="4" w16cid:durableId="164412017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137"/>
    <w:rsid w:val="00104137"/>
    <w:rsid w:val="00167DA6"/>
    <w:rsid w:val="00546C34"/>
    <w:rsid w:val="005615CC"/>
    <w:rsid w:val="006204A0"/>
    <w:rsid w:val="0089268B"/>
    <w:rsid w:val="00A0743E"/>
    <w:rsid w:val="00A9668A"/>
    <w:rsid w:val="00AB1D67"/>
    <w:rsid w:val="00AF2A16"/>
    <w:rsid w:val="00C40A0D"/>
    <w:rsid w:val="00D30A35"/>
    <w:rsid w:val="00E4652E"/>
    <w:rsid w:val="00F97031"/>
    <w:rsid w:val="00FF7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D9B53"/>
  <w15:docId w15:val="{E755289F-5998-4E6D-A025-2B801908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C40A0D"/>
    <w:rPr>
      <w:color w:val="605E5C"/>
      <w:shd w:val="clear" w:color="auto" w:fill="E1DFDD"/>
    </w:rPr>
  </w:style>
  <w:style w:type="character" w:styleId="FollowedHyperlink">
    <w:name w:val="FollowedHyperlink"/>
    <w:basedOn w:val="DefaultParagraphFont"/>
    <w:uiPriority w:val="99"/>
    <w:semiHidden/>
    <w:unhideWhenUsed/>
    <w:rsid w:val="005615C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26/07/16/2026-14327/medicare-and-medicaid-programs-cy-2027-payment-policies-under-the-physician-fee-schedule-and-other" TargetMode="External"/><Relationship Id="rId13" Type="http://schemas.openxmlformats.org/officeDocument/2006/relationships/hyperlink" Target="https://cdn.prod.website-files.com/690a402a21e3fdb10305a1d0/6aa25f8cc9fc07bcca223f6d_1bc054f8b8ebaf549465809c668752db_Partnership%20Comment%20Letter%20CY%202027%20Mcare%20PFS%209.14.26%20SIGN-ON.docx" TargetMode="External"/><Relationship Id="rId18" Type="http://schemas.openxmlformats.org/officeDocument/2006/relationships/hyperlink" Target="https://www.cms.gov/files/zip/cy-2027-pfs-proposed-rule-addenda.zi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federalregister.gov/d/2026-14327/p-610" TargetMode="External"/><Relationship Id="rId7" Type="http://schemas.openxmlformats.org/officeDocument/2006/relationships/hyperlink" Target="https://www.federalregister.gov/documents/2026/07/16/2026-14327/medicare-and-medicaid-programs-cy-2027-payment-policies-under-the-physician-fee-schedule-and-other" TargetMode="External"/><Relationship Id="rId12" Type="http://schemas.openxmlformats.org/officeDocument/2006/relationships/hyperlink" Target="https://forms.gle/is2yBozFcXZWVHRw6" TargetMode="External"/><Relationship Id="rId17" Type="http://schemas.openxmlformats.org/officeDocument/2006/relationships/hyperlink" Target="https://www.federalregister.gov/d/2026-14327/p-61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acampbell@partnership2acc.org" TargetMode="External"/><Relationship Id="rId20" Type="http://schemas.openxmlformats.org/officeDocument/2006/relationships/hyperlink" Target="https://www.ama-assn.org/practice-management/cpt/category-iii-cod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is2yBozFcXZWVHRw6" TargetMode="External"/><Relationship Id="rId24" Type="http://schemas.openxmlformats.org/officeDocument/2006/relationships/hyperlink" Target="https://www.ama-assn.org/practice-management/cpt/category-iii-codes" TargetMode="External"/><Relationship Id="rId5" Type="http://schemas.openxmlformats.org/officeDocument/2006/relationships/footnotes" Target="footnotes.xml"/><Relationship Id="rId15" Type="http://schemas.openxmlformats.org/officeDocument/2006/relationships/hyperlink" Target="https://www.federalregister.gov/documents/2026/07/16/2026-14327/medicare-and-medicaid-programs-cy-2027-payment-policies-under-the-physician-fee-schedule-and-other" TargetMode="External"/><Relationship Id="rId23" Type="http://schemas.openxmlformats.org/officeDocument/2006/relationships/hyperlink" Target="https://acl.gov/programs/health-wellness/disease-prevention" TargetMode="External"/><Relationship Id="rId10" Type="http://schemas.openxmlformats.org/officeDocument/2006/relationships/hyperlink" Target="https://cdn.prod.website-files.com/690a402a21e3fdb10305a1d0/6aa25f8cc9fc07bcca223f6d_1bc054f8b8ebaf549465809c668752db_Partnership%20Comment%20Letter%20CY%202027%20Mcare%20PFS%209.14.26%20SIGN-ON.docx" TargetMode="External"/><Relationship Id="rId19" Type="http://schemas.openxmlformats.org/officeDocument/2006/relationships/hyperlink" Target="https://acl.gov/programs/health-wellness/disease-prevention" TargetMode="External"/><Relationship Id="rId4" Type="http://schemas.openxmlformats.org/officeDocument/2006/relationships/webSettings" Target="webSettings.xml"/><Relationship Id="rId9" Type="http://schemas.openxmlformats.org/officeDocument/2006/relationships/hyperlink" Target="https://www.federalregister.gov/d/2026-14327/p-610" TargetMode="External"/><Relationship Id="rId14" Type="http://schemas.openxmlformats.org/officeDocument/2006/relationships/hyperlink" Target="https://forms.gle/is2yBozFcXZWVHRw6" TargetMode="External"/><Relationship Id="rId22" Type="http://schemas.openxmlformats.org/officeDocument/2006/relationships/hyperlink" Target="https://www.cms.gov/files/zip/cy-2027-pfs-proposed-rule-addenda.zip"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551</TotalTime>
  <Pages>13</Pages>
  <Words>4359</Words>
  <Characters>28204</Characters>
  <Application>Microsoft Office Word</Application>
  <DocSecurity>0</DocSecurity>
  <Lines>447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Autumn Campbell</cp:lastModifiedBy>
  <cp:revision>10</cp:revision>
  <dcterms:created xsi:type="dcterms:W3CDTF">2026-09-09T23:16:00Z</dcterms:created>
  <dcterms:modified xsi:type="dcterms:W3CDTF">2026-09-10T08:22:00Z</dcterms:modified>
</cp:coreProperties>
</file>