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10" w:rsidRDefault="00326810" w:rsidP="00E41A20">
      <w:pPr>
        <w:ind w:right="432"/>
        <w:jc w:val="right"/>
        <w:rPr>
          <w:rFonts w:ascii="Trebuchet MS" w:hAnsi="Trebuchet MS" w:cs="Trebuchet MS"/>
          <w:b/>
          <w:color w:val="000000"/>
        </w:rPr>
      </w:pPr>
    </w:p>
    <w:p w:rsidR="00326810" w:rsidRDefault="00326810" w:rsidP="00E41A20">
      <w:pPr>
        <w:ind w:right="432"/>
        <w:jc w:val="right"/>
        <w:rPr>
          <w:rFonts w:ascii="Trebuchet MS" w:hAnsi="Trebuchet MS" w:cs="Trebuchet MS"/>
          <w:b/>
          <w:color w:val="000000"/>
        </w:rPr>
      </w:pPr>
    </w:p>
    <w:p w:rsidR="00E41A20" w:rsidRPr="003839A9" w:rsidRDefault="00E41A20" w:rsidP="00E41A20">
      <w:pPr>
        <w:ind w:right="432"/>
        <w:jc w:val="right"/>
        <w:rPr>
          <w:rFonts w:ascii="Trebuchet MS" w:hAnsi="Trebuchet MS" w:cs="Trebuchet MS"/>
          <w:b/>
          <w:color w:val="000000"/>
        </w:rPr>
      </w:pPr>
      <w:proofErr w:type="spellStart"/>
      <w:r w:rsidRPr="003839A9">
        <w:rPr>
          <w:rFonts w:ascii="Trebuchet MS" w:hAnsi="Trebuchet MS" w:cs="Trebuchet MS"/>
          <w:b/>
          <w:color w:val="000000"/>
        </w:rPr>
        <w:t>Anexa</w:t>
      </w:r>
      <w:proofErr w:type="spellEnd"/>
      <w:r w:rsidRPr="003839A9">
        <w:rPr>
          <w:rFonts w:ascii="Trebuchet MS" w:hAnsi="Trebuchet MS" w:cs="Trebuchet MS"/>
          <w:b/>
          <w:color w:val="000000"/>
        </w:rPr>
        <w:t xml:space="preserve"> nr. 3</w:t>
      </w:r>
    </w:p>
    <w:p w:rsidR="00E41A20" w:rsidRDefault="00E41A20" w:rsidP="00E41A20">
      <w:pPr>
        <w:jc w:val="both"/>
        <w:rPr>
          <w:rFonts w:ascii="Trebuchet MS" w:hAnsi="Trebuchet MS"/>
          <w:b/>
          <w:bCs/>
          <w:sz w:val="22"/>
          <w:szCs w:val="22"/>
          <w:lang w:val="ro-RO"/>
        </w:rPr>
      </w:pPr>
    </w:p>
    <w:p w:rsidR="00E41A20" w:rsidRDefault="00E41A20" w:rsidP="00E41A20">
      <w:pPr>
        <w:jc w:val="both"/>
        <w:rPr>
          <w:rFonts w:ascii="Trebuchet MS" w:hAnsi="Trebuchet MS"/>
          <w:b/>
          <w:bCs/>
          <w:sz w:val="22"/>
          <w:szCs w:val="22"/>
          <w:lang w:val="ro-RO"/>
        </w:rPr>
      </w:pPr>
    </w:p>
    <w:p w:rsidR="00E41A20" w:rsidRDefault="00E41A20" w:rsidP="00E41A20">
      <w:pPr>
        <w:jc w:val="both"/>
        <w:rPr>
          <w:rFonts w:ascii="Trebuchet MS" w:hAnsi="Trebuchet MS"/>
          <w:b/>
          <w:bCs/>
          <w:sz w:val="22"/>
          <w:szCs w:val="22"/>
          <w:lang w:val="ro-RO"/>
        </w:rPr>
      </w:pPr>
      <w:r w:rsidRPr="003839A9">
        <w:rPr>
          <w:rFonts w:ascii="Trebuchet MS" w:hAnsi="Trebuchet MS"/>
          <w:b/>
          <w:bCs/>
          <w:sz w:val="22"/>
          <w:szCs w:val="22"/>
          <w:lang w:val="ro-RO"/>
        </w:rPr>
        <w:t>Atribuții</w:t>
      </w:r>
      <w:r>
        <w:rPr>
          <w:rFonts w:ascii="Trebuchet MS" w:hAnsi="Trebuchet MS"/>
          <w:b/>
          <w:bCs/>
          <w:sz w:val="22"/>
          <w:szCs w:val="22"/>
          <w:lang w:val="ro-RO"/>
        </w:rPr>
        <w:t xml:space="preserve"> – </w:t>
      </w:r>
      <w:r>
        <w:rPr>
          <w:rFonts w:ascii="Trebuchet MS" w:hAnsi="Trebuchet MS" w:cs="Trebuchet MS"/>
          <w:b/>
          <w:color w:val="000000"/>
        </w:rPr>
        <w:t xml:space="preserve">Expert </w:t>
      </w:r>
      <w:r>
        <w:rPr>
          <w:rFonts w:ascii="Trebuchet MS" w:hAnsi="Trebuchet MS"/>
          <w:b/>
          <w:bCs/>
          <w:sz w:val="22"/>
          <w:szCs w:val="22"/>
          <w:lang w:val="ro-RO"/>
        </w:rPr>
        <w:t>gradul IA</w:t>
      </w:r>
    </w:p>
    <w:p w:rsidR="00E41A20" w:rsidRDefault="00E41A20" w:rsidP="00E41A20">
      <w:pPr>
        <w:jc w:val="both"/>
        <w:rPr>
          <w:rFonts w:ascii="Trebuchet MS" w:hAnsi="Trebuchet MS"/>
          <w:b/>
          <w:bCs/>
          <w:sz w:val="22"/>
          <w:szCs w:val="22"/>
          <w:lang w:val="ro-RO"/>
        </w:rPr>
      </w:pPr>
      <w:r>
        <w:rPr>
          <w:rFonts w:ascii="Trebuchet MS" w:hAnsi="Trebuchet MS"/>
          <w:b/>
          <w:bCs/>
          <w:sz w:val="22"/>
          <w:szCs w:val="22"/>
          <w:lang w:val="ro-RO"/>
        </w:rPr>
        <w:t>Serviciul Infrastructură – Direcția Transformare Digitală</w:t>
      </w:r>
    </w:p>
    <w:p w:rsidR="00E41A20" w:rsidRPr="00713DA8" w:rsidRDefault="00E41A20" w:rsidP="00E41A20">
      <w:pPr>
        <w:spacing w:before="120" w:after="120"/>
        <w:jc w:val="both"/>
        <w:rPr>
          <w:rFonts w:ascii="Trebuchet MS" w:hAnsi="Trebuchet MS"/>
          <w:sz w:val="22"/>
          <w:szCs w:val="22"/>
          <w:lang w:val="ro-RO"/>
        </w:rPr>
      </w:pPr>
    </w:p>
    <w:p w:rsidR="00E41A20" w:rsidRDefault="00E41A20" w:rsidP="00E41A20">
      <w:pPr>
        <w:pStyle w:val="NoSpacing"/>
        <w:numPr>
          <w:ilvl w:val="0"/>
          <w:numId w:val="1"/>
        </w:numPr>
        <w:ind w:left="705" w:right="181"/>
        <w:jc w:val="both"/>
        <w:rPr>
          <w:rFonts w:ascii="Trebuchet MS" w:hAnsi="Trebuchet MS"/>
          <w:b/>
          <w:sz w:val="22"/>
          <w:szCs w:val="22"/>
          <w:lang w:val="ro-RO"/>
        </w:rPr>
      </w:pPr>
      <w:r>
        <w:rPr>
          <w:rFonts w:ascii="Trebuchet MS" w:hAnsi="Trebuchet MS"/>
          <w:b/>
          <w:sz w:val="22"/>
          <w:szCs w:val="22"/>
          <w:lang w:val="ro-RO"/>
        </w:rPr>
        <w:t>Atribuții generale</w:t>
      </w:r>
    </w:p>
    <w:p w:rsidR="00E41A20" w:rsidRDefault="00E41A20" w:rsidP="00E41A20">
      <w:pPr>
        <w:pStyle w:val="NoSpacing"/>
        <w:numPr>
          <w:ilvl w:val="0"/>
          <w:numId w:val="2"/>
        </w:numPr>
        <w:ind w:left="705" w:right="181"/>
        <w:jc w:val="both"/>
        <w:rPr>
          <w:rFonts w:ascii="Trebuchet MS" w:hAnsi="Trebuchet MS"/>
          <w:sz w:val="22"/>
          <w:szCs w:val="22"/>
          <w:lang w:val="ro-RO"/>
        </w:rPr>
      </w:pPr>
      <w:r>
        <w:rPr>
          <w:rFonts w:ascii="Trebuchet MS" w:hAnsi="Trebuchet MS"/>
          <w:sz w:val="22"/>
          <w:szCs w:val="22"/>
          <w:lang w:val="ro-RO"/>
        </w:rPr>
        <w:t>Asigurarea unei funcționări permanente, în cele mai bune condiții, a infrastructurii  sistemelor informatice ce susțin aplicațiile de guvernare electronică operate de ADR;</w:t>
      </w:r>
    </w:p>
    <w:p w:rsidR="00E41A20" w:rsidRDefault="00E41A20" w:rsidP="00E41A20">
      <w:pPr>
        <w:pStyle w:val="NoSpacing"/>
        <w:numPr>
          <w:ilvl w:val="0"/>
          <w:numId w:val="2"/>
        </w:numPr>
        <w:ind w:left="709" w:right="181"/>
        <w:jc w:val="both"/>
        <w:rPr>
          <w:rFonts w:ascii="Trebuchet MS" w:hAnsi="Trebuchet MS"/>
          <w:sz w:val="22"/>
          <w:szCs w:val="22"/>
          <w:lang w:val="ro-RO"/>
        </w:rPr>
      </w:pPr>
      <w:r>
        <w:rPr>
          <w:rFonts w:ascii="Trebuchet MS" w:hAnsi="Trebuchet MS"/>
          <w:sz w:val="22"/>
          <w:szCs w:val="22"/>
          <w:lang w:val="ro-RO"/>
        </w:rPr>
        <w:t>Administrarea echipamentelor hardware cu disponibilitate şi putere de calcul sporită, echipamentele de securitate şi componentele active de rețea;</w:t>
      </w:r>
    </w:p>
    <w:p w:rsidR="00E41A20" w:rsidRDefault="00E41A20" w:rsidP="00E41A20">
      <w:pPr>
        <w:pStyle w:val="NoSpacing"/>
        <w:numPr>
          <w:ilvl w:val="0"/>
          <w:numId w:val="2"/>
        </w:numPr>
        <w:ind w:left="709" w:right="181"/>
        <w:jc w:val="both"/>
        <w:rPr>
          <w:rFonts w:ascii="Trebuchet MS" w:hAnsi="Trebuchet MS"/>
          <w:sz w:val="22"/>
          <w:szCs w:val="22"/>
          <w:lang w:val="ro-RO"/>
        </w:rPr>
      </w:pPr>
      <w:r>
        <w:rPr>
          <w:rFonts w:ascii="Trebuchet MS" w:hAnsi="Trebuchet MS"/>
          <w:sz w:val="22"/>
          <w:szCs w:val="22"/>
          <w:lang w:val="ro-RO"/>
        </w:rPr>
        <w:t>Asigurarea suportului de specialitate pentru utilizatorii interni și externi ai sistemelor informatice;</w:t>
      </w:r>
    </w:p>
    <w:p w:rsidR="00E41A20" w:rsidRDefault="00E41A20" w:rsidP="00E41A20">
      <w:pPr>
        <w:pStyle w:val="NoSpacing"/>
        <w:numPr>
          <w:ilvl w:val="0"/>
          <w:numId w:val="2"/>
        </w:numPr>
        <w:ind w:left="709" w:right="181"/>
        <w:jc w:val="both"/>
        <w:rPr>
          <w:rFonts w:ascii="Trebuchet MS" w:hAnsi="Trebuchet MS"/>
          <w:sz w:val="22"/>
          <w:szCs w:val="22"/>
          <w:lang w:val="ro-RO"/>
        </w:rPr>
      </w:pPr>
      <w:r>
        <w:rPr>
          <w:rFonts w:ascii="Trebuchet MS" w:hAnsi="Trebuchet MS"/>
          <w:sz w:val="22"/>
          <w:szCs w:val="22"/>
          <w:lang w:val="ro-RO"/>
        </w:rPr>
        <w:t>Implementarea politicii de securitate a ADR;</w:t>
      </w:r>
    </w:p>
    <w:p w:rsidR="00E41A20" w:rsidRDefault="00E41A20" w:rsidP="00E41A20">
      <w:pPr>
        <w:pStyle w:val="NoSpacing"/>
        <w:numPr>
          <w:ilvl w:val="0"/>
          <w:numId w:val="2"/>
        </w:numPr>
        <w:ind w:left="709" w:right="181"/>
        <w:jc w:val="both"/>
        <w:rPr>
          <w:rFonts w:ascii="Trebuchet MS" w:hAnsi="Trebuchet MS"/>
          <w:sz w:val="22"/>
          <w:szCs w:val="22"/>
          <w:lang w:val="ro-RO"/>
        </w:rPr>
      </w:pPr>
      <w:r>
        <w:rPr>
          <w:rFonts w:ascii="Trebuchet MS" w:hAnsi="Trebuchet MS"/>
          <w:sz w:val="22"/>
          <w:szCs w:val="22"/>
          <w:lang w:val="ro-RO"/>
        </w:rPr>
        <w:t>Asigurarea suportului de specialitate pe durata implementării unui nou serviciu pentru integrarea în infrastructura existentă.</w:t>
      </w:r>
    </w:p>
    <w:p w:rsidR="00E41A20" w:rsidRDefault="00E41A20" w:rsidP="00E41A20">
      <w:pPr>
        <w:pStyle w:val="NoSpacing"/>
        <w:ind w:right="181"/>
        <w:jc w:val="both"/>
        <w:rPr>
          <w:rFonts w:ascii="Trebuchet MS" w:hAnsi="Trebuchet MS"/>
          <w:sz w:val="22"/>
          <w:szCs w:val="22"/>
          <w:lang w:val="ro-RO"/>
        </w:rPr>
      </w:pPr>
    </w:p>
    <w:p w:rsidR="00E41A20" w:rsidRDefault="00E41A20" w:rsidP="00E41A20">
      <w:pPr>
        <w:pStyle w:val="NoSpacing"/>
        <w:numPr>
          <w:ilvl w:val="0"/>
          <w:numId w:val="1"/>
        </w:numPr>
        <w:ind w:left="705" w:right="181"/>
        <w:jc w:val="both"/>
        <w:rPr>
          <w:rFonts w:ascii="Trebuchet MS" w:hAnsi="Trebuchet MS"/>
          <w:b/>
          <w:sz w:val="22"/>
          <w:szCs w:val="22"/>
          <w:lang w:val="ro-RO"/>
        </w:rPr>
      </w:pPr>
      <w:r>
        <w:rPr>
          <w:rFonts w:ascii="Trebuchet MS" w:hAnsi="Trebuchet MS"/>
          <w:b/>
          <w:sz w:val="22"/>
          <w:szCs w:val="22"/>
          <w:lang w:val="ro-RO"/>
        </w:rPr>
        <w:t>Atribuții specifice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Asigură managementului resurselor hardware și de rețea ale ADR;</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Monitorizează și operează pe infrastructura hardware existentă;</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Administrarea rețelei de voce și a sistemului de acces fizic;</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Realizează studii, analize, sinteze și activități de proiectare privind domeniul său de activitate;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Identifică, analizează și documentează cazurile de bună practică în interoperabilitatea serviciilor de guvernare electronică la nivel european și național;</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Identifică și remediază problemele software și hardware ale sistemelor server;</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Realizează copii de siguranță a datelor și configurațiilor echipamentelor utilizate;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 xml:space="preserve">Realizează rapoartele solicitate de superiorii ierarhici; </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Periodic, verifică logurile serverelor și ale sistemelor de stocare;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 xml:space="preserve">Administrează:   </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Platforma virtualizată de servere;</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Servere active directory și servere de fișiere;</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Sisteme de realizare a copiilor de siguranță;</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Dispozitivele de securitate;</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Routere sau alte echipamente de rețea;</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Rețeaua de voce și sistemul de acces fizic;</w:t>
      </w:r>
    </w:p>
    <w:p w:rsidR="00E41A20" w:rsidRDefault="00E41A20" w:rsidP="00E41A20">
      <w:pPr>
        <w:pStyle w:val="NoSpacing"/>
        <w:numPr>
          <w:ilvl w:val="0"/>
          <w:numId w:val="3"/>
        </w:numPr>
        <w:ind w:left="1609" w:right="187"/>
        <w:jc w:val="both"/>
        <w:rPr>
          <w:rFonts w:ascii="Trebuchet MS" w:hAnsi="Trebuchet MS"/>
          <w:sz w:val="22"/>
          <w:szCs w:val="22"/>
          <w:lang w:val="ro-RO"/>
        </w:rPr>
      </w:pPr>
      <w:r>
        <w:rPr>
          <w:rFonts w:ascii="Trebuchet MS" w:hAnsi="Trebuchet MS"/>
          <w:sz w:val="22"/>
          <w:szCs w:val="22"/>
          <w:lang w:val="ro-RO"/>
        </w:rPr>
        <w:t>Sistemul central de e-mail.</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Furnizează expertiză de specialitate și asistență practică în managementul sistemelor de baze de date și în utilizarea datelor informatice pentru a răspunde cerințelor sistemelor informatice gestionate și dezvoltate de ADR, în conformitate cu nevoile identificate și pentru asigurarea funcționării la parametrii nominali a platformelor de e-guvernare;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Realizează analize în vederea definirii specificațiilor pentru construirea efectivă a sistemelor informatice de e-guvernare, susceptibile să răspundă cerințelor utilizatorilor externi și interni, cetățeni sau autorități publice;</w:t>
      </w:r>
    </w:p>
    <w:p w:rsidR="00326810" w:rsidRDefault="00326810" w:rsidP="00326810">
      <w:pPr>
        <w:pStyle w:val="NoSpacing"/>
        <w:ind w:right="187"/>
        <w:jc w:val="both"/>
        <w:rPr>
          <w:rFonts w:ascii="Trebuchet MS" w:hAnsi="Trebuchet MS"/>
          <w:sz w:val="22"/>
          <w:szCs w:val="22"/>
          <w:lang w:val="ro-RO"/>
        </w:rPr>
      </w:pPr>
    </w:p>
    <w:p w:rsidR="00326810" w:rsidRDefault="00326810" w:rsidP="00326810">
      <w:pPr>
        <w:pStyle w:val="NoSpacing"/>
        <w:ind w:right="187"/>
        <w:jc w:val="both"/>
        <w:rPr>
          <w:rFonts w:ascii="Trebuchet MS" w:hAnsi="Trebuchet MS"/>
          <w:sz w:val="22"/>
          <w:szCs w:val="22"/>
          <w:lang w:val="ro-RO"/>
        </w:rPr>
      </w:pPr>
    </w:p>
    <w:p w:rsidR="00326810" w:rsidRDefault="00326810" w:rsidP="00326810">
      <w:pPr>
        <w:pStyle w:val="NoSpacing"/>
        <w:ind w:right="187"/>
        <w:jc w:val="both"/>
        <w:rPr>
          <w:rFonts w:ascii="Trebuchet MS" w:hAnsi="Trebuchet MS"/>
          <w:sz w:val="22"/>
          <w:szCs w:val="22"/>
          <w:lang w:val="ro-RO"/>
        </w:rPr>
      </w:pP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Adaptează și/sau armonizează soluții hardware, software și sisteme de operare, precum și a aplicațiilor existente ori proiectate la necesitățile reale sau estimate ale utilizatorilor, în vederea îndeplinirii cerințelor privind satisfacerea gradului de solicitare (timpul de răspuns) și pentru optimizarea performanțelor platformelor gestionate de ADR;</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Asigură suportul tehnic pentru realizarea analizei în vederea definirii specificațiilor pentru construirea efectivă a sistemelor informatice aflate în sfera de activitate;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 xml:space="preserve">Analizează și soluționează diversele documente care îi sunt repartizate spre a fi rezolvate; </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Participă activ în cadrul proiectelor derulate de ADR și îndeplinește sarcinile aferente;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Elaborează rapoarte privind stadiul proiectelor derulate în cadrul serviciului;</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Particip</w:t>
      </w:r>
      <w:bookmarkStart w:id="0" w:name="_GoBack"/>
      <w:bookmarkEnd w:id="0"/>
      <w:r>
        <w:rPr>
          <w:rFonts w:ascii="Trebuchet MS" w:hAnsi="Trebuchet MS"/>
          <w:sz w:val="22"/>
          <w:szCs w:val="22"/>
          <w:lang w:val="ro-RO"/>
        </w:rPr>
        <w:t>ă la procesul de selecție/recrutare de personal;</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Gestionează eficient resursele materiale și tehnologice existente;</w:t>
      </w:r>
    </w:p>
    <w:p w:rsidR="00E41A20" w:rsidRDefault="00E41A20" w:rsidP="00E41A20">
      <w:pPr>
        <w:pStyle w:val="NoSpacing"/>
        <w:numPr>
          <w:ilvl w:val="0"/>
          <w:numId w:val="3"/>
        </w:numPr>
        <w:ind w:right="187"/>
        <w:jc w:val="both"/>
        <w:rPr>
          <w:rFonts w:ascii="Trebuchet MS" w:hAnsi="Trebuchet MS"/>
          <w:sz w:val="22"/>
          <w:szCs w:val="22"/>
          <w:lang w:val="ro-RO"/>
        </w:rPr>
      </w:pPr>
      <w:r>
        <w:rPr>
          <w:rFonts w:ascii="Trebuchet MS" w:hAnsi="Trebuchet MS"/>
          <w:sz w:val="22"/>
          <w:szCs w:val="22"/>
          <w:lang w:val="ro-RO"/>
        </w:rPr>
        <w:t>Participă în procesul de elaborare de politici, recomandări si propuneri de acte normative pentru îmbunătățirea cadrului legislativ în domeniul furnizării de servicii publice prin mijloace electronice interoperabile, în colaborare cu alte departamente de specialitate în cadrul ADR;</w:t>
      </w:r>
    </w:p>
    <w:p w:rsidR="00E41A20" w:rsidRDefault="00E41A20" w:rsidP="00E41A20">
      <w:pPr>
        <w:pStyle w:val="ListParagraph"/>
        <w:numPr>
          <w:ilvl w:val="0"/>
          <w:numId w:val="3"/>
        </w:numPr>
        <w:spacing w:line="240" w:lineRule="auto"/>
        <w:ind w:right="187"/>
        <w:contextualSpacing/>
        <w:jc w:val="both"/>
        <w:rPr>
          <w:rFonts w:ascii="Trebuchet MS" w:hAnsi="Trebuchet MS"/>
          <w:lang w:val="ro-RO"/>
        </w:rPr>
      </w:pPr>
      <w:r>
        <w:rPr>
          <w:rFonts w:ascii="Trebuchet MS" w:hAnsi="Trebuchet MS"/>
          <w:bCs/>
          <w:lang w:val="ro-RO"/>
        </w:rPr>
        <w:t>Întocmește/actualizează procedurie operaționale și a celor de sistem pentru activitățile desfășurate în cadrul serviciului;</w:t>
      </w:r>
    </w:p>
    <w:p w:rsidR="00E41A20" w:rsidRDefault="00E41A20" w:rsidP="00E41A20">
      <w:pPr>
        <w:pStyle w:val="ListParagraph"/>
        <w:numPr>
          <w:ilvl w:val="0"/>
          <w:numId w:val="3"/>
        </w:numPr>
        <w:spacing w:line="240" w:lineRule="auto"/>
        <w:ind w:right="187"/>
        <w:contextualSpacing/>
        <w:jc w:val="both"/>
        <w:rPr>
          <w:rFonts w:ascii="Trebuchet MS" w:hAnsi="Trebuchet MS"/>
          <w:lang w:val="ro-RO"/>
        </w:rPr>
      </w:pPr>
      <w:r>
        <w:rPr>
          <w:rFonts w:ascii="Trebuchet MS" w:hAnsi="Trebuchet MS"/>
          <w:lang w:val="ro-RO"/>
        </w:rPr>
        <w:t>În îndeplinirea sarcinilor/atribuțiilor de serviciu aplică/respectă procedurile emise/aprobate în cadrul instituției;</w:t>
      </w:r>
    </w:p>
    <w:p w:rsidR="00E41A20" w:rsidRDefault="00E41A20" w:rsidP="00E41A20">
      <w:pPr>
        <w:pStyle w:val="ListParagraph"/>
        <w:numPr>
          <w:ilvl w:val="0"/>
          <w:numId w:val="3"/>
        </w:numPr>
        <w:spacing w:after="0" w:line="240" w:lineRule="auto"/>
        <w:ind w:right="187"/>
        <w:contextualSpacing/>
        <w:jc w:val="both"/>
        <w:rPr>
          <w:rFonts w:ascii="Trebuchet MS" w:hAnsi="Trebuchet MS"/>
          <w:lang w:val="ro-RO"/>
        </w:rPr>
      </w:pPr>
      <w:r>
        <w:rPr>
          <w:rFonts w:ascii="Trebuchet MS" w:hAnsi="Trebuchet MS"/>
          <w:lang w:val="ro-RO"/>
        </w:rPr>
        <w:t>Participă la întocmirea anuală a Bugetului de Venituri și Cheltuieli al ADR;</w:t>
      </w:r>
    </w:p>
    <w:p w:rsidR="00E41A20" w:rsidRDefault="00E41A20" w:rsidP="00E41A20">
      <w:pPr>
        <w:pStyle w:val="ListParagraph"/>
        <w:numPr>
          <w:ilvl w:val="0"/>
          <w:numId w:val="3"/>
        </w:numPr>
        <w:spacing w:after="0" w:line="240" w:lineRule="auto"/>
        <w:ind w:right="187"/>
        <w:contextualSpacing/>
        <w:jc w:val="both"/>
        <w:rPr>
          <w:rFonts w:ascii="Trebuchet MS" w:hAnsi="Trebuchet MS"/>
          <w:sz w:val="24"/>
          <w:szCs w:val="24"/>
          <w:lang w:val="ro-RO"/>
        </w:rPr>
      </w:pPr>
      <w:r>
        <w:rPr>
          <w:rFonts w:ascii="Trebuchet MS" w:hAnsi="Trebuchet MS"/>
          <w:lang w:val="ro-RO"/>
        </w:rPr>
        <w:t>Elaborează notele de fundamentare</w:t>
      </w:r>
      <w:r>
        <w:rPr>
          <w:rFonts w:ascii="Trebuchet MS" w:hAnsi="Trebuchet MS"/>
          <w:i/>
          <w:lang w:val="ro-RO"/>
        </w:rPr>
        <w:t xml:space="preserve"> </w:t>
      </w:r>
      <w:r>
        <w:rPr>
          <w:rFonts w:ascii="Trebuchet MS" w:hAnsi="Trebuchet MS"/>
          <w:lang w:val="ro-RO"/>
        </w:rPr>
        <w:t>privind necesarul de produse/servicii/lucrări de achiziționat în vederea includerii acestora în Planului Anual de Achiziții Publice;</w:t>
      </w:r>
    </w:p>
    <w:p w:rsidR="00E41A20" w:rsidRDefault="00E41A20" w:rsidP="00E41A20">
      <w:pPr>
        <w:pStyle w:val="ListParagraph"/>
        <w:numPr>
          <w:ilvl w:val="0"/>
          <w:numId w:val="3"/>
        </w:numPr>
        <w:spacing w:line="240" w:lineRule="auto"/>
        <w:ind w:right="187"/>
        <w:contextualSpacing/>
        <w:jc w:val="both"/>
        <w:rPr>
          <w:rFonts w:ascii="Trebuchet MS" w:hAnsi="Trebuchet MS"/>
          <w:lang w:val="ro-RO"/>
        </w:rPr>
      </w:pPr>
      <w:r>
        <w:rPr>
          <w:rFonts w:ascii="Trebuchet MS" w:hAnsi="Trebuchet MS"/>
          <w:lang w:val="ro-RO"/>
        </w:rPr>
        <w:t>Participă la inventarierea bunurilor mobile și imobile din patrimoniul instituției</w:t>
      </w:r>
      <w:r>
        <w:rPr>
          <w:rFonts w:ascii="Trebuchet MS" w:hAnsi="Trebuchet MS"/>
          <w:color w:val="000000"/>
          <w:lang w:val="ro-RO"/>
        </w:rPr>
        <w:t>;</w:t>
      </w:r>
    </w:p>
    <w:p w:rsidR="00E41A20" w:rsidRDefault="00E41A20" w:rsidP="00E41A20">
      <w:pPr>
        <w:pStyle w:val="ListParagraph"/>
        <w:numPr>
          <w:ilvl w:val="0"/>
          <w:numId w:val="3"/>
        </w:numPr>
        <w:spacing w:after="0" w:line="240" w:lineRule="auto"/>
        <w:ind w:right="181"/>
        <w:contextualSpacing/>
        <w:jc w:val="both"/>
        <w:rPr>
          <w:rFonts w:ascii="Trebuchet MS" w:hAnsi="Trebuchet MS"/>
          <w:lang w:val="ro-RO"/>
        </w:rPr>
      </w:pPr>
      <w:r>
        <w:rPr>
          <w:rFonts w:ascii="Trebuchet MS" w:hAnsi="Trebuchet MS"/>
          <w:lang w:val="ro-RO"/>
        </w:rPr>
        <w:t xml:space="preserve">Identifică riscurile inerente activităților din cadrul serviciului și întreprinde acțiuni care să mențină riscurile în limite acceptabile; </w:t>
      </w:r>
    </w:p>
    <w:p w:rsidR="00E41A20" w:rsidRDefault="00E41A20" w:rsidP="00E41A20">
      <w:pPr>
        <w:pStyle w:val="ListParagraph"/>
        <w:numPr>
          <w:ilvl w:val="0"/>
          <w:numId w:val="3"/>
        </w:numPr>
        <w:spacing w:before="120"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Verifică modul de arhivare a documentelor emise în cadrul serviciului, păstrarea acestora în condiții optime și trimiterea la arhiva instituției a documentelor clasate, conform normelor în vigoare;</w:t>
      </w:r>
    </w:p>
    <w:p w:rsidR="00E41A20" w:rsidRDefault="00E41A20" w:rsidP="00E41A20">
      <w:pPr>
        <w:pStyle w:val="ListParagraph"/>
        <w:numPr>
          <w:ilvl w:val="0"/>
          <w:numId w:val="3"/>
        </w:numPr>
        <w:spacing w:before="120"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Păstrează secretul de serviciu, precum și informațiile despre date și informații cu caracter confidențial deținute sau la care are acces ca urmare a exercitării atribuțiilor de serviciu;</w:t>
      </w:r>
    </w:p>
    <w:p w:rsidR="00E41A20" w:rsidRDefault="00E41A20" w:rsidP="00E41A20">
      <w:pPr>
        <w:pStyle w:val="ListParagraph"/>
        <w:numPr>
          <w:ilvl w:val="0"/>
          <w:numId w:val="3"/>
        </w:numPr>
        <w:spacing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 xml:space="preserve">Îndeplinește întocmai obligațiile ce îi revin în domeniul securității și sănătății în muncă, în conformitate cu prevederile art.22 și art.23 din Legea nr.319/2006 a securității și sănătății în muncă, cu modificările și completările ulterioare, precum și a celor prevăzute în instrucțiunile proprii de securitate elaborate la nivel de autoritate; </w:t>
      </w:r>
    </w:p>
    <w:p w:rsidR="00E41A20" w:rsidRDefault="00E41A20" w:rsidP="00E41A20">
      <w:pPr>
        <w:pStyle w:val="ListParagraph"/>
        <w:numPr>
          <w:ilvl w:val="0"/>
          <w:numId w:val="3"/>
        </w:numPr>
        <w:spacing w:after="0" w:line="240" w:lineRule="auto"/>
        <w:ind w:right="181"/>
        <w:contextualSpacing/>
        <w:jc w:val="both"/>
        <w:rPr>
          <w:rFonts w:ascii="Trebuchet MS" w:hAnsi="Trebuchet MS" w:cs="Verdana"/>
          <w:bCs/>
          <w:color w:val="000000"/>
          <w:lang w:val="ro-RO" w:eastAsia="ro-RO"/>
        </w:rPr>
      </w:pPr>
      <w:r>
        <w:rPr>
          <w:rFonts w:ascii="Trebuchet MS" w:hAnsi="Trebuchet MS" w:cs="Verdana"/>
          <w:bCs/>
          <w:color w:val="000000"/>
          <w:lang w:val="ro-RO" w:eastAsia="ro-RO"/>
        </w:rPr>
        <w:t>Informează conducerea instituției sau superiorul ierarhic cu privire la eventualele accidente suferite de propria persoană;</w:t>
      </w:r>
    </w:p>
    <w:p w:rsidR="00E41A20" w:rsidRDefault="00E41A20" w:rsidP="00E41A20">
      <w:pPr>
        <w:pStyle w:val="ListParagraph"/>
        <w:numPr>
          <w:ilvl w:val="0"/>
          <w:numId w:val="3"/>
        </w:numPr>
        <w:spacing w:after="0" w:line="240" w:lineRule="auto"/>
        <w:ind w:right="181"/>
        <w:contextualSpacing/>
        <w:jc w:val="both"/>
        <w:rPr>
          <w:rFonts w:ascii="Trebuchet MS" w:hAnsi="Trebuchet MS" w:cs="Verdana"/>
          <w:bCs/>
          <w:color w:val="000000"/>
          <w:lang w:val="ro-RO" w:eastAsia="ro-RO"/>
        </w:rPr>
      </w:pPr>
      <w:proofErr w:type="spellStart"/>
      <w:r>
        <w:rPr>
          <w:rFonts w:ascii="Trebuchet MS" w:hAnsi="Trebuchet MS" w:cs="Verdana"/>
          <w:bCs/>
          <w:color w:val="000000"/>
          <w:lang w:eastAsia="ro-RO"/>
        </w:rPr>
        <w:t>Asigură</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suport</w:t>
      </w:r>
      <w:proofErr w:type="spellEnd"/>
      <w:r>
        <w:rPr>
          <w:rFonts w:ascii="Trebuchet MS" w:hAnsi="Trebuchet MS" w:cs="Verdana"/>
          <w:bCs/>
          <w:color w:val="000000"/>
          <w:lang w:eastAsia="ro-RO"/>
        </w:rPr>
        <w:t>/</w:t>
      </w:r>
      <w:proofErr w:type="spellStart"/>
      <w:r>
        <w:rPr>
          <w:rFonts w:ascii="Trebuchet MS" w:hAnsi="Trebuchet MS" w:cs="Verdana"/>
          <w:bCs/>
          <w:color w:val="000000"/>
          <w:lang w:eastAsia="ro-RO"/>
        </w:rPr>
        <w:t>operaționalizarea</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pentru</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plaformele</w:t>
      </w:r>
      <w:proofErr w:type="spellEnd"/>
      <w:r>
        <w:rPr>
          <w:rFonts w:ascii="Trebuchet MS" w:hAnsi="Trebuchet MS" w:cs="Verdana"/>
          <w:bCs/>
          <w:color w:val="000000"/>
          <w:lang w:eastAsia="ro-RO"/>
        </w:rPr>
        <w:t>/</w:t>
      </w:r>
      <w:proofErr w:type="spellStart"/>
      <w:r>
        <w:rPr>
          <w:rFonts w:ascii="Trebuchet MS" w:hAnsi="Trebuchet MS" w:cs="Verdana"/>
          <w:bCs/>
          <w:color w:val="000000"/>
          <w:lang w:eastAsia="ro-RO"/>
        </w:rPr>
        <w:t>sistemele</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informatice</w:t>
      </w:r>
      <w:proofErr w:type="spellEnd"/>
      <w:r>
        <w:rPr>
          <w:rFonts w:ascii="Trebuchet MS" w:hAnsi="Trebuchet MS" w:cs="Verdana"/>
          <w:bCs/>
          <w:color w:val="000000"/>
          <w:lang w:eastAsia="ro-RO"/>
        </w:rPr>
        <w:t xml:space="preserve"> ale ADR: Ghiseul.ro, SEAP, SAET, </w:t>
      </w:r>
      <w:proofErr w:type="spellStart"/>
      <w:r>
        <w:rPr>
          <w:rFonts w:ascii="Trebuchet MS" w:hAnsi="Trebuchet MS" w:cs="Verdana"/>
          <w:bCs/>
          <w:color w:val="000000"/>
          <w:lang w:eastAsia="ro-RO"/>
        </w:rPr>
        <w:t>PCUe</w:t>
      </w:r>
      <w:proofErr w:type="spellEnd"/>
      <w:r>
        <w:rPr>
          <w:rFonts w:ascii="Trebuchet MS" w:hAnsi="Trebuchet MS" w:cs="Verdana"/>
          <w:bCs/>
          <w:color w:val="000000"/>
          <w:lang w:eastAsia="ro-RO"/>
        </w:rPr>
        <w:t>, PSCID, SITUE, e-</w:t>
      </w:r>
      <w:proofErr w:type="spellStart"/>
      <w:r>
        <w:rPr>
          <w:rFonts w:ascii="Trebuchet MS" w:hAnsi="Trebuchet MS" w:cs="Verdana"/>
          <w:bCs/>
          <w:color w:val="000000"/>
          <w:lang w:eastAsia="ro-RO"/>
        </w:rPr>
        <w:t>guvernare</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și</w:t>
      </w:r>
      <w:proofErr w:type="spellEnd"/>
      <w:r>
        <w:rPr>
          <w:rFonts w:ascii="Trebuchet MS" w:hAnsi="Trebuchet MS" w:cs="Verdana"/>
          <w:bCs/>
          <w:color w:val="000000"/>
          <w:lang w:eastAsia="ro-RO"/>
        </w:rPr>
        <w:t xml:space="preserve"> </w:t>
      </w:r>
      <w:proofErr w:type="spellStart"/>
      <w:r>
        <w:rPr>
          <w:rFonts w:ascii="Trebuchet MS" w:hAnsi="Trebuchet MS" w:cs="Verdana"/>
          <w:bCs/>
          <w:color w:val="000000"/>
          <w:lang w:eastAsia="ro-RO"/>
        </w:rPr>
        <w:t>altele</w:t>
      </w:r>
      <w:proofErr w:type="spellEnd"/>
      <w:r>
        <w:rPr>
          <w:rFonts w:ascii="Trebuchet MS" w:hAnsi="Trebuchet MS" w:cs="Verdana"/>
          <w:bCs/>
          <w:color w:val="000000"/>
          <w:lang w:eastAsia="ro-RO"/>
        </w:rPr>
        <w:t>.</w:t>
      </w:r>
    </w:p>
    <w:p w:rsidR="00E41A20" w:rsidRDefault="00E41A20" w:rsidP="00E41A20">
      <w:pPr>
        <w:pStyle w:val="ListParagraph"/>
        <w:numPr>
          <w:ilvl w:val="0"/>
          <w:numId w:val="3"/>
        </w:numPr>
        <w:spacing w:before="120" w:after="0" w:line="240" w:lineRule="auto"/>
        <w:ind w:right="181"/>
        <w:contextualSpacing/>
        <w:jc w:val="both"/>
        <w:rPr>
          <w:rFonts w:ascii="Trebuchet MS" w:hAnsi="Trebuchet MS" w:cs="Verdana"/>
          <w:color w:val="000000"/>
          <w:sz w:val="24"/>
          <w:szCs w:val="24"/>
          <w:lang w:val="ro-RO" w:eastAsia="ro-RO"/>
        </w:rPr>
      </w:pPr>
      <w:r>
        <w:rPr>
          <w:rFonts w:ascii="Trebuchet MS" w:hAnsi="Trebuchet MS" w:cs="Verdana"/>
          <w:bCs/>
          <w:color w:val="000000"/>
          <w:lang w:val="ro-RO" w:eastAsia="ro-RO"/>
        </w:rPr>
        <w:t>Îndeplinește orice alte atribuții și sarcini prevăzute de lege, aflate în scopul principal al postului, în domeniul de activitate, stabilite de superiorii ierarhici.</w:t>
      </w:r>
    </w:p>
    <w:p w:rsidR="00E41A20" w:rsidRDefault="00E41A20" w:rsidP="00E41A20">
      <w:pPr>
        <w:pStyle w:val="ListParagraph"/>
        <w:spacing w:before="120" w:after="0" w:line="240" w:lineRule="auto"/>
        <w:ind w:right="181"/>
        <w:jc w:val="both"/>
        <w:rPr>
          <w:rFonts w:ascii="Trebuchet MS" w:hAnsi="Trebuchet MS" w:cs="Verdana"/>
          <w:color w:val="000000"/>
          <w:lang w:val="ro-RO" w:eastAsia="ro-RO"/>
        </w:rPr>
      </w:pPr>
    </w:p>
    <w:p w:rsidR="00326810" w:rsidRDefault="00326810" w:rsidP="00E41A20">
      <w:pPr>
        <w:pStyle w:val="ListParagraph"/>
        <w:spacing w:before="120" w:after="0" w:line="240" w:lineRule="auto"/>
        <w:ind w:right="181"/>
        <w:jc w:val="both"/>
        <w:rPr>
          <w:rFonts w:ascii="Trebuchet MS" w:hAnsi="Trebuchet MS" w:cs="Verdana"/>
          <w:color w:val="000000"/>
          <w:lang w:val="ro-RO" w:eastAsia="ro-RO"/>
        </w:rPr>
      </w:pPr>
    </w:p>
    <w:p w:rsidR="00326810" w:rsidRDefault="00326810" w:rsidP="00E41A20">
      <w:pPr>
        <w:pStyle w:val="ListParagraph"/>
        <w:spacing w:before="120" w:after="0" w:line="240" w:lineRule="auto"/>
        <w:ind w:right="181"/>
        <w:jc w:val="both"/>
        <w:rPr>
          <w:rFonts w:ascii="Trebuchet MS" w:hAnsi="Trebuchet MS" w:cs="Verdana"/>
          <w:color w:val="000000"/>
          <w:lang w:val="ro-RO" w:eastAsia="ro-RO"/>
        </w:rPr>
      </w:pPr>
    </w:p>
    <w:p w:rsidR="00326810" w:rsidRDefault="00326810" w:rsidP="00E41A20">
      <w:pPr>
        <w:pStyle w:val="ListParagraph"/>
        <w:spacing w:before="120" w:after="0" w:line="240" w:lineRule="auto"/>
        <w:ind w:right="181"/>
        <w:jc w:val="both"/>
        <w:rPr>
          <w:rFonts w:ascii="Trebuchet MS" w:hAnsi="Trebuchet MS" w:cs="Verdana"/>
          <w:color w:val="000000"/>
          <w:lang w:val="ro-RO" w:eastAsia="ro-RO"/>
        </w:rPr>
      </w:pPr>
    </w:p>
    <w:p w:rsidR="00326810" w:rsidRDefault="00326810" w:rsidP="00E41A20">
      <w:pPr>
        <w:pStyle w:val="ListParagraph"/>
        <w:spacing w:before="120" w:after="0" w:line="240" w:lineRule="auto"/>
        <w:ind w:right="181"/>
        <w:jc w:val="both"/>
        <w:rPr>
          <w:rFonts w:ascii="Trebuchet MS" w:hAnsi="Trebuchet MS" w:cs="Verdana"/>
          <w:color w:val="000000"/>
          <w:lang w:val="ro-RO" w:eastAsia="ro-RO"/>
        </w:rPr>
      </w:pPr>
    </w:p>
    <w:p w:rsidR="00E41A20" w:rsidRDefault="00E41A20" w:rsidP="00E41A20">
      <w:pPr>
        <w:pStyle w:val="ListParagraph"/>
        <w:numPr>
          <w:ilvl w:val="0"/>
          <w:numId w:val="1"/>
        </w:numPr>
        <w:contextualSpacing/>
        <w:rPr>
          <w:rFonts w:ascii="Trebuchet MS" w:hAnsi="Trebuchet MS" w:cs="Verdana"/>
          <w:b/>
          <w:color w:val="000000"/>
          <w:lang w:val="ro-RO" w:eastAsia="ro-RO"/>
        </w:rPr>
      </w:pPr>
      <w:r>
        <w:rPr>
          <w:rFonts w:ascii="Trebuchet MS" w:hAnsi="Trebuchet MS" w:cs="Verdana"/>
          <w:b/>
          <w:color w:val="000000"/>
          <w:lang w:val="ro-RO" w:eastAsia="ro-RO"/>
        </w:rPr>
        <w:t>Atribuții în domeniul confidențialității datelor cu caracter personal</w:t>
      </w:r>
    </w:p>
    <w:p w:rsidR="00E41A20" w:rsidRDefault="00E41A20" w:rsidP="00E41A20">
      <w:pPr>
        <w:pStyle w:val="ListParagraph"/>
        <w:numPr>
          <w:ilvl w:val="0"/>
          <w:numId w:val="4"/>
        </w:numPr>
        <w:spacing w:before="120" w:after="0" w:line="240" w:lineRule="auto"/>
        <w:ind w:right="181"/>
        <w:contextualSpacing/>
        <w:jc w:val="both"/>
        <w:rPr>
          <w:rFonts w:ascii="Trebuchet MS" w:hAnsi="Trebuchet MS" w:cs="Verdana"/>
          <w:color w:val="000000"/>
          <w:szCs w:val="24"/>
          <w:lang w:val="ro-RO" w:eastAsia="ro-RO"/>
        </w:rPr>
      </w:pPr>
      <w:r>
        <w:rPr>
          <w:rFonts w:ascii="Trebuchet MS" w:hAnsi="Trebuchet MS" w:cs="Verdana"/>
          <w:color w:val="000000"/>
          <w:lang w:val="ro-RO" w:eastAsia="ro-RO"/>
        </w:rPr>
        <w:t>Cunoaște și respectă normele de drept al Uniunii Europene sau de drept intern referitoare la protecția datelor cu caracter personal.</w:t>
      </w:r>
    </w:p>
    <w:p w:rsidR="00E41A20" w:rsidRDefault="00E41A20" w:rsidP="00E41A20">
      <w:pPr>
        <w:pStyle w:val="ListParagraph"/>
        <w:numPr>
          <w:ilvl w:val="0"/>
          <w:numId w:val="4"/>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Informează persoana vizată în cazul în care datele cu caracter personal sunt colectate de la aceasta, în condițiile legii, cu privire la: identitatea și datele de contact ale operatorului, datele de contact ale responsabilului cu protecția datelor, scopul/scopurile în care sunt prelucrate datele cu caracter personal, temeiul juridic al prelucrării, dacă e cazul interesele legitime urmărite de operator sau de o parte terță, destinatarii sau categoriile de destinatari ai datelor cu caracter personal, perioada pentru care vor fi stocate datele cu caracter personal, obligativitatea furnizării tuturor datelor cerute şi consecinţele refuzului de a le pune la dispoziţie, drepturile prevăzute de lege, în special dreptul de acces la datele cu caracter personal, dreptul la rectificarea datelor cu caracter personal, dreptul la ștergerea datelor cu caracter personal (dreptul de a fi uitat), dreptul la restricționarea prelucrării, dreptul la opoziție, dreptul de a își retrage consimțământul în orice moment, fără însă a afecta legalitatea prelucrării efectuate pe baza consimțământului înainte de retragerea acestuia, dreptul de a depune plângere către Autoritatea Națională de Supraveghere a Prelucrării Datelor cu Caracter Personal și modalitățile în care pot fi exercitate aceste drepturi.</w:t>
      </w:r>
    </w:p>
    <w:p w:rsidR="00E41A20" w:rsidRDefault="00E41A20" w:rsidP="00E41A20">
      <w:pPr>
        <w:pStyle w:val="ListParagraph"/>
        <w:numPr>
          <w:ilvl w:val="0"/>
          <w:numId w:val="4"/>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Prelucrează numai datele cu caracter personal necesare îndeplinirii atribuţiilor de serviciu şi acordă sprijin responsabilului/structurii responsabile cu protecţia datelor pentru realizarea activităţilor specifice ale acestuia/acesteia.</w:t>
      </w:r>
    </w:p>
    <w:p w:rsidR="00E41A20" w:rsidRDefault="00E41A20" w:rsidP="00E41A20">
      <w:pPr>
        <w:pStyle w:val="ListParagraph"/>
        <w:numPr>
          <w:ilvl w:val="0"/>
          <w:numId w:val="4"/>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Păstrează confidenţialitatea datelor prelucrate, a contului de utilizator, a parolei/codului de acces la sistemele informatice/baze de date prin care sunt gestionate date cu caracter personal și nu le prelucrează decât la cerea operatorului, cu excepția cazului în care dreptul Uniunii Europene sau dreptul intern îl obligă să facă acest lucru.</w:t>
      </w:r>
    </w:p>
    <w:p w:rsidR="00E41A20" w:rsidRDefault="00E41A20" w:rsidP="00E41A20">
      <w:pPr>
        <w:pStyle w:val="ListParagraph"/>
        <w:numPr>
          <w:ilvl w:val="0"/>
          <w:numId w:val="4"/>
        </w:numPr>
        <w:spacing w:before="120" w:after="0" w:line="240" w:lineRule="auto"/>
        <w:ind w:right="181"/>
        <w:contextualSpacing/>
        <w:jc w:val="both"/>
        <w:rPr>
          <w:rFonts w:ascii="Trebuchet MS" w:hAnsi="Trebuchet MS" w:cs="Verdana"/>
          <w:color w:val="000000"/>
          <w:lang w:val="ro-RO" w:eastAsia="ro-RO"/>
        </w:rPr>
      </w:pPr>
      <w:r>
        <w:rPr>
          <w:rFonts w:ascii="Trebuchet MS" w:hAnsi="Trebuchet MS" w:cs="Verdana"/>
          <w:color w:val="000000"/>
          <w:lang w:val="ro-RO" w:eastAsia="ro-RO"/>
        </w:rPr>
        <w:t>Respectă măsurile tehnice și organizatorice de securitate, precum şi celelalte reguli stabilite de operator, inclusiv cele instituite prin proceduri propria</w:t>
      </w:r>
    </w:p>
    <w:p w:rsidR="00E41A20" w:rsidRPr="00B831E3" w:rsidRDefault="00E41A20" w:rsidP="00E41A20">
      <w:pPr>
        <w:pStyle w:val="ListParagraph"/>
        <w:numPr>
          <w:ilvl w:val="0"/>
          <w:numId w:val="4"/>
        </w:numPr>
        <w:spacing w:before="120" w:after="0" w:line="240" w:lineRule="auto"/>
        <w:ind w:right="181"/>
        <w:contextualSpacing/>
        <w:jc w:val="both"/>
        <w:rPr>
          <w:rFonts w:ascii="Trebuchet MS" w:hAnsi="Trebuchet MS" w:cs="Verdana"/>
          <w:color w:val="000000"/>
          <w:sz w:val="24"/>
          <w:lang w:val="ro-RO" w:eastAsia="ro-RO"/>
        </w:rPr>
      </w:pPr>
      <w:r>
        <w:rPr>
          <w:rFonts w:ascii="Trebuchet MS" w:hAnsi="Trebuchet MS" w:cs="Verdana"/>
          <w:color w:val="000000"/>
          <w:lang w:val="ro-RO" w:eastAsia="ro-RO"/>
        </w:rPr>
        <w:t>Informează de îndată conducerea operatorului sau, după caz, a împuternicitului şi responsabilul/structura responsabilă cu protecţia datelor despre riscurile prezentate de prelucrare ce pot conduce la o încălcare a securității datelor cu caracter personal sau despre situațiile în care au fost prelucrate date cu caracter personal prin încălcarea normelor legale, despre care a luat la cunoştinţă.</w:t>
      </w:r>
    </w:p>
    <w:p w:rsidR="00E41A20" w:rsidRDefault="00E41A20" w:rsidP="00E41A20">
      <w:pPr>
        <w:pStyle w:val="ListParagraph"/>
        <w:spacing w:after="0" w:line="240" w:lineRule="auto"/>
        <w:ind w:left="0"/>
        <w:rPr>
          <w:rFonts w:ascii="Trebuchet MS" w:hAnsi="Trebuchet MS"/>
          <w:bCs/>
          <w:lang w:val="ro-RO"/>
        </w:rPr>
      </w:pPr>
    </w:p>
    <w:p w:rsidR="00E41A20" w:rsidRDefault="00E41A20" w:rsidP="00E41A20">
      <w:pPr>
        <w:pStyle w:val="ListParagraph"/>
        <w:spacing w:after="0" w:line="240" w:lineRule="auto"/>
        <w:ind w:left="0"/>
        <w:rPr>
          <w:rFonts w:ascii="Trebuchet MS" w:hAnsi="Trebuchet MS"/>
          <w:bCs/>
          <w:lang w:val="ro-RO"/>
        </w:rPr>
      </w:pPr>
    </w:p>
    <w:p w:rsidR="00E41A20" w:rsidRDefault="00E41A20" w:rsidP="00E41A20">
      <w:pPr>
        <w:pStyle w:val="ListParagraph"/>
        <w:spacing w:after="0" w:line="240" w:lineRule="auto"/>
        <w:ind w:left="0"/>
        <w:rPr>
          <w:rFonts w:ascii="Trebuchet MS" w:hAnsi="Trebuchet MS"/>
          <w:bCs/>
          <w:lang w:val="ro-RO"/>
        </w:rPr>
      </w:pPr>
    </w:p>
    <w:p w:rsidR="00E41A20" w:rsidRDefault="00E41A20" w:rsidP="00E41A20">
      <w:pPr>
        <w:pStyle w:val="ListParagraph"/>
        <w:spacing w:after="0" w:line="240" w:lineRule="auto"/>
        <w:ind w:left="0"/>
        <w:rPr>
          <w:rFonts w:ascii="Trebuchet MS" w:hAnsi="Trebuchet MS"/>
          <w:bCs/>
          <w:lang w:val="ro-RO"/>
        </w:rPr>
      </w:pPr>
    </w:p>
    <w:p w:rsidR="00E41A20" w:rsidRDefault="00E41A20" w:rsidP="00E41A20"/>
    <w:p w:rsidR="00A65660" w:rsidRDefault="00A65660"/>
    <w:sectPr w:rsidR="00A65660" w:rsidSect="00326810">
      <w:headerReference w:type="default" r:id="rId7"/>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A34" w:rsidRDefault="00CC0A34" w:rsidP="00326810">
      <w:r>
        <w:separator/>
      </w:r>
    </w:p>
  </w:endnote>
  <w:endnote w:type="continuationSeparator" w:id="0">
    <w:p w:rsidR="00CC0A34" w:rsidRDefault="00CC0A34" w:rsidP="0032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A34" w:rsidRDefault="00CC0A34" w:rsidP="00326810">
      <w:r>
        <w:separator/>
      </w:r>
    </w:p>
  </w:footnote>
  <w:footnote w:type="continuationSeparator" w:id="0">
    <w:p w:rsidR="00CC0A34" w:rsidRDefault="00CC0A34" w:rsidP="00326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810" w:rsidRDefault="00326810">
    <w:pPr>
      <w:pStyle w:val="Header"/>
    </w:pPr>
    <w:r>
      <w:rPr>
        <w:noProof/>
      </w:rPr>
      <w:drawing>
        <wp:anchor distT="0" distB="0" distL="114300" distR="114300" simplePos="0" relativeHeight="251659264" behindDoc="1" locked="1" layoutInCell="1" allowOverlap="1" wp14:anchorId="6977429A" wp14:editId="1F4309A7">
          <wp:simplePos x="0" y="0"/>
          <wp:positionH relativeFrom="margin">
            <wp:posOffset>0</wp:posOffset>
          </wp:positionH>
          <wp:positionV relativeFrom="page">
            <wp:posOffset>457200</wp:posOffset>
          </wp:positionV>
          <wp:extent cx="2314575" cy="762000"/>
          <wp:effectExtent l="0" t="0" r="952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D4C0C"/>
    <w:multiLevelType w:val="hybridMultilevel"/>
    <w:tmpl w:val="4A783640"/>
    <w:lvl w:ilvl="0" w:tplc="0809000F">
      <w:start w:val="1"/>
      <w:numFmt w:val="decimal"/>
      <w:lvlText w:val="%1."/>
      <w:lvlJc w:val="left"/>
      <w:pPr>
        <w:ind w:left="619" w:hanging="360"/>
      </w:pPr>
    </w:lvl>
    <w:lvl w:ilvl="1" w:tplc="08090019">
      <w:start w:val="1"/>
      <w:numFmt w:val="lowerLetter"/>
      <w:lvlText w:val="%2."/>
      <w:lvlJc w:val="left"/>
      <w:pPr>
        <w:ind w:left="1339" w:hanging="360"/>
      </w:pPr>
    </w:lvl>
    <w:lvl w:ilvl="2" w:tplc="0809001B">
      <w:start w:val="1"/>
      <w:numFmt w:val="lowerRoman"/>
      <w:lvlText w:val="%3."/>
      <w:lvlJc w:val="right"/>
      <w:pPr>
        <w:ind w:left="2059" w:hanging="180"/>
      </w:pPr>
    </w:lvl>
    <w:lvl w:ilvl="3" w:tplc="0809000F">
      <w:start w:val="1"/>
      <w:numFmt w:val="decimal"/>
      <w:lvlText w:val="%4."/>
      <w:lvlJc w:val="left"/>
      <w:pPr>
        <w:ind w:left="2779" w:hanging="360"/>
      </w:pPr>
    </w:lvl>
    <w:lvl w:ilvl="4" w:tplc="08090019">
      <w:start w:val="1"/>
      <w:numFmt w:val="lowerLetter"/>
      <w:lvlText w:val="%5."/>
      <w:lvlJc w:val="left"/>
      <w:pPr>
        <w:ind w:left="3499" w:hanging="360"/>
      </w:pPr>
    </w:lvl>
    <w:lvl w:ilvl="5" w:tplc="0809001B">
      <w:start w:val="1"/>
      <w:numFmt w:val="lowerRoman"/>
      <w:lvlText w:val="%6."/>
      <w:lvlJc w:val="right"/>
      <w:pPr>
        <w:ind w:left="4219" w:hanging="180"/>
      </w:pPr>
    </w:lvl>
    <w:lvl w:ilvl="6" w:tplc="0809000F">
      <w:start w:val="1"/>
      <w:numFmt w:val="decimal"/>
      <w:lvlText w:val="%7."/>
      <w:lvlJc w:val="left"/>
      <w:pPr>
        <w:ind w:left="4939" w:hanging="360"/>
      </w:pPr>
    </w:lvl>
    <w:lvl w:ilvl="7" w:tplc="08090019">
      <w:start w:val="1"/>
      <w:numFmt w:val="lowerLetter"/>
      <w:lvlText w:val="%8."/>
      <w:lvlJc w:val="left"/>
      <w:pPr>
        <w:ind w:left="5659" w:hanging="360"/>
      </w:pPr>
    </w:lvl>
    <w:lvl w:ilvl="8" w:tplc="0809001B">
      <w:start w:val="1"/>
      <w:numFmt w:val="lowerRoman"/>
      <w:lvlText w:val="%9."/>
      <w:lvlJc w:val="right"/>
      <w:pPr>
        <w:ind w:left="6379" w:hanging="180"/>
      </w:pPr>
    </w:lvl>
  </w:abstractNum>
  <w:abstractNum w:abstractNumId="1" w15:restartNumberingAfterBreak="0">
    <w:nsid w:val="2BF8159E"/>
    <w:multiLevelType w:val="hybridMultilevel"/>
    <w:tmpl w:val="E26CE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2D15D4"/>
    <w:multiLevelType w:val="hybridMultilevel"/>
    <w:tmpl w:val="20164380"/>
    <w:lvl w:ilvl="0" w:tplc="08090001">
      <w:start w:val="1"/>
      <w:numFmt w:val="bullet"/>
      <w:lvlText w:val=""/>
      <w:lvlJc w:val="left"/>
      <w:pPr>
        <w:ind w:left="2250" w:hanging="360"/>
      </w:pPr>
      <w:rPr>
        <w:rFonts w:ascii="Symbol" w:hAnsi="Symbol" w:hint="default"/>
      </w:rPr>
    </w:lvl>
    <w:lvl w:ilvl="1" w:tplc="08090003">
      <w:start w:val="1"/>
      <w:numFmt w:val="bullet"/>
      <w:lvlText w:val="o"/>
      <w:lvlJc w:val="left"/>
      <w:pPr>
        <w:ind w:left="2970" w:hanging="360"/>
      </w:pPr>
      <w:rPr>
        <w:rFonts w:ascii="Courier New" w:hAnsi="Courier New" w:cs="Courier New" w:hint="default"/>
      </w:rPr>
    </w:lvl>
    <w:lvl w:ilvl="2" w:tplc="08090005">
      <w:start w:val="1"/>
      <w:numFmt w:val="bullet"/>
      <w:lvlText w:val=""/>
      <w:lvlJc w:val="left"/>
      <w:pPr>
        <w:ind w:left="3690" w:hanging="360"/>
      </w:pPr>
      <w:rPr>
        <w:rFonts w:ascii="Wingdings" w:hAnsi="Wingdings" w:hint="default"/>
      </w:rPr>
    </w:lvl>
    <w:lvl w:ilvl="3" w:tplc="08090001">
      <w:start w:val="1"/>
      <w:numFmt w:val="bullet"/>
      <w:lvlText w:val=""/>
      <w:lvlJc w:val="left"/>
      <w:pPr>
        <w:ind w:left="4410" w:hanging="360"/>
      </w:pPr>
      <w:rPr>
        <w:rFonts w:ascii="Symbol" w:hAnsi="Symbol" w:hint="default"/>
      </w:rPr>
    </w:lvl>
    <w:lvl w:ilvl="4" w:tplc="08090003">
      <w:start w:val="1"/>
      <w:numFmt w:val="bullet"/>
      <w:lvlText w:val="o"/>
      <w:lvlJc w:val="left"/>
      <w:pPr>
        <w:ind w:left="5130" w:hanging="360"/>
      </w:pPr>
      <w:rPr>
        <w:rFonts w:ascii="Courier New" w:hAnsi="Courier New" w:cs="Courier New" w:hint="default"/>
      </w:rPr>
    </w:lvl>
    <w:lvl w:ilvl="5" w:tplc="08090005">
      <w:start w:val="1"/>
      <w:numFmt w:val="bullet"/>
      <w:lvlText w:val=""/>
      <w:lvlJc w:val="left"/>
      <w:pPr>
        <w:ind w:left="5850" w:hanging="360"/>
      </w:pPr>
      <w:rPr>
        <w:rFonts w:ascii="Wingdings" w:hAnsi="Wingdings" w:hint="default"/>
      </w:rPr>
    </w:lvl>
    <w:lvl w:ilvl="6" w:tplc="08090001">
      <w:start w:val="1"/>
      <w:numFmt w:val="bullet"/>
      <w:lvlText w:val=""/>
      <w:lvlJc w:val="left"/>
      <w:pPr>
        <w:ind w:left="6570" w:hanging="360"/>
      </w:pPr>
      <w:rPr>
        <w:rFonts w:ascii="Symbol" w:hAnsi="Symbol" w:hint="default"/>
      </w:rPr>
    </w:lvl>
    <w:lvl w:ilvl="7" w:tplc="08090003">
      <w:start w:val="1"/>
      <w:numFmt w:val="bullet"/>
      <w:lvlText w:val="o"/>
      <w:lvlJc w:val="left"/>
      <w:pPr>
        <w:ind w:left="7290" w:hanging="360"/>
      </w:pPr>
      <w:rPr>
        <w:rFonts w:ascii="Courier New" w:hAnsi="Courier New" w:cs="Courier New" w:hint="default"/>
      </w:rPr>
    </w:lvl>
    <w:lvl w:ilvl="8" w:tplc="08090005">
      <w:start w:val="1"/>
      <w:numFmt w:val="bullet"/>
      <w:lvlText w:val=""/>
      <w:lvlJc w:val="left"/>
      <w:pPr>
        <w:ind w:left="8010" w:hanging="360"/>
      </w:pPr>
      <w:rPr>
        <w:rFonts w:ascii="Wingdings" w:hAnsi="Wingdings" w:hint="default"/>
      </w:rPr>
    </w:lvl>
  </w:abstractNum>
  <w:abstractNum w:abstractNumId="3" w15:restartNumberingAfterBreak="0">
    <w:nsid w:val="5DB544D8"/>
    <w:multiLevelType w:val="hybridMultilevel"/>
    <w:tmpl w:val="BDC6C9EA"/>
    <w:lvl w:ilvl="0" w:tplc="04090001">
      <w:start w:val="1"/>
      <w:numFmt w:val="bullet"/>
      <w:lvlText w:val=""/>
      <w:lvlJc w:val="left"/>
      <w:pPr>
        <w:ind w:left="619" w:hanging="360"/>
      </w:pPr>
      <w:rPr>
        <w:rFonts w:ascii="Symbol" w:hAnsi="Symbol" w:hint="default"/>
      </w:rPr>
    </w:lvl>
    <w:lvl w:ilvl="1" w:tplc="04090003">
      <w:start w:val="1"/>
      <w:numFmt w:val="bullet"/>
      <w:lvlText w:val="o"/>
      <w:lvlJc w:val="left"/>
      <w:pPr>
        <w:ind w:left="1339" w:hanging="360"/>
      </w:pPr>
      <w:rPr>
        <w:rFonts w:ascii="Courier New" w:hAnsi="Courier New" w:cs="Courier New" w:hint="default"/>
      </w:rPr>
    </w:lvl>
    <w:lvl w:ilvl="2" w:tplc="04090005">
      <w:start w:val="1"/>
      <w:numFmt w:val="bullet"/>
      <w:lvlText w:val=""/>
      <w:lvlJc w:val="left"/>
      <w:pPr>
        <w:ind w:left="2059" w:hanging="360"/>
      </w:pPr>
      <w:rPr>
        <w:rFonts w:ascii="Wingdings" w:hAnsi="Wingdings" w:hint="default"/>
      </w:rPr>
    </w:lvl>
    <w:lvl w:ilvl="3" w:tplc="04090001">
      <w:start w:val="1"/>
      <w:numFmt w:val="bullet"/>
      <w:lvlText w:val=""/>
      <w:lvlJc w:val="left"/>
      <w:pPr>
        <w:ind w:left="2779" w:hanging="360"/>
      </w:pPr>
      <w:rPr>
        <w:rFonts w:ascii="Symbol" w:hAnsi="Symbol" w:hint="default"/>
      </w:rPr>
    </w:lvl>
    <w:lvl w:ilvl="4" w:tplc="04090003">
      <w:start w:val="1"/>
      <w:numFmt w:val="bullet"/>
      <w:lvlText w:val="o"/>
      <w:lvlJc w:val="left"/>
      <w:pPr>
        <w:ind w:left="3499" w:hanging="360"/>
      </w:pPr>
      <w:rPr>
        <w:rFonts w:ascii="Courier New" w:hAnsi="Courier New" w:cs="Courier New" w:hint="default"/>
      </w:rPr>
    </w:lvl>
    <w:lvl w:ilvl="5" w:tplc="04090005">
      <w:start w:val="1"/>
      <w:numFmt w:val="bullet"/>
      <w:lvlText w:val=""/>
      <w:lvlJc w:val="left"/>
      <w:pPr>
        <w:ind w:left="4219" w:hanging="360"/>
      </w:pPr>
      <w:rPr>
        <w:rFonts w:ascii="Wingdings" w:hAnsi="Wingdings" w:hint="default"/>
      </w:rPr>
    </w:lvl>
    <w:lvl w:ilvl="6" w:tplc="04090001">
      <w:start w:val="1"/>
      <w:numFmt w:val="bullet"/>
      <w:lvlText w:val=""/>
      <w:lvlJc w:val="left"/>
      <w:pPr>
        <w:ind w:left="4939" w:hanging="360"/>
      </w:pPr>
      <w:rPr>
        <w:rFonts w:ascii="Symbol" w:hAnsi="Symbol" w:hint="default"/>
      </w:rPr>
    </w:lvl>
    <w:lvl w:ilvl="7" w:tplc="04090003">
      <w:start w:val="1"/>
      <w:numFmt w:val="bullet"/>
      <w:lvlText w:val="o"/>
      <w:lvlJc w:val="left"/>
      <w:pPr>
        <w:ind w:left="5659" w:hanging="360"/>
      </w:pPr>
      <w:rPr>
        <w:rFonts w:ascii="Courier New" w:hAnsi="Courier New" w:cs="Courier New" w:hint="default"/>
      </w:rPr>
    </w:lvl>
    <w:lvl w:ilvl="8" w:tplc="04090005">
      <w:start w:val="1"/>
      <w:numFmt w:val="bullet"/>
      <w:lvlText w:val=""/>
      <w:lvlJc w:val="left"/>
      <w:pPr>
        <w:ind w:left="637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20"/>
    <w:rsid w:val="0001003F"/>
    <w:rsid w:val="00326810"/>
    <w:rsid w:val="00A65660"/>
    <w:rsid w:val="00CC0A34"/>
    <w:rsid w:val="00E4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26157"/>
  <w15:chartTrackingRefBased/>
  <w15:docId w15:val="{BFF41D14-8194-48F7-8414-3731EAE0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A20"/>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compact,Normal bullet 2,Paragraphe de liste 2,Reference list,Bullet list,Numbered List,1st level - Bullet List Paragraph,Lettre d'introduction,Paragraph,Bullet EY,List Paragraph11,Normal bullet 21,L,List L1"/>
    <w:basedOn w:val="Normal"/>
    <w:link w:val="ListParagraphChar"/>
    <w:uiPriority w:val="99"/>
    <w:qFormat/>
    <w:rsid w:val="00E41A20"/>
    <w:pPr>
      <w:suppressAutoHyphens w:val="0"/>
      <w:spacing w:after="200" w:line="276" w:lineRule="auto"/>
      <w:ind w:left="720"/>
    </w:pPr>
    <w:rPr>
      <w:rFonts w:ascii="Calibri" w:hAnsi="Calibri"/>
      <w:sz w:val="22"/>
      <w:szCs w:val="22"/>
      <w:lang w:eastAsia="en-US"/>
    </w:rPr>
  </w:style>
  <w:style w:type="character" w:customStyle="1" w:styleId="ListParagraphChar">
    <w:name w:val="List Paragraph Char"/>
    <w:aliases w:val="List Paragraph compact Char,Normal bullet 2 Char,Paragraphe de liste 2 Char,Reference list Char,Bullet list Char,Numbered List Char,1st level - Bullet List Paragraph Char,Lettre d'introduction Char,Paragraph Char,Bullet EY Char"/>
    <w:link w:val="ListParagraph"/>
    <w:uiPriority w:val="99"/>
    <w:qFormat/>
    <w:locked/>
    <w:rsid w:val="00E41A20"/>
    <w:rPr>
      <w:rFonts w:ascii="Calibri" w:eastAsia="Times New Roman" w:hAnsi="Calibri" w:cs="Times New Roman"/>
    </w:rPr>
  </w:style>
  <w:style w:type="paragraph" w:styleId="NoSpacing">
    <w:name w:val="No Spacing"/>
    <w:basedOn w:val="Normal"/>
    <w:uiPriority w:val="1"/>
    <w:qFormat/>
    <w:rsid w:val="00E41A20"/>
    <w:pPr>
      <w:suppressAutoHyphens w:val="0"/>
    </w:pPr>
    <w:rPr>
      <w:lang w:eastAsia="en-US"/>
    </w:rPr>
  </w:style>
  <w:style w:type="paragraph" w:styleId="Header">
    <w:name w:val="header"/>
    <w:basedOn w:val="Normal"/>
    <w:link w:val="HeaderChar"/>
    <w:uiPriority w:val="99"/>
    <w:unhideWhenUsed/>
    <w:rsid w:val="00326810"/>
    <w:pPr>
      <w:tabs>
        <w:tab w:val="center" w:pos="4680"/>
        <w:tab w:val="right" w:pos="9360"/>
      </w:tabs>
    </w:pPr>
  </w:style>
  <w:style w:type="character" w:customStyle="1" w:styleId="HeaderChar">
    <w:name w:val="Header Char"/>
    <w:basedOn w:val="DefaultParagraphFont"/>
    <w:link w:val="Header"/>
    <w:uiPriority w:val="99"/>
    <w:rsid w:val="00326810"/>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326810"/>
    <w:pPr>
      <w:tabs>
        <w:tab w:val="center" w:pos="4680"/>
        <w:tab w:val="right" w:pos="9360"/>
      </w:tabs>
    </w:pPr>
  </w:style>
  <w:style w:type="character" w:customStyle="1" w:styleId="FooterChar">
    <w:name w:val="Footer Char"/>
    <w:basedOn w:val="DefaultParagraphFont"/>
    <w:link w:val="Footer"/>
    <w:uiPriority w:val="99"/>
    <w:rsid w:val="00326810"/>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Goidan</dc:creator>
  <cp:keywords/>
  <dc:description/>
  <cp:lastModifiedBy>Catalina Goidan</cp:lastModifiedBy>
  <cp:revision>2</cp:revision>
  <dcterms:created xsi:type="dcterms:W3CDTF">2026-06-22T06:10:00Z</dcterms:created>
  <dcterms:modified xsi:type="dcterms:W3CDTF">2026-06-22T06:15:00Z</dcterms:modified>
</cp:coreProperties>
</file>