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152A" w14:textId="77777777" w:rsidR="00F4365D" w:rsidRDefault="007670BB">
      <w:pPr>
        <w:spacing w:after="100"/>
        <w:jc w:val="center"/>
      </w:pPr>
      <w:r>
        <w:rPr>
          <w:rFonts w:ascii="Arial" w:eastAsia="Arial" w:hAnsi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sz="6" w:space="0" w:color="3E418E"/>
          <w:left w:val="single" w:sz="6" w:space="0" w:color="3E418E"/>
          <w:bottom w:val="single" w:sz="6" w:space="0" w:color="3E418E"/>
          <w:right w:val="single" w:sz="6" w:space="0" w:color="3E418E"/>
          <w:insideH w:val="single" w:sz="6" w:space="0" w:color="3E418E"/>
          <w:insideV w:val="single" w:sz="6" w:space="0" w:color="3E418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14:paraId="7E44BFE0" w14:textId="77777777" w:rsidR="00F4365D" w:rsidRDefault="007670BB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14:paraId="2E81E97D" w14:textId="0310DB91" w:rsidR="00336CB2" w:rsidRDefault="00000000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14:paraId="48E736A7" w14:textId="77777777" w:rsidR="00F4365D" w:rsidRDefault="007670BB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14:paraId="69288121" w14:textId="38961683" w:rsidR="00F4365D" w:rsidRDefault="00F44C3D">
            <w:r>
              <w:rPr>
                <w:szCs w:val="18"/>
              </w:rPr>
              <w:t xml:space="preserve">Account Executive </w:t>
            </w:r>
          </w:p>
        </w:tc>
        <w:tc>
          <w:tcPr>
            <w:tcW w:w="500" w:type="pct"/>
            <w:shd w:val="clear" w:color="auto" w:fill="E6E7FB"/>
          </w:tcPr>
          <w:p w14:paraId="51EEAE5F" w14:textId="77777777" w:rsidR="00F4365D" w:rsidRDefault="007670BB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14:paraId="4CA4551E" w14:textId="77777777" w:rsidR="00336CB2" w:rsidRDefault="00000000">
            <w:r>
              <w:t>Dec 29, 2025</w:t>
            </w:r>
          </w:p>
        </w:tc>
      </w:tr>
    </w:tbl>
    <w:p w14:paraId="6E8756BE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14:paraId="376BD8FF" w14:textId="77777777">
        <w:tc>
          <w:tcPr>
            <w:tcW w:w="1650" w:type="pct"/>
            <w:shd w:val="clear" w:color="auto" w:fill="F0F0F0"/>
          </w:tcPr>
          <w:p w14:paraId="5917B115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</w:tcPr>
          <w:p w14:paraId="7CF1486B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</w:tcPr>
          <w:p w14:paraId="4F743040" w14:textId="2C867E17" w:rsidR="00F4365D" w:rsidRDefault="00F44C3D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SHARED </w:t>
            </w:r>
            <w:r w:rsidR="007670BB">
              <w:rPr>
                <w:b/>
                <w:bCs/>
                <w:color w:val="3E418E"/>
                <w:szCs w:val="18"/>
              </w:rPr>
              <w:t>TEAM GOALS</w:t>
            </w:r>
          </w:p>
        </w:tc>
      </w:tr>
      <w:tr w:rsidR="00F4365D" w14:paraId="517C779F" w14:textId="77777777">
        <w:tc>
          <w:tcPr>
            <w:tcW w:w="0" w:type="auto"/>
          </w:tcPr>
          <w:p w14:paraId="3F708EFF" w14:textId="7205CCB8" w:rsidR="00336CB2" w:rsidRPr="00B05A74" w:rsidRDefault="00B05A74">
            <w:r w:rsidRPr="00B05A74">
              <w:t>Grow from ~$5M to ~$10M ARR in 36 months, hitting ~$7M by month 12 and ~$8.5M by month 24, while maintaining healthy retention and margins.</w:t>
            </w:r>
          </w:p>
        </w:tc>
        <w:tc>
          <w:tcPr>
            <w:tcW w:w="0" w:type="auto"/>
          </w:tcPr>
          <w:p w14:paraId="5C2A96BD" w14:textId="77777777" w:rsidR="00336CB2" w:rsidRDefault="00000000">
            <w:r>
              <w:t>• Build what matters</w:t>
            </w:r>
            <w:r>
              <w:br/>
              <w:t>• Be clear, not clever</w:t>
            </w:r>
            <w:r>
              <w:br/>
              <w:t>• Act like owners</w:t>
            </w:r>
            <w:r>
              <w:br/>
              <w:t>• Keep promises</w:t>
            </w:r>
            <w:r>
              <w:br/>
              <w:t>• Learn fast, share often</w:t>
            </w:r>
          </w:p>
        </w:tc>
        <w:tc>
          <w:tcPr>
            <w:tcW w:w="0" w:type="auto"/>
          </w:tcPr>
          <w:p w14:paraId="68E5C326" w14:textId="014BBFC0" w:rsidR="00336CB2" w:rsidRDefault="00F44C3D">
            <w:r w:rsidRPr="00616DD6">
              <w:t>Hit $300-400K in net new ARR this quarter as a team. Build a sales motion so predictable that we can forecast within 10% accuracy. Win more deals by helping customers see exactly how we solve their problems</w:t>
            </w:r>
          </w:p>
        </w:tc>
      </w:tr>
      <w:tr w:rsidR="00336CB2" w14:paraId="1470A2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06" w:type="dxa"/>
            <w:gridSpan w:val="3"/>
          </w:tcPr>
          <w:p w14:paraId="2F060167" w14:textId="77777777" w:rsidR="00336CB2" w:rsidRDefault="00000000">
            <w:r>
              <w:rPr>
                <w:b/>
              </w:rPr>
              <w:t>THIS QUARTER’S TOP 3 OUTCOMES (PICK 3)</w:t>
            </w:r>
          </w:p>
        </w:tc>
      </w:tr>
      <w:tr w:rsidR="00336CB2" w14:paraId="119CC9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06" w:type="dxa"/>
            <w:gridSpan w:val="3"/>
          </w:tcPr>
          <w:p w14:paraId="74DBB93C" w14:textId="467944EB" w:rsidR="003C48F1" w:rsidRPr="003C48F1" w:rsidRDefault="003C48F1" w:rsidP="003C48F1">
            <w:pPr>
              <w:pStyle w:val="ListParagraph"/>
              <w:numPr>
                <w:ilvl w:val="0"/>
                <w:numId w:val="2"/>
              </w:numPr>
            </w:pPr>
            <w:r w:rsidRPr="003C48F1">
              <w:t xml:space="preserve">Close $100-120K in net new ARR - prioritize Smith Corp ($40K) and Acme ($35K), plus 2 smaller deals </w:t>
            </w:r>
          </w:p>
          <w:p w14:paraId="2C5E2451" w14:textId="0114B7D2" w:rsidR="003C48F1" w:rsidRPr="003C48F1" w:rsidRDefault="003C48F1" w:rsidP="003C48F1">
            <w:pPr>
              <w:pStyle w:val="ListParagraph"/>
              <w:numPr>
                <w:ilvl w:val="0"/>
                <w:numId w:val="2"/>
              </w:numPr>
            </w:pPr>
            <w:r w:rsidRPr="003C48F1">
              <w:t xml:space="preserve">Shorten my sales cycle to 45-50 days average by sending follow-ups within 4 hours and scheduling next steps same-day </w:t>
            </w:r>
          </w:p>
          <w:p w14:paraId="4022C999" w14:textId="77BB32F3" w:rsidR="00336CB2" w:rsidRDefault="003C48F1" w:rsidP="003C48F1">
            <w:pPr>
              <w:pStyle w:val="ListParagraph"/>
              <w:numPr>
                <w:ilvl w:val="0"/>
                <w:numId w:val="2"/>
              </w:numPr>
            </w:pPr>
            <w:r w:rsidRPr="003C48F1">
              <w:t>Build $400K qualified pipeline for Q2 - 10 discovery calls per week, disqualify bad fits within first call</w:t>
            </w:r>
          </w:p>
        </w:tc>
      </w:tr>
    </w:tbl>
    <w:p w14:paraId="46F3A190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6"/>
      </w:tblGrid>
      <w:tr w:rsidR="00F4365D" w14:paraId="443A5269" w14:textId="77777777">
        <w:tc>
          <w:tcPr>
            <w:tcW w:w="0" w:type="auto"/>
            <w:shd w:val="clear" w:color="auto" w:fill="F0F0F0"/>
          </w:tcPr>
          <w:p w14:paraId="0B89E59C" w14:textId="6F8AC7E8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ROLE </w:t>
            </w:r>
            <w:r w:rsidR="001F1283">
              <w:rPr>
                <w:b/>
                <w:bCs/>
                <w:color w:val="3E418E"/>
                <w:szCs w:val="18"/>
              </w:rPr>
              <w:t>MANDATE</w:t>
            </w:r>
          </w:p>
        </w:tc>
      </w:tr>
      <w:tr w:rsidR="00F4365D" w14:paraId="00AB1C5D" w14:textId="77777777" w:rsidTr="00F44C3D">
        <w:trPr>
          <w:trHeight w:val="705"/>
        </w:trPr>
        <w:tc>
          <w:tcPr>
            <w:tcW w:w="0" w:type="auto"/>
            <w:tcBorders>
              <w:bottom w:val="single" w:sz="4" w:space="0" w:color="CCCCCC"/>
            </w:tcBorders>
          </w:tcPr>
          <w:p w14:paraId="2E9E0D8F" w14:textId="77777777" w:rsidR="003C48F1" w:rsidRPr="003C48F1" w:rsidRDefault="003C48F1" w:rsidP="003C48F1">
            <w:r w:rsidRPr="003C48F1">
              <w:t>Own your pipeline from qualified opportunity to closed-won.</w:t>
            </w:r>
          </w:p>
          <w:p w14:paraId="007AEFDC" w14:textId="77777777" w:rsidR="003C48F1" w:rsidRPr="003C48F1" w:rsidRDefault="003C48F1" w:rsidP="00F44C3D">
            <w:r w:rsidRPr="003C48F1">
              <w:t>Run discovery that uncovers real pain, execute demos that map to their workflow, and negotiate deals that stick. Make every opportunity count—no throwing spaghetti at the wall.</w:t>
            </w:r>
          </w:p>
          <w:p w14:paraId="0C785D97" w14:textId="6D5FB8A3" w:rsidR="00336CB2" w:rsidRDefault="00336CB2"/>
        </w:tc>
      </w:tr>
      <w:tr w:rsidR="00F44C3D" w14:paraId="50B5E6AF" w14:textId="77777777" w:rsidTr="00F44C3D">
        <w:trPr>
          <w:trHeight w:val="435"/>
        </w:trPr>
        <w:tc>
          <w:tcPr>
            <w:tcW w:w="0" w:type="auto"/>
            <w:tcBorders>
              <w:top w:val="single" w:sz="4" w:space="0" w:color="CCCCCC"/>
            </w:tcBorders>
          </w:tcPr>
          <w:p w14:paraId="2A5D19DC" w14:textId="319596BD" w:rsidR="00F44C3D" w:rsidRPr="003C48F1" w:rsidRDefault="00F44C3D" w:rsidP="00F44C3D">
            <w:r w:rsidRPr="00141F38">
              <w:rPr>
                <w:b/>
                <w:bCs/>
              </w:rPr>
              <w:t>Obsess over</w:t>
            </w:r>
            <w:r>
              <w:rPr>
                <w:b/>
                <w:bCs/>
              </w:rPr>
              <w:t xml:space="preserve">: Win rate and deal velocity. </w:t>
            </w:r>
            <w:r w:rsidRPr="00F44C3D">
              <w:rPr>
                <w:b/>
                <w:bCs/>
                <w:i/>
                <w:iCs/>
              </w:rPr>
              <w:t>Closing the right deals—fast and clean.</w:t>
            </w:r>
          </w:p>
        </w:tc>
      </w:tr>
    </w:tbl>
    <w:p w14:paraId="3F6BB93B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44"/>
        <w:gridCol w:w="7725"/>
      </w:tblGrid>
      <w:tr w:rsidR="00F4365D" w14:paraId="64FA6C2F" w14:textId="77777777" w:rsidTr="00B05A74">
        <w:tc>
          <w:tcPr>
            <w:tcW w:w="200" w:type="pct"/>
            <w:shd w:val="clear" w:color="auto" w:fill="E6E7FB"/>
          </w:tcPr>
          <w:p w14:paraId="22ADF509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1189" w:type="pct"/>
            <w:shd w:val="clear" w:color="auto" w:fill="E6E7FB"/>
          </w:tcPr>
          <w:p w14:paraId="069E2F18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3611" w:type="pct"/>
            <w:shd w:val="clear" w:color="auto" w:fill="E6E7FB"/>
          </w:tcPr>
          <w:p w14:paraId="7D815081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F4365D" w14:paraId="0E58F4C8" w14:textId="77777777" w:rsidTr="00B05A74">
        <w:tc>
          <w:tcPr>
            <w:tcW w:w="200" w:type="pct"/>
            <w:vAlign w:val="center"/>
          </w:tcPr>
          <w:p w14:paraId="761522B5" w14:textId="77777777" w:rsidR="00F4365D" w:rsidRDefault="007670B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89" w:type="pct"/>
            <w:vAlign w:val="center"/>
          </w:tcPr>
          <w:p w14:paraId="23E17F94" w14:textId="2BC71017" w:rsidR="00F4365D" w:rsidRDefault="003C48F1">
            <w:pPr>
              <w:spacing w:before="50" w:after="50"/>
            </w:pPr>
            <w:r w:rsidRPr="003C48F1">
              <w:rPr>
                <w:b/>
                <w:bCs/>
                <w:szCs w:val="18"/>
              </w:rPr>
              <w:t>Quota Attainment</w:t>
            </w:r>
          </w:p>
        </w:tc>
        <w:tc>
          <w:tcPr>
            <w:tcW w:w="3611" w:type="pct"/>
          </w:tcPr>
          <w:p w14:paraId="1CE81421" w14:textId="2EE3A2BD" w:rsidR="00336CB2" w:rsidRDefault="003C48F1"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Hit 80%+ of monthly quota consistently; if you miss, diagnose why within 48 hours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Close $100–$120K net new ARR in Q1; deals in your name, not team carries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Maintain 3–4x pipeline coverage at all times; pipeline reviews show clear next steps on every deal &gt;$25K</w:t>
            </w:r>
          </w:p>
        </w:tc>
      </w:tr>
      <w:tr w:rsidR="00F4365D" w14:paraId="1818D292" w14:textId="77777777" w:rsidTr="00B05A74">
        <w:tc>
          <w:tcPr>
            <w:tcW w:w="200" w:type="pct"/>
            <w:vAlign w:val="center"/>
          </w:tcPr>
          <w:p w14:paraId="05B35861" w14:textId="77777777" w:rsidR="00F4365D" w:rsidRDefault="007670BB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89" w:type="pct"/>
            <w:vAlign w:val="center"/>
          </w:tcPr>
          <w:p w14:paraId="4C522BCC" w14:textId="22F0B53E" w:rsidR="00F4365D" w:rsidRDefault="003C48F1">
            <w:pPr>
              <w:spacing w:before="50" w:after="50"/>
            </w:pPr>
            <w:r w:rsidRPr="003C48F1">
              <w:rPr>
                <w:b/>
                <w:bCs/>
                <w:szCs w:val="18"/>
              </w:rPr>
              <w:t>Discovery &amp; Qualification</w:t>
            </w:r>
          </w:p>
        </w:tc>
        <w:tc>
          <w:tcPr>
            <w:tcW w:w="3611" w:type="pct"/>
          </w:tcPr>
          <w:p w14:paraId="0767118C" w14:textId="50DC7732" w:rsidR="00336CB2" w:rsidRDefault="003C48F1"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Run MEDDIC (or equivalent) qualification on every opportunity; disqualify bad fits within first call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Improve win rate from 18% to 25%+ by asking better questions and mapping to their success metrics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Document discovery notes in CRM within 24 hours; VP Sales can read any deal and understand status</w:t>
            </w:r>
          </w:p>
        </w:tc>
      </w:tr>
      <w:tr w:rsidR="00F4365D" w14:paraId="6B1C8BBC" w14:textId="77777777" w:rsidTr="00B05A74">
        <w:tc>
          <w:tcPr>
            <w:tcW w:w="200" w:type="pct"/>
            <w:vAlign w:val="center"/>
          </w:tcPr>
          <w:p w14:paraId="0B52F30C" w14:textId="77777777" w:rsidR="00F4365D" w:rsidRDefault="007670BB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89" w:type="pct"/>
            <w:vAlign w:val="center"/>
          </w:tcPr>
          <w:p w14:paraId="0842DC32" w14:textId="103833E6" w:rsidR="00F4365D" w:rsidRDefault="003C48F1">
            <w:pPr>
              <w:spacing w:before="50" w:after="50"/>
            </w:pPr>
            <w:r w:rsidRPr="003C48F1">
              <w:rPr>
                <w:b/>
                <w:bCs/>
                <w:szCs w:val="18"/>
              </w:rPr>
              <w:t>Demo &amp; Proof of Value</w:t>
            </w:r>
          </w:p>
        </w:tc>
        <w:tc>
          <w:tcPr>
            <w:tcW w:w="3611" w:type="pct"/>
          </w:tcPr>
          <w:p w14:paraId="08060C8F" w14:textId="5FDC1B04" w:rsidR="00336CB2" w:rsidRDefault="003C48F1"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Customize every demo to their workflow (no generic walkthroughs); show them their problem solved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Send post-demo follow-up within 4 hours with clear next steps and timeline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Run proof-of-concept or trial when needed; convert 60%+ of POCs to closed-won</w:t>
            </w:r>
          </w:p>
        </w:tc>
      </w:tr>
      <w:tr w:rsidR="00F4365D" w14:paraId="0574A90F" w14:textId="77777777" w:rsidTr="00B05A74">
        <w:tc>
          <w:tcPr>
            <w:tcW w:w="200" w:type="pct"/>
            <w:vAlign w:val="center"/>
          </w:tcPr>
          <w:p w14:paraId="41299792" w14:textId="77777777" w:rsidR="00F4365D" w:rsidRDefault="007670B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9" w:type="pct"/>
            <w:vAlign w:val="center"/>
          </w:tcPr>
          <w:p w14:paraId="73A881A5" w14:textId="67443425" w:rsidR="00F4365D" w:rsidRDefault="003C48F1">
            <w:pPr>
              <w:spacing w:before="50" w:after="50"/>
            </w:pPr>
            <w:r w:rsidRPr="003C48F1">
              <w:rPr>
                <w:b/>
                <w:bCs/>
                <w:szCs w:val="18"/>
              </w:rPr>
              <w:t>Deal Management</w:t>
            </w:r>
          </w:p>
        </w:tc>
        <w:tc>
          <w:tcPr>
            <w:tcW w:w="3611" w:type="pct"/>
          </w:tcPr>
          <w:p w14:paraId="22828D55" w14:textId="68427FD5" w:rsidR="00336CB2" w:rsidRDefault="003C48F1"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Reduce average sales cycle from 65 days to 50–55 days through faster follow-up and momentum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Update forecast weekly with accurate close dates; no "pushed deals" without documented reason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Negotiate contracts that stick; &lt;5% deal slippage after verbal commit</w:t>
            </w:r>
          </w:p>
        </w:tc>
      </w:tr>
      <w:tr w:rsidR="00F4365D" w14:paraId="4B12D184" w14:textId="77777777" w:rsidTr="001F1283">
        <w:trPr>
          <w:trHeight w:val="668"/>
        </w:trPr>
        <w:tc>
          <w:tcPr>
            <w:tcW w:w="200" w:type="pct"/>
            <w:vAlign w:val="center"/>
          </w:tcPr>
          <w:p w14:paraId="67865A3F" w14:textId="77777777" w:rsidR="00F4365D" w:rsidRDefault="007670B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89" w:type="pct"/>
            <w:vAlign w:val="center"/>
          </w:tcPr>
          <w:p w14:paraId="28410CC3" w14:textId="56E105FF" w:rsidR="00F4365D" w:rsidRDefault="003C48F1">
            <w:pPr>
              <w:spacing w:before="50" w:after="50"/>
            </w:pPr>
            <w:r w:rsidRPr="003C48F1">
              <w:rPr>
                <w:b/>
                <w:bCs/>
                <w:szCs w:val="18"/>
              </w:rPr>
              <w:t>Handoff &amp; Feedback</w:t>
            </w:r>
          </w:p>
        </w:tc>
        <w:tc>
          <w:tcPr>
            <w:tcW w:w="3611" w:type="pct"/>
          </w:tcPr>
          <w:p w14:paraId="62936191" w14:textId="77D12980" w:rsidR="00336CB2" w:rsidRDefault="003C48F1"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Warm handoff to CS within 48 hours of close; CS reports "clear expectations set" on 90%+ of deals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Share loss reasons with VP Sales monthly; contribute to win/loss analysis and playbook updates</w:t>
            </w:r>
            <w:r w:rsidRPr="003C48F1">
              <w:br/>
            </w:r>
            <w:r w:rsidRPr="003C48F1">
              <w:rPr>
                <w:rFonts w:ascii="Segoe UI Symbol" w:hAnsi="Segoe UI Symbol" w:cs="Segoe UI Symbol"/>
              </w:rPr>
              <w:t>☐</w:t>
            </w:r>
            <w:r w:rsidRPr="003C48F1">
              <w:t xml:space="preserve"> Flag product gaps or pricing objections in real-time; help Product prioritize roadmap based on deal blockers</w:t>
            </w:r>
          </w:p>
        </w:tc>
      </w:tr>
      <w:tr w:rsidR="00336CB2" w14:paraId="11C58185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FC86A0" w14:textId="77777777" w:rsidR="00336CB2" w:rsidRDefault="00000000">
            <w:r>
              <w:rPr>
                <w:b/>
                <w:sz w:val="18"/>
              </w:rPr>
              <w:t>CADENCE &amp; SCORING</w:t>
            </w:r>
          </w:p>
        </w:tc>
      </w:tr>
      <w:tr w:rsidR="00336CB2" w14:paraId="4F7D7776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6106732D" w14:textId="0D0CD1CF" w:rsidR="00336CB2" w:rsidRDefault="00000000">
            <w:r>
              <w:t>Monthly (30 min): traffic-light each bucket, unblock top risks, and decide what stops.</w:t>
            </w:r>
            <w:r>
              <w:br/>
              <w:t>Quarter end (45 min): score each outcome (Hit/Partial/Miss) + write 3 lessons.</w:t>
            </w:r>
            <w:r>
              <w:br/>
              <w:t>Rule: If it's a task, rewrite it as the measurable effect.</w:t>
            </w:r>
          </w:p>
        </w:tc>
      </w:tr>
    </w:tbl>
    <w:p w14:paraId="1B5CDC36" w14:textId="77777777" w:rsidR="00F4365D" w:rsidRDefault="00F4365D">
      <w:pPr>
        <w:spacing w:after="200"/>
      </w:pPr>
    </w:p>
    <w:sectPr w:rsidR="00F4365D">
      <w:footerReference w:type="default" r:id="rId10"/>
      <w:pgSz w:w="11906" w:h="16838"/>
      <w:pgMar w:top="600" w:right="600" w:bottom="600" w:left="6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AE97" w14:textId="77777777" w:rsidR="00562976" w:rsidRDefault="00562976" w:rsidP="00F44C3D">
      <w:r>
        <w:separator/>
      </w:r>
    </w:p>
  </w:endnote>
  <w:endnote w:type="continuationSeparator" w:id="0">
    <w:p w14:paraId="73CC43FD" w14:textId="77777777" w:rsidR="00562976" w:rsidRDefault="00562976" w:rsidP="00F4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9F14" w14:textId="77777777" w:rsidR="00F44C3D" w:rsidRDefault="00F44C3D" w:rsidP="00F44C3D">
    <w:pPr>
      <w:jc w:val="center"/>
    </w:pPr>
    <w:r>
      <w:rPr>
        <w:rFonts w:ascii="Arial" w:eastAsia="Arial" w:hAnsi="Arial" w:cs="Arial"/>
        <w:color w:val="666666"/>
        <w:sz w:val="16"/>
        <w:szCs w:val="16"/>
      </w:rPr>
      <w:t>© 2025 Poly Tech Talent. All rights reserved. You may use this template with attribution. Please do not resell or publish without written permission.</w:t>
    </w:r>
  </w:p>
  <w:p w14:paraId="5FE05A50" w14:textId="77777777" w:rsidR="00F44C3D" w:rsidRPr="00F44C3D" w:rsidRDefault="00F44C3D" w:rsidP="00F44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4E2C" w14:textId="77777777" w:rsidR="00562976" w:rsidRDefault="00562976" w:rsidP="00F44C3D">
      <w:r>
        <w:separator/>
      </w:r>
    </w:p>
  </w:footnote>
  <w:footnote w:type="continuationSeparator" w:id="0">
    <w:p w14:paraId="570B6EA6" w14:textId="77777777" w:rsidR="00562976" w:rsidRDefault="00562976" w:rsidP="00F4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141F38"/>
    <w:rsid w:val="001F1283"/>
    <w:rsid w:val="002D1589"/>
    <w:rsid w:val="00336CB2"/>
    <w:rsid w:val="003C48F1"/>
    <w:rsid w:val="00562976"/>
    <w:rsid w:val="00602329"/>
    <w:rsid w:val="007670BB"/>
    <w:rsid w:val="00974FFE"/>
    <w:rsid w:val="00A2259C"/>
    <w:rsid w:val="00B05A74"/>
    <w:rsid w:val="00E6007C"/>
    <w:rsid w:val="00F4365D"/>
    <w:rsid w:val="00F4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F12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4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C3D"/>
  </w:style>
  <w:style w:type="paragraph" w:styleId="Footer">
    <w:name w:val="footer"/>
    <w:basedOn w:val="Normal"/>
    <w:link w:val="FooterChar"/>
    <w:uiPriority w:val="99"/>
    <w:unhideWhenUsed/>
    <w:rsid w:val="00F44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2109712a556464e8b00b0e6e00311651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2134acc0455ead9ee2758ba2537056cd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Props1.xml><?xml version="1.0" encoding="utf-8"?>
<ds:datastoreItem xmlns:ds="http://schemas.openxmlformats.org/officeDocument/2006/customXml" ds:itemID="{75E50479-8AAB-4A02-8B53-EE8FB9AD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5c99-e04e-47dd-8b1c-08f470eebd9e"/>
    <ds:schemaRef ds:uri="980bef10-9ac4-43fb-89ea-26b771c3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2572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Virginia Poly</cp:lastModifiedBy>
  <cp:revision>3</cp:revision>
  <dcterms:created xsi:type="dcterms:W3CDTF">2025-12-30T11:03:00Z</dcterms:created>
  <dcterms:modified xsi:type="dcterms:W3CDTF">2025-12-30T17:07:00Z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