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152A" w14:textId="77777777" w:rsidR="00F4365D" w:rsidRDefault="007670BB">
      <w:pPr>
        <w:spacing w:after="100"/>
        <w:jc w:val="center"/>
      </w:pPr>
      <w:r>
        <w:rPr>
          <w:rFonts w:ascii="Arial" w:eastAsia="Arial" w:hAnsi="Arial" w:cs="Arial"/>
          <w:b/>
          <w:bCs/>
          <w:color w:val="3E418E"/>
          <w:sz w:val="28"/>
          <w:szCs w:val="28"/>
        </w:rPr>
        <w:t>POSITION BLUEPRINT</w:t>
      </w:r>
    </w:p>
    <w:tbl>
      <w:tblPr>
        <w:tblW w:w="5000" w:type="pct"/>
        <w:tblBorders>
          <w:top w:val="single" w:sz="6" w:space="0" w:color="3E418E"/>
          <w:left w:val="single" w:sz="6" w:space="0" w:color="3E418E"/>
          <w:bottom w:val="single" w:sz="6" w:space="0" w:color="3E418E"/>
          <w:right w:val="single" w:sz="6" w:space="0" w:color="3E418E"/>
          <w:insideH w:val="single" w:sz="6" w:space="0" w:color="3E418E"/>
          <w:insideV w:val="single" w:sz="6" w:space="0" w:color="3E418E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1924"/>
        <w:gridCol w:w="1283"/>
        <w:gridCol w:w="4062"/>
        <w:gridCol w:w="1069"/>
        <w:gridCol w:w="1069"/>
      </w:tblGrid>
      <w:tr w:rsidR="00F4365D" w14:paraId="57623B3C" w14:textId="77777777">
        <w:tc>
          <w:tcPr>
            <w:tcW w:w="600" w:type="pct"/>
            <w:shd w:val="clear" w:color="auto" w:fill="E6E7FB"/>
          </w:tcPr>
          <w:p w14:paraId="7E44BFE0" w14:textId="77777777" w:rsidR="00F4365D" w:rsidRDefault="007670BB">
            <w:r>
              <w:rPr>
                <w:b/>
                <w:bCs/>
                <w:szCs w:val="18"/>
              </w:rPr>
              <w:t>Company</w:t>
            </w:r>
          </w:p>
        </w:tc>
        <w:tc>
          <w:tcPr>
            <w:tcW w:w="900" w:type="pct"/>
          </w:tcPr>
          <w:p w14:paraId="2E81E97D" w14:textId="0310DB91" w:rsidR="00336CB2" w:rsidRDefault="00000000">
            <w:r>
              <w:t>(B2B SaaS)</w:t>
            </w:r>
          </w:p>
        </w:tc>
        <w:tc>
          <w:tcPr>
            <w:tcW w:w="600" w:type="pct"/>
            <w:shd w:val="clear" w:color="auto" w:fill="E6E7FB"/>
          </w:tcPr>
          <w:p w14:paraId="48E736A7" w14:textId="77777777" w:rsidR="00F4365D" w:rsidRDefault="007670BB">
            <w:r>
              <w:rPr>
                <w:b/>
                <w:bCs/>
                <w:szCs w:val="18"/>
              </w:rPr>
              <w:t>Position</w:t>
            </w:r>
          </w:p>
        </w:tc>
        <w:tc>
          <w:tcPr>
            <w:tcW w:w="1900" w:type="pct"/>
          </w:tcPr>
          <w:p w14:paraId="69288121" w14:textId="2C2EADD3" w:rsidR="00F4365D" w:rsidRDefault="00974FFE">
            <w:r>
              <w:rPr>
                <w:szCs w:val="18"/>
              </w:rPr>
              <w:t>VP Sales</w:t>
            </w:r>
          </w:p>
        </w:tc>
        <w:tc>
          <w:tcPr>
            <w:tcW w:w="500" w:type="pct"/>
            <w:shd w:val="clear" w:color="auto" w:fill="E6E7FB"/>
          </w:tcPr>
          <w:p w14:paraId="51EEAE5F" w14:textId="77777777" w:rsidR="00F4365D" w:rsidRDefault="007670BB">
            <w:r>
              <w:rPr>
                <w:b/>
                <w:bCs/>
                <w:szCs w:val="18"/>
              </w:rPr>
              <w:t>Date</w:t>
            </w:r>
          </w:p>
        </w:tc>
        <w:tc>
          <w:tcPr>
            <w:tcW w:w="500" w:type="pct"/>
          </w:tcPr>
          <w:p w14:paraId="4CA4551E" w14:textId="77777777" w:rsidR="00336CB2" w:rsidRDefault="00000000">
            <w:r>
              <w:t>Dec 29, 2025</w:t>
            </w:r>
          </w:p>
        </w:tc>
      </w:tr>
    </w:tbl>
    <w:p w14:paraId="6E8756BE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9"/>
        <w:gridCol w:w="3530"/>
        <w:gridCol w:w="3637"/>
      </w:tblGrid>
      <w:tr w:rsidR="00F4365D" w14:paraId="376BD8FF" w14:textId="77777777">
        <w:tc>
          <w:tcPr>
            <w:tcW w:w="1650" w:type="pct"/>
            <w:shd w:val="clear" w:color="auto" w:fill="F0F0F0"/>
          </w:tcPr>
          <w:p w14:paraId="5917B115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COMPANY GOAL</w:t>
            </w:r>
          </w:p>
        </w:tc>
        <w:tc>
          <w:tcPr>
            <w:tcW w:w="1650" w:type="pct"/>
            <w:shd w:val="clear" w:color="auto" w:fill="F0F0F0"/>
          </w:tcPr>
          <w:p w14:paraId="7CF1486B" w14:textId="77777777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>CORE VALUES</w:t>
            </w:r>
          </w:p>
        </w:tc>
        <w:tc>
          <w:tcPr>
            <w:tcW w:w="1700" w:type="pct"/>
            <w:shd w:val="clear" w:color="auto" w:fill="F0F0F0"/>
          </w:tcPr>
          <w:p w14:paraId="4F743040" w14:textId="020E1517" w:rsidR="00F4365D" w:rsidRDefault="00320F25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SHARED </w:t>
            </w:r>
            <w:r w:rsidR="007670BB">
              <w:rPr>
                <w:b/>
                <w:bCs/>
                <w:color w:val="3E418E"/>
                <w:szCs w:val="18"/>
              </w:rPr>
              <w:t>TEAM GOALS</w:t>
            </w:r>
          </w:p>
        </w:tc>
      </w:tr>
      <w:tr w:rsidR="00F4365D" w14:paraId="517C779F" w14:textId="77777777">
        <w:tc>
          <w:tcPr>
            <w:tcW w:w="0" w:type="auto"/>
          </w:tcPr>
          <w:p w14:paraId="3F708EFF" w14:textId="7205CCB8" w:rsidR="00336CB2" w:rsidRPr="00B05A74" w:rsidRDefault="00B05A74">
            <w:r w:rsidRPr="00B05A74">
              <w:t>Grow from ~$5M to ~$10M ARR in 36 months, hitting ~$7M by month 12 and ~$8.5M by month 24, while maintaining healthy retention and margins.</w:t>
            </w:r>
          </w:p>
        </w:tc>
        <w:tc>
          <w:tcPr>
            <w:tcW w:w="0" w:type="auto"/>
          </w:tcPr>
          <w:p w14:paraId="5C2A96BD" w14:textId="77777777" w:rsidR="00336CB2" w:rsidRDefault="00000000">
            <w:r>
              <w:t>• Build what matters</w:t>
            </w:r>
            <w:r>
              <w:br/>
              <w:t>• Be clear, not clever</w:t>
            </w:r>
            <w:r>
              <w:br/>
              <w:t>• Act like owners</w:t>
            </w:r>
            <w:r>
              <w:br/>
              <w:t>• Keep promises</w:t>
            </w:r>
            <w:r>
              <w:br/>
              <w:t>• Learn fast, share often</w:t>
            </w:r>
          </w:p>
        </w:tc>
        <w:tc>
          <w:tcPr>
            <w:tcW w:w="0" w:type="auto"/>
          </w:tcPr>
          <w:p w14:paraId="68E5C326" w14:textId="48E62774" w:rsidR="00336CB2" w:rsidRDefault="00D200CA">
            <w:r w:rsidRPr="00616DD6">
              <w:t>Hit $300-400K in net new ARR this quarter as a team. Build a sales motion so predictable that we can forecast within 10% accuracy. Win more deals by helping customers see exactly how we solve their problems</w:t>
            </w:r>
          </w:p>
        </w:tc>
      </w:tr>
      <w:tr w:rsidR="00336CB2" w14:paraId="1470A2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2F060167" w14:textId="77777777" w:rsidR="00336CB2" w:rsidRDefault="00000000">
            <w:r>
              <w:rPr>
                <w:b/>
              </w:rPr>
              <w:t>THIS QUARTER’S TOP 3 OUTCOMES (PICK 3)</w:t>
            </w:r>
          </w:p>
        </w:tc>
      </w:tr>
      <w:tr w:rsidR="00336CB2" w14:paraId="119CC9B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10706" w:type="dxa"/>
            <w:gridSpan w:val="3"/>
          </w:tcPr>
          <w:p w14:paraId="5963FB30" w14:textId="29C0DCA6" w:rsidR="00974FFE" w:rsidRPr="00974FFE" w:rsidRDefault="00974FFE" w:rsidP="00974FFE">
            <w:pPr>
              <w:pStyle w:val="ListParagraph"/>
              <w:numPr>
                <w:ilvl w:val="0"/>
                <w:numId w:val="2"/>
              </w:numPr>
            </w:pPr>
            <w:r w:rsidRPr="00974FFE">
              <w:rPr>
                <w:b/>
                <w:bCs/>
              </w:rPr>
              <w:t>Add $300–$400K net new ARR in Q1</w:t>
            </w:r>
            <w:r w:rsidRPr="00974FFE">
              <w:t xml:space="preserve"> (3–4x pipeline, forecast accuracy ±10%) </w:t>
            </w:r>
          </w:p>
          <w:p w14:paraId="6BA83794" w14:textId="6484C0AB" w:rsidR="00974FFE" w:rsidRPr="00974FFE" w:rsidRDefault="00974FFE" w:rsidP="00974FFE">
            <w:pPr>
              <w:pStyle w:val="ListParagraph"/>
              <w:numPr>
                <w:ilvl w:val="0"/>
                <w:numId w:val="2"/>
              </w:numPr>
            </w:pPr>
            <w:r w:rsidRPr="00974FFE">
              <w:rPr>
                <w:b/>
                <w:bCs/>
              </w:rPr>
              <w:t>Build a predictable sales motion by Mar 31</w:t>
            </w:r>
            <w:r w:rsidRPr="00974FFE">
              <w:t xml:space="preserve"> (clear stages, weekly forecast cadence, AE + SDR onboarding docs) </w:t>
            </w:r>
          </w:p>
          <w:p w14:paraId="4022C999" w14:textId="77324EBA" w:rsidR="00336CB2" w:rsidRDefault="00974FFE" w:rsidP="00974FFE">
            <w:pPr>
              <w:pStyle w:val="ListParagraph"/>
              <w:numPr>
                <w:ilvl w:val="0"/>
                <w:numId w:val="2"/>
              </w:numPr>
            </w:pPr>
            <w:r w:rsidRPr="00974FFE">
              <w:rPr>
                <w:b/>
                <w:bCs/>
              </w:rPr>
              <w:t>Improve win rate from 18% to 22–25%</w:t>
            </w:r>
            <w:r w:rsidRPr="00974FFE">
              <w:t xml:space="preserve"> by tightening qualification and better discovery</w:t>
            </w:r>
          </w:p>
        </w:tc>
      </w:tr>
    </w:tbl>
    <w:p w14:paraId="46F3A190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96"/>
      </w:tblGrid>
      <w:tr w:rsidR="00F4365D" w14:paraId="443A5269" w14:textId="77777777">
        <w:tc>
          <w:tcPr>
            <w:tcW w:w="0" w:type="auto"/>
            <w:shd w:val="clear" w:color="auto" w:fill="F0F0F0"/>
          </w:tcPr>
          <w:p w14:paraId="0B89E59C" w14:textId="6F8AC7E8" w:rsidR="00F4365D" w:rsidRDefault="007670BB">
            <w:pPr>
              <w:jc w:val="center"/>
            </w:pPr>
            <w:r>
              <w:rPr>
                <w:b/>
                <w:bCs/>
                <w:color w:val="3E418E"/>
                <w:szCs w:val="18"/>
              </w:rPr>
              <w:t xml:space="preserve">ROLE </w:t>
            </w:r>
            <w:r w:rsidR="001F1283">
              <w:rPr>
                <w:b/>
                <w:bCs/>
                <w:color w:val="3E418E"/>
                <w:szCs w:val="18"/>
              </w:rPr>
              <w:t>MANDATE</w:t>
            </w:r>
          </w:p>
        </w:tc>
      </w:tr>
      <w:tr w:rsidR="00F4365D" w14:paraId="00AB1C5D" w14:textId="77777777">
        <w:tc>
          <w:tcPr>
            <w:tcW w:w="0" w:type="auto"/>
          </w:tcPr>
          <w:p w14:paraId="2F9E28BA" w14:textId="77777777" w:rsidR="001F1283" w:rsidRPr="001F1283" w:rsidRDefault="001F1283" w:rsidP="001F1283">
            <w:r w:rsidRPr="001F1283">
              <w:t>Own the entire revenue pipeline from lead to close.</w:t>
            </w:r>
          </w:p>
          <w:p w14:paraId="618D216A" w14:textId="77777777" w:rsidR="001F1283" w:rsidRPr="001F1283" w:rsidRDefault="001F1283" w:rsidP="001F1283">
            <w:r w:rsidRPr="001F1283">
              <w:t>Build a repeatable, scalable sales process that the team can execute without your constant involvement. Make the number predictable—no surprises at month-end.</w:t>
            </w:r>
          </w:p>
          <w:p w14:paraId="0C785D97" w14:textId="283CAA39" w:rsidR="00336CB2" w:rsidRDefault="00000000">
            <w:r>
              <w:br/>
            </w:r>
            <w:r w:rsidR="00B05A74" w:rsidRPr="00141F38">
              <w:rPr>
                <w:b/>
                <w:bCs/>
              </w:rPr>
              <w:t xml:space="preserve">Obsess over: </w:t>
            </w:r>
            <w:r w:rsidR="00974FFE" w:rsidRPr="00974FFE">
              <w:rPr>
                <w:b/>
                <w:bCs/>
              </w:rPr>
              <w:t>Pipeline health and forecast accuracy</w:t>
            </w:r>
          </w:p>
        </w:tc>
      </w:tr>
    </w:tbl>
    <w:p w14:paraId="3F6BB93B" w14:textId="77777777" w:rsidR="00F4365D" w:rsidRDefault="00F4365D">
      <w:pPr>
        <w:spacing w:after="80"/>
      </w:pPr>
    </w:p>
    <w:tbl>
      <w:tblPr>
        <w:tblW w:w="5000" w:type="pct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"/>
        <w:gridCol w:w="2544"/>
        <w:gridCol w:w="7725"/>
      </w:tblGrid>
      <w:tr w:rsidR="00F4365D" w14:paraId="64FA6C2F" w14:textId="77777777" w:rsidTr="00B05A74">
        <w:tc>
          <w:tcPr>
            <w:tcW w:w="200" w:type="pct"/>
            <w:shd w:val="clear" w:color="auto" w:fill="E6E7FB"/>
          </w:tcPr>
          <w:p w14:paraId="22ADF509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NO</w:t>
            </w:r>
          </w:p>
        </w:tc>
        <w:tc>
          <w:tcPr>
            <w:tcW w:w="1189" w:type="pct"/>
            <w:shd w:val="clear" w:color="auto" w:fill="E6E7FB"/>
          </w:tcPr>
          <w:p w14:paraId="069E2F18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ROLE BUCKET</w:t>
            </w:r>
          </w:p>
        </w:tc>
        <w:tc>
          <w:tcPr>
            <w:tcW w:w="3611" w:type="pct"/>
            <w:shd w:val="clear" w:color="auto" w:fill="E6E7FB"/>
          </w:tcPr>
          <w:p w14:paraId="7D815081" w14:textId="77777777" w:rsidR="00F4365D" w:rsidRDefault="007670BB">
            <w:pPr>
              <w:jc w:val="center"/>
            </w:pPr>
            <w:r>
              <w:rPr>
                <w:b/>
                <w:bCs/>
                <w:szCs w:val="18"/>
              </w:rPr>
              <w:t>OUTCOMES &amp; ACCOUNTABILITY</w:t>
            </w:r>
          </w:p>
        </w:tc>
      </w:tr>
      <w:tr w:rsidR="00F4365D" w14:paraId="0E58F4C8" w14:textId="77777777" w:rsidTr="00B05A74">
        <w:tc>
          <w:tcPr>
            <w:tcW w:w="200" w:type="pct"/>
            <w:vAlign w:val="center"/>
          </w:tcPr>
          <w:p w14:paraId="761522B5" w14:textId="77777777" w:rsidR="00F4365D" w:rsidRDefault="007670BB">
            <w:pPr>
              <w:jc w:val="center"/>
            </w:pPr>
            <w:r>
              <w:rPr>
                <w:b/>
                <w:bCs/>
              </w:rPr>
              <w:t>1</w:t>
            </w:r>
          </w:p>
        </w:tc>
        <w:tc>
          <w:tcPr>
            <w:tcW w:w="1189" w:type="pct"/>
            <w:vAlign w:val="center"/>
          </w:tcPr>
          <w:p w14:paraId="23E17F94" w14:textId="4DED38C6" w:rsidR="00F4365D" w:rsidRDefault="001F1283">
            <w:pPr>
              <w:spacing w:before="50" w:after="50"/>
            </w:pPr>
            <w:r w:rsidRPr="001F1283">
              <w:rPr>
                <w:b/>
                <w:bCs/>
                <w:szCs w:val="18"/>
              </w:rPr>
              <w:t>Pipeline &amp; Forecast</w:t>
            </w:r>
          </w:p>
        </w:tc>
        <w:tc>
          <w:tcPr>
            <w:tcW w:w="3611" w:type="pct"/>
          </w:tcPr>
          <w:p w14:paraId="1CE81421" w14:textId="16D9081E" w:rsidR="00336CB2" w:rsidRDefault="001F1283"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Maintain 3–4x pipeline coverage at all times; weekly forecast accuracy within ±10%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Lead weekly pipeline reviews with AEs; every deal &gt;$25K has clear next steps and close date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Hit Q1 ARR target ($300–$400K net new); no month misses by &gt;15%</w:t>
            </w:r>
          </w:p>
        </w:tc>
      </w:tr>
      <w:tr w:rsidR="00F4365D" w14:paraId="1818D292" w14:textId="77777777" w:rsidTr="00B05A74">
        <w:tc>
          <w:tcPr>
            <w:tcW w:w="200" w:type="pct"/>
            <w:vAlign w:val="center"/>
          </w:tcPr>
          <w:p w14:paraId="05B35861" w14:textId="77777777" w:rsidR="00F4365D" w:rsidRDefault="007670BB">
            <w:pPr>
              <w:jc w:val="center"/>
            </w:pPr>
            <w:r>
              <w:rPr>
                <w:b/>
                <w:bCs/>
              </w:rPr>
              <w:t>2</w:t>
            </w:r>
          </w:p>
        </w:tc>
        <w:tc>
          <w:tcPr>
            <w:tcW w:w="1189" w:type="pct"/>
            <w:vAlign w:val="center"/>
          </w:tcPr>
          <w:p w14:paraId="4C522BCC" w14:textId="59E539DF" w:rsidR="00F4365D" w:rsidRDefault="001F1283">
            <w:pPr>
              <w:spacing w:before="50" w:after="50"/>
            </w:pPr>
            <w:r w:rsidRPr="001F1283">
              <w:rPr>
                <w:b/>
                <w:bCs/>
                <w:szCs w:val="18"/>
              </w:rPr>
              <w:t>Sales Process &amp; Playbook</w:t>
            </w:r>
          </w:p>
        </w:tc>
        <w:tc>
          <w:tcPr>
            <w:tcW w:w="3611" w:type="pct"/>
          </w:tcPr>
          <w:p w14:paraId="0767118C" w14:textId="01F0D62E" w:rsidR="00336CB2" w:rsidRDefault="001F1283"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Document sales stages, qualification criteria (MEDDIC or similar), and discovery framework by Feb 15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Reduce average sales cycle from 65 days to 50–55 days by improving discovery and demo quality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Create AE + SDR onboarding playbook (2 weeks ramp for SDRs, 4 weeks for AEs); new hires hit quota month 2</w:t>
            </w:r>
          </w:p>
        </w:tc>
      </w:tr>
      <w:tr w:rsidR="00F4365D" w14:paraId="6B1C8BBC" w14:textId="77777777" w:rsidTr="00B05A74">
        <w:tc>
          <w:tcPr>
            <w:tcW w:w="200" w:type="pct"/>
            <w:vAlign w:val="center"/>
          </w:tcPr>
          <w:p w14:paraId="0B52F30C" w14:textId="77777777" w:rsidR="00F4365D" w:rsidRDefault="007670BB">
            <w:pPr>
              <w:jc w:val="center"/>
            </w:pPr>
            <w:r>
              <w:rPr>
                <w:b/>
                <w:bCs/>
              </w:rPr>
              <w:t>3</w:t>
            </w:r>
          </w:p>
        </w:tc>
        <w:tc>
          <w:tcPr>
            <w:tcW w:w="1189" w:type="pct"/>
            <w:vAlign w:val="center"/>
          </w:tcPr>
          <w:p w14:paraId="0842DC32" w14:textId="2973FAC9" w:rsidR="00F4365D" w:rsidRDefault="001F1283">
            <w:pPr>
              <w:spacing w:before="50" w:after="50"/>
            </w:pPr>
            <w:r w:rsidRPr="001F1283">
              <w:rPr>
                <w:b/>
                <w:bCs/>
                <w:szCs w:val="18"/>
              </w:rPr>
              <w:t>Team Performance</w:t>
            </w:r>
          </w:p>
        </w:tc>
        <w:tc>
          <w:tcPr>
            <w:tcW w:w="3611" w:type="pct"/>
          </w:tcPr>
          <w:p w14:paraId="08060C8F" w14:textId="101A120A" w:rsidR="00336CB2" w:rsidRDefault="001F1283"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Each AE hits 80%+ of quota monthly (if not, diagnose + fix within 2 weeks)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Improve win rate from 18% to 22–25% through better qualification and proof-of-concept execution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SDRs generate 40–50 qualified opportunities per month combined; &lt;20% rejection rate from AEs</w:t>
            </w:r>
          </w:p>
        </w:tc>
      </w:tr>
      <w:tr w:rsidR="00F4365D" w14:paraId="0574A90F" w14:textId="77777777" w:rsidTr="00B05A74">
        <w:tc>
          <w:tcPr>
            <w:tcW w:w="200" w:type="pct"/>
            <w:vAlign w:val="center"/>
          </w:tcPr>
          <w:p w14:paraId="41299792" w14:textId="77777777" w:rsidR="00F4365D" w:rsidRDefault="007670BB">
            <w:pPr>
              <w:jc w:val="center"/>
            </w:pPr>
            <w:r>
              <w:rPr>
                <w:b/>
                <w:bCs/>
              </w:rPr>
              <w:t>4</w:t>
            </w:r>
          </w:p>
        </w:tc>
        <w:tc>
          <w:tcPr>
            <w:tcW w:w="1189" w:type="pct"/>
            <w:vAlign w:val="center"/>
          </w:tcPr>
          <w:p w14:paraId="73A881A5" w14:textId="66C55282" w:rsidR="00F4365D" w:rsidRDefault="001F1283">
            <w:pPr>
              <w:spacing w:before="50" w:after="50"/>
            </w:pPr>
            <w:r w:rsidRPr="001F1283">
              <w:rPr>
                <w:b/>
                <w:bCs/>
                <w:szCs w:val="18"/>
              </w:rPr>
              <w:t>Revenue Strategy &amp; Pricing</w:t>
            </w:r>
          </w:p>
        </w:tc>
        <w:tc>
          <w:tcPr>
            <w:tcW w:w="3611" w:type="pct"/>
          </w:tcPr>
          <w:p w14:paraId="22828D55" w14:textId="462C87D6" w:rsidR="00336CB2" w:rsidRDefault="001F1283"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Define ICP with Marketing/Product; no deals outside ICP unless founder-approved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Test 2 pricing/packaging experiments this quarter; document what works and update playbook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Identify top 3 loss reasons; build counter-positioning or product feedback by end of Q1</w:t>
            </w:r>
          </w:p>
        </w:tc>
      </w:tr>
      <w:tr w:rsidR="00F4365D" w14:paraId="4B12D184" w14:textId="77777777" w:rsidTr="001F1283">
        <w:trPr>
          <w:trHeight w:val="668"/>
        </w:trPr>
        <w:tc>
          <w:tcPr>
            <w:tcW w:w="200" w:type="pct"/>
            <w:vAlign w:val="center"/>
          </w:tcPr>
          <w:p w14:paraId="67865A3F" w14:textId="77777777" w:rsidR="00F4365D" w:rsidRDefault="007670BB">
            <w:pPr>
              <w:jc w:val="center"/>
            </w:pPr>
            <w:r>
              <w:rPr>
                <w:b/>
                <w:bCs/>
              </w:rPr>
              <w:t>5</w:t>
            </w:r>
          </w:p>
        </w:tc>
        <w:tc>
          <w:tcPr>
            <w:tcW w:w="1189" w:type="pct"/>
            <w:vAlign w:val="center"/>
          </w:tcPr>
          <w:p w14:paraId="28410CC3" w14:textId="40EE9C01" w:rsidR="00F4365D" w:rsidRDefault="001F1283">
            <w:pPr>
              <w:spacing w:before="50" w:after="50"/>
            </w:pPr>
            <w:r w:rsidRPr="001F1283">
              <w:rPr>
                <w:b/>
                <w:bCs/>
                <w:szCs w:val="18"/>
              </w:rPr>
              <w:t>Cross-Functional Alignment</w:t>
            </w:r>
          </w:p>
        </w:tc>
        <w:tc>
          <w:tcPr>
            <w:tcW w:w="3611" w:type="pct"/>
          </w:tcPr>
          <w:p w14:paraId="62936191" w14:textId="2A497C1C" w:rsidR="00336CB2" w:rsidRDefault="001F1283"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Weekly sync with Marketing on lead quality; Marketing-sourced pipeline converts at ≥15%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Bi-weekly sync with CS on handoff quality; &lt;10% "bad fit" escalations from CS in first 30 days</w:t>
            </w:r>
            <w:r w:rsidRPr="001F1283">
              <w:br/>
            </w:r>
            <w:r w:rsidRPr="001F1283">
              <w:rPr>
                <w:rFonts w:ascii="Segoe UI Symbol" w:hAnsi="Segoe UI Symbol" w:cs="Segoe UI Symbol"/>
              </w:rPr>
              <w:t>☐</w:t>
            </w:r>
            <w:r w:rsidRPr="001F1283">
              <w:t xml:space="preserve"> Monthly Product feedback loop: top 5 deal blockers documented and prioritized with Head of Product</w:t>
            </w:r>
          </w:p>
        </w:tc>
      </w:tr>
      <w:tr w:rsidR="00336CB2" w14:paraId="11C58185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2BFC86A0" w14:textId="77777777" w:rsidR="00336CB2" w:rsidRDefault="00000000">
            <w:r>
              <w:rPr>
                <w:b/>
                <w:sz w:val="18"/>
              </w:rPr>
              <w:t>CADENCE &amp; SCORING</w:t>
            </w:r>
          </w:p>
        </w:tc>
      </w:tr>
      <w:tr w:rsidR="00336CB2" w14:paraId="4F7D7776" w14:textId="77777777" w:rsidTr="00B05A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14:paraId="6106732D" w14:textId="16991FC9" w:rsidR="00336CB2" w:rsidRDefault="00000000">
            <w:r>
              <w:t>Monthly (30 min): traffic-light each bucket, unblock top risks, and decide what stops.</w:t>
            </w:r>
            <w:r>
              <w:br/>
              <w:t>Quarter end (45 min): score each outcome (Hit/Partial/Miss) + write 3 lessons.</w:t>
            </w:r>
            <w:r>
              <w:br/>
              <w:t>Rule: If it's a task, rewrite it as the measurable effect.</w:t>
            </w:r>
          </w:p>
        </w:tc>
      </w:tr>
    </w:tbl>
    <w:p w14:paraId="1B5CDC36" w14:textId="77777777" w:rsidR="00F4365D" w:rsidRDefault="00F4365D">
      <w:pPr>
        <w:spacing w:after="200"/>
      </w:pPr>
    </w:p>
    <w:sectPr w:rsidR="00F4365D">
      <w:footerReference w:type="default" r:id="rId10"/>
      <w:pgSz w:w="11906" w:h="16838"/>
      <w:pgMar w:top="600" w:right="600" w:bottom="600" w:left="6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746BB" w14:textId="77777777" w:rsidR="00CE3BC8" w:rsidRDefault="00CE3BC8" w:rsidP="00320F25">
      <w:r>
        <w:separator/>
      </w:r>
    </w:p>
  </w:endnote>
  <w:endnote w:type="continuationSeparator" w:id="0">
    <w:p w14:paraId="36506724" w14:textId="77777777" w:rsidR="00CE3BC8" w:rsidRDefault="00CE3BC8" w:rsidP="00320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E52AA" w14:textId="77777777" w:rsidR="00320F25" w:rsidRDefault="00320F25" w:rsidP="00320F25">
    <w:pPr>
      <w:jc w:val="center"/>
    </w:pPr>
    <w:r>
      <w:rPr>
        <w:rFonts w:ascii="Arial" w:eastAsia="Arial" w:hAnsi="Arial" w:cs="Arial"/>
        <w:color w:val="666666"/>
        <w:sz w:val="16"/>
        <w:szCs w:val="16"/>
      </w:rPr>
      <w:t>© 2025 Poly Tech Talent. All rights reserved. You may use this template with attribution. Please do not resell or publish without written permission.</w:t>
    </w:r>
  </w:p>
  <w:p w14:paraId="066E0277" w14:textId="77777777" w:rsidR="00320F25" w:rsidRPr="00320F25" w:rsidRDefault="00320F25" w:rsidP="00320F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D742F" w14:textId="77777777" w:rsidR="00CE3BC8" w:rsidRDefault="00CE3BC8" w:rsidP="00320F25">
      <w:r>
        <w:separator/>
      </w:r>
    </w:p>
  </w:footnote>
  <w:footnote w:type="continuationSeparator" w:id="0">
    <w:p w14:paraId="75123EAA" w14:textId="77777777" w:rsidR="00CE3BC8" w:rsidRDefault="00CE3BC8" w:rsidP="00320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8D8"/>
    <w:multiLevelType w:val="hybridMultilevel"/>
    <w:tmpl w:val="BDE0C210"/>
    <w:lvl w:ilvl="0" w:tplc="763075B8">
      <w:start w:val="1"/>
      <w:numFmt w:val="bullet"/>
      <w:lvlText w:val="●"/>
      <w:lvlJc w:val="left"/>
      <w:pPr>
        <w:ind w:left="720" w:hanging="360"/>
      </w:pPr>
    </w:lvl>
    <w:lvl w:ilvl="1" w:tplc="6D84EB66">
      <w:start w:val="1"/>
      <w:numFmt w:val="bullet"/>
      <w:lvlText w:val="○"/>
      <w:lvlJc w:val="left"/>
      <w:pPr>
        <w:ind w:left="1440" w:hanging="360"/>
      </w:pPr>
    </w:lvl>
    <w:lvl w:ilvl="2" w:tplc="48508B72">
      <w:start w:val="1"/>
      <w:numFmt w:val="bullet"/>
      <w:lvlText w:val="■"/>
      <w:lvlJc w:val="left"/>
      <w:pPr>
        <w:ind w:left="2160" w:hanging="360"/>
      </w:pPr>
    </w:lvl>
    <w:lvl w:ilvl="3" w:tplc="F6CEBD00">
      <w:start w:val="1"/>
      <w:numFmt w:val="bullet"/>
      <w:lvlText w:val="●"/>
      <w:lvlJc w:val="left"/>
      <w:pPr>
        <w:ind w:left="2880" w:hanging="360"/>
      </w:pPr>
    </w:lvl>
    <w:lvl w:ilvl="4" w:tplc="247AAE90">
      <w:start w:val="1"/>
      <w:numFmt w:val="bullet"/>
      <w:lvlText w:val="○"/>
      <w:lvlJc w:val="left"/>
      <w:pPr>
        <w:ind w:left="3600" w:hanging="360"/>
      </w:pPr>
    </w:lvl>
    <w:lvl w:ilvl="5" w:tplc="6B261796">
      <w:start w:val="1"/>
      <w:numFmt w:val="bullet"/>
      <w:lvlText w:val="■"/>
      <w:lvlJc w:val="left"/>
      <w:pPr>
        <w:ind w:left="4320" w:hanging="360"/>
      </w:pPr>
    </w:lvl>
    <w:lvl w:ilvl="6" w:tplc="1EC49E0C">
      <w:start w:val="1"/>
      <w:numFmt w:val="bullet"/>
      <w:lvlText w:val="●"/>
      <w:lvlJc w:val="left"/>
      <w:pPr>
        <w:ind w:left="5040" w:hanging="360"/>
      </w:pPr>
    </w:lvl>
    <w:lvl w:ilvl="7" w:tplc="B450D306">
      <w:start w:val="1"/>
      <w:numFmt w:val="bullet"/>
      <w:lvlText w:val="●"/>
      <w:lvlJc w:val="left"/>
      <w:pPr>
        <w:ind w:left="5760" w:hanging="360"/>
      </w:pPr>
    </w:lvl>
    <w:lvl w:ilvl="8" w:tplc="15F6CB9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AE61D1"/>
    <w:multiLevelType w:val="hybridMultilevel"/>
    <w:tmpl w:val="1F763632"/>
    <w:lvl w:ilvl="0" w:tplc="F37A441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92A5D"/>
    <w:multiLevelType w:val="hybridMultilevel"/>
    <w:tmpl w:val="F9D86DC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047729">
    <w:abstractNumId w:val="0"/>
    <w:lvlOverride w:ilvl="0">
      <w:startOverride w:val="1"/>
    </w:lvlOverride>
  </w:num>
  <w:num w:numId="2" w16cid:durableId="1813406381">
    <w:abstractNumId w:val="2"/>
  </w:num>
  <w:num w:numId="3" w16cid:durableId="1957564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5D"/>
    <w:rsid w:val="00141F38"/>
    <w:rsid w:val="001F1283"/>
    <w:rsid w:val="00320F25"/>
    <w:rsid w:val="00336CB2"/>
    <w:rsid w:val="00602329"/>
    <w:rsid w:val="007670BB"/>
    <w:rsid w:val="00974FFE"/>
    <w:rsid w:val="00A2259C"/>
    <w:rsid w:val="00B05A74"/>
    <w:rsid w:val="00CE3BC8"/>
    <w:rsid w:val="00D200CA"/>
    <w:rsid w:val="00E6007C"/>
    <w:rsid w:val="00F4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B85FA"/>
  <w15:docId w15:val="{3A89DC14-5BFF-4D21-B927-43E77D6F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1F128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0F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F25"/>
  </w:style>
  <w:style w:type="paragraph" w:styleId="Footer">
    <w:name w:val="footer"/>
    <w:basedOn w:val="Normal"/>
    <w:link w:val="FooterChar"/>
    <w:uiPriority w:val="99"/>
    <w:unhideWhenUsed/>
    <w:rsid w:val="00320F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4782125EEC4490834F111F44ADD8" ma:contentTypeVersion="14" ma:contentTypeDescription="Create a new document." ma:contentTypeScope="" ma:versionID="2109712a556464e8b00b0e6e00311651">
  <xsd:schema xmlns:xsd="http://www.w3.org/2001/XMLSchema" xmlns:xs="http://www.w3.org/2001/XMLSchema" xmlns:p="http://schemas.microsoft.com/office/2006/metadata/properties" xmlns:ns2="66dd5c99-e04e-47dd-8b1c-08f470eebd9e" xmlns:ns3="980bef10-9ac4-43fb-89ea-26b771c31f7a" targetNamespace="http://schemas.microsoft.com/office/2006/metadata/properties" ma:root="true" ma:fieldsID="2134acc0455ead9ee2758ba2537056cd" ns2:_="" ns3:_="">
    <xsd:import namespace="66dd5c99-e04e-47dd-8b1c-08f470eebd9e"/>
    <xsd:import namespace="980bef10-9ac4-43fb-89ea-26b771c31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d5c99-e04e-47dd-8b1c-08f470eeb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a954abd-3cb5-4da0-b08d-129a7b908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bef10-9ac4-43fb-89ea-26b771c31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b3b29f3-bf50-4fe2-8556-8b295c301ce1}" ma:internalName="TaxCatchAll" ma:showField="CatchAllData" ma:web="980bef10-9ac4-43fb-89ea-26b771c31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d5c99-e04e-47dd-8b1c-08f470eebd9e">
      <Terms xmlns="http://schemas.microsoft.com/office/infopath/2007/PartnerControls"/>
    </lcf76f155ced4ddcb4097134ff3c332f>
    <TaxCatchAll xmlns="980bef10-9ac4-43fb-89ea-26b771c31f7a" xsi:nil="true"/>
  </documentManagement>
</p:properties>
</file>

<file path=customXml/itemProps1.xml><?xml version="1.0" encoding="utf-8"?>
<ds:datastoreItem xmlns:ds="http://schemas.openxmlformats.org/officeDocument/2006/customXml" ds:itemID="{75E50479-8AAB-4A02-8B53-EE8FB9AD04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dd5c99-e04e-47dd-8b1c-08f470eebd9e"/>
    <ds:schemaRef ds:uri="980bef10-9ac4-43fb-89ea-26b771c3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F91055-58A2-4432-B184-40F103F08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B370EA-9A09-46F6-BA8A-4D506E3A162D}">
  <ds:schemaRefs>
    <ds:schemaRef ds:uri="http://schemas.microsoft.com/office/2006/metadata/properties"/>
    <ds:schemaRef ds:uri="http://schemas.microsoft.com/office/infopath/2007/PartnerControls"/>
    <ds:schemaRef ds:uri="66dd5c99-e04e-47dd-8b1c-08f470eebd9e"/>
    <ds:schemaRef ds:uri="980bef10-9ac4-43fb-89ea-26b771c31f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491</Words>
  <Characters>2465</Characters>
  <Application>Microsoft Office Word</Application>
  <DocSecurity>0</DocSecurity>
  <Lines>77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Virginia Poly</cp:lastModifiedBy>
  <cp:revision>5</cp:revision>
  <dcterms:created xsi:type="dcterms:W3CDTF">2025-12-30T10:30:00Z</dcterms:created>
  <dcterms:modified xsi:type="dcterms:W3CDTF">2025-12-30T17:09:00Z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0x010100667B4782125EEC4490834F111F44ADD8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