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10204855" w:rsidR="00F4365D" w:rsidRDefault="00632C94">
            <w:proofErr w:type="spellStart"/>
            <w:r>
              <w:t>RevOps</w:t>
            </w:r>
            <w:proofErr w:type="spellEnd"/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244743" w14:paraId="517C779F" w14:textId="77777777" w:rsidTr="00244743">
        <w:tc>
          <w:tcPr>
            <w:tcW w:w="1650" w:type="pct"/>
          </w:tcPr>
          <w:p w14:paraId="3F708EFF" w14:textId="66523C0A" w:rsidR="00244743" w:rsidRPr="00B05A74" w:rsidRDefault="00244743" w:rsidP="00244743">
            <w:r w:rsidRPr="00626694">
              <w:t xml:space="preserve">Double from ~$5M to ~$10M ARR in 36 months—by building a company customers </w:t>
            </w:r>
            <w:proofErr w:type="gramStart"/>
            <w:r w:rsidRPr="00626694">
              <w:t>love</w:t>
            </w:r>
            <w:proofErr w:type="gramEnd"/>
            <w:r w:rsidRPr="00626694">
              <w:t xml:space="preserve"> and talented people want to stay in (strong retention, healthy margins)</w:t>
            </w:r>
          </w:p>
        </w:tc>
        <w:tc>
          <w:tcPr>
            <w:tcW w:w="1650" w:type="pct"/>
          </w:tcPr>
          <w:p w14:paraId="5C2A96BD" w14:textId="77777777" w:rsidR="00244743" w:rsidRDefault="00244743" w:rsidP="00244743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1700" w:type="pct"/>
          </w:tcPr>
          <w:p w14:paraId="68E5C326" w14:textId="61281EF4" w:rsidR="00244743" w:rsidRDefault="00244743" w:rsidP="00244743">
            <w:r w:rsidRPr="00244743">
              <w:t>Make revenue execution predictable this quarter — one source of truth for funnel + pipeline, clean definitions, and forecast within ±10% so leaders can act early.</w:t>
            </w:r>
          </w:p>
        </w:tc>
      </w:tr>
      <w:tr w:rsidR="00336CB2" w14:paraId="1470A2D0" w14:textId="77777777" w:rsidTr="00244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F060167" w14:textId="77777777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14:paraId="119CC9BA" w14:textId="77777777" w:rsidTr="00244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7A3D18AC" w14:textId="33E457F5" w:rsidR="00632C94" w:rsidRPr="00632C94" w:rsidRDefault="00632C94" w:rsidP="00632C94">
            <w:pPr>
              <w:pStyle w:val="ListParagraph"/>
              <w:numPr>
                <w:ilvl w:val="0"/>
                <w:numId w:val="2"/>
              </w:numPr>
            </w:pPr>
            <w:r w:rsidRPr="00632C94">
              <w:rPr>
                <w:b/>
                <w:bCs/>
              </w:rPr>
              <w:t>Improve forecast accuracy</w:t>
            </w:r>
            <w:r w:rsidRPr="00632C94">
              <w:t xml:space="preserve"> to ±10% through better CRM hygiene and pipeline visibility </w:t>
            </w:r>
          </w:p>
          <w:p w14:paraId="14E86896" w14:textId="52DCBBF7" w:rsidR="00632C94" w:rsidRPr="00632C94" w:rsidRDefault="00632C94" w:rsidP="00632C94">
            <w:pPr>
              <w:pStyle w:val="ListParagraph"/>
              <w:numPr>
                <w:ilvl w:val="0"/>
                <w:numId w:val="2"/>
              </w:numPr>
            </w:pPr>
            <w:r w:rsidRPr="00632C94">
              <w:rPr>
                <w:b/>
                <w:bCs/>
              </w:rPr>
              <w:t>Build a revenue dashboard</w:t>
            </w:r>
            <w:r w:rsidRPr="00632C94">
              <w:t xml:space="preserve"> by Feb 15 that tracks key metrics (pipeline, conversion, churn, NRR) in real-time </w:t>
            </w:r>
          </w:p>
          <w:p w14:paraId="4022C999" w14:textId="60111507" w:rsidR="00336CB2" w:rsidRDefault="00632C94" w:rsidP="00632C94">
            <w:pPr>
              <w:pStyle w:val="ListParagraph"/>
              <w:numPr>
                <w:ilvl w:val="0"/>
                <w:numId w:val="2"/>
              </w:numPr>
            </w:pPr>
            <w:r w:rsidRPr="00632C94">
              <w:rPr>
                <w:b/>
                <w:bCs/>
              </w:rPr>
              <w:t>Reduce Sales admin time</w:t>
            </w:r>
            <w:r w:rsidRPr="00632C94">
              <w:t xml:space="preserve"> by 30% through automation and better processes (quote-to-close, renewals, reporting)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244743">
        <w:trPr>
          <w:trHeight w:val="795"/>
        </w:trPr>
        <w:tc>
          <w:tcPr>
            <w:tcW w:w="0" w:type="auto"/>
            <w:tcBorders>
              <w:bottom w:val="single" w:sz="4" w:space="0" w:color="CCCCCC"/>
            </w:tcBorders>
          </w:tcPr>
          <w:p w14:paraId="2F40DE12" w14:textId="77777777" w:rsidR="00632C94" w:rsidRPr="00632C94" w:rsidRDefault="00632C94" w:rsidP="00632C94">
            <w:r w:rsidRPr="00632C94">
              <w:t>Own the systems, data, and processes that make the revenue team efficient and predictable.</w:t>
            </w:r>
          </w:p>
          <w:p w14:paraId="669414C8" w14:textId="77777777" w:rsidR="00632C94" w:rsidRPr="00632C94" w:rsidRDefault="00632C94" w:rsidP="00244743">
            <w:r w:rsidRPr="00632C94">
              <w:t xml:space="preserve">Make the numbers visible and accurate. Automate manual work so Sales and CS can focus on customers. Build dashboards that </w:t>
            </w:r>
            <w:proofErr w:type="gramStart"/>
            <w:r w:rsidRPr="00632C94">
              <w:t>answer</w:t>
            </w:r>
            <w:proofErr w:type="gramEnd"/>
            <w:r w:rsidRPr="00632C94">
              <w:t xml:space="preserve"> "are we on track?" without needing to ask. Be the truth-teller on revenue health.</w:t>
            </w:r>
          </w:p>
          <w:p w14:paraId="0C785D97" w14:textId="2264FDF8" w:rsidR="00336CB2" w:rsidRDefault="00336CB2"/>
        </w:tc>
      </w:tr>
      <w:tr w:rsidR="00244743" w14:paraId="62BA5BEA" w14:textId="77777777" w:rsidTr="00244743">
        <w:trPr>
          <w:trHeight w:val="340"/>
        </w:trPr>
        <w:tc>
          <w:tcPr>
            <w:tcW w:w="0" w:type="auto"/>
            <w:tcBorders>
              <w:top w:val="single" w:sz="4" w:space="0" w:color="CCCCCC"/>
            </w:tcBorders>
          </w:tcPr>
          <w:p w14:paraId="64E93C47" w14:textId="3A99AD3D" w:rsidR="00244743" w:rsidRPr="00632C94" w:rsidRDefault="00244743" w:rsidP="00244743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</w:t>
            </w:r>
            <w:r w:rsidRPr="00632C94">
              <w:t>Data accuracy and process efficiency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4A063A42" w:rsidR="00F4365D" w:rsidRDefault="00632C94">
            <w:pPr>
              <w:spacing w:before="50" w:after="50"/>
            </w:pPr>
            <w:r w:rsidRPr="00632C94">
              <w:rPr>
                <w:b/>
                <w:bCs/>
                <w:szCs w:val="18"/>
              </w:rPr>
              <w:t>Forecasting &amp; Pipeline Visibility</w:t>
            </w:r>
          </w:p>
        </w:tc>
        <w:tc>
          <w:tcPr>
            <w:tcW w:w="3611" w:type="pct"/>
          </w:tcPr>
          <w:p w14:paraId="1CE81421" w14:textId="1EF61F9C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Improve forecast accuracy to ±10% through better CRM data quality and pipeline reviews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Build weekly pipeline report that shows coverage, velocity, and win rates by stage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Implement pipeline hygiene rules; stale opportunities (&lt;30 days activity) flagged and cleaned weekly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0349D466" w:rsidR="00F4365D" w:rsidRDefault="00632C94">
            <w:pPr>
              <w:spacing w:before="50" w:after="50"/>
            </w:pPr>
            <w:r w:rsidRPr="00632C94">
              <w:rPr>
                <w:b/>
                <w:bCs/>
                <w:szCs w:val="18"/>
              </w:rPr>
              <w:t>Revenue Dashboards &amp; Reporting</w:t>
            </w:r>
          </w:p>
        </w:tc>
        <w:tc>
          <w:tcPr>
            <w:tcW w:w="3611" w:type="pct"/>
          </w:tcPr>
          <w:p w14:paraId="0767118C" w14:textId="4AB50E93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Build revenue dashboard by Feb 15 with key metrics: ARR, pipeline, bookings, churn, NRR, LTV/CAC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Automate monthly revenue reporting; leadership gets accurate numbers within 3 business days of month close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Track leading indicators (pipeline coverage, conversion rates, sales cycle) and surface red flags early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2101A2CA" w:rsidR="00F4365D" w:rsidRDefault="00632C94">
            <w:pPr>
              <w:spacing w:before="50" w:after="50"/>
            </w:pPr>
            <w:r w:rsidRPr="00632C94">
              <w:rPr>
                <w:b/>
                <w:bCs/>
                <w:szCs w:val="18"/>
              </w:rPr>
              <w:t>Sales Efficiency &amp; Automation</w:t>
            </w:r>
          </w:p>
        </w:tc>
        <w:tc>
          <w:tcPr>
            <w:tcW w:w="3611" w:type="pct"/>
          </w:tcPr>
          <w:p w14:paraId="08060C8F" w14:textId="7BD8F56A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Reduce Sales admin time by 30% through automation (quote generation, contract workflows, renewals)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Implement or improve CRM workflows; reduce manual data entry and improve adoption to 90%+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Build Sales playbook templates (proposals, quotes, onboarding docs) that AEs can customize in &lt;15 minutes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589C6F1" w:rsidR="00F4365D" w:rsidRDefault="00632C94">
            <w:pPr>
              <w:spacing w:before="50" w:after="50"/>
            </w:pPr>
            <w:r w:rsidRPr="00632C94">
              <w:rPr>
                <w:b/>
                <w:bCs/>
                <w:szCs w:val="18"/>
              </w:rPr>
              <w:t>Data Quality &amp; Systems</w:t>
            </w:r>
          </w:p>
        </w:tc>
        <w:tc>
          <w:tcPr>
            <w:tcW w:w="3611" w:type="pct"/>
          </w:tcPr>
          <w:p w14:paraId="22828D55" w14:textId="018A4E60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Maintain CRM data accuracy at 95%+; implement validation rules and regular data audits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Integrate key systems (CRM, marketing automation, support, billing) to eliminate manual syncing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Document system processes and access controls; new hires onboarded to systems within 2 days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2C67B470" w:rsidR="00F4365D" w:rsidRDefault="00632C94">
            <w:pPr>
              <w:spacing w:before="50" w:after="50"/>
            </w:pPr>
            <w:r w:rsidRPr="00632C94">
              <w:rPr>
                <w:b/>
                <w:bCs/>
                <w:szCs w:val="18"/>
              </w:rPr>
              <w:t>Revenue Analytics &amp; Insights</w:t>
            </w:r>
          </w:p>
        </w:tc>
        <w:tc>
          <w:tcPr>
            <w:tcW w:w="3611" w:type="pct"/>
          </w:tcPr>
          <w:p w14:paraId="62936191" w14:textId="4C9BD09F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Analyze win/loss trends monthly; document top 3 loss reasons and share with Sales/Product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Track sales velocity and identify bottlenecks; recommend process changes to shorten sales cycle</w:t>
            </w:r>
            <w:r w:rsidRPr="00632C94">
              <w:br/>
            </w:r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Monitor customer health metrics; build early warning system for churn risk (share with CS weekly)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3497DFFE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A747" w14:textId="77777777" w:rsidR="00E76DDD" w:rsidRDefault="00E76DDD" w:rsidP="00244743">
      <w:r>
        <w:separator/>
      </w:r>
    </w:p>
  </w:endnote>
  <w:endnote w:type="continuationSeparator" w:id="0">
    <w:p w14:paraId="1A6133AB" w14:textId="77777777" w:rsidR="00E76DDD" w:rsidRDefault="00E76DDD" w:rsidP="0024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DD8D" w14:textId="77777777" w:rsidR="00244743" w:rsidRDefault="00244743" w:rsidP="00244743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737073BA" w14:textId="77777777" w:rsidR="00244743" w:rsidRPr="00244743" w:rsidRDefault="00244743" w:rsidP="0024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85B3" w14:textId="77777777" w:rsidR="00E76DDD" w:rsidRDefault="00E76DDD" w:rsidP="00244743">
      <w:r>
        <w:separator/>
      </w:r>
    </w:p>
  </w:footnote>
  <w:footnote w:type="continuationSeparator" w:id="0">
    <w:p w14:paraId="6A8F4CEA" w14:textId="77777777" w:rsidR="00E76DDD" w:rsidRDefault="00E76DDD" w:rsidP="0024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141F38"/>
    <w:rsid w:val="001F1283"/>
    <w:rsid w:val="00244743"/>
    <w:rsid w:val="002D1589"/>
    <w:rsid w:val="00336CB2"/>
    <w:rsid w:val="003C48F1"/>
    <w:rsid w:val="00602329"/>
    <w:rsid w:val="00632C94"/>
    <w:rsid w:val="007670BB"/>
    <w:rsid w:val="00974FFE"/>
    <w:rsid w:val="00A2259C"/>
    <w:rsid w:val="00A70572"/>
    <w:rsid w:val="00B05A74"/>
    <w:rsid w:val="00DC1AB5"/>
    <w:rsid w:val="00E6007C"/>
    <w:rsid w:val="00E76DDD"/>
    <w:rsid w:val="00F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4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743"/>
  </w:style>
  <w:style w:type="paragraph" w:styleId="Footer">
    <w:name w:val="footer"/>
    <w:basedOn w:val="Normal"/>
    <w:link w:val="FooterChar"/>
    <w:uiPriority w:val="99"/>
    <w:unhideWhenUsed/>
    <w:rsid w:val="00244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2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2717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4</cp:revision>
  <dcterms:created xsi:type="dcterms:W3CDTF">2025-12-30T11:23:00Z</dcterms:created>
  <dcterms:modified xsi:type="dcterms:W3CDTF">2025-12-30T16:56:00Z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