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23CFF443" w:rsidR="00F4365D" w:rsidRDefault="008529F1">
            <w:r>
              <w:t>Head</w:t>
            </w:r>
            <w:r w:rsidR="0014691C">
              <w:t xml:space="preserve"> </w:t>
            </w:r>
            <w:r>
              <w:t>CS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0C3D38CC" w:rsidR="00F4365D" w:rsidRDefault="00DD14C8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D9722D" w14:paraId="517C779F" w14:textId="77777777" w:rsidTr="00D9722D">
        <w:tc>
          <w:tcPr>
            <w:tcW w:w="1650" w:type="pct"/>
          </w:tcPr>
          <w:p w14:paraId="3F708EFF" w14:textId="2EC2A418" w:rsidR="00D9722D" w:rsidRPr="00B05A74" w:rsidRDefault="00D9722D" w:rsidP="00D9722D">
            <w:r w:rsidRPr="00626694">
              <w:t xml:space="preserve">Double from ~$5M to ~$10M ARR in 36 months—by building a company customers </w:t>
            </w:r>
            <w:proofErr w:type="gramStart"/>
            <w:r w:rsidRPr="00626694">
              <w:t>love</w:t>
            </w:r>
            <w:proofErr w:type="gramEnd"/>
            <w:r w:rsidRPr="00626694">
              <w:t xml:space="preserve"> and talented people want to stay in (strong retention, healthy margins)</w:t>
            </w:r>
          </w:p>
        </w:tc>
        <w:tc>
          <w:tcPr>
            <w:tcW w:w="1650" w:type="pct"/>
          </w:tcPr>
          <w:p w14:paraId="5C2A96BD" w14:textId="77777777" w:rsidR="00D9722D" w:rsidRDefault="00D9722D" w:rsidP="00D9722D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1700" w:type="pct"/>
          </w:tcPr>
          <w:p w14:paraId="68E5C326" w14:textId="1C93E028" w:rsidR="00D9722D" w:rsidRDefault="00D9722D" w:rsidP="00D9722D">
            <w:r w:rsidRPr="00616DD6">
              <w:t>Keep our customers winning. Catch problems before they become churn, get every new customer to value in their first 30 days, and grow our accounts through genuine expansion opportunities.</w:t>
            </w:r>
          </w:p>
        </w:tc>
      </w:tr>
      <w:tr w:rsidR="00D9722D" w14:paraId="1470A2D0" w14:textId="77777777" w:rsidTr="00D97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F060167" w14:textId="77777777" w:rsidR="00D9722D" w:rsidRDefault="00D9722D" w:rsidP="00D9722D">
            <w:r>
              <w:rPr>
                <w:b/>
              </w:rPr>
              <w:t>THIS QUARTER’S TOP 3 OUTCOMES (PICK 3)</w:t>
            </w:r>
          </w:p>
        </w:tc>
      </w:tr>
      <w:tr w:rsidR="00D9722D" w14:paraId="119CC9BA" w14:textId="77777777" w:rsidTr="00D97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17BAA09E" w14:textId="7F3AAFC8" w:rsidR="00D9722D" w:rsidRPr="008529F1" w:rsidRDefault="00D9722D" w:rsidP="00D9722D">
            <w:pPr>
              <w:pStyle w:val="ListParagraph"/>
              <w:numPr>
                <w:ilvl w:val="0"/>
                <w:numId w:val="2"/>
              </w:numPr>
            </w:pPr>
            <w:r w:rsidRPr="008529F1">
              <w:t xml:space="preserve">Reduce gross churn from 2.2% to 1.8–1.9% monthly through better onboarding and risk identification </w:t>
            </w:r>
          </w:p>
          <w:p w14:paraId="6DB07F39" w14:textId="13AAB8C4" w:rsidR="00D9722D" w:rsidRPr="008529F1" w:rsidRDefault="00D9722D" w:rsidP="00D9722D">
            <w:pPr>
              <w:pStyle w:val="ListParagraph"/>
              <w:numPr>
                <w:ilvl w:val="0"/>
                <w:numId w:val="2"/>
              </w:numPr>
            </w:pPr>
            <w:r w:rsidRPr="008529F1">
              <w:t xml:space="preserve">Improve activation rate from 32% to 38–40% (customers hitting "aha moment" within 30 days) </w:t>
            </w:r>
          </w:p>
          <w:p w14:paraId="4022C999" w14:textId="3E8EB9DD" w:rsidR="00D9722D" w:rsidRPr="008529F1" w:rsidRDefault="00D9722D" w:rsidP="00D9722D">
            <w:pPr>
              <w:pStyle w:val="ListParagraph"/>
              <w:numPr>
                <w:ilvl w:val="0"/>
                <w:numId w:val="2"/>
              </w:numPr>
            </w:pPr>
            <w:r w:rsidRPr="008529F1">
              <w:t>Expand $80–$100K in net new ARR from existing customers (upsells, cross-sells, seat expansion)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D9722D">
        <w:trPr>
          <w:trHeight w:val="525"/>
        </w:trPr>
        <w:tc>
          <w:tcPr>
            <w:tcW w:w="0" w:type="auto"/>
            <w:tcBorders>
              <w:bottom w:val="single" w:sz="4" w:space="0" w:color="CCCCCC"/>
            </w:tcBorders>
          </w:tcPr>
          <w:p w14:paraId="467A1E60" w14:textId="1789EAAF" w:rsidR="008529F1" w:rsidRPr="008529F1" w:rsidRDefault="008529F1" w:rsidP="00D9722D">
            <w:r w:rsidRPr="008529F1">
              <w:t>Own retention, expansion, and customer health.</w:t>
            </w:r>
            <w:r>
              <w:t xml:space="preserve"> </w:t>
            </w:r>
            <w:r w:rsidRPr="008529F1">
              <w:t>Make sure every customer gets value fast, stays engaged, and grows with us. Catch churn risk early—no surprises at renewal. Build a CS team that scales without you in every conversation.</w:t>
            </w:r>
          </w:p>
          <w:p w14:paraId="0C785D97" w14:textId="391B7248" w:rsidR="00336CB2" w:rsidRDefault="00336CB2"/>
        </w:tc>
      </w:tr>
      <w:tr w:rsidR="00D9722D" w14:paraId="3E0DF922" w14:textId="77777777" w:rsidTr="00D9722D">
        <w:trPr>
          <w:trHeight w:val="460"/>
        </w:trPr>
        <w:tc>
          <w:tcPr>
            <w:tcW w:w="0" w:type="auto"/>
            <w:tcBorders>
              <w:top w:val="single" w:sz="4" w:space="0" w:color="CCCCCC"/>
            </w:tcBorders>
          </w:tcPr>
          <w:p w14:paraId="73F2A0C1" w14:textId="1ACBF72B" w:rsidR="00D9722D" w:rsidRPr="008529F1" w:rsidRDefault="00D9722D" w:rsidP="00D9722D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</w:t>
            </w:r>
            <w:r w:rsidRPr="008529F1">
              <w:t>Net revenue retention (NRR) and customer health scores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535B0B6A" w:rsidR="00F4365D" w:rsidRDefault="008529F1">
            <w:pPr>
              <w:spacing w:before="50" w:after="50"/>
            </w:pPr>
            <w:r w:rsidRPr="008529F1">
              <w:rPr>
                <w:b/>
                <w:bCs/>
                <w:szCs w:val="18"/>
              </w:rPr>
              <w:t>Retention &amp; Churn</w:t>
            </w:r>
          </w:p>
        </w:tc>
        <w:tc>
          <w:tcPr>
            <w:tcW w:w="3611" w:type="pct"/>
          </w:tcPr>
          <w:p w14:paraId="1CE81421" w14:textId="01180B21" w:rsidR="00336CB2" w:rsidRPr="008529F1" w:rsidRDefault="008529F1">
            <w:r w:rsidRPr="008529F1">
              <w:rPr>
                <w:rFonts w:ascii="Segoe UI Symbol" w:hAnsi="Segoe UI Symbol" w:cs="Segoe UI Symbol"/>
              </w:rPr>
              <w:t>☐</w:t>
            </w:r>
            <w:r w:rsidRPr="008529F1">
              <w:t xml:space="preserve"> Reduce gross monthly churn from 2.2% to 1.8–1.9% by improving onboarding and catching risk early</w:t>
            </w:r>
            <w:r w:rsidRPr="008529F1">
              <w:br/>
            </w:r>
            <w:r w:rsidRPr="008529F1">
              <w:rPr>
                <w:rFonts w:ascii="Segoe UI Symbol" w:hAnsi="Segoe UI Symbol" w:cs="Segoe UI Symbol"/>
              </w:rPr>
              <w:t>☐</w:t>
            </w:r>
            <w:r w:rsidRPr="008529F1">
              <w:t xml:space="preserve"> Identify churn risk 60+ days before renewal; save 70%+ of at-risk accounts through intervention</w:t>
            </w:r>
            <w:r w:rsidRPr="008529F1">
              <w:br/>
            </w:r>
            <w:r w:rsidRPr="008529F1">
              <w:rPr>
                <w:rFonts w:ascii="Segoe UI Symbol" w:hAnsi="Segoe UI Symbol" w:cs="Segoe UI Symbol"/>
              </w:rPr>
              <w:t>☐</w:t>
            </w:r>
            <w:r w:rsidRPr="008529F1">
              <w:t xml:space="preserve"> Keep NRR above 105%; every churn gets root cause analysis within 1 week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679C8005" w:rsidR="00F4365D" w:rsidRDefault="008529F1">
            <w:pPr>
              <w:spacing w:before="50" w:after="50"/>
            </w:pPr>
            <w:r w:rsidRPr="008529F1">
              <w:rPr>
                <w:b/>
                <w:bCs/>
                <w:szCs w:val="18"/>
              </w:rPr>
              <w:t>Onboarding &amp; Activation</w:t>
            </w:r>
          </w:p>
        </w:tc>
        <w:tc>
          <w:tcPr>
            <w:tcW w:w="3611" w:type="pct"/>
          </w:tcPr>
          <w:p w14:paraId="0767118C" w14:textId="4084509D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8529F1" w:rsidRPr="008529F1">
              <w:t>Improve activation rate from 32% to 38–40% (customers hitting value milestone within 30 days)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Reduce time-to-</w:t>
            </w:r>
            <w:proofErr w:type="gramStart"/>
            <w:r w:rsidR="008529F1" w:rsidRPr="008529F1">
              <w:t>first-value</w:t>
            </w:r>
            <w:proofErr w:type="gramEnd"/>
            <w:r w:rsidR="008529F1" w:rsidRPr="008529F1">
              <w:t xml:space="preserve"> from 18 days to 12–14 days through better onboarding process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Build repeatable onboarding playbook by Feb 15; CSMs follow it on 100% of new customers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21E628D8" w:rsidR="00F4365D" w:rsidRDefault="008529F1">
            <w:pPr>
              <w:spacing w:before="50" w:after="50"/>
            </w:pPr>
            <w:r w:rsidRPr="008529F1">
              <w:rPr>
                <w:b/>
                <w:bCs/>
                <w:szCs w:val="18"/>
              </w:rPr>
              <w:t xml:space="preserve">Expansion &amp; </w:t>
            </w:r>
            <w:proofErr w:type="gramStart"/>
            <w:r w:rsidRPr="008529F1">
              <w:rPr>
                <w:b/>
                <w:bCs/>
                <w:szCs w:val="18"/>
              </w:rPr>
              <w:t>Upsells</w:t>
            </w:r>
            <w:proofErr w:type="gramEnd"/>
          </w:p>
        </w:tc>
        <w:tc>
          <w:tcPr>
            <w:tcW w:w="3611" w:type="pct"/>
          </w:tcPr>
          <w:p w14:paraId="08060C8F" w14:textId="3437D065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8529F1" w:rsidRPr="008529F1">
              <w:t>Generate $80–$100K in net new ARR from existing customers (upsells, cross-sells, seat expansion)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Identify expansion opportunities 90 days before renewal; conversion rate 40%+ on qualified upsells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Work with Sales to pilot expansion playbook; document what triggers expansion readiness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B8B7D03" w:rsidR="00F4365D" w:rsidRDefault="008529F1">
            <w:pPr>
              <w:spacing w:before="50" w:after="50"/>
            </w:pPr>
            <w:r w:rsidRPr="008529F1">
              <w:rPr>
                <w:b/>
                <w:bCs/>
                <w:szCs w:val="18"/>
              </w:rPr>
              <w:t>Customer Health &amp; Engagement</w:t>
            </w:r>
          </w:p>
        </w:tc>
        <w:tc>
          <w:tcPr>
            <w:tcW w:w="3611" w:type="pct"/>
          </w:tcPr>
          <w:p w14:paraId="22828D55" w14:textId="671BA22C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8529F1" w:rsidRPr="008529F1">
              <w:t>Implement customer health scoring by end of Q1; 90%+ of accounts scored weekly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Proactive outreach to red/yellow accounts within 5 business days; health improves or escalates to leadership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Run quarterly business reviews (QBRs) with top 20% of ARR; document ROI and renewal confidence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750AD3BF" w:rsidR="00F4365D" w:rsidRDefault="008529F1">
            <w:pPr>
              <w:spacing w:before="50" w:after="50"/>
            </w:pPr>
            <w:r w:rsidRPr="008529F1">
              <w:rPr>
                <w:b/>
                <w:bCs/>
                <w:szCs w:val="18"/>
              </w:rPr>
              <w:t>Team &amp; Process</w:t>
            </w:r>
          </w:p>
        </w:tc>
        <w:tc>
          <w:tcPr>
            <w:tcW w:w="3611" w:type="pct"/>
          </w:tcPr>
          <w:p w14:paraId="62936191" w14:textId="728E5627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8529F1">
              <w:t>B</w:t>
            </w:r>
            <w:r w:rsidR="008529F1" w:rsidRPr="008529F1">
              <w:t>uild CS team capacity model; each CSM manages $800K–$1.2M ARR with clear segmentation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Weekly team sync on pipeline risks; no renewal surprises within 30 days of renewal date</w:t>
            </w:r>
            <w:r w:rsidR="008529F1" w:rsidRPr="008529F1">
              <w:br/>
            </w:r>
            <w:r w:rsidR="008529F1" w:rsidRPr="008529F1">
              <w:rPr>
                <w:rFonts w:ascii="Segoe UI Symbol" w:hAnsi="Segoe UI Symbol" w:cs="Segoe UI Symbol"/>
              </w:rPr>
              <w:t>☐</w:t>
            </w:r>
            <w:r w:rsidR="008529F1" w:rsidRPr="008529F1">
              <w:t xml:space="preserve"> Create feedback loop with Product; top 5 customer pain points documented monthly and prioritized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1DD5E5A5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p w14:paraId="1808DBE7" w14:textId="77777777" w:rsidR="00D9722D" w:rsidRPr="00D9722D" w:rsidRDefault="00D9722D" w:rsidP="00D9722D">
      <w:pPr>
        <w:jc w:val="center"/>
      </w:pPr>
    </w:p>
    <w:sectPr w:rsidR="00D9722D" w:rsidRPr="00D9722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941D" w14:textId="77777777" w:rsidR="00172F2F" w:rsidRDefault="00172F2F" w:rsidP="00D9722D">
      <w:r>
        <w:separator/>
      </w:r>
    </w:p>
  </w:endnote>
  <w:endnote w:type="continuationSeparator" w:id="0">
    <w:p w14:paraId="0E04DF48" w14:textId="77777777" w:rsidR="00172F2F" w:rsidRDefault="00172F2F" w:rsidP="00D9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5CD7" w14:textId="77777777" w:rsidR="00D9722D" w:rsidRDefault="00D9722D" w:rsidP="00D9722D">
    <w:pPr>
      <w:jc w:val="center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50D53DCD" w14:textId="77777777" w:rsidR="00D9722D" w:rsidRPr="00D9722D" w:rsidRDefault="00D9722D" w:rsidP="00D97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FD41" w14:textId="77777777" w:rsidR="00172F2F" w:rsidRDefault="00172F2F" w:rsidP="00D9722D">
      <w:r>
        <w:separator/>
      </w:r>
    </w:p>
  </w:footnote>
  <w:footnote w:type="continuationSeparator" w:id="0">
    <w:p w14:paraId="3A9FA43D" w14:textId="77777777" w:rsidR="00172F2F" w:rsidRDefault="00172F2F" w:rsidP="00D9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141F38"/>
    <w:rsid w:val="0014691C"/>
    <w:rsid w:val="00172F2F"/>
    <w:rsid w:val="001F1283"/>
    <w:rsid w:val="002D1589"/>
    <w:rsid w:val="00336CB2"/>
    <w:rsid w:val="003C48F1"/>
    <w:rsid w:val="00602329"/>
    <w:rsid w:val="00632C94"/>
    <w:rsid w:val="007670BB"/>
    <w:rsid w:val="008529F1"/>
    <w:rsid w:val="00974FFE"/>
    <w:rsid w:val="00A2259C"/>
    <w:rsid w:val="00A70572"/>
    <w:rsid w:val="00B05A74"/>
    <w:rsid w:val="00C37144"/>
    <w:rsid w:val="00D9722D"/>
    <w:rsid w:val="00DC1AB5"/>
    <w:rsid w:val="00DD14C8"/>
    <w:rsid w:val="00E6007C"/>
    <w:rsid w:val="00EA150F"/>
    <w:rsid w:val="00F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7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2D"/>
  </w:style>
  <w:style w:type="paragraph" w:styleId="Footer">
    <w:name w:val="footer"/>
    <w:basedOn w:val="Normal"/>
    <w:link w:val="FooterChar"/>
    <w:uiPriority w:val="99"/>
    <w:unhideWhenUsed/>
    <w:rsid w:val="00D97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2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425</Words>
  <Characters>2602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5</cp:revision>
  <dcterms:created xsi:type="dcterms:W3CDTF">2025-12-30T11:46:00Z</dcterms:created>
  <dcterms:modified xsi:type="dcterms:W3CDTF">2025-12-30T16:53:00Z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