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8C0FB" w14:textId="0C4AF264" w:rsidR="005C54AF" w:rsidRPr="00BF1AEA" w:rsidRDefault="009A5A48" w:rsidP="005C54AF">
      <w:pPr>
        <w:pStyle w:val="BodyText"/>
        <w:rPr>
          <w:lang w:val="en-GB"/>
        </w:rPr>
        <w:sectPr w:rsidR="005C54AF" w:rsidRPr="00BF1AEA" w:rsidSect="00AB44A7">
          <w:headerReference w:type="default" r:id="rId12"/>
          <w:footerReference w:type="default" r:id="rId13"/>
          <w:pgSz w:w="11906" w:h="16838" w:code="9"/>
          <w:pgMar w:top="1120" w:right="720" w:bottom="500" w:left="720" w:header="454" w:footer="220" w:gutter="0"/>
          <w:pgNumType w:chapStyle="1"/>
          <w:cols w:space="708"/>
          <w:docGrid w:linePitch="360"/>
          <w15:footnoteColumns w:val="1"/>
        </w:sectPr>
      </w:pPr>
      <w:r w:rsidRPr="00BF1AEA">
        <w:rPr>
          <w:noProof/>
          <w:lang w:val="en-GB"/>
        </w:rPr>
        <w:drawing>
          <wp:anchor distT="0" distB="0" distL="114300" distR="114300" simplePos="0" relativeHeight="251658240" behindDoc="0" locked="0" layoutInCell="1" allowOverlap="0" wp14:anchorId="32418FEA" wp14:editId="0BDA74E1">
            <wp:simplePos x="0" y="0"/>
            <wp:positionH relativeFrom="page">
              <wp:posOffset>0</wp:posOffset>
            </wp:positionH>
            <wp:positionV relativeFrom="page">
              <wp:posOffset>0</wp:posOffset>
            </wp:positionV>
            <wp:extent cx="7551758" cy="10673998"/>
            <wp:effectExtent l="0" t="0" r="508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1758" cy="10673998"/>
                    </a:xfrm>
                    <a:prstGeom prst="rect">
                      <a:avLst/>
                    </a:prstGeom>
                  </pic:spPr>
                </pic:pic>
              </a:graphicData>
            </a:graphic>
            <wp14:sizeRelH relativeFrom="margin">
              <wp14:pctWidth>0</wp14:pctWidth>
            </wp14:sizeRelH>
            <wp14:sizeRelV relativeFrom="margin">
              <wp14:pctHeight>0</wp14:pctHeight>
            </wp14:sizeRelV>
          </wp:anchor>
        </w:drawing>
      </w:r>
    </w:p>
    <w:p w14:paraId="50AE2397" w14:textId="2AAE1C1A" w:rsidR="005B5FF2" w:rsidRPr="00BF1AEA" w:rsidRDefault="005B5FF2" w:rsidP="009A5A48">
      <w:pPr>
        <w:pStyle w:val="TOC2"/>
        <w:spacing w:line="320" w:lineRule="exact"/>
        <w:rPr>
          <w:rFonts w:ascii="Calibri" w:hAnsi="Calibri"/>
          <w:szCs w:val="24"/>
          <w:lang w:val="en-GB"/>
        </w:rPr>
      </w:pPr>
      <w:r w:rsidRPr="00BF1AEA">
        <w:rPr>
          <w:rFonts w:ascii="Calibri" w:hAnsi="Calibri"/>
          <w:noProof/>
          <w:szCs w:val="24"/>
          <w:lang w:val="en-GB"/>
        </w:rPr>
        <w:lastRenderedPageBreak/>
        <w:drawing>
          <wp:anchor distT="0" distB="0" distL="114300" distR="114300" simplePos="0" relativeHeight="251659264" behindDoc="0" locked="0" layoutInCell="1" allowOverlap="1" wp14:anchorId="7478DDA5" wp14:editId="0240D1B6">
            <wp:simplePos x="0" y="0"/>
            <wp:positionH relativeFrom="page">
              <wp:posOffset>0</wp:posOffset>
            </wp:positionH>
            <wp:positionV relativeFrom="page">
              <wp:posOffset>0</wp:posOffset>
            </wp:positionV>
            <wp:extent cx="7533931" cy="10648799"/>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33931" cy="10648799"/>
                    </a:xfrm>
                    <a:prstGeom prst="rect">
                      <a:avLst/>
                    </a:prstGeom>
                  </pic:spPr>
                </pic:pic>
              </a:graphicData>
            </a:graphic>
            <wp14:sizeRelH relativeFrom="margin">
              <wp14:pctWidth>0</wp14:pctWidth>
            </wp14:sizeRelH>
            <wp14:sizeRelV relativeFrom="margin">
              <wp14:pctHeight>0</wp14:pctHeight>
            </wp14:sizeRelV>
          </wp:anchor>
        </w:drawing>
      </w:r>
    </w:p>
    <w:p w14:paraId="16280E11" w14:textId="77777777" w:rsidR="005B5FF2" w:rsidRPr="00BF1AEA" w:rsidRDefault="005B5FF2" w:rsidP="005B5FF2">
      <w:pPr>
        <w:pStyle w:val="BasicParagraph"/>
        <w:snapToGrid w:val="0"/>
        <w:spacing w:after="160" w:line="312" w:lineRule="auto"/>
        <w:rPr>
          <w:rFonts w:ascii="Calibri" w:eastAsiaTheme="majorHAnsi" w:hAnsi="Calibri" w:cs="ProximaSoft-Thin"/>
          <w:b/>
          <w:bCs/>
          <w:color w:val="8331A7"/>
          <w:lang w:val="en-GB"/>
        </w:rPr>
      </w:pPr>
      <w:r w:rsidRPr="00BF1AEA">
        <w:rPr>
          <w:rFonts w:ascii="Calibri" w:eastAsiaTheme="majorHAnsi" w:hAnsi="Calibri" w:cs="ProximaSoft-Thin"/>
          <w:b/>
          <w:bCs/>
          <w:color w:val="8331A7"/>
          <w:lang w:val="en-GB"/>
        </w:rPr>
        <w:lastRenderedPageBreak/>
        <w:t>About ACIL Allen</w:t>
      </w:r>
    </w:p>
    <w:p w14:paraId="19B0555B" w14:textId="77777777" w:rsidR="005B5FF2" w:rsidRPr="00BF1AEA" w:rsidRDefault="005B5FF2" w:rsidP="005B5FF2">
      <w:pPr>
        <w:pStyle w:val="BasicParagraph"/>
        <w:snapToGrid w:val="0"/>
        <w:spacing w:after="160" w:line="312" w:lineRule="auto"/>
        <w:rPr>
          <w:rFonts w:ascii="Calibri" w:eastAsiaTheme="majorHAnsi" w:hAnsi="Calibri" w:cs="ProximaSoft-Thin"/>
          <w:color w:val="000000" w:themeColor="text1"/>
          <w:lang w:val="en-GB"/>
        </w:rPr>
      </w:pPr>
      <w:r w:rsidRPr="00BF1AEA">
        <w:rPr>
          <w:rFonts w:ascii="Calibri" w:eastAsiaTheme="majorHAnsi" w:hAnsi="Calibri" w:cs="ProximaSoft-Thin"/>
          <w:color w:val="000000" w:themeColor="text1"/>
          <w:lang w:val="en-GB"/>
        </w:rPr>
        <w:t>ACIL Allen is a leading independent economics, policy and strategy advisory firm, dedicated to helping clients solve complex issues.</w:t>
      </w:r>
    </w:p>
    <w:p w14:paraId="1CC739DC" w14:textId="77777777" w:rsidR="005B5FF2" w:rsidRPr="00BF1AEA" w:rsidRDefault="005B5FF2" w:rsidP="005B5FF2">
      <w:pPr>
        <w:pStyle w:val="BasicParagraph"/>
        <w:snapToGrid w:val="0"/>
        <w:spacing w:after="160" w:line="312" w:lineRule="auto"/>
        <w:rPr>
          <w:rFonts w:ascii="Calibri" w:eastAsiaTheme="majorHAnsi" w:hAnsi="Calibri" w:cs="ProximaSoft-Thin"/>
          <w:color w:val="000000" w:themeColor="text1"/>
          <w:lang w:val="en-GB"/>
        </w:rPr>
      </w:pPr>
      <w:r w:rsidRPr="00BF1AEA">
        <w:rPr>
          <w:rFonts w:ascii="Calibri" w:eastAsiaTheme="majorHAnsi" w:hAnsi="Calibri" w:cs="ProximaSoft-Thin"/>
          <w:color w:val="000000" w:themeColor="text1"/>
          <w:lang w:val="en-GB"/>
        </w:rPr>
        <w:t>Our purpose is to help clients make informed decisions about complex economic and public policy issues.</w:t>
      </w:r>
    </w:p>
    <w:p w14:paraId="2203706F" w14:textId="77777777" w:rsidR="005B5FF2" w:rsidRPr="00BF1AEA" w:rsidRDefault="005B5FF2" w:rsidP="005B5FF2">
      <w:pPr>
        <w:pStyle w:val="BasicParagraph"/>
        <w:snapToGrid w:val="0"/>
        <w:spacing w:after="160" w:line="312" w:lineRule="auto"/>
        <w:rPr>
          <w:rFonts w:ascii="Calibri" w:eastAsiaTheme="majorHAnsi" w:hAnsi="Calibri" w:cs="ProximaSoft-Thin"/>
          <w:color w:val="000000" w:themeColor="text1"/>
          <w:lang w:val="en-GB"/>
        </w:rPr>
      </w:pPr>
      <w:r w:rsidRPr="00BF1AEA">
        <w:rPr>
          <w:rFonts w:ascii="Calibri" w:eastAsiaTheme="majorHAnsi" w:hAnsi="Calibri" w:cs="ProximaSoft-Thin"/>
          <w:color w:val="000000" w:themeColor="text1"/>
          <w:lang w:val="en-GB"/>
        </w:rPr>
        <w:t>Our vision is to be Australia’s most trusted economics, policy and strategy advisory firm. We are committed and passionate about providing rigorous independent advice that contributes to a better world.</w:t>
      </w:r>
    </w:p>
    <w:p w14:paraId="78FD1F0C" w14:textId="77777777" w:rsidR="005B5FF2" w:rsidRPr="00BF1AEA" w:rsidRDefault="005B5FF2" w:rsidP="005B5FF2">
      <w:pPr>
        <w:pStyle w:val="BasicParagraph"/>
        <w:snapToGrid w:val="0"/>
        <w:spacing w:after="160" w:line="312" w:lineRule="auto"/>
        <w:rPr>
          <w:rFonts w:ascii="Calibri" w:eastAsiaTheme="majorHAnsi" w:hAnsi="Calibri" w:cs="ProximaSoft-Thin"/>
          <w:color w:val="000000" w:themeColor="text1"/>
          <w:lang w:val="en-GB"/>
        </w:rPr>
      </w:pPr>
    </w:p>
    <w:p w14:paraId="216AD910" w14:textId="66F1FB69" w:rsidR="005B5FF2" w:rsidRPr="00BF1AEA" w:rsidRDefault="00030304" w:rsidP="005B5FF2">
      <w:pPr>
        <w:pStyle w:val="BasicParagraph"/>
        <w:snapToGrid w:val="0"/>
        <w:spacing w:after="160" w:line="312" w:lineRule="auto"/>
        <w:rPr>
          <w:rFonts w:ascii="Calibri" w:eastAsiaTheme="majorHAnsi" w:hAnsi="Calibri" w:cs="ProximaSoft-Thin"/>
          <w:b/>
          <w:bCs/>
          <w:color w:val="8331A7"/>
          <w:lang w:val="en-GB"/>
        </w:rPr>
      </w:pPr>
      <w:r w:rsidRPr="00BF1AEA">
        <w:rPr>
          <w:rFonts w:ascii="Calibri" w:eastAsiaTheme="majorHAnsi" w:hAnsi="Calibri" w:cs="ProximaSoft-Thin"/>
          <w:b/>
          <w:bCs/>
          <w:color w:val="8331A7"/>
          <w:lang w:val="en-GB"/>
        </w:rPr>
        <w:t>Copyright</w:t>
      </w:r>
    </w:p>
    <w:p w14:paraId="42B2030E" w14:textId="1B1576F4" w:rsidR="00030304" w:rsidRPr="00BF1AEA" w:rsidRDefault="00030304" w:rsidP="00A37DD5">
      <w:pPr>
        <w:pStyle w:val="BasicParagraph"/>
        <w:snapToGrid w:val="0"/>
        <w:spacing w:after="160" w:line="312" w:lineRule="auto"/>
        <w:rPr>
          <w:rFonts w:ascii="Calibri" w:eastAsiaTheme="majorHAnsi" w:hAnsi="Calibri" w:cs="ProximaSoft-Thin"/>
          <w:color w:val="000000" w:themeColor="text1"/>
          <w:lang w:val="en-GB"/>
        </w:rPr>
      </w:pPr>
      <w:r w:rsidRPr="00BF1AEA">
        <w:rPr>
          <w:rFonts w:ascii="Calibri" w:eastAsiaTheme="majorHAnsi" w:hAnsi="Calibri" w:cs="ProximaSoft-Thin"/>
          <w:color w:val="000000" w:themeColor="text1"/>
          <w:lang w:val="en-GB"/>
        </w:rPr>
        <w:t xml:space="preserve">© Commonwealth of Australia 2025. The Commonwealth owns the copyright in all material produced by </w:t>
      </w:r>
      <w:r w:rsidR="00A37DD5" w:rsidRPr="00BF1AEA">
        <w:rPr>
          <w:rFonts w:ascii="Calibri" w:eastAsiaTheme="majorHAnsi" w:hAnsi="Calibri" w:cs="ProximaSoft-Thin"/>
          <w:color w:val="000000" w:themeColor="text1"/>
          <w:lang w:val="en-GB"/>
        </w:rPr>
        <w:t>the Department of Employment and Workplace Relations</w:t>
      </w:r>
      <w:r w:rsidRPr="00BF1AEA">
        <w:rPr>
          <w:rFonts w:ascii="Calibri" w:eastAsiaTheme="majorHAnsi" w:hAnsi="Calibri" w:cs="ProximaSoft-Thin"/>
          <w:color w:val="000000" w:themeColor="text1"/>
          <w:lang w:val="en-GB"/>
        </w:rPr>
        <w:t xml:space="preserve">. </w:t>
      </w:r>
    </w:p>
    <w:p w14:paraId="001D4378" w14:textId="77777777" w:rsidR="005B5FF2" w:rsidRPr="00BF1AEA" w:rsidRDefault="005B5FF2" w:rsidP="005B5FF2">
      <w:pPr>
        <w:pStyle w:val="BasicParagraph"/>
        <w:snapToGrid w:val="0"/>
        <w:spacing w:after="160" w:line="312" w:lineRule="auto"/>
        <w:rPr>
          <w:rFonts w:ascii="Calibri" w:eastAsiaTheme="majorHAnsi" w:hAnsi="Calibri" w:cs="ProximaSoft-Thin"/>
          <w:color w:val="000000" w:themeColor="text1"/>
          <w:lang w:val="en-GB"/>
        </w:rPr>
      </w:pPr>
    </w:p>
    <w:p w14:paraId="2F04D038" w14:textId="62D6723A" w:rsidR="005B5FF2" w:rsidRPr="00BF1AEA" w:rsidRDefault="006232AD" w:rsidP="005B5FF2">
      <w:pPr>
        <w:pStyle w:val="BasicParagraph"/>
        <w:snapToGrid w:val="0"/>
        <w:spacing w:after="160" w:line="312" w:lineRule="auto"/>
        <w:rPr>
          <w:rFonts w:ascii="Calibri" w:eastAsiaTheme="majorHAnsi" w:hAnsi="Calibri" w:cs="ProximaSoft-Thin"/>
          <w:color w:val="000000" w:themeColor="text1"/>
          <w:lang w:val="en-GB"/>
        </w:rPr>
      </w:pPr>
      <w:r w:rsidRPr="00BF1AEA">
        <w:rPr>
          <w:rFonts w:ascii="Calibri" w:eastAsiaTheme="majorHAnsi" w:hAnsi="Calibri" w:cs="ProximaSoft-Thin"/>
          <w:color w:val="000000" w:themeColor="text1"/>
          <w:lang w:val="en-GB"/>
        </w:rPr>
        <w:t xml:space="preserve">HumanAbility would like to respectfully acknowledge the Traditional Owners of the land and sea throughout Australia and extend that respect to Elders past and present. HumanAbility also recognises those whose ongoing effort to protect and promote Aboriginal and Torres Strait Islander cultures will leave </w:t>
      </w:r>
      <w:proofErr w:type="gramStart"/>
      <w:r w:rsidRPr="00BF1AEA">
        <w:rPr>
          <w:rFonts w:ascii="Calibri" w:eastAsiaTheme="majorHAnsi" w:hAnsi="Calibri" w:cs="ProximaSoft-Thin"/>
          <w:color w:val="000000" w:themeColor="text1"/>
          <w:lang w:val="en-GB"/>
        </w:rPr>
        <w:t>a lasting legacy</w:t>
      </w:r>
      <w:proofErr w:type="gramEnd"/>
      <w:r w:rsidRPr="00BF1AEA">
        <w:rPr>
          <w:rFonts w:ascii="Calibri" w:eastAsiaTheme="majorHAnsi" w:hAnsi="Calibri" w:cs="ProximaSoft-Thin"/>
          <w:color w:val="000000" w:themeColor="text1"/>
          <w:lang w:val="en-GB"/>
        </w:rPr>
        <w:t xml:space="preserve"> for future Elders and leaders.</w:t>
      </w:r>
    </w:p>
    <w:p w14:paraId="3072D806" w14:textId="77777777" w:rsidR="005B5FF2" w:rsidRPr="00BF1AEA" w:rsidRDefault="005B5FF2" w:rsidP="005B5FF2">
      <w:pPr>
        <w:pStyle w:val="TOC2"/>
        <w:spacing w:before="0" w:after="160" w:line="336" w:lineRule="auto"/>
        <w:ind w:left="0"/>
        <w:rPr>
          <w:rFonts w:ascii="Calibri" w:hAnsi="Calibri"/>
          <w:szCs w:val="24"/>
          <w:lang w:val="en-GB"/>
        </w:rPr>
      </w:pPr>
    </w:p>
    <w:p w14:paraId="3D98FCD1" w14:textId="77777777" w:rsidR="005B5FF2" w:rsidRPr="00BF1AEA" w:rsidRDefault="005B5FF2" w:rsidP="009A5A48">
      <w:pPr>
        <w:pStyle w:val="TOC2"/>
        <w:spacing w:line="320" w:lineRule="exact"/>
        <w:rPr>
          <w:rFonts w:ascii="Calibri" w:hAnsi="Calibri"/>
          <w:szCs w:val="24"/>
          <w:lang w:val="en-GB"/>
        </w:rPr>
      </w:pPr>
    </w:p>
    <w:p w14:paraId="5516729B" w14:textId="77777777" w:rsidR="005B5FF2" w:rsidRPr="00BF1AEA" w:rsidRDefault="005B5FF2">
      <w:pPr>
        <w:spacing w:before="0" w:after="160" w:line="259" w:lineRule="auto"/>
        <w:rPr>
          <w:rFonts w:ascii="Calibri" w:eastAsia="Yu Gothic Medium" w:hAnsi="Calibri" w:cstheme="minorBidi"/>
          <w:b/>
          <w:color w:val="000100"/>
          <w:sz w:val="24"/>
          <w:szCs w:val="24"/>
          <w:lang w:val="en-GB"/>
        </w:rPr>
      </w:pPr>
      <w:r w:rsidRPr="00BF1AEA">
        <w:rPr>
          <w:rFonts w:ascii="Calibri" w:hAnsi="Calibri"/>
          <w:szCs w:val="24"/>
          <w:lang w:val="en-GB"/>
        </w:rPr>
        <w:br w:type="page"/>
      </w:r>
    </w:p>
    <w:p w14:paraId="7B8A9AB1" w14:textId="77777777" w:rsidR="009A4521" w:rsidRPr="00BF1AEA" w:rsidRDefault="009A4521" w:rsidP="009A4521">
      <w:pPr>
        <w:pStyle w:val="TOC2"/>
        <w:tabs>
          <w:tab w:val="left" w:pos="1134"/>
        </w:tabs>
        <w:spacing w:line="240" w:lineRule="auto"/>
        <w:rPr>
          <w:rFonts w:ascii="Calibri" w:hAnsi="Calibri"/>
          <w:i w:val="0"/>
          <w:iCs w:val="0"/>
          <w:color w:val="8331A7"/>
          <w:sz w:val="36"/>
          <w:szCs w:val="36"/>
          <w:lang w:val="en-GB"/>
        </w:rPr>
      </w:pPr>
      <w:r w:rsidRPr="00BF1AEA">
        <w:rPr>
          <w:rFonts w:ascii="Calibri" w:hAnsi="Calibri"/>
          <w:i w:val="0"/>
          <w:iCs w:val="0"/>
          <w:color w:val="8331A7"/>
          <w:sz w:val="36"/>
          <w:szCs w:val="36"/>
          <w:lang w:val="en-GB"/>
        </w:rPr>
        <w:lastRenderedPageBreak/>
        <w:t>Contents</w:t>
      </w:r>
    </w:p>
    <w:p w14:paraId="5B3FF09E" w14:textId="16F30D49" w:rsidR="009A4521" w:rsidRPr="00BF1AEA" w:rsidRDefault="009A4521" w:rsidP="009A4521">
      <w:pPr>
        <w:pStyle w:val="TOC2"/>
        <w:tabs>
          <w:tab w:val="left" w:pos="660"/>
          <w:tab w:val="right" w:leader="dot" w:pos="10194"/>
        </w:tabs>
        <w:rPr>
          <w:rFonts w:ascii="Calibri" w:eastAsiaTheme="minorEastAsia" w:hAnsi="Calibri" w:cs="Calibri"/>
          <w:i w:val="0"/>
          <w:iCs w:val="0"/>
          <w:kern w:val="2"/>
          <w:sz w:val="24"/>
          <w:szCs w:val="24"/>
          <w:lang w:val="en-GB" w:eastAsia="en-GB"/>
          <w14:ligatures w14:val="standardContextual"/>
        </w:rPr>
      </w:pPr>
      <w:r w:rsidRPr="00BF1AEA">
        <w:rPr>
          <w:rFonts w:ascii="Calibri" w:hAnsi="Calibri" w:cs="Calibri"/>
          <w:b/>
          <w:i w:val="0"/>
          <w:iCs w:val="0"/>
          <w:sz w:val="24"/>
          <w:szCs w:val="24"/>
          <w:lang w:val="en-GB"/>
        </w:rPr>
        <w:fldChar w:fldCharType="begin"/>
      </w:r>
      <w:r w:rsidRPr="00BF1AEA">
        <w:rPr>
          <w:rFonts w:ascii="Calibri" w:hAnsi="Calibri" w:cs="Calibri"/>
          <w:i w:val="0"/>
          <w:iCs w:val="0"/>
          <w:sz w:val="24"/>
          <w:szCs w:val="24"/>
          <w:lang w:val="en-GB"/>
        </w:rPr>
        <w:instrText xml:space="preserve"> TOC \o "2-2" \h \z \t "Heading 1,2,Heading 2,3,Part - Heading (Banner),1,Heading 1 (ES),1,App - Divider (Heading),1,Heading 6,2,Heading 7,3,Heading (glossary),1" </w:instrText>
      </w:r>
      <w:r w:rsidRPr="00BF1AEA">
        <w:rPr>
          <w:rFonts w:ascii="Calibri" w:hAnsi="Calibri" w:cs="Calibri"/>
          <w:b/>
          <w:i w:val="0"/>
          <w:iCs w:val="0"/>
          <w:sz w:val="24"/>
          <w:szCs w:val="24"/>
          <w:lang w:val="en-GB"/>
        </w:rPr>
        <w:fldChar w:fldCharType="separate"/>
      </w:r>
      <w:hyperlink w:anchor="_Toc199322297" w:history="1">
        <w:r w:rsidRPr="00BF1AEA">
          <w:rPr>
            <w:rStyle w:val="Hyperlink"/>
            <w:rFonts w:ascii="Calibri" w:hAnsi="Calibri" w:cs="Calibri"/>
            <w:i w:val="0"/>
            <w:iCs w:val="0"/>
            <w:sz w:val="24"/>
            <w:szCs w:val="24"/>
            <w:lang w:val="en-GB"/>
          </w:rPr>
          <w:t>1.</w:t>
        </w:r>
        <w:r w:rsidR="003C451B" w:rsidRPr="00BF1AEA">
          <w:rPr>
            <w:rStyle w:val="Hyperlink"/>
            <w:rFonts w:ascii="Calibri" w:hAnsi="Calibri" w:cs="Calibri"/>
            <w:i w:val="0"/>
            <w:iCs w:val="0"/>
            <w:sz w:val="24"/>
            <w:szCs w:val="24"/>
            <w:lang w:val="en-GB"/>
          </w:rPr>
          <w:t xml:space="preserve"> </w:t>
        </w:r>
        <w:r w:rsidRPr="00BF1AEA">
          <w:rPr>
            <w:rStyle w:val="Hyperlink"/>
            <w:rFonts w:ascii="Calibri" w:hAnsi="Calibri" w:cs="Calibri"/>
            <w:i w:val="0"/>
            <w:iCs w:val="0"/>
            <w:sz w:val="24"/>
            <w:szCs w:val="24"/>
            <w:lang w:val="en-GB"/>
          </w:rPr>
          <w:t>Introduction</w:t>
        </w:r>
        <w:r w:rsidRPr="00BF1AEA">
          <w:rPr>
            <w:rFonts w:ascii="Calibri" w:hAnsi="Calibri" w:cs="Calibri"/>
            <w:i w:val="0"/>
            <w:iCs w:val="0"/>
            <w:webHidden/>
            <w:sz w:val="24"/>
            <w:szCs w:val="24"/>
            <w:lang w:val="en-GB"/>
          </w:rPr>
          <w:tab/>
        </w:r>
        <w:r w:rsidRPr="00BF1AEA">
          <w:rPr>
            <w:rFonts w:ascii="Calibri" w:hAnsi="Calibri" w:cs="Calibri"/>
            <w:i w:val="0"/>
            <w:iCs w:val="0"/>
            <w:webHidden/>
            <w:sz w:val="24"/>
            <w:szCs w:val="24"/>
            <w:lang w:val="en-GB"/>
          </w:rPr>
          <w:fldChar w:fldCharType="begin"/>
        </w:r>
        <w:r w:rsidRPr="00BF1AEA">
          <w:rPr>
            <w:rFonts w:ascii="Calibri" w:hAnsi="Calibri" w:cs="Calibri"/>
            <w:i w:val="0"/>
            <w:iCs w:val="0"/>
            <w:webHidden/>
            <w:sz w:val="24"/>
            <w:szCs w:val="24"/>
            <w:lang w:val="en-GB"/>
          </w:rPr>
          <w:instrText xml:space="preserve"> PAGEREF _Toc199322297 \h </w:instrText>
        </w:r>
        <w:r w:rsidRPr="00BF1AEA">
          <w:rPr>
            <w:rFonts w:ascii="Calibri" w:hAnsi="Calibri" w:cs="Calibri"/>
            <w:i w:val="0"/>
            <w:iCs w:val="0"/>
            <w:webHidden/>
            <w:sz w:val="24"/>
            <w:szCs w:val="24"/>
            <w:lang w:val="en-GB"/>
          </w:rPr>
        </w:r>
        <w:r w:rsidRPr="00BF1AEA">
          <w:rPr>
            <w:rFonts w:ascii="Calibri" w:hAnsi="Calibri" w:cs="Calibri"/>
            <w:i w:val="0"/>
            <w:iCs w:val="0"/>
            <w:webHidden/>
            <w:sz w:val="24"/>
            <w:szCs w:val="24"/>
            <w:lang w:val="en-GB"/>
          </w:rPr>
          <w:fldChar w:fldCharType="separate"/>
        </w:r>
        <w:r w:rsidRPr="00BF1AEA">
          <w:rPr>
            <w:rFonts w:ascii="Calibri" w:hAnsi="Calibri" w:cs="Calibri"/>
            <w:i w:val="0"/>
            <w:iCs w:val="0"/>
            <w:webHidden/>
            <w:sz w:val="24"/>
            <w:szCs w:val="24"/>
            <w:lang w:val="en-GB"/>
          </w:rPr>
          <w:t>1</w:t>
        </w:r>
        <w:r w:rsidRPr="00BF1AEA">
          <w:rPr>
            <w:rFonts w:ascii="Calibri" w:hAnsi="Calibri" w:cs="Calibri"/>
            <w:i w:val="0"/>
            <w:iCs w:val="0"/>
            <w:webHidden/>
            <w:sz w:val="24"/>
            <w:szCs w:val="24"/>
            <w:lang w:val="en-GB"/>
          </w:rPr>
          <w:fldChar w:fldCharType="end"/>
        </w:r>
      </w:hyperlink>
    </w:p>
    <w:p w14:paraId="59D14241" w14:textId="43F65F75" w:rsidR="009A4521" w:rsidRPr="00BF1AEA" w:rsidRDefault="003C451B" w:rsidP="009A4521">
      <w:pPr>
        <w:pStyle w:val="TOC2"/>
        <w:tabs>
          <w:tab w:val="left" w:pos="660"/>
          <w:tab w:val="right" w:leader="dot" w:pos="10194"/>
        </w:tabs>
        <w:rPr>
          <w:rFonts w:ascii="Calibri" w:eastAsiaTheme="minorEastAsia" w:hAnsi="Calibri" w:cs="Calibri"/>
          <w:i w:val="0"/>
          <w:iCs w:val="0"/>
          <w:kern w:val="2"/>
          <w:sz w:val="24"/>
          <w:szCs w:val="24"/>
          <w:lang w:val="en-GB" w:eastAsia="en-GB"/>
          <w14:ligatures w14:val="standardContextual"/>
        </w:rPr>
      </w:pPr>
      <w:hyperlink w:anchor="_Toc199322305" w:history="1">
        <w:r w:rsidRPr="00BF1AEA">
          <w:rPr>
            <w:rStyle w:val="Hyperlink"/>
            <w:rFonts w:ascii="Calibri" w:hAnsi="Calibri" w:cs="Calibri"/>
            <w:i w:val="0"/>
            <w:iCs w:val="0"/>
            <w:sz w:val="24"/>
            <w:szCs w:val="24"/>
            <w:lang w:val="en-GB"/>
          </w:rPr>
          <w:t xml:space="preserve">2. </w:t>
        </w:r>
        <w:r w:rsidR="009A4521" w:rsidRPr="00BF1AEA">
          <w:rPr>
            <w:rStyle w:val="Hyperlink"/>
            <w:rFonts w:ascii="Calibri" w:hAnsi="Calibri" w:cs="Calibri"/>
            <w:i w:val="0"/>
            <w:iCs w:val="0"/>
            <w:sz w:val="24"/>
            <w:szCs w:val="24"/>
            <w:lang w:val="en-GB"/>
          </w:rPr>
          <w:t>Attracting workers</w:t>
        </w:r>
        <w:r w:rsidR="009A4521" w:rsidRPr="00BF1AEA">
          <w:rPr>
            <w:rFonts w:ascii="Calibri" w:hAnsi="Calibri" w:cs="Calibri"/>
            <w:i w:val="0"/>
            <w:iCs w:val="0"/>
            <w:webHidden/>
            <w:sz w:val="24"/>
            <w:szCs w:val="24"/>
            <w:lang w:val="en-GB"/>
          </w:rPr>
          <w:tab/>
        </w:r>
        <w:r w:rsidR="009A4521" w:rsidRPr="00BF1AEA">
          <w:rPr>
            <w:rFonts w:ascii="Calibri" w:hAnsi="Calibri" w:cs="Calibri"/>
            <w:i w:val="0"/>
            <w:iCs w:val="0"/>
            <w:webHidden/>
            <w:sz w:val="24"/>
            <w:szCs w:val="24"/>
            <w:lang w:val="en-GB"/>
          </w:rPr>
          <w:fldChar w:fldCharType="begin"/>
        </w:r>
        <w:r w:rsidR="009A4521" w:rsidRPr="00BF1AEA">
          <w:rPr>
            <w:rFonts w:ascii="Calibri" w:hAnsi="Calibri" w:cs="Calibri"/>
            <w:i w:val="0"/>
            <w:iCs w:val="0"/>
            <w:webHidden/>
            <w:sz w:val="24"/>
            <w:szCs w:val="24"/>
            <w:lang w:val="en-GB"/>
          </w:rPr>
          <w:instrText xml:space="preserve"> PAGEREF _Toc199322305 \h </w:instrText>
        </w:r>
        <w:r w:rsidR="009A4521" w:rsidRPr="00BF1AEA">
          <w:rPr>
            <w:rFonts w:ascii="Calibri" w:hAnsi="Calibri" w:cs="Calibri"/>
            <w:i w:val="0"/>
            <w:iCs w:val="0"/>
            <w:webHidden/>
            <w:sz w:val="24"/>
            <w:szCs w:val="24"/>
            <w:lang w:val="en-GB"/>
          </w:rPr>
        </w:r>
        <w:r w:rsidR="009A4521" w:rsidRPr="00BF1AEA">
          <w:rPr>
            <w:rFonts w:ascii="Calibri" w:hAnsi="Calibri" w:cs="Calibri"/>
            <w:i w:val="0"/>
            <w:iCs w:val="0"/>
            <w:webHidden/>
            <w:sz w:val="24"/>
            <w:szCs w:val="24"/>
            <w:lang w:val="en-GB"/>
          </w:rPr>
          <w:fldChar w:fldCharType="separate"/>
        </w:r>
        <w:r w:rsidR="009A4521" w:rsidRPr="00BF1AEA">
          <w:rPr>
            <w:rFonts w:ascii="Calibri" w:hAnsi="Calibri" w:cs="Calibri"/>
            <w:i w:val="0"/>
            <w:iCs w:val="0"/>
            <w:webHidden/>
            <w:sz w:val="24"/>
            <w:szCs w:val="24"/>
            <w:lang w:val="en-GB"/>
          </w:rPr>
          <w:t>5</w:t>
        </w:r>
        <w:r w:rsidR="009A4521" w:rsidRPr="00BF1AEA">
          <w:rPr>
            <w:rFonts w:ascii="Calibri" w:hAnsi="Calibri" w:cs="Calibri"/>
            <w:i w:val="0"/>
            <w:iCs w:val="0"/>
            <w:webHidden/>
            <w:sz w:val="24"/>
            <w:szCs w:val="24"/>
            <w:lang w:val="en-GB"/>
          </w:rPr>
          <w:fldChar w:fldCharType="end"/>
        </w:r>
      </w:hyperlink>
    </w:p>
    <w:p w14:paraId="46701422" w14:textId="7D5519BF" w:rsidR="009A4521" w:rsidRPr="00BF1AEA" w:rsidRDefault="005E2987" w:rsidP="009A4521">
      <w:pPr>
        <w:pStyle w:val="TOC2"/>
        <w:tabs>
          <w:tab w:val="left" w:pos="660"/>
          <w:tab w:val="right" w:leader="dot" w:pos="10194"/>
        </w:tabs>
        <w:rPr>
          <w:rFonts w:ascii="Calibri" w:eastAsiaTheme="minorEastAsia" w:hAnsi="Calibri" w:cs="Calibri"/>
          <w:i w:val="0"/>
          <w:iCs w:val="0"/>
          <w:kern w:val="2"/>
          <w:sz w:val="24"/>
          <w:szCs w:val="24"/>
          <w:lang w:val="en-GB" w:eastAsia="en-GB"/>
          <w14:ligatures w14:val="standardContextual"/>
        </w:rPr>
      </w:pPr>
      <w:hyperlink w:anchor="_Toc199322310" w:history="1">
        <w:r w:rsidRPr="00BF1AEA">
          <w:rPr>
            <w:rStyle w:val="Hyperlink"/>
            <w:rFonts w:ascii="Calibri" w:hAnsi="Calibri" w:cs="Calibri"/>
            <w:i w:val="0"/>
            <w:iCs w:val="0"/>
            <w:sz w:val="24"/>
            <w:szCs w:val="24"/>
            <w:lang w:val="en-GB"/>
          </w:rPr>
          <w:t>3</w:t>
        </w:r>
        <w:r w:rsidR="009A4521" w:rsidRPr="00BF1AEA">
          <w:rPr>
            <w:rStyle w:val="Hyperlink"/>
            <w:rFonts w:ascii="Calibri" w:hAnsi="Calibri" w:cs="Calibri"/>
            <w:i w:val="0"/>
            <w:iCs w:val="0"/>
            <w:sz w:val="24"/>
            <w:szCs w:val="24"/>
            <w:lang w:val="en-GB"/>
          </w:rPr>
          <w:t>.</w:t>
        </w:r>
        <w:r w:rsidR="00E46F9E" w:rsidRPr="00BF1AEA">
          <w:rPr>
            <w:rFonts w:ascii="Calibri" w:eastAsiaTheme="minorEastAsia" w:hAnsi="Calibri" w:cs="Calibri"/>
            <w:i w:val="0"/>
            <w:iCs w:val="0"/>
            <w:kern w:val="2"/>
            <w:sz w:val="24"/>
            <w:szCs w:val="24"/>
            <w:lang w:val="en-GB" w:eastAsia="en-GB"/>
            <w14:ligatures w14:val="standardContextual"/>
          </w:rPr>
          <w:t xml:space="preserve"> </w:t>
        </w:r>
        <w:r w:rsidR="009A4521" w:rsidRPr="00BF1AEA">
          <w:rPr>
            <w:rStyle w:val="Hyperlink"/>
            <w:rFonts w:ascii="Calibri" w:hAnsi="Calibri" w:cs="Calibri"/>
            <w:i w:val="0"/>
            <w:iCs w:val="0"/>
            <w:sz w:val="24"/>
            <w:szCs w:val="24"/>
            <w:lang w:val="en-GB"/>
          </w:rPr>
          <w:t>Supporting placements</w:t>
        </w:r>
        <w:r w:rsidR="009A4521" w:rsidRPr="00BF1AEA">
          <w:rPr>
            <w:rFonts w:ascii="Calibri" w:hAnsi="Calibri" w:cs="Calibri"/>
            <w:i w:val="0"/>
            <w:iCs w:val="0"/>
            <w:webHidden/>
            <w:sz w:val="24"/>
            <w:szCs w:val="24"/>
            <w:lang w:val="en-GB"/>
          </w:rPr>
          <w:tab/>
        </w:r>
        <w:r w:rsidR="009A4521" w:rsidRPr="00BF1AEA">
          <w:rPr>
            <w:rFonts w:ascii="Calibri" w:hAnsi="Calibri" w:cs="Calibri"/>
            <w:i w:val="0"/>
            <w:iCs w:val="0"/>
            <w:webHidden/>
            <w:sz w:val="24"/>
            <w:szCs w:val="24"/>
            <w:lang w:val="en-GB"/>
          </w:rPr>
          <w:fldChar w:fldCharType="begin"/>
        </w:r>
        <w:r w:rsidR="009A4521" w:rsidRPr="00BF1AEA">
          <w:rPr>
            <w:rFonts w:ascii="Calibri" w:hAnsi="Calibri" w:cs="Calibri"/>
            <w:i w:val="0"/>
            <w:iCs w:val="0"/>
            <w:webHidden/>
            <w:sz w:val="24"/>
            <w:szCs w:val="24"/>
            <w:lang w:val="en-GB"/>
          </w:rPr>
          <w:instrText xml:space="preserve"> PAGEREF _Toc199322310 \h </w:instrText>
        </w:r>
        <w:r w:rsidR="009A4521" w:rsidRPr="00BF1AEA">
          <w:rPr>
            <w:rFonts w:ascii="Calibri" w:hAnsi="Calibri" w:cs="Calibri"/>
            <w:i w:val="0"/>
            <w:iCs w:val="0"/>
            <w:webHidden/>
            <w:sz w:val="24"/>
            <w:szCs w:val="24"/>
            <w:lang w:val="en-GB"/>
          </w:rPr>
        </w:r>
        <w:r w:rsidR="009A4521" w:rsidRPr="00BF1AEA">
          <w:rPr>
            <w:rFonts w:ascii="Calibri" w:hAnsi="Calibri" w:cs="Calibri"/>
            <w:i w:val="0"/>
            <w:iCs w:val="0"/>
            <w:webHidden/>
            <w:sz w:val="24"/>
            <w:szCs w:val="24"/>
            <w:lang w:val="en-GB"/>
          </w:rPr>
          <w:fldChar w:fldCharType="separate"/>
        </w:r>
        <w:r w:rsidR="009A4521" w:rsidRPr="00BF1AEA">
          <w:rPr>
            <w:rFonts w:ascii="Calibri" w:hAnsi="Calibri" w:cs="Calibri"/>
            <w:i w:val="0"/>
            <w:iCs w:val="0"/>
            <w:webHidden/>
            <w:sz w:val="24"/>
            <w:szCs w:val="24"/>
            <w:lang w:val="en-GB"/>
          </w:rPr>
          <w:t>9</w:t>
        </w:r>
        <w:r w:rsidR="009A4521" w:rsidRPr="00BF1AEA">
          <w:rPr>
            <w:rFonts w:ascii="Calibri" w:hAnsi="Calibri" w:cs="Calibri"/>
            <w:i w:val="0"/>
            <w:iCs w:val="0"/>
            <w:webHidden/>
            <w:sz w:val="24"/>
            <w:szCs w:val="24"/>
            <w:lang w:val="en-GB"/>
          </w:rPr>
          <w:fldChar w:fldCharType="end"/>
        </w:r>
      </w:hyperlink>
    </w:p>
    <w:p w14:paraId="735FEB33" w14:textId="450835AB" w:rsidR="009A4521" w:rsidRPr="00BF1AEA" w:rsidRDefault="005E2987" w:rsidP="009A4521">
      <w:pPr>
        <w:pStyle w:val="TOC2"/>
        <w:tabs>
          <w:tab w:val="left" w:pos="660"/>
          <w:tab w:val="right" w:leader="dot" w:pos="10194"/>
        </w:tabs>
        <w:rPr>
          <w:rFonts w:ascii="Calibri" w:eastAsiaTheme="minorEastAsia" w:hAnsi="Calibri" w:cs="Calibri"/>
          <w:i w:val="0"/>
          <w:iCs w:val="0"/>
          <w:kern w:val="2"/>
          <w:sz w:val="24"/>
          <w:szCs w:val="24"/>
          <w:lang w:val="en-GB" w:eastAsia="en-GB"/>
          <w14:ligatures w14:val="standardContextual"/>
        </w:rPr>
      </w:pPr>
      <w:hyperlink w:anchor="_Toc199322315" w:history="1">
        <w:r w:rsidRPr="00BF1AEA">
          <w:rPr>
            <w:rStyle w:val="Hyperlink"/>
            <w:rFonts w:ascii="Calibri" w:hAnsi="Calibri" w:cs="Calibri"/>
            <w:i w:val="0"/>
            <w:iCs w:val="0"/>
            <w:sz w:val="24"/>
            <w:szCs w:val="24"/>
            <w:lang w:val="en-GB"/>
          </w:rPr>
          <w:t>4</w:t>
        </w:r>
        <w:r w:rsidR="009A4521" w:rsidRPr="00BF1AEA">
          <w:rPr>
            <w:rStyle w:val="Hyperlink"/>
            <w:rFonts w:ascii="Calibri" w:hAnsi="Calibri" w:cs="Calibri"/>
            <w:i w:val="0"/>
            <w:iCs w:val="0"/>
            <w:sz w:val="24"/>
            <w:szCs w:val="24"/>
            <w:lang w:val="en-GB"/>
          </w:rPr>
          <w:t>.</w:t>
        </w:r>
        <w:r w:rsidR="00E46F9E" w:rsidRPr="00BF1AEA">
          <w:rPr>
            <w:rFonts w:ascii="Calibri" w:eastAsiaTheme="minorEastAsia" w:hAnsi="Calibri" w:cs="Calibri"/>
            <w:i w:val="0"/>
            <w:iCs w:val="0"/>
            <w:kern w:val="2"/>
            <w:sz w:val="24"/>
            <w:szCs w:val="24"/>
            <w:lang w:val="en-GB" w:eastAsia="en-GB"/>
            <w14:ligatures w14:val="standardContextual"/>
          </w:rPr>
          <w:t xml:space="preserve"> </w:t>
        </w:r>
        <w:r w:rsidR="009A4521" w:rsidRPr="00BF1AEA">
          <w:rPr>
            <w:rStyle w:val="Hyperlink"/>
            <w:rFonts w:ascii="Calibri" w:hAnsi="Calibri" w:cs="Calibri"/>
            <w:i w:val="0"/>
            <w:iCs w:val="0"/>
            <w:sz w:val="24"/>
            <w:szCs w:val="24"/>
            <w:lang w:val="en-GB"/>
          </w:rPr>
          <w:t>Developing skills and recognising experience</w:t>
        </w:r>
        <w:r w:rsidR="009A4521" w:rsidRPr="00BF1AEA">
          <w:rPr>
            <w:rFonts w:ascii="Calibri" w:hAnsi="Calibri" w:cs="Calibri"/>
            <w:i w:val="0"/>
            <w:iCs w:val="0"/>
            <w:webHidden/>
            <w:sz w:val="24"/>
            <w:szCs w:val="24"/>
            <w:lang w:val="en-GB"/>
          </w:rPr>
          <w:tab/>
        </w:r>
        <w:r w:rsidR="009A4521" w:rsidRPr="00BF1AEA">
          <w:rPr>
            <w:rFonts w:ascii="Calibri" w:hAnsi="Calibri" w:cs="Calibri"/>
            <w:i w:val="0"/>
            <w:iCs w:val="0"/>
            <w:webHidden/>
            <w:sz w:val="24"/>
            <w:szCs w:val="24"/>
            <w:lang w:val="en-GB"/>
          </w:rPr>
          <w:fldChar w:fldCharType="begin"/>
        </w:r>
        <w:r w:rsidR="009A4521" w:rsidRPr="00BF1AEA">
          <w:rPr>
            <w:rFonts w:ascii="Calibri" w:hAnsi="Calibri" w:cs="Calibri"/>
            <w:i w:val="0"/>
            <w:iCs w:val="0"/>
            <w:webHidden/>
            <w:sz w:val="24"/>
            <w:szCs w:val="24"/>
            <w:lang w:val="en-GB"/>
          </w:rPr>
          <w:instrText xml:space="preserve"> PAGEREF _Toc199322315 \h </w:instrText>
        </w:r>
        <w:r w:rsidR="009A4521" w:rsidRPr="00BF1AEA">
          <w:rPr>
            <w:rFonts w:ascii="Calibri" w:hAnsi="Calibri" w:cs="Calibri"/>
            <w:i w:val="0"/>
            <w:iCs w:val="0"/>
            <w:webHidden/>
            <w:sz w:val="24"/>
            <w:szCs w:val="24"/>
            <w:lang w:val="en-GB"/>
          </w:rPr>
        </w:r>
        <w:r w:rsidR="009A4521" w:rsidRPr="00BF1AEA">
          <w:rPr>
            <w:rFonts w:ascii="Calibri" w:hAnsi="Calibri" w:cs="Calibri"/>
            <w:i w:val="0"/>
            <w:iCs w:val="0"/>
            <w:webHidden/>
            <w:sz w:val="24"/>
            <w:szCs w:val="24"/>
            <w:lang w:val="en-GB"/>
          </w:rPr>
          <w:fldChar w:fldCharType="separate"/>
        </w:r>
        <w:r w:rsidR="009A4521" w:rsidRPr="00BF1AEA">
          <w:rPr>
            <w:rFonts w:ascii="Calibri" w:hAnsi="Calibri" w:cs="Calibri"/>
            <w:i w:val="0"/>
            <w:iCs w:val="0"/>
            <w:webHidden/>
            <w:sz w:val="24"/>
            <w:szCs w:val="24"/>
            <w:lang w:val="en-GB"/>
          </w:rPr>
          <w:t>12</w:t>
        </w:r>
        <w:r w:rsidR="009A4521" w:rsidRPr="00BF1AEA">
          <w:rPr>
            <w:rFonts w:ascii="Calibri" w:hAnsi="Calibri" w:cs="Calibri"/>
            <w:i w:val="0"/>
            <w:iCs w:val="0"/>
            <w:webHidden/>
            <w:sz w:val="24"/>
            <w:szCs w:val="24"/>
            <w:lang w:val="en-GB"/>
          </w:rPr>
          <w:fldChar w:fldCharType="end"/>
        </w:r>
      </w:hyperlink>
    </w:p>
    <w:p w14:paraId="41681BAC" w14:textId="7D12D0CC" w:rsidR="009A4521" w:rsidRPr="00BF1AEA" w:rsidRDefault="005E2987" w:rsidP="009A4521">
      <w:pPr>
        <w:pStyle w:val="TOC2"/>
        <w:tabs>
          <w:tab w:val="left" w:pos="660"/>
          <w:tab w:val="right" w:leader="dot" w:pos="10194"/>
        </w:tabs>
        <w:rPr>
          <w:rFonts w:ascii="Calibri" w:eastAsiaTheme="minorEastAsia" w:hAnsi="Calibri" w:cs="Calibri"/>
          <w:i w:val="0"/>
          <w:iCs w:val="0"/>
          <w:kern w:val="2"/>
          <w:sz w:val="24"/>
          <w:szCs w:val="24"/>
          <w:lang w:val="en-GB" w:eastAsia="en-GB"/>
          <w14:ligatures w14:val="standardContextual"/>
        </w:rPr>
      </w:pPr>
      <w:hyperlink w:anchor="_Toc199322320" w:history="1">
        <w:r w:rsidRPr="00BF1AEA">
          <w:rPr>
            <w:rStyle w:val="Hyperlink"/>
            <w:rFonts w:ascii="Calibri" w:hAnsi="Calibri" w:cs="Calibri"/>
            <w:i w:val="0"/>
            <w:iCs w:val="0"/>
            <w:sz w:val="24"/>
            <w:szCs w:val="24"/>
            <w:lang w:val="en-GB"/>
          </w:rPr>
          <w:t>5</w:t>
        </w:r>
        <w:r w:rsidR="009A4521" w:rsidRPr="00BF1AEA">
          <w:rPr>
            <w:rStyle w:val="Hyperlink"/>
            <w:rFonts w:ascii="Calibri" w:hAnsi="Calibri" w:cs="Calibri"/>
            <w:i w:val="0"/>
            <w:iCs w:val="0"/>
            <w:sz w:val="24"/>
            <w:szCs w:val="24"/>
            <w:lang w:val="en-GB"/>
          </w:rPr>
          <w:t>.</w:t>
        </w:r>
        <w:r w:rsidR="00E46F9E" w:rsidRPr="00BF1AEA">
          <w:rPr>
            <w:rFonts w:ascii="Calibri" w:eastAsiaTheme="minorEastAsia" w:hAnsi="Calibri" w:cs="Calibri"/>
            <w:i w:val="0"/>
            <w:iCs w:val="0"/>
            <w:kern w:val="2"/>
            <w:sz w:val="24"/>
            <w:szCs w:val="24"/>
            <w:lang w:val="en-GB" w:eastAsia="en-GB"/>
            <w14:ligatures w14:val="standardContextual"/>
          </w:rPr>
          <w:t xml:space="preserve"> </w:t>
        </w:r>
        <w:r w:rsidR="009A4521" w:rsidRPr="00BF1AEA">
          <w:rPr>
            <w:rStyle w:val="Hyperlink"/>
            <w:rFonts w:ascii="Calibri" w:hAnsi="Calibri" w:cs="Calibri"/>
            <w:i w:val="0"/>
            <w:iCs w:val="0"/>
            <w:sz w:val="24"/>
            <w:szCs w:val="24"/>
            <w:lang w:val="en-GB"/>
          </w:rPr>
          <w:t>Building pathways and retaining experience</w:t>
        </w:r>
        <w:r w:rsidR="009A4521" w:rsidRPr="00BF1AEA">
          <w:rPr>
            <w:rFonts w:ascii="Calibri" w:hAnsi="Calibri" w:cs="Calibri"/>
            <w:i w:val="0"/>
            <w:iCs w:val="0"/>
            <w:webHidden/>
            <w:sz w:val="24"/>
            <w:szCs w:val="24"/>
            <w:lang w:val="en-GB"/>
          </w:rPr>
          <w:tab/>
        </w:r>
        <w:r w:rsidR="009A4521" w:rsidRPr="00BF1AEA">
          <w:rPr>
            <w:rFonts w:ascii="Calibri" w:hAnsi="Calibri" w:cs="Calibri"/>
            <w:i w:val="0"/>
            <w:iCs w:val="0"/>
            <w:webHidden/>
            <w:sz w:val="24"/>
            <w:szCs w:val="24"/>
            <w:lang w:val="en-GB"/>
          </w:rPr>
          <w:fldChar w:fldCharType="begin"/>
        </w:r>
        <w:r w:rsidR="009A4521" w:rsidRPr="00BF1AEA">
          <w:rPr>
            <w:rFonts w:ascii="Calibri" w:hAnsi="Calibri" w:cs="Calibri"/>
            <w:i w:val="0"/>
            <w:iCs w:val="0"/>
            <w:webHidden/>
            <w:sz w:val="24"/>
            <w:szCs w:val="24"/>
            <w:lang w:val="en-GB"/>
          </w:rPr>
          <w:instrText xml:space="preserve"> PAGEREF _Toc199322320 \h </w:instrText>
        </w:r>
        <w:r w:rsidR="009A4521" w:rsidRPr="00BF1AEA">
          <w:rPr>
            <w:rFonts w:ascii="Calibri" w:hAnsi="Calibri" w:cs="Calibri"/>
            <w:i w:val="0"/>
            <w:iCs w:val="0"/>
            <w:webHidden/>
            <w:sz w:val="24"/>
            <w:szCs w:val="24"/>
            <w:lang w:val="en-GB"/>
          </w:rPr>
        </w:r>
        <w:r w:rsidR="009A4521" w:rsidRPr="00BF1AEA">
          <w:rPr>
            <w:rFonts w:ascii="Calibri" w:hAnsi="Calibri" w:cs="Calibri"/>
            <w:i w:val="0"/>
            <w:iCs w:val="0"/>
            <w:webHidden/>
            <w:sz w:val="24"/>
            <w:szCs w:val="24"/>
            <w:lang w:val="en-GB"/>
          </w:rPr>
          <w:fldChar w:fldCharType="separate"/>
        </w:r>
        <w:r w:rsidR="009A4521" w:rsidRPr="00BF1AEA">
          <w:rPr>
            <w:rFonts w:ascii="Calibri" w:hAnsi="Calibri" w:cs="Calibri"/>
            <w:i w:val="0"/>
            <w:iCs w:val="0"/>
            <w:webHidden/>
            <w:sz w:val="24"/>
            <w:szCs w:val="24"/>
            <w:lang w:val="en-GB"/>
          </w:rPr>
          <w:t>16</w:t>
        </w:r>
        <w:r w:rsidR="009A4521" w:rsidRPr="00BF1AEA">
          <w:rPr>
            <w:rFonts w:ascii="Calibri" w:hAnsi="Calibri" w:cs="Calibri"/>
            <w:i w:val="0"/>
            <w:iCs w:val="0"/>
            <w:webHidden/>
            <w:sz w:val="24"/>
            <w:szCs w:val="24"/>
            <w:lang w:val="en-GB"/>
          </w:rPr>
          <w:fldChar w:fldCharType="end"/>
        </w:r>
      </w:hyperlink>
    </w:p>
    <w:p w14:paraId="361226E2" w14:textId="354DB282" w:rsidR="009A4521" w:rsidRPr="00BF1AEA" w:rsidRDefault="005E2987" w:rsidP="009A4521">
      <w:pPr>
        <w:pStyle w:val="TOC2"/>
        <w:tabs>
          <w:tab w:val="left" w:pos="660"/>
          <w:tab w:val="right" w:leader="dot" w:pos="10194"/>
        </w:tabs>
        <w:rPr>
          <w:rFonts w:ascii="Calibri" w:eastAsiaTheme="minorEastAsia" w:hAnsi="Calibri" w:cs="Calibri"/>
          <w:i w:val="0"/>
          <w:iCs w:val="0"/>
          <w:kern w:val="2"/>
          <w:sz w:val="24"/>
          <w:szCs w:val="24"/>
          <w:lang w:val="en-GB" w:eastAsia="en-GB"/>
          <w14:ligatures w14:val="standardContextual"/>
        </w:rPr>
      </w:pPr>
      <w:hyperlink w:anchor="_Toc199322326" w:history="1">
        <w:r w:rsidRPr="00BF1AEA">
          <w:rPr>
            <w:rStyle w:val="Hyperlink"/>
            <w:rFonts w:ascii="Calibri" w:hAnsi="Calibri" w:cs="Calibri"/>
            <w:i w:val="0"/>
            <w:iCs w:val="0"/>
            <w:sz w:val="24"/>
            <w:szCs w:val="24"/>
            <w:lang w:val="en-GB"/>
          </w:rPr>
          <w:t>6</w:t>
        </w:r>
        <w:r w:rsidR="009A4521" w:rsidRPr="00BF1AEA">
          <w:rPr>
            <w:rStyle w:val="Hyperlink"/>
            <w:rFonts w:ascii="Calibri" w:hAnsi="Calibri" w:cs="Calibri"/>
            <w:i w:val="0"/>
            <w:iCs w:val="0"/>
            <w:sz w:val="24"/>
            <w:szCs w:val="24"/>
            <w:lang w:val="en-GB"/>
          </w:rPr>
          <w:t>.</w:t>
        </w:r>
        <w:r w:rsidR="00E46F9E" w:rsidRPr="00BF1AEA">
          <w:rPr>
            <w:rFonts w:ascii="Calibri" w:eastAsiaTheme="minorEastAsia" w:hAnsi="Calibri" w:cs="Calibri"/>
            <w:i w:val="0"/>
            <w:iCs w:val="0"/>
            <w:kern w:val="2"/>
            <w:sz w:val="24"/>
            <w:szCs w:val="24"/>
            <w:lang w:val="en-GB" w:eastAsia="en-GB"/>
            <w14:ligatures w14:val="standardContextual"/>
          </w:rPr>
          <w:t xml:space="preserve"> </w:t>
        </w:r>
        <w:r w:rsidR="009A4521" w:rsidRPr="00BF1AEA">
          <w:rPr>
            <w:rStyle w:val="Hyperlink"/>
            <w:rFonts w:ascii="Calibri" w:hAnsi="Calibri" w:cs="Calibri"/>
            <w:i w:val="0"/>
            <w:iCs w:val="0"/>
            <w:sz w:val="24"/>
            <w:szCs w:val="24"/>
            <w:lang w:val="en-GB"/>
          </w:rPr>
          <w:t>Supporting diversity</w:t>
        </w:r>
        <w:r w:rsidR="009A4521" w:rsidRPr="00BF1AEA">
          <w:rPr>
            <w:rFonts w:ascii="Calibri" w:hAnsi="Calibri" w:cs="Calibri"/>
            <w:i w:val="0"/>
            <w:iCs w:val="0"/>
            <w:webHidden/>
            <w:sz w:val="24"/>
            <w:szCs w:val="24"/>
            <w:lang w:val="en-GB"/>
          </w:rPr>
          <w:tab/>
        </w:r>
        <w:r w:rsidR="009A4521" w:rsidRPr="00BF1AEA">
          <w:rPr>
            <w:rFonts w:ascii="Calibri" w:hAnsi="Calibri" w:cs="Calibri"/>
            <w:i w:val="0"/>
            <w:iCs w:val="0"/>
            <w:webHidden/>
            <w:sz w:val="24"/>
            <w:szCs w:val="24"/>
            <w:lang w:val="en-GB"/>
          </w:rPr>
          <w:fldChar w:fldCharType="begin"/>
        </w:r>
        <w:r w:rsidR="009A4521" w:rsidRPr="00BF1AEA">
          <w:rPr>
            <w:rFonts w:ascii="Calibri" w:hAnsi="Calibri" w:cs="Calibri"/>
            <w:i w:val="0"/>
            <w:iCs w:val="0"/>
            <w:webHidden/>
            <w:sz w:val="24"/>
            <w:szCs w:val="24"/>
            <w:lang w:val="en-GB"/>
          </w:rPr>
          <w:instrText xml:space="preserve"> PAGEREF _Toc199322326 \h </w:instrText>
        </w:r>
        <w:r w:rsidR="009A4521" w:rsidRPr="00BF1AEA">
          <w:rPr>
            <w:rFonts w:ascii="Calibri" w:hAnsi="Calibri" w:cs="Calibri"/>
            <w:i w:val="0"/>
            <w:iCs w:val="0"/>
            <w:webHidden/>
            <w:sz w:val="24"/>
            <w:szCs w:val="24"/>
            <w:lang w:val="en-GB"/>
          </w:rPr>
        </w:r>
        <w:r w:rsidR="009A4521" w:rsidRPr="00BF1AEA">
          <w:rPr>
            <w:rFonts w:ascii="Calibri" w:hAnsi="Calibri" w:cs="Calibri"/>
            <w:i w:val="0"/>
            <w:iCs w:val="0"/>
            <w:webHidden/>
            <w:sz w:val="24"/>
            <w:szCs w:val="24"/>
            <w:lang w:val="en-GB"/>
          </w:rPr>
          <w:fldChar w:fldCharType="separate"/>
        </w:r>
        <w:r w:rsidR="009A4521" w:rsidRPr="00BF1AEA">
          <w:rPr>
            <w:rFonts w:ascii="Calibri" w:hAnsi="Calibri" w:cs="Calibri"/>
            <w:i w:val="0"/>
            <w:iCs w:val="0"/>
            <w:webHidden/>
            <w:sz w:val="24"/>
            <w:szCs w:val="24"/>
            <w:lang w:val="en-GB"/>
          </w:rPr>
          <w:t>21</w:t>
        </w:r>
        <w:r w:rsidR="009A4521" w:rsidRPr="00BF1AEA">
          <w:rPr>
            <w:rFonts w:ascii="Calibri" w:hAnsi="Calibri" w:cs="Calibri"/>
            <w:i w:val="0"/>
            <w:iCs w:val="0"/>
            <w:webHidden/>
            <w:sz w:val="24"/>
            <w:szCs w:val="24"/>
            <w:lang w:val="en-GB"/>
          </w:rPr>
          <w:fldChar w:fldCharType="end"/>
        </w:r>
      </w:hyperlink>
    </w:p>
    <w:p w14:paraId="67DDE043" w14:textId="77777777" w:rsidR="009A4521" w:rsidRPr="00BF1AEA" w:rsidRDefault="009A4521" w:rsidP="009A4521">
      <w:pPr>
        <w:pStyle w:val="BodyText"/>
        <w:tabs>
          <w:tab w:val="left" w:pos="1684"/>
        </w:tabs>
        <w:adjustRightInd w:val="0"/>
        <w:spacing w:before="0" w:after="60" w:line="240" w:lineRule="auto"/>
        <w:rPr>
          <w:lang w:val="en-GB"/>
        </w:rPr>
        <w:sectPr w:rsidR="009A4521" w:rsidRPr="00BF1AEA" w:rsidSect="009A4521">
          <w:headerReference w:type="even" r:id="rId16"/>
          <w:headerReference w:type="default" r:id="rId17"/>
          <w:footerReference w:type="even" r:id="rId18"/>
          <w:headerReference w:type="first" r:id="rId19"/>
          <w:footerReference w:type="first" r:id="rId20"/>
          <w:pgSz w:w="11906" w:h="16838" w:code="9"/>
          <w:pgMar w:top="1134" w:right="851" w:bottom="1134" w:left="851" w:header="454" w:footer="159" w:gutter="0"/>
          <w:cols w:space="708"/>
          <w:docGrid w:linePitch="360"/>
        </w:sectPr>
      </w:pPr>
      <w:r w:rsidRPr="00BF1AEA">
        <w:rPr>
          <w:rFonts w:ascii="Calibri" w:eastAsia="Yu Gothic Medium" w:hAnsi="Calibri" w:cs="Calibri"/>
          <w:color w:val="000100"/>
          <w:sz w:val="24"/>
          <w:szCs w:val="24"/>
          <w:lang w:val="en-GB"/>
        </w:rPr>
        <w:fldChar w:fldCharType="end"/>
      </w:r>
    </w:p>
    <w:p w14:paraId="0989B6FB" w14:textId="0777672F" w:rsidR="005C54AF" w:rsidRPr="00BF1AEA" w:rsidRDefault="00D01A8C" w:rsidP="00A02950">
      <w:pPr>
        <w:pStyle w:val="Heading1"/>
        <w:spacing w:line="240" w:lineRule="auto"/>
        <w:rPr>
          <w:rFonts w:ascii="Calibri" w:hAnsi="Calibri"/>
          <w:color w:val="8331A7"/>
          <w:lang w:val="en-GB"/>
        </w:rPr>
      </w:pPr>
      <w:bookmarkStart w:id="0" w:name="_Toc190942895"/>
      <w:bookmarkStart w:id="1" w:name="_Toc199322297"/>
      <w:r w:rsidRPr="00BF1AEA">
        <w:rPr>
          <w:rFonts w:ascii="Calibri" w:hAnsi="Calibri"/>
          <w:color w:val="8331A7"/>
          <w:lang w:val="en-GB"/>
        </w:rPr>
        <w:lastRenderedPageBreak/>
        <w:t>Introduction</w:t>
      </w:r>
      <w:bookmarkEnd w:id="0"/>
      <w:bookmarkEnd w:id="1"/>
    </w:p>
    <w:p w14:paraId="5361D32E" w14:textId="77777777" w:rsidR="00086B27" w:rsidRPr="00BF1AEA" w:rsidRDefault="00086B27" w:rsidP="001C04E4">
      <w:pPr>
        <w:pStyle w:val="Heading2"/>
        <w:numPr>
          <w:ilvl w:val="0"/>
          <w:numId w:val="0"/>
        </w:numPr>
        <w:rPr>
          <w:rFonts w:ascii="Calibri" w:hAnsi="Calibri"/>
          <w:color w:val="8331A7"/>
          <w:lang w:val="en-GB"/>
        </w:rPr>
      </w:pPr>
      <w:bookmarkStart w:id="2" w:name="_Toc190942896"/>
      <w:bookmarkStart w:id="3" w:name="_Toc199322298"/>
      <w:r w:rsidRPr="00BF1AEA">
        <w:rPr>
          <w:rFonts w:ascii="Calibri" w:hAnsi="Calibri"/>
          <w:color w:val="8331A7"/>
          <w:lang w:val="en-GB"/>
        </w:rPr>
        <w:t>Background</w:t>
      </w:r>
    </w:p>
    <w:p w14:paraId="5174606E" w14:textId="10A996D1" w:rsidR="00086B27" w:rsidRPr="00BF1AEA" w:rsidRDefault="00086B27" w:rsidP="00086B27">
      <w:pPr>
        <w:pStyle w:val="BodyText"/>
        <w:spacing w:before="0" w:after="160" w:line="312" w:lineRule="auto"/>
        <w:rPr>
          <w:rFonts w:ascii="Calibri" w:hAnsi="Calibri"/>
          <w:sz w:val="24"/>
          <w:szCs w:val="24"/>
          <w:lang w:val="en-GB"/>
        </w:rPr>
      </w:pPr>
      <w:r w:rsidRPr="00BF1AEA">
        <w:rPr>
          <w:rFonts w:ascii="Calibri" w:hAnsi="Calibri"/>
          <w:sz w:val="24"/>
          <w:szCs w:val="24"/>
          <w:lang w:val="en-GB"/>
        </w:rPr>
        <w:t xml:space="preserve">The care and support workforce comprises a significant proportion of Australia’s economy. In recognition that the sector is one of the country’s fastest growing economic sectors, the Australian Government has a national care and support economy reform agenda underway, the vision of which is to develop a sustainable and productive care and support economy that delivers quality care and support with decent jobs. Objectives include there are enough </w:t>
      </w:r>
      <w:proofErr w:type="gramStart"/>
      <w:r w:rsidRPr="00BF1AEA">
        <w:rPr>
          <w:rFonts w:ascii="Calibri" w:hAnsi="Calibri"/>
          <w:sz w:val="24"/>
          <w:szCs w:val="24"/>
          <w:lang w:val="en-GB"/>
        </w:rPr>
        <w:t>workers</w:t>
      </w:r>
      <w:proofErr w:type="gramEnd"/>
      <w:r w:rsidRPr="00BF1AEA">
        <w:rPr>
          <w:rFonts w:ascii="Calibri" w:hAnsi="Calibri"/>
          <w:sz w:val="24"/>
          <w:szCs w:val="24"/>
          <w:lang w:val="en-GB"/>
        </w:rPr>
        <w:t xml:space="preserve"> and they have the right skills and training to deliver quality care, jobs are professionalised, and there are pathways to support career progression, further training and mobility.</w:t>
      </w:r>
    </w:p>
    <w:p w14:paraId="78A441C9" w14:textId="77777777" w:rsidR="00086B27" w:rsidRPr="00BF1AEA" w:rsidRDefault="00086B27" w:rsidP="001C04E4">
      <w:pPr>
        <w:pStyle w:val="Heading2"/>
        <w:numPr>
          <w:ilvl w:val="0"/>
          <w:numId w:val="0"/>
        </w:numPr>
        <w:rPr>
          <w:rFonts w:ascii="Calibri" w:hAnsi="Calibri"/>
          <w:color w:val="8331A7"/>
          <w:lang w:val="en-GB"/>
        </w:rPr>
      </w:pPr>
      <w:bookmarkStart w:id="4" w:name="_Toc190942897"/>
      <w:r w:rsidRPr="00BF1AEA">
        <w:rPr>
          <w:rFonts w:ascii="Calibri" w:hAnsi="Calibri"/>
          <w:color w:val="8331A7"/>
          <w:lang w:val="en-GB"/>
        </w:rPr>
        <w:t>The Career Pathways project</w:t>
      </w:r>
      <w:bookmarkEnd w:id="4"/>
    </w:p>
    <w:p w14:paraId="507CB674" w14:textId="16F37B16" w:rsidR="00086B27" w:rsidRPr="00BF1AEA" w:rsidRDefault="00086B27" w:rsidP="00086B27">
      <w:pPr>
        <w:pStyle w:val="BodyText"/>
        <w:spacing w:before="0" w:after="160" w:line="312" w:lineRule="auto"/>
        <w:rPr>
          <w:rFonts w:ascii="Calibri" w:hAnsi="Calibri"/>
          <w:sz w:val="24"/>
          <w:szCs w:val="24"/>
          <w:lang w:val="en-GB"/>
        </w:rPr>
      </w:pPr>
      <w:r w:rsidRPr="00BF1AEA">
        <w:rPr>
          <w:rFonts w:ascii="Calibri" w:hAnsi="Calibri"/>
          <w:sz w:val="24"/>
          <w:szCs w:val="24"/>
          <w:lang w:val="en-GB"/>
        </w:rPr>
        <w:t xml:space="preserve">Individuals working in the care and support sector experience difficulties in understanding, navigating and pursuing potential career pathways which has contributed to significant skills and labour market shortages. In recognition of </w:t>
      </w:r>
      <w:r w:rsidR="006B2623" w:rsidRPr="00BF1AEA">
        <w:rPr>
          <w:rFonts w:ascii="Calibri" w:hAnsi="Calibri"/>
          <w:sz w:val="24"/>
          <w:szCs w:val="24"/>
          <w:lang w:val="en-GB"/>
        </w:rPr>
        <w:t>this, HumanAbility</w:t>
      </w:r>
      <w:r w:rsidRPr="00BF1AEA">
        <w:rPr>
          <w:rFonts w:ascii="Calibri" w:hAnsi="Calibri"/>
          <w:sz w:val="24"/>
          <w:szCs w:val="24"/>
          <w:lang w:val="en-GB"/>
        </w:rPr>
        <w:t xml:space="preserve"> has undertaken a career pathways project which aims to: </w:t>
      </w:r>
    </w:p>
    <w:p w14:paraId="5B705256" w14:textId="77777777" w:rsidR="00086B27" w:rsidRPr="00BF1AEA" w:rsidRDefault="00086B27" w:rsidP="002A7391">
      <w:pPr>
        <w:pStyle w:val="Tablebullet"/>
        <w:spacing w:line="312" w:lineRule="auto"/>
        <w:ind w:left="357" w:hanging="357"/>
        <w:rPr>
          <w:rFonts w:ascii="Calibri" w:hAnsi="Calibri"/>
          <w:sz w:val="24"/>
          <w:szCs w:val="24"/>
          <w:lang w:val="en-GB"/>
        </w:rPr>
      </w:pPr>
      <w:r w:rsidRPr="00BF1AEA">
        <w:rPr>
          <w:rFonts w:ascii="Calibri" w:hAnsi="Calibri"/>
          <w:sz w:val="24"/>
          <w:szCs w:val="24"/>
          <w:lang w:val="en-GB"/>
        </w:rPr>
        <w:t>identify and implement new approaches to workforce development, promoting and strengthening pathways</w:t>
      </w:r>
    </w:p>
    <w:p w14:paraId="7F13910B" w14:textId="77777777" w:rsidR="00086B27" w:rsidRPr="00BF1AEA" w:rsidRDefault="00086B27" w:rsidP="00086B27">
      <w:pPr>
        <w:pStyle w:val="Tablebullet"/>
        <w:spacing w:line="312" w:lineRule="auto"/>
        <w:ind w:left="357" w:hanging="357"/>
        <w:rPr>
          <w:rFonts w:ascii="Calibri" w:hAnsi="Calibri"/>
          <w:sz w:val="24"/>
          <w:szCs w:val="24"/>
          <w:lang w:val="en-GB"/>
        </w:rPr>
      </w:pPr>
      <w:r w:rsidRPr="00BF1AEA">
        <w:rPr>
          <w:rFonts w:ascii="Calibri" w:hAnsi="Calibri"/>
          <w:sz w:val="24"/>
          <w:szCs w:val="24"/>
          <w:lang w:val="en-GB"/>
        </w:rPr>
        <w:t xml:space="preserve">increase alignment of career progression opportunities within and across aged care, disability support and veterans’ care </w:t>
      </w:r>
    </w:p>
    <w:p w14:paraId="2CB0511A" w14:textId="77777777" w:rsidR="00086B27" w:rsidRPr="00BF1AEA" w:rsidRDefault="00086B27" w:rsidP="00086B27">
      <w:pPr>
        <w:pStyle w:val="Tablebullet"/>
        <w:spacing w:line="312" w:lineRule="auto"/>
        <w:ind w:left="357" w:hanging="357"/>
        <w:rPr>
          <w:rFonts w:ascii="Calibri" w:hAnsi="Calibri"/>
          <w:sz w:val="24"/>
          <w:szCs w:val="24"/>
          <w:lang w:val="en-GB"/>
        </w:rPr>
      </w:pPr>
      <w:r w:rsidRPr="00BF1AEA">
        <w:rPr>
          <w:rFonts w:ascii="Calibri" w:hAnsi="Calibri"/>
          <w:sz w:val="24"/>
          <w:szCs w:val="24"/>
          <w:lang w:val="en-GB"/>
        </w:rPr>
        <w:t>attract more workers to the sector, ensuring the skills and knowledge they bring to roles, and develop over their career, are recognised and valued by the sector</w:t>
      </w:r>
    </w:p>
    <w:p w14:paraId="032420E6" w14:textId="77777777" w:rsidR="00086B27" w:rsidRPr="00BF1AEA" w:rsidRDefault="00086B27" w:rsidP="00086B27">
      <w:pPr>
        <w:pStyle w:val="Tablebullet"/>
        <w:spacing w:line="312" w:lineRule="auto"/>
        <w:ind w:left="357" w:hanging="357"/>
        <w:rPr>
          <w:rFonts w:ascii="Calibri" w:hAnsi="Calibri"/>
          <w:sz w:val="24"/>
          <w:szCs w:val="24"/>
          <w:lang w:val="en-GB"/>
        </w:rPr>
      </w:pPr>
      <w:r w:rsidRPr="00BF1AEA">
        <w:rPr>
          <w:rFonts w:ascii="Calibri" w:hAnsi="Calibri"/>
          <w:sz w:val="24"/>
          <w:szCs w:val="24"/>
          <w:lang w:val="en-GB"/>
        </w:rPr>
        <w:t>increase worker retention and attrition rates</w:t>
      </w:r>
    </w:p>
    <w:p w14:paraId="36ACA873" w14:textId="2C9AC9B0" w:rsidR="00086B27" w:rsidRPr="00BF1AEA" w:rsidRDefault="00086B27" w:rsidP="00D2760B">
      <w:pPr>
        <w:pStyle w:val="Tablebullet"/>
        <w:spacing w:line="312" w:lineRule="auto"/>
        <w:ind w:left="357" w:hanging="357"/>
        <w:rPr>
          <w:rFonts w:ascii="Calibri" w:hAnsi="Calibri"/>
          <w:sz w:val="24"/>
          <w:szCs w:val="24"/>
          <w:lang w:val="en-GB"/>
        </w:rPr>
      </w:pPr>
      <w:r w:rsidRPr="00BF1AEA">
        <w:rPr>
          <w:rFonts w:ascii="Calibri" w:hAnsi="Calibri"/>
          <w:sz w:val="24"/>
          <w:szCs w:val="24"/>
          <w:lang w:val="en-GB"/>
        </w:rPr>
        <w:t xml:space="preserve">increase participation rates in training and employment, particularly from under-represented groups such as First Nations people, people with a disability, and men. </w:t>
      </w:r>
    </w:p>
    <w:p w14:paraId="7224CD42" w14:textId="77777777" w:rsidR="00086B27" w:rsidRPr="00BF1AEA" w:rsidRDefault="00086B27" w:rsidP="0006755E">
      <w:pPr>
        <w:pStyle w:val="Heading2"/>
        <w:numPr>
          <w:ilvl w:val="0"/>
          <w:numId w:val="0"/>
        </w:numPr>
        <w:rPr>
          <w:rFonts w:ascii="Calibri" w:hAnsi="Calibri"/>
          <w:color w:val="8331A7"/>
          <w:lang w:val="en-GB"/>
        </w:rPr>
      </w:pPr>
      <w:r w:rsidRPr="00BF1AEA">
        <w:rPr>
          <w:rFonts w:ascii="Calibri" w:hAnsi="Calibri"/>
          <w:color w:val="8331A7"/>
          <w:lang w:val="en-GB"/>
        </w:rPr>
        <w:t>The Good Practice Guide</w:t>
      </w:r>
    </w:p>
    <w:p w14:paraId="08E34176" w14:textId="184CC7B7" w:rsidR="00086B27" w:rsidRPr="00BF1AEA" w:rsidRDefault="00086B27" w:rsidP="00086B27">
      <w:pPr>
        <w:pStyle w:val="BodyText"/>
        <w:spacing w:line="312" w:lineRule="auto"/>
        <w:rPr>
          <w:rFonts w:ascii="Calibri" w:hAnsi="Calibri"/>
          <w:sz w:val="24"/>
          <w:szCs w:val="24"/>
          <w:lang w:val="en-GB"/>
        </w:rPr>
      </w:pPr>
      <w:r w:rsidRPr="00BF1AEA">
        <w:rPr>
          <w:rFonts w:ascii="Calibri" w:hAnsi="Calibri"/>
          <w:sz w:val="24"/>
          <w:szCs w:val="24"/>
          <w:lang w:val="en-GB"/>
        </w:rPr>
        <w:t xml:space="preserve">This Good Practice Guide (the Guide) is one of </w:t>
      </w:r>
      <w:r w:rsidR="006B2623" w:rsidRPr="00BF1AEA">
        <w:rPr>
          <w:rFonts w:ascii="Calibri" w:hAnsi="Calibri"/>
          <w:sz w:val="24"/>
          <w:szCs w:val="24"/>
          <w:lang w:val="en-GB"/>
        </w:rPr>
        <w:t>several</w:t>
      </w:r>
      <w:r w:rsidRPr="00BF1AEA">
        <w:rPr>
          <w:rFonts w:ascii="Calibri" w:hAnsi="Calibri"/>
          <w:sz w:val="24"/>
          <w:szCs w:val="24"/>
          <w:lang w:val="en-GB"/>
        </w:rPr>
        <w:t xml:space="preserve"> supporting products that has been developed under HumanAbility’s career pathways project. It is designed to provide practical and actionable information by outlining insights into core issues, common barriers that employers may experience, and strategies that can be leveraged to improve outcomes in workforce attraction, development and retention in aged care, disability support and veterans’ care. </w:t>
      </w:r>
    </w:p>
    <w:p w14:paraId="0C2DCCA8" w14:textId="77777777" w:rsidR="00D2760B" w:rsidRPr="00BF1AEA" w:rsidRDefault="00D2760B" w:rsidP="00086B27">
      <w:pPr>
        <w:pStyle w:val="BodyText"/>
        <w:spacing w:line="312" w:lineRule="auto"/>
        <w:rPr>
          <w:rFonts w:ascii="Calibri" w:hAnsi="Calibri"/>
          <w:sz w:val="24"/>
          <w:szCs w:val="24"/>
          <w:lang w:val="en-GB"/>
        </w:rPr>
      </w:pPr>
    </w:p>
    <w:p w14:paraId="1152EF50" w14:textId="77777777" w:rsidR="00086B27" w:rsidRPr="00BF1AEA" w:rsidRDefault="00086B27" w:rsidP="00086B27">
      <w:pPr>
        <w:pStyle w:val="BodyText"/>
        <w:spacing w:line="312" w:lineRule="auto"/>
        <w:rPr>
          <w:rFonts w:ascii="Calibri" w:hAnsi="Calibri"/>
          <w:sz w:val="24"/>
          <w:szCs w:val="24"/>
          <w:lang w:val="en-GB"/>
        </w:rPr>
      </w:pPr>
      <w:r w:rsidRPr="00BF1AEA">
        <w:rPr>
          <w:rFonts w:ascii="Calibri" w:hAnsi="Calibri"/>
          <w:sz w:val="24"/>
          <w:szCs w:val="24"/>
          <w:lang w:val="en-GB"/>
        </w:rPr>
        <w:lastRenderedPageBreak/>
        <w:t>This Guide provides an overview of the workforce setting and roles in the care and support sector, summarises current workforce issues, and presents solutions at a high level. Detailed case studies, developed in consultation with industry employers, are provided for further reference. The purpose of the case studies is to provide examples to inspire improvement, but it is recognised that they represent only some of the potential strategies for addressing the issues.</w:t>
      </w:r>
    </w:p>
    <w:p w14:paraId="35B38051" w14:textId="77777777" w:rsidR="00086B27" w:rsidRPr="00BF1AEA" w:rsidRDefault="00086B27" w:rsidP="00086B27">
      <w:pPr>
        <w:pStyle w:val="Heading2"/>
        <w:numPr>
          <w:ilvl w:val="0"/>
          <w:numId w:val="0"/>
        </w:numPr>
        <w:rPr>
          <w:rFonts w:ascii="Calibri" w:hAnsi="Calibri"/>
          <w:color w:val="8331A7"/>
          <w:lang w:val="en-GB"/>
        </w:rPr>
      </w:pPr>
      <w:r w:rsidRPr="00BF1AEA">
        <w:rPr>
          <w:rFonts w:ascii="Calibri" w:hAnsi="Calibri"/>
          <w:color w:val="8331A7"/>
          <w:lang w:val="en-GB"/>
        </w:rPr>
        <w:t>Using the Good Practice Guide</w:t>
      </w:r>
    </w:p>
    <w:p w14:paraId="424E7C5E" w14:textId="77777777" w:rsidR="00086B27" w:rsidRPr="00BF1AEA" w:rsidRDefault="00086B27" w:rsidP="00086B27">
      <w:pPr>
        <w:pStyle w:val="BodyText"/>
        <w:spacing w:line="312" w:lineRule="auto"/>
        <w:rPr>
          <w:rFonts w:ascii="Calibri" w:hAnsi="Calibri"/>
          <w:sz w:val="24"/>
          <w:szCs w:val="24"/>
          <w:lang w:val="en-GB"/>
        </w:rPr>
      </w:pPr>
      <w:r w:rsidRPr="00BF1AEA">
        <w:rPr>
          <w:rFonts w:ascii="Calibri" w:hAnsi="Calibri"/>
          <w:sz w:val="24"/>
          <w:szCs w:val="24"/>
          <w:lang w:val="en-GB"/>
        </w:rPr>
        <w:t xml:space="preserve">This Guide is intended to be read and used by employers in the aged care, disability support and veterans’ care sectors, and the peak bodies that represent them. It covers key issues and opportunities across attraction, recruitment and retention as illustrated below. </w:t>
      </w:r>
    </w:p>
    <w:p w14:paraId="7A2C2677" w14:textId="5AB61FC2" w:rsidR="00086B27" w:rsidRPr="00BF1AEA" w:rsidRDefault="00086B27" w:rsidP="00692B99">
      <w:pPr>
        <w:pStyle w:val="BodyText"/>
        <w:spacing w:line="312" w:lineRule="auto"/>
        <w:rPr>
          <w:rFonts w:ascii="Calibri" w:hAnsi="Calibri"/>
          <w:sz w:val="24"/>
          <w:szCs w:val="24"/>
          <w:lang w:val="en-GB"/>
        </w:rPr>
      </w:pPr>
      <w:r w:rsidRPr="00BF1AEA">
        <w:rPr>
          <w:rFonts w:ascii="Calibri" w:hAnsi="Calibri"/>
          <w:sz w:val="24"/>
          <w:szCs w:val="24"/>
          <w:lang w:val="en-GB"/>
        </w:rPr>
        <w:t>Employers are encouraged to reflect on the issues they are facing and explore the effective strategies implemented by others in the sections referenced.</w:t>
      </w:r>
    </w:p>
    <w:p w14:paraId="3E059EB0" w14:textId="34D19D8B" w:rsidR="005C54AF" w:rsidRPr="00BF1AEA" w:rsidRDefault="007C0D8B" w:rsidP="0006755E">
      <w:pPr>
        <w:pStyle w:val="Heading2"/>
        <w:numPr>
          <w:ilvl w:val="0"/>
          <w:numId w:val="0"/>
        </w:numPr>
        <w:spacing w:line="240" w:lineRule="auto"/>
        <w:rPr>
          <w:rFonts w:ascii="Calibri" w:hAnsi="Calibri"/>
          <w:color w:val="8331A7"/>
          <w:lang w:val="en-GB"/>
        </w:rPr>
      </w:pPr>
      <w:r w:rsidRPr="00BF1AEA">
        <w:rPr>
          <w:rFonts w:ascii="Calibri" w:hAnsi="Calibri"/>
          <w:color w:val="8331A7"/>
          <w:lang w:val="en-GB"/>
        </w:rPr>
        <w:t>The care and support secto</w:t>
      </w:r>
      <w:bookmarkEnd w:id="2"/>
      <w:r w:rsidR="004F1B28" w:rsidRPr="00BF1AEA">
        <w:rPr>
          <w:rFonts w:ascii="Calibri" w:hAnsi="Calibri"/>
          <w:color w:val="8331A7"/>
          <w:lang w:val="en-GB"/>
        </w:rPr>
        <w:t>r</w:t>
      </w:r>
      <w:bookmarkEnd w:id="3"/>
    </w:p>
    <w:p w14:paraId="513CDC9A" w14:textId="77693B7F" w:rsidR="0056550B" w:rsidRPr="00BF1AEA" w:rsidRDefault="0056550B" w:rsidP="0056550B">
      <w:pPr>
        <w:pStyle w:val="BodyText"/>
        <w:spacing w:before="0" w:after="160" w:line="312" w:lineRule="auto"/>
        <w:rPr>
          <w:rFonts w:ascii="Calibri" w:hAnsi="Calibri"/>
          <w:sz w:val="24"/>
          <w:szCs w:val="24"/>
          <w:lang w:val="en-GB"/>
        </w:rPr>
      </w:pPr>
      <w:r w:rsidRPr="00BF1AEA">
        <w:rPr>
          <w:rFonts w:ascii="Calibri" w:hAnsi="Calibri"/>
          <w:sz w:val="24"/>
          <w:szCs w:val="24"/>
          <w:lang w:val="en-GB"/>
        </w:rPr>
        <w:t>While the care and support sector is broad, the career pathways project’s specific scope is aged care, disability support, and veterans’ care.</w:t>
      </w:r>
    </w:p>
    <w:p w14:paraId="7F26BCC8" w14:textId="7D30A266" w:rsidR="005447E7" w:rsidRPr="00BF1AEA" w:rsidRDefault="00845B10" w:rsidP="00845B10">
      <w:pPr>
        <w:pStyle w:val="Heading2"/>
        <w:numPr>
          <w:ilvl w:val="0"/>
          <w:numId w:val="0"/>
        </w:numPr>
        <w:rPr>
          <w:rFonts w:ascii="Calibri" w:hAnsi="Calibri"/>
          <w:color w:val="8331A7"/>
          <w:lang w:val="en-GB"/>
        </w:rPr>
      </w:pPr>
      <w:bookmarkStart w:id="5" w:name="_Toc199322299"/>
      <w:r w:rsidRPr="00BF1AEA">
        <w:rPr>
          <w:rFonts w:ascii="Calibri" w:hAnsi="Calibri"/>
          <w:color w:val="8331A7"/>
          <w:lang w:val="en-GB"/>
        </w:rPr>
        <w:t>Aged care</w:t>
      </w:r>
      <w:bookmarkEnd w:id="5"/>
    </w:p>
    <w:p w14:paraId="0E3685E3" w14:textId="77777777" w:rsidR="001F69E5" w:rsidRPr="00BF1AEA" w:rsidRDefault="001F69E5" w:rsidP="001F69E5">
      <w:pPr>
        <w:pStyle w:val="BodyText"/>
        <w:spacing w:line="312" w:lineRule="auto"/>
        <w:rPr>
          <w:rFonts w:ascii="Calibri" w:hAnsi="Calibri"/>
          <w:sz w:val="24"/>
          <w:szCs w:val="24"/>
          <w:lang w:val="en-GB"/>
        </w:rPr>
      </w:pPr>
      <w:r w:rsidRPr="00BF1AEA">
        <w:rPr>
          <w:rFonts w:ascii="Calibri" w:hAnsi="Calibri"/>
          <w:sz w:val="24"/>
          <w:szCs w:val="24"/>
          <w:lang w:val="en-GB"/>
        </w:rPr>
        <w:t xml:space="preserve">The aged care sector </w:t>
      </w:r>
      <w:proofErr w:type="gramStart"/>
      <w:r w:rsidRPr="00BF1AEA">
        <w:rPr>
          <w:rFonts w:ascii="Calibri" w:hAnsi="Calibri"/>
          <w:sz w:val="24"/>
          <w:szCs w:val="24"/>
          <w:lang w:val="en-GB"/>
        </w:rPr>
        <w:t>provides assistance to</w:t>
      </w:r>
      <w:proofErr w:type="gramEnd"/>
      <w:r w:rsidRPr="00BF1AEA">
        <w:rPr>
          <w:rFonts w:ascii="Calibri" w:hAnsi="Calibri"/>
          <w:sz w:val="24"/>
          <w:szCs w:val="24"/>
          <w:lang w:val="en-GB"/>
        </w:rPr>
        <w:t xml:space="preserve"> older people with daily living, personal and health needs, either in their homes or in residential aged care homes when living independently is no longer possible. Aged care services help people maintain independence and connection with their community through services like personal and health care, transport, meal preparation, and social and cultural inclusion. Aged care services are delivered by both public and private organisations, and some services are funded by the Australian Government.</w:t>
      </w:r>
    </w:p>
    <w:p w14:paraId="649011D4" w14:textId="214BF018" w:rsidR="003B5D0B" w:rsidRPr="00BF1AEA" w:rsidRDefault="006B468F" w:rsidP="003B5D0B">
      <w:pPr>
        <w:pStyle w:val="Heading2"/>
        <w:numPr>
          <w:ilvl w:val="0"/>
          <w:numId w:val="0"/>
        </w:numPr>
        <w:rPr>
          <w:rFonts w:ascii="Calibri" w:hAnsi="Calibri"/>
          <w:color w:val="8331A7"/>
          <w:lang w:val="en-GB"/>
        </w:rPr>
      </w:pPr>
      <w:bookmarkStart w:id="6" w:name="_Toc199322300"/>
      <w:r w:rsidRPr="00BF1AEA">
        <w:rPr>
          <w:rFonts w:ascii="Calibri" w:hAnsi="Calibri"/>
          <w:color w:val="8331A7"/>
          <w:lang w:val="en-GB"/>
        </w:rPr>
        <w:t>Disability support</w:t>
      </w:r>
      <w:bookmarkEnd w:id="6"/>
    </w:p>
    <w:p w14:paraId="0608CEDB" w14:textId="300F34B2" w:rsidR="003B5D0B" w:rsidRPr="00BF1AEA" w:rsidRDefault="00C2582F" w:rsidP="003B5D0B">
      <w:pPr>
        <w:pStyle w:val="BodyText"/>
        <w:spacing w:line="312" w:lineRule="auto"/>
        <w:rPr>
          <w:rFonts w:ascii="Calibri" w:hAnsi="Calibri"/>
          <w:sz w:val="24"/>
          <w:szCs w:val="24"/>
          <w:lang w:val="en-GB"/>
        </w:rPr>
      </w:pPr>
      <w:r w:rsidRPr="00BF1AEA">
        <w:rPr>
          <w:rFonts w:ascii="Calibri" w:hAnsi="Calibri"/>
          <w:sz w:val="24"/>
          <w:szCs w:val="24"/>
          <w:lang w:val="en-GB"/>
        </w:rPr>
        <w:t xml:space="preserve">Disability supports in Australia </w:t>
      </w:r>
      <w:proofErr w:type="gramStart"/>
      <w:r w:rsidRPr="00BF1AEA">
        <w:rPr>
          <w:rFonts w:ascii="Calibri" w:hAnsi="Calibri"/>
          <w:sz w:val="24"/>
          <w:szCs w:val="24"/>
          <w:lang w:val="en-GB"/>
        </w:rPr>
        <w:t>provide assistance to</w:t>
      </w:r>
      <w:proofErr w:type="gramEnd"/>
      <w:r w:rsidRPr="00BF1AEA">
        <w:rPr>
          <w:rFonts w:ascii="Calibri" w:hAnsi="Calibri"/>
          <w:sz w:val="24"/>
          <w:szCs w:val="24"/>
          <w:lang w:val="en-GB"/>
        </w:rPr>
        <w:t xml:space="preserve"> individuals to meet their needs for community inclusion and wellbeing. Disability supports are primarily provided through the National Disability Insurance Scheme (NDIS), which funds eligible individuals to access </w:t>
      </w:r>
      <w:r w:rsidR="00883084" w:rsidRPr="00BF1AEA">
        <w:rPr>
          <w:rFonts w:ascii="Calibri" w:hAnsi="Calibri"/>
          <w:sz w:val="24"/>
          <w:szCs w:val="24"/>
          <w:lang w:val="en-GB"/>
        </w:rPr>
        <w:t>support</w:t>
      </w:r>
      <w:r w:rsidRPr="00BF1AEA">
        <w:rPr>
          <w:rFonts w:ascii="Calibri" w:hAnsi="Calibri"/>
          <w:sz w:val="24"/>
          <w:szCs w:val="24"/>
          <w:lang w:val="en-GB"/>
        </w:rPr>
        <w:t>, treatment, and services that promote independence, skill development, employment, and quality of life. Funded activities include health supports, community participation, and educational opportunities. The NDIS has transformed the funding and delivery of disability services, supporting over 500,000 Australians with access to high-quality, professional services across various settings such as residential care, supported living, community programs, and in-home support.</w:t>
      </w:r>
    </w:p>
    <w:p w14:paraId="47AAA9F5" w14:textId="2A4BCE19" w:rsidR="00C57A98" w:rsidRPr="00BF1AEA" w:rsidRDefault="008F1355" w:rsidP="00C57A98">
      <w:pPr>
        <w:pStyle w:val="Heading2"/>
        <w:numPr>
          <w:ilvl w:val="0"/>
          <w:numId w:val="0"/>
        </w:numPr>
        <w:rPr>
          <w:rFonts w:ascii="Calibri" w:hAnsi="Calibri"/>
          <w:color w:val="8331A7"/>
          <w:lang w:val="en-GB"/>
        </w:rPr>
      </w:pPr>
      <w:bookmarkStart w:id="7" w:name="_Toc199322301"/>
      <w:r w:rsidRPr="00BF1AEA">
        <w:rPr>
          <w:rFonts w:ascii="Calibri" w:hAnsi="Calibri"/>
          <w:color w:val="8331A7"/>
          <w:lang w:val="en-GB"/>
        </w:rPr>
        <w:lastRenderedPageBreak/>
        <w:t>Veteran</w:t>
      </w:r>
      <w:r w:rsidR="00AD29DE" w:rsidRPr="00BF1AEA">
        <w:rPr>
          <w:rFonts w:ascii="Calibri" w:hAnsi="Calibri"/>
          <w:color w:val="8331A7"/>
          <w:lang w:val="en-GB"/>
        </w:rPr>
        <w:t>s</w:t>
      </w:r>
      <w:r w:rsidRPr="00BF1AEA">
        <w:rPr>
          <w:rFonts w:ascii="Calibri" w:hAnsi="Calibri"/>
          <w:color w:val="8331A7"/>
          <w:lang w:val="en-GB"/>
        </w:rPr>
        <w:t>’ care</w:t>
      </w:r>
      <w:bookmarkEnd w:id="7"/>
    </w:p>
    <w:p w14:paraId="277ED47E" w14:textId="6FC3B4FD" w:rsidR="00C57A98" w:rsidRPr="00BF1AEA" w:rsidRDefault="002F3427" w:rsidP="003B5D0B">
      <w:pPr>
        <w:pStyle w:val="BodyText"/>
        <w:spacing w:line="312" w:lineRule="auto"/>
        <w:rPr>
          <w:rFonts w:ascii="Calibri" w:hAnsi="Calibri"/>
          <w:sz w:val="24"/>
          <w:szCs w:val="24"/>
          <w:lang w:val="en-GB"/>
        </w:rPr>
      </w:pPr>
      <w:r w:rsidRPr="00BF1AEA">
        <w:rPr>
          <w:rFonts w:ascii="Calibri" w:hAnsi="Calibri"/>
          <w:sz w:val="24"/>
          <w:szCs w:val="24"/>
          <w:lang w:val="en-GB"/>
        </w:rPr>
        <w:t>Veterans’ care in Australia supports current and former defence personnel, including war widows/widowers, primarily through the Department of Veterans Affairs (DVA). DVA collaborates with government agencies, private and not-for-profit organisations, and ex-service organisations to deliver services such as physical and mental health care, counselling, rehabilitation, employment programs, and community connection. Support is provided through in-home and community care, with limited residential facilities available.</w:t>
      </w:r>
    </w:p>
    <w:p w14:paraId="623030F8" w14:textId="4911EB58" w:rsidR="00F029F7" w:rsidRPr="00BF1AEA" w:rsidRDefault="005118AA" w:rsidP="00F029F7">
      <w:pPr>
        <w:pStyle w:val="Heading2"/>
        <w:numPr>
          <w:ilvl w:val="0"/>
          <w:numId w:val="0"/>
        </w:numPr>
        <w:rPr>
          <w:rFonts w:ascii="Calibri" w:hAnsi="Calibri"/>
          <w:color w:val="8331A7"/>
          <w:lang w:val="en-GB"/>
        </w:rPr>
      </w:pPr>
      <w:bookmarkStart w:id="8" w:name="_Toc199322302"/>
      <w:r w:rsidRPr="00BF1AEA">
        <w:rPr>
          <w:rFonts w:ascii="Calibri" w:hAnsi="Calibri"/>
          <w:color w:val="8331A7"/>
          <w:lang w:val="en-GB"/>
        </w:rPr>
        <w:t>The care and support workforce</w:t>
      </w:r>
      <w:bookmarkEnd w:id="8"/>
    </w:p>
    <w:p w14:paraId="72FBD3DA" w14:textId="09BD0314" w:rsidR="00525C23" w:rsidRPr="00BF1AEA" w:rsidRDefault="00562050" w:rsidP="003B5D0B">
      <w:pPr>
        <w:pStyle w:val="BodyText"/>
        <w:spacing w:line="312" w:lineRule="auto"/>
        <w:rPr>
          <w:rFonts w:ascii="Calibri" w:hAnsi="Calibri"/>
          <w:sz w:val="24"/>
          <w:szCs w:val="24"/>
          <w:lang w:val="en-GB"/>
        </w:rPr>
      </w:pPr>
      <w:r w:rsidRPr="00BF1AEA">
        <w:rPr>
          <w:rFonts w:ascii="Calibri" w:hAnsi="Calibri"/>
          <w:sz w:val="24"/>
          <w:szCs w:val="24"/>
          <w:lang w:val="en-GB"/>
        </w:rPr>
        <w:t>The care and support workforce represents a significant proportion of Australia’s economy. Collectively, the sector employed approximately 600,000 workers in 2021 and is expected to grow to 1 million by 2049-50 and projected government investment is expected to increase from $103 billion in 2024-25 to $124 billion by 2027-28</w:t>
      </w:r>
      <w:r w:rsidR="007D3956" w:rsidRPr="00BF1AEA">
        <w:rPr>
          <w:rStyle w:val="FootnoteReference"/>
          <w:rFonts w:ascii="Calibri" w:hAnsi="Calibri"/>
          <w:sz w:val="24"/>
          <w:szCs w:val="24"/>
          <w:lang w:val="en-GB"/>
        </w:rPr>
        <w:footnoteReference w:id="1"/>
      </w:r>
      <w:r w:rsidRPr="00BF1AEA">
        <w:rPr>
          <w:rFonts w:ascii="Calibri" w:hAnsi="Calibri"/>
          <w:sz w:val="24"/>
          <w:szCs w:val="24"/>
          <w:lang w:val="en-GB"/>
        </w:rPr>
        <w:t xml:space="preserve">. </w:t>
      </w:r>
    </w:p>
    <w:p w14:paraId="0F08DDC3" w14:textId="092F3473" w:rsidR="00F029F7" w:rsidRPr="00BF1AEA" w:rsidRDefault="00562050" w:rsidP="003B5D0B">
      <w:pPr>
        <w:pStyle w:val="BodyText"/>
        <w:spacing w:line="312" w:lineRule="auto"/>
        <w:rPr>
          <w:rFonts w:ascii="Calibri" w:hAnsi="Calibri"/>
          <w:sz w:val="24"/>
          <w:szCs w:val="24"/>
          <w:lang w:val="en-GB"/>
        </w:rPr>
      </w:pPr>
      <w:r w:rsidRPr="00BF1AEA">
        <w:rPr>
          <w:rFonts w:ascii="Calibri" w:hAnsi="Calibri"/>
          <w:sz w:val="24"/>
          <w:szCs w:val="24"/>
          <w:lang w:val="en-GB"/>
        </w:rPr>
        <w:t>Significant skills and labour market shortages in the sector are impacting the delivery of services to the Australian community. Key factors contributing to workforce shortages include:</w:t>
      </w:r>
    </w:p>
    <w:p w14:paraId="60C9CD03" w14:textId="77777777" w:rsidR="005818B0" w:rsidRPr="00BF1AEA" w:rsidRDefault="005818B0" w:rsidP="00FA2EC7">
      <w:pPr>
        <w:pStyle w:val="BodyText"/>
        <w:numPr>
          <w:ilvl w:val="0"/>
          <w:numId w:val="38"/>
        </w:numPr>
        <w:spacing w:line="312" w:lineRule="auto"/>
        <w:rPr>
          <w:rFonts w:ascii="Calibri" w:hAnsi="Calibri"/>
          <w:sz w:val="24"/>
          <w:szCs w:val="24"/>
          <w:lang w:val="en-GB"/>
        </w:rPr>
      </w:pPr>
      <w:r w:rsidRPr="00BF1AEA">
        <w:rPr>
          <w:rFonts w:ascii="Calibri" w:hAnsi="Calibri"/>
          <w:b/>
          <w:bCs/>
          <w:sz w:val="24"/>
          <w:szCs w:val="24"/>
          <w:lang w:val="en-GB"/>
        </w:rPr>
        <w:t>Attracting students to study</w:t>
      </w:r>
      <w:r w:rsidRPr="00BF1AEA">
        <w:rPr>
          <w:rFonts w:ascii="Calibri" w:hAnsi="Calibri"/>
          <w:sz w:val="24"/>
          <w:szCs w:val="24"/>
          <w:lang w:val="en-GB"/>
        </w:rPr>
        <w:t xml:space="preserve"> – Limited awareness of career opportunities, poor perception of the sector such as inadequate pay and limited career development opportunities, upfront costs of training and placement poverty among students’ impact on the willingness of students to undertake study in the care and support sector. </w:t>
      </w:r>
    </w:p>
    <w:p w14:paraId="7507FD44" w14:textId="77777777" w:rsidR="005818B0" w:rsidRPr="00BF1AEA" w:rsidRDefault="005818B0" w:rsidP="00FA2EC7">
      <w:pPr>
        <w:pStyle w:val="BodyText"/>
        <w:numPr>
          <w:ilvl w:val="0"/>
          <w:numId w:val="38"/>
        </w:numPr>
        <w:spacing w:line="312" w:lineRule="auto"/>
        <w:rPr>
          <w:rFonts w:ascii="Calibri" w:hAnsi="Calibri"/>
          <w:sz w:val="24"/>
          <w:szCs w:val="24"/>
          <w:lang w:val="en-GB"/>
        </w:rPr>
      </w:pPr>
      <w:r w:rsidRPr="00BF1AEA">
        <w:rPr>
          <w:rFonts w:ascii="Calibri" w:hAnsi="Calibri"/>
          <w:b/>
          <w:bCs/>
          <w:sz w:val="24"/>
          <w:szCs w:val="24"/>
          <w:lang w:val="en-GB"/>
        </w:rPr>
        <w:t>Attracting workers into employment</w:t>
      </w:r>
      <w:r w:rsidRPr="00BF1AEA">
        <w:rPr>
          <w:rFonts w:ascii="Calibri" w:hAnsi="Calibri"/>
          <w:sz w:val="24"/>
          <w:szCs w:val="24"/>
          <w:lang w:val="en-GB"/>
        </w:rPr>
        <w:t xml:space="preserve"> – Historical stigma of care and support work as gendered or without opportunities, limited visibility of entry pathways into employment, differing employment conditions, and competition with other sectors that offer more competitive renumeration inhibit the ability for employers to attract workers. </w:t>
      </w:r>
    </w:p>
    <w:p w14:paraId="686B336F" w14:textId="77777777" w:rsidR="005818B0" w:rsidRPr="00BF1AEA" w:rsidRDefault="005818B0" w:rsidP="00FA2EC7">
      <w:pPr>
        <w:pStyle w:val="BodyText"/>
        <w:numPr>
          <w:ilvl w:val="0"/>
          <w:numId w:val="38"/>
        </w:numPr>
        <w:spacing w:line="312" w:lineRule="auto"/>
        <w:rPr>
          <w:rFonts w:ascii="Calibri" w:hAnsi="Calibri"/>
          <w:sz w:val="24"/>
          <w:szCs w:val="24"/>
          <w:lang w:val="en-GB"/>
        </w:rPr>
      </w:pPr>
      <w:r w:rsidRPr="00BF1AEA">
        <w:rPr>
          <w:rFonts w:ascii="Calibri" w:hAnsi="Calibri"/>
          <w:b/>
          <w:bCs/>
          <w:sz w:val="24"/>
          <w:szCs w:val="24"/>
          <w:lang w:val="en-GB"/>
        </w:rPr>
        <w:t>Supporting career progression</w:t>
      </w:r>
      <w:r w:rsidRPr="00BF1AEA">
        <w:rPr>
          <w:rFonts w:ascii="Calibri" w:hAnsi="Calibri"/>
          <w:sz w:val="24"/>
          <w:szCs w:val="24"/>
          <w:lang w:val="en-GB"/>
        </w:rPr>
        <w:t xml:space="preserve"> – Unclear job pathways, casualisation of the workforce, limited professional development and supervision structures all impact on growth and development of the workforce. Funding arrangements contribute to career pathways and structures, which can reduce retention. </w:t>
      </w:r>
    </w:p>
    <w:p w14:paraId="55B03939" w14:textId="71125C48" w:rsidR="003B5D0B" w:rsidRPr="00BF1AEA" w:rsidRDefault="005818B0" w:rsidP="00FA2EC7">
      <w:pPr>
        <w:pStyle w:val="BodyText"/>
        <w:numPr>
          <w:ilvl w:val="0"/>
          <w:numId w:val="38"/>
        </w:numPr>
        <w:spacing w:line="312" w:lineRule="auto"/>
        <w:rPr>
          <w:rFonts w:ascii="Calibri" w:hAnsi="Calibri"/>
          <w:sz w:val="24"/>
          <w:szCs w:val="24"/>
          <w:lang w:val="en-GB"/>
        </w:rPr>
      </w:pPr>
      <w:r w:rsidRPr="00BF1AEA">
        <w:rPr>
          <w:rFonts w:ascii="Calibri" w:hAnsi="Calibri"/>
          <w:b/>
          <w:bCs/>
          <w:sz w:val="24"/>
          <w:szCs w:val="24"/>
          <w:lang w:val="en-GB"/>
        </w:rPr>
        <w:t>Retention in the care and support sector</w:t>
      </w:r>
      <w:r w:rsidRPr="00BF1AEA">
        <w:rPr>
          <w:rFonts w:ascii="Calibri" w:hAnsi="Calibri"/>
          <w:sz w:val="24"/>
          <w:szCs w:val="24"/>
          <w:lang w:val="en-GB"/>
        </w:rPr>
        <w:t xml:space="preserve"> – Employment instability from short-term contracts or casual positions, a lack of paid leave, high workload levels, and workplace injuries lead to high turnover, with many workers leaving the sector permanently.</w:t>
      </w:r>
    </w:p>
    <w:p w14:paraId="77D3EBFD" w14:textId="074990B4" w:rsidR="007C1EEE" w:rsidRPr="00BF1AEA" w:rsidRDefault="00C8610E" w:rsidP="005032C8">
      <w:pPr>
        <w:pStyle w:val="BodyText"/>
        <w:spacing w:line="312" w:lineRule="auto"/>
        <w:rPr>
          <w:rFonts w:ascii="Calibri" w:hAnsi="Calibri"/>
          <w:sz w:val="24"/>
          <w:szCs w:val="24"/>
          <w:lang w:val="en-GB"/>
        </w:rPr>
      </w:pPr>
      <w:r w:rsidRPr="00BF1AEA">
        <w:rPr>
          <w:rFonts w:ascii="Calibri" w:hAnsi="Calibri"/>
          <w:sz w:val="24"/>
          <w:szCs w:val="24"/>
          <w:lang w:val="en-GB"/>
        </w:rPr>
        <w:lastRenderedPageBreak/>
        <w:t>While these challenges are real and faced country-wide, some employers have been able to develop innovative approaches to address these issues and support workforce growth and development.</w:t>
      </w:r>
    </w:p>
    <w:p w14:paraId="4393DB56" w14:textId="77777777" w:rsidR="005C54AF" w:rsidRPr="00BF1AEA" w:rsidRDefault="005C54AF" w:rsidP="005C54AF">
      <w:pPr>
        <w:pStyle w:val="BodyText"/>
        <w:rPr>
          <w:lang w:val="en-GB"/>
        </w:rPr>
      </w:pPr>
    </w:p>
    <w:tbl>
      <w:tblPr>
        <w:tblStyle w:val="aacTableBasic"/>
        <w:tblW w:w="5000" w:type="pct"/>
        <w:tblLayout w:type="fixed"/>
        <w:tblLook w:val="04A0" w:firstRow="1" w:lastRow="0" w:firstColumn="1" w:lastColumn="0" w:noHBand="0" w:noVBand="1"/>
      </w:tblPr>
      <w:tblGrid>
        <w:gridCol w:w="5233"/>
        <w:gridCol w:w="5233"/>
      </w:tblGrid>
      <w:tr w:rsidR="00E93CCC" w:rsidRPr="00BF1AEA" w14:paraId="23EED28C" w14:textId="77777777" w:rsidTr="3C8E8C7C">
        <w:trPr>
          <w:cnfStyle w:val="100000000000" w:firstRow="1" w:lastRow="0" w:firstColumn="0" w:lastColumn="0" w:oddVBand="0" w:evenVBand="0" w:oddHBand="0" w:evenHBand="0" w:firstRowFirstColumn="0" w:firstRowLastColumn="0" w:lastRowFirstColumn="0" w:lastRowLastColumn="0"/>
          <w:cantSplit/>
          <w:tblHeader/>
        </w:trPr>
        <w:tc>
          <w:tcPr>
            <w:tcW w:w="4333" w:type="dxa"/>
            <w:shd w:val="clear" w:color="auto" w:fill="2E4E43"/>
          </w:tcPr>
          <w:p w14:paraId="061037F7" w14:textId="77777777" w:rsidR="00E93CCC" w:rsidRPr="00BF1AEA" w:rsidRDefault="00E93CCC" w:rsidP="00B166F9">
            <w:pPr>
              <w:pStyle w:val="Tablecolumnheadings"/>
              <w:rPr>
                <w:rFonts w:ascii="Calibri" w:hAnsi="Calibri" w:cs="Calibri"/>
                <w:sz w:val="24"/>
                <w:szCs w:val="24"/>
                <w:lang w:val="en-GB"/>
              </w:rPr>
            </w:pPr>
            <w:r w:rsidRPr="00BF1AEA">
              <w:rPr>
                <w:rFonts w:ascii="Calibri" w:hAnsi="Calibri" w:cs="Calibri"/>
                <w:sz w:val="24"/>
                <w:szCs w:val="24"/>
                <w:lang w:val="en-GB"/>
              </w:rPr>
              <w:t>What issue are you facing</w:t>
            </w:r>
          </w:p>
        </w:tc>
        <w:tc>
          <w:tcPr>
            <w:tcW w:w="4333" w:type="dxa"/>
            <w:shd w:val="clear" w:color="auto" w:fill="2E4E43"/>
          </w:tcPr>
          <w:p w14:paraId="373FC17E" w14:textId="77777777" w:rsidR="00E93CCC" w:rsidRPr="00BF1AEA" w:rsidRDefault="00E93CCC" w:rsidP="00B166F9">
            <w:pPr>
              <w:pStyle w:val="Tablecolumnheadings"/>
              <w:rPr>
                <w:rFonts w:ascii="Calibri" w:hAnsi="Calibri" w:cs="Calibri"/>
                <w:sz w:val="24"/>
                <w:szCs w:val="24"/>
                <w:lang w:val="en-GB"/>
              </w:rPr>
            </w:pPr>
            <w:r w:rsidRPr="00BF1AEA">
              <w:rPr>
                <w:rFonts w:ascii="Calibri" w:hAnsi="Calibri" w:cs="Calibri"/>
                <w:sz w:val="24"/>
                <w:szCs w:val="24"/>
                <w:lang w:val="en-GB"/>
              </w:rPr>
              <w:t>Section in this document where can you find help</w:t>
            </w:r>
          </w:p>
        </w:tc>
      </w:tr>
      <w:tr w:rsidR="00E93CCC" w:rsidRPr="00BF1AEA" w14:paraId="7225F310" w14:textId="77777777" w:rsidTr="3C8E8C7C">
        <w:trPr>
          <w:cantSplit/>
        </w:trPr>
        <w:tc>
          <w:tcPr>
            <w:tcW w:w="4333" w:type="dxa"/>
            <w:shd w:val="clear" w:color="auto" w:fill="EAF1ED"/>
          </w:tcPr>
          <w:p w14:paraId="1C0FFB2F" w14:textId="77777777" w:rsidR="00E93CCC" w:rsidRPr="00BF1AEA" w:rsidRDefault="00E93CCC" w:rsidP="00A7085E">
            <w:pPr>
              <w:pStyle w:val="Tabletext"/>
              <w:spacing w:line="320" w:lineRule="exact"/>
              <w:rPr>
                <w:rFonts w:ascii="Calibri" w:hAnsi="Calibri" w:cs="Calibri"/>
                <w:sz w:val="24"/>
                <w:szCs w:val="24"/>
                <w:lang w:val="en-GB"/>
              </w:rPr>
            </w:pPr>
            <w:r w:rsidRPr="00BF1AEA">
              <w:rPr>
                <w:rFonts w:ascii="Calibri" w:hAnsi="Calibri" w:cs="Calibri"/>
                <w:sz w:val="24"/>
                <w:szCs w:val="24"/>
                <w:lang w:val="en-GB"/>
              </w:rPr>
              <w:t>Not enough applicants for jobs</w:t>
            </w:r>
          </w:p>
        </w:tc>
        <w:tc>
          <w:tcPr>
            <w:tcW w:w="4333" w:type="dxa"/>
          </w:tcPr>
          <w:p w14:paraId="2C240800" w14:textId="04D3F748" w:rsidR="00E93CCC" w:rsidRPr="00C76DF2" w:rsidRDefault="00E93CCC" w:rsidP="00A7085E">
            <w:pPr>
              <w:pStyle w:val="Tabletext"/>
              <w:spacing w:line="320" w:lineRule="exact"/>
              <w:rPr>
                <w:rFonts w:ascii="Calibri" w:hAnsi="Calibri" w:cs="Calibri"/>
                <w:color w:val="6C3E99"/>
                <w:sz w:val="24"/>
                <w:szCs w:val="24"/>
                <w:lang w:val="en-GB"/>
              </w:rPr>
            </w:pPr>
            <w:hyperlink w:anchor="Improvingvisability">
              <w:r w:rsidRPr="3C8E8C7C">
                <w:rPr>
                  <w:rStyle w:val="Hyperlink"/>
                  <w:rFonts w:ascii="Calibri" w:hAnsi="Calibri" w:cs="Calibri"/>
                  <w:color w:val="6C3E99"/>
                  <w:sz w:val="24"/>
                  <w:szCs w:val="24"/>
                  <w:lang w:val="en-GB"/>
                </w:rPr>
                <w:t>2A – Visibility of pathways</w:t>
              </w:r>
            </w:hyperlink>
            <w:r w:rsidRPr="00C76DF2">
              <w:rPr>
                <w:rFonts w:ascii="Calibri" w:hAnsi="Calibri" w:cs="Calibri"/>
                <w:color w:val="6C3E99"/>
                <w:sz w:val="24"/>
                <w:szCs w:val="24"/>
                <w:lang w:val="en-GB"/>
              </w:rPr>
              <w:t>ys</w:t>
            </w:r>
          </w:p>
          <w:p w14:paraId="7D53BE3D" w14:textId="0FBC2E94" w:rsidR="00E93CCC" w:rsidRPr="00246EF6" w:rsidRDefault="00E93CCC" w:rsidP="00A7085E">
            <w:pPr>
              <w:pStyle w:val="Tabletext"/>
              <w:spacing w:line="320" w:lineRule="exact"/>
              <w:rPr>
                <w:rFonts w:ascii="Calibri" w:hAnsi="Calibri" w:cs="Calibri"/>
                <w:color w:val="6C3E99"/>
                <w:sz w:val="24"/>
                <w:szCs w:val="24"/>
                <w:lang w:val="en-GB"/>
              </w:rPr>
            </w:pPr>
            <w:hyperlink w:anchor="Promotingthestrength" w:history="1">
              <w:r w:rsidRPr="00246EF6">
                <w:rPr>
                  <w:rStyle w:val="Hyperlink"/>
                  <w:rFonts w:ascii="Calibri" w:hAnsi="Calibri" w:cs="Calibri"/>
                  <w:color w:val="6C3E99"/>
                  <w:sz w:val="24"/>
                  <w:szCs w:val="24"/>
                  <w:lang w:val="en-GB"/>
                </w:rPr>
                <w:t>2B – Strengths of the sector</w:t>
              </w:r>
            </w:hyperlink>
          </w:p>
          <w:p w14:paraId="10B62CFD" w14:textId="6DF09017" w:rsidR="00E93CCC" w:rsidRPr="00246EF6" w:rsidRDefault="00E93CCC" w:rsidP="00A7085E">
            <w:pPr>
              <w:pStyle w:val="Tabletext"/>
              <w:spacing w:line="320" w:lineRule="exact"/>
              <w:rPr>
                <w:rFonts w:ascii="Calibri" w:hAnsi="Calibri" w:cs="Calibri"/>
                <w:color w:val="6C3E99"/>
                <w:sz w:val="24"/>
                <w:szCs w:val="24"/>
                <w:lang w:val="en-GB"/>
              </w:rPr>
            </w:pPr>
            <w:hyperlink w:anchor="RTOopendays" w:history="1">
              <w:r w:rsidRPr="00246EF6">
                <w:rPr>
                  <w:rStyle w:val="Hyperlink"/>
                  <w:rFonts w:ascii="Calibri" w:hAnsi="Calibri" w:cs="Calibri"/>
                  <w:color w:val="6C3E99"/>
                  <w:sz w:val="24"/>
                  <w:szCs w:val="24"/>
                  <w:lang w:val="en-GB"/>
                </w:rPr>
                <w:t>5A – RTO open days</w:t>
              </w:r>
            </w:hyperlink>
          </w:p>
          <w:p w14:paraId="37E89EEE" w14:textId="0A43C204" w:rsidR="00E93CCC" w:rsidRPr="00246EF6" w:rsidRDefault="00E93CCC" w:rsidP="00A7085E">
            <w:pPr>
              <w:pStyle w:val="Tabletext"/>
              <w:spacing w:line="320" w:lineRule="exact"/>
              <w:rPr>
                <w:rFonts w:ascii="Calibri" w:hAnsi="Calibri" w:cs="Calibri"/>
                <w:color w:val="6C3E99"/>
                <w:sz w:val="24"/>
                <w:szCs w:val="24"/>
                <w:lang w:val="en-GB"/>
              </w:rPr>
            </w:pPr>
            <w:hyperlink w:anchor="Schoolvisits" w:history="1">
              <w:r w:rsidRPr="00246EF6">
                <w:rPr>
                  <w:rStyle w:val="Hyperlink"/>
                  <w:rFonts w:ascii="Calibri" w:hAnsi="Calibri" w:cs="Calibri"/>
                  <w:color w:val="6C3E99"/>
                  <w:sz w:val="24"/>
                  <w:szCs w:val="24"/>
                  <w:lang w:val="en-GB"/>
                </w:rPr>
                <w:t>5B – School visits</w:t>
              </w:r>
            </w:hyperlink>
          </w:p>
        </w:tc>
      </w:tr>
      <w:tr w:rsidR="00E93CCC" w:rsidRPr="00BF1AEA" w14:paraId="6B517EB2" w14:textId="77777777" w:rsidTr="3C8E8C7C">
        <w:trPr>
          <w:cantSplit/>
        </w:trPr>
        <w:tc>
          <w:tcPr>
            <w:tcW w:w="4333" w:type="dxa"/>
            <w:shd w:val="clear" w:color="auto" w:fill="EAF1ED"/>
          </w:tcPr>
          <w:p w14:paraId="34EAAE84" w14:textId="77777777" w:rsidR="00E93CCC" w:rsidRPr="00BF1AEA" w:rsidRDefault="00E93CCC" w:rsidP="00A7085E">
            <w:pPr>
              <w:pStyle w:val="Tabletext"/>
              <w:spacing w:line="320" w:lineRule="exact"/>
              <w:rPr>
                <w:rFonts w:ascii="Calibri" w:hAnsi="Calibri" w:cs="Calibri"/>
                <w:sz w:val="24"/>
                <w:szCs w:val="24"/>
                <w:lang w:val="en-GB"/>
              </w:rPr>
            </w:pPr>
            <w:r w:rsidRPr="00BF1AEA">
              <w:rPr>
                <w:rFonts w:ascii="Calibri" w:hAnsi="Calibri" w:cs="Calibri"/>
                <w:sz w:val="24"/>
                <w:szCs w:val="24"/>
                <w:lang w:val="en-GB"/>
              </w:rPr>
              <w:t>Applicants needing additional support</w:t>
            </w:r>
          </w:p>
        </w:tc>
        <w:tc>
          <w:tcPr>
            <w:tcW w:w="4333" w:type="dxa"/>
          </w:tcPr>
          <w:p w14:paraId="2A35C19D" w14:textId="48C406D9" w:rsidR="00E93CCC" w:rsidRPr="00246EF6" w:rsidRDefault="00E93CCC" w:rsidP="00A7085E">
            <w:pPr>
              <w:pStyle w:val="Tabletext"/>
              <w:spacing w:line="320" w:lineRule="exact"/>
              <w:rPr>
                <w:rFonts w:ascii="Calibri" w:hAnsi="Calibri" w:cs="Calibri"/>
                <w:color w:val="6C3E99"/>
                <w:sz w:val="24"/>
                <w:szCs w:val="24"/>
                <w:lang w:val="en-GB"/>
              </w:rPr>
            </w:pPr>
            <w:hyperlink w:anchor="Wraparoundsupports" w:history="1">
              <w:r w:rsidRPr="00246EF6">
                <w:rPr>
                  <w:rStyle w:val="Hyperlink"/>
                  <w:rFonts w:ascii="Calibri" w:hAnsi="Calibri" w:cs="Calibri"/>
                  <w:color w:val="6C3E99"/>
                  <w:sz w:val="24"/>
                  <w:szCs w:val="24"/>
                  <w:lang w:val="en-GB"/>
                </w:rPr>
                <w:t>2C – Wrap around supports</w:t>
              </w:r>
            </w:hyperlink>
          </w:p>
        </w:tc>
      </w:tr>
      <w:tr w:rsidR="00E93CCC" w:rsidRPr="00BF1AEA" w14:paraId="6AB0DD85" w14:textId="77777777" w:rsidTr="3C8E8C7C">
        <w:trPr>
          <w:cantSplit/>
        </w:trPr>
        <w:tc>
          <w:tcPr>
            <w:tcW w:w="4333" w:type="dxa"/>
            <w:shd w:val="clear" w:color="auto" w:fill="EAF1ED"/>
          </w:tcPr>
          <w:p w14:paraId="30766AA0" w14:textId="77777777" w:rsidR="00E93CCC" w:rsidRPr="00BF1AEA" w:rsidRDefault="00E93CCC" w:rsidP="00A7085E">
            <w:pPr>
              <w:pStyle w:val="Tabletext"/>
              <w:spacing w:line="320" w:lineRule="exact"/>
              <w:rPr>
                <w:rFonts w:ascii="Calibri" w:hAnsi="Calibri" w:cs="Calibri"/>
                <w:sz w:val="24"/>
                <w:szCs w:val="24"/>
                <w:lang w:val="en-GB"/>
              </w:rPr>
            </w:pPr>
            <w:r w:rsidRPr="00BF1AEA">
              <w:rPr>
                <w:rFonts w:ascii="Calibri" w:hAnsi="Calibri" w:cs="Calibri"/>
                <w:sz w:val="24"/>
                <w:szCs w:val="24"/>
                <w:lang w:val="en-GB"/>
              </w:rPr>
              <w:t>Applicants without the right values or qualities</w:t>
            </w:r>
          </w:p>
        </w:tc>
        <w:tc>
          <w:tcPr>
            <w:tcW w:w="4333" w:type="dxa"/>
          </w:tcPr>
          <w:p w14:paraId="49E54E9F" w14:textId="01FF343D" w:rsidR="00E93CCC" w:rsidRPr="00246EF6" w:rsidRDefault="00E93CCC" w:rsidP="00A7085E">
            <w:pPr>
              <w:pStyle w:val="Tabletext"/>
              <w:spacing w:line="320" w:lineRule="exact"/>
              <w:rPr>
                <w:rFonts w:ascii="Calibri" w:hAnsi="Calibri" w:cs="Calibri"/>
                <w:color w:val="6C3E99"/>
                <w:sz w:val="24"/>
                <w:szCs w:val="24"/>
                <w:lang w:val="en-GB"/>
              </w:rPr>
            </w:pPr>
            <w:hyperlink w:anchor="Preemploymentprograms" w:history="1">
              <w:r w:rsidRPr="00246EF6">
                <w:rPr>
                  <w:rStyle w:val="Hyperlink"/>
                  <w:rFonts w:ascii="Calibri" w:hAnsi="Calibri" w:cs="Calibri"/>
                  <w:color w:val="6C3E99"/>
                  <w:sz w:val="24"/>
                  <w:szCs w:val="24"/>
                  <w:lang w:val="en-GB"/>
                </w:rPr>
                <w:t>2D – Pre-employment programs</w:t>
              </w:r>
            </w:hyperlink>
          </w:p>
          <w:p w14:paraId="7D060313" w14:textId="4921124E" w:rsidR="00E93CCC" w:rsidRPr="00246EF6" w:rsidRDefault="00E93CCC" w:rsidP="00A7085E">
            <w:pPr>
              <w:pStyle w:val="Tabletext"/>
              <w:spacing w:line="320" w:lineRule="exact"/>
              <w:rPr>
                <w:rFonts w:ascii="Calibri" w:hAnsi="Calibri" w:cs="Calibri"/>
                <w:color w:val="6C3E99"/>
                <w:sz w:val="24"/>
                <w:szCs w:val="24"/>
                <w:lang w:val="en-GB"/>
              </w:rPr>
            </w:pPr>
            <w:hyperlink w:anchor="Valuesbased" w:history="1">
              <w:r w:rsidRPr="00246EF6">
                <w:rPr>
                  <w:rStyle w:val="Hyperlink"/>
                  <w:rFonts w:ascii="Calibri" w:hAnsi="Calibri" w:cs="Calibri"/>
                  <w:color w:val="6C3E99"/>
                  <w:sz w:val="24"/>
                  <w:szCs w:val="24"/>
                  <w:lang w:val="en-GB"/>
                </w:rPr>
                <w:t>2E – Values based recruitment</w:t>
              </w:r>
            </w:hyperlink>
          </w:p>
        </w:tc>
      </w:tr>
      <w:tr w:rsidR="00E93CCC" w:rsidRPr="00BF1AEA" w14:paraId="0DD0BBBC" w14:textId="77777777" w:rsidTr="3C8E8C7C">
        <w:trPr>
          <w:cantSplit/>
        </w:trPr>
        <w:tc>
          <w:tcPr>
            <w:tcW w:w="4333" w:type="dxa"/>
            <w:shd w:val="clear" w:color="auto" w:fill="EAF1ED"/>
          </w:tcPr>
          <w:p w14:paraId="1E2F2DA1" w14:textId="77777777" w:rsidR="00E93CCC" w:rsidRPr="00BF1AEA" w:rsidRDefault="00E93CCC" w:rsidP="00A7085E">
            <w:pPr>
              <w:pStyle w:val="Tabletext"/>
              <w:spacing w:line="320" w:lineRule="exact"/>
              <w:rPr>
                <w:rFonts w:ascii="Calibri" w:hAnsi="Calibri" w:cs="Calibri"/>
                <w:sz w:val="24"/>
                <w:szCs w:val="24"/>
                <w:lang w:val="en-GB"/>
              </w:rPr>
            </w:pPr>
            <w:r w:rsidRPr="00BF1AEA">
              <w:rPr>
                <w:rFonts w:ascii="Calibri" w:hAnsi="Calibri" w:cs="Calibri"/>
                <w:sz w:val="24"/>
                <w:szCs w:val="24"/>
                <w:lang w:val="en-GB"/>
              </w:rPr>
              <w:t>Difficulties with traineeships</w:t>
            </w:r>
          </w:p>
        </w:tc>
        <w:tc>
          <w:tcPr>
            <w:tcW w:w="4333" w:type="dxa"/>
          </w:tcPr>
          <w:p w14:paraId="12F64C10" w14:textId="0BB22CEE" w:rsidR="00E93CCC" w:rsidRPr="00246EF6" w:rsidRDefault="00E93CCC" w:rsidP="00A7085E">
            <w:pPr>
              <w:pStyle w:val="Tabletext"/>
              <w:spacing w:line="320" w:lineRule="exact"/>
              <w:rPr>
                <w:rFonts w:ascii="Calibri" w:hAnsi="Calibri" w:cs="Calibri"/>
                <w:color w:val="6C3E99"/>
                <w:sz w:val="24"/>
                <w:szCs w:val="24"/>
                <w:lang w:val="en-GB"/>
              </w:rPr>
            </w:pPr>
            <w:hyperlink w:anchor="Casestudyskilledcare" w:history="1">
              <w:r w:rsidRPr="00246EF6">
                <w:rPr>
                  <w:rStyle w:val="Hyperlink"/>
                  <w:rFonts w:ascii="Calibri" w:hAnsi="Calibri" w:cs="Calibri"/>
                  <w:color w:val="6C3E99"/>
                  <w:sz w:val="24"/>
                  <w:szCs w:val="24"/>
                  <w:lang w:val="en-GB"/>
                </w:rPr>
                <w:t>Case study – Skilled Care</w:t>
              </w:r>
            </w:hyperlink>
            <w:r w:rsidRPr="00246EF6">
              <w:rPr>
                <w:rFonts w:ascii="Calibri" w:hAnsi="Calibri" w:cs="Calibri"/>
                <w:color w:val="6C3E99"/>
                <w:sz w:val="24"/>
                <w:szCs w:val="24"/>
                <w:lang w:val="en-GB"/>
              </w:rPr>
              <w:t xml:space="preserve"> </w:t>
            </w:r>
          </w:p>
        </w:tc>
      </w:tr>
      <w:tr w:rsidR="00E93CCC" w:rsidRPr="00BF1AEA" w14:paraId="58F16FD8" w14:textId="77777777" w:rsidTr="3C8E8C7C">
        <w:trPr>
          <w:cantSplit/>
        </w:trPr>
        <w:tc>
          <w:tcPr>
            <w:tcW w:w="4333" w:type="dxa"/>
            <w:shd w:val="clear" w:color="auto" w:fill="EAF1ED"/>
          </w:tcPr>
          <w:p w14:paraId="1BBEDE6F" w14:textId="77777777" w:rsidR="00E93CCC" w:rsidRPr="00BF1AEA" w:rsidRDefault="00E93CCC" w:rsidP="00A7085E">
            <w:pPr>
              <w:pStyle w:val="Tabletext"/>
              <w:spacing w:line="320" w:lineRule="exact"/>
              <w:rPr>
                <w:rFonts w:ascii="Calibri" w:hAnsi="Calibri" w:cs="Calibri"/>
                <w:sz w:val="24"/>
                <w:szCs w:val="24"/>
                <w:lang w:val="en-GB"/>
              </w:rPr>
            </w:pPr>
            <w:r w:rsidRPr="00BF1AEA">
              <w:rPr>
                <w:rFonts w:ascii="Calibri" w:hAnsi="Calibri" w:cs="Calibri"/>
                <w:sz w:val="24"/>
                <w:szCs w:val="24"/>
                <w:lang w:val="en-GB"/>
              </w:rPr>
              <w:t>Difficult supporting students on placements</w:t>
            </w:r>
          </w:p>
        </w:tc>
        <w:tc>
          <w:tcPr>
            <w:tcW w:w="4333" w:type="dxa"/>
          </w:tcPr>
          <w:p w14:paraId="04681894" w14:textId="14956A7B" w:rsidR="00E93CCC" w:rsidRPr="00D22580" w:rsidRDefault="00E93CCC" w:rsidP="00A7085E">
            <w:pPr>
              <w:pStyle w:val="Tabletext"/>
              <w:spacing w:line="320" w:lineRule="exact"/>
              <w:rPr>
                <w:rFonts w:ascii="Calibri" w:hAnsi="Calibri" w:cs="Calibri"/>
                <w:color w:val="6C3E99"/>
                <w:sz w:val="24"/>
                <w:szCs w:val="24"/>
                <w:lang w:val="en-GB"/>
              </w:rPr>
            </w:pPr>
            <w:hyperlink w:anchor="Partnershipapproaches" w:history="1">
              <w:r w:rsidRPr="00D22580">
                <w:rPr>
                  <w:rStyle w:val="Hyperlink"/>
                  <w:rFonts w:ascii="Calibri" w:hAnsi="Calibri" w:cs="Calibri"/>
                  <w:color w:val="6C3E99"/>
                  <w:sz w:val="24"/>
                  <w:szCs w:val="24"/>
                  <w:lang w:val="en-GB"/>
                </w:rPr>
                <w:t>3A – Partnership approaches</w:t>
              </w:r>
            </w:hyperlink>
            <w:r w:rsidRPr="00D22580">
              <w:rPr>
                <w:rFonts w:ascii="Calibri" w:hAnsi="Calibri" w:cs="Calibri"/>
                <w:color w:val="6C3E99"/>
                <w:sz w:val="24"/>
                <w:szCs w:val="24"/>
                <w:lang w:val="en-GB"/>
              </w:rPr>
              <w:t xml:space="preserve"> </w:t>
            </w:r>
          </w:p>
          <w:p w14:paraId="2883877C" w14:textId="04F75E65" w:rsidR="00E93CCC" w:rsidRPr="00D22580" w:rsidRDefault="00E93CCC" w:rsidP="00A7085E">
            <w:pPr>
              <w:pStyle w:val="Tabletext"/>
              <w:spacing w:line="320" w:lineRule="exact"/>
              <w:rPr>
                <w:rFonts w:ascii="Calibri" w:hAnsi="Calibri" w:cs="Calibri"/>
                <w:color w:val="6C3E99"/>
                <w:sz w:val="24"/>
                <w:szCs w:val="24"/>
                <w:lang w:val="en-GB"/>
              </w:rPr>
            </w:pPr>
            <w:hyperlink w:anchor="Workplacesupports" w:history="1">
              <w:r w:rsidRPr="00D22580">
                <w:rPr>
                  <w:rStyle w:val="Hyperlink"/>
                  <w:rFonts w:ascii="Calibri" w:hAnsi="Calibri" w:cs="Calibri"/>
                  <w:color w:val="6C3E99"/>
                  <w:sz w:val="24"/>
                  <w:szCs w:val="24"/>
                  <w:lang w:val="en-GB"/>
                </w:rPr>
                <w:t>3B – Workplace supports</w:t>
              </w:r>
            </w:hyperlink>
          </w:p>
        </w:tc>
      </w:tr>
      <w:tr w:rsidR="00E93CCC" w:rsidRPr="00BF1AEA" w14:paraId="1A44F9DE" w14:textId="77777777" w:rsidTr="3C8E8C7C">
        <w:trPr>
          <w:cantSplit/>
        </w:trPr>
        <w:tc>
          <w:tcPr>
            <w:tcW w:w="4333" w:type="dxa"/>
            <w:shd w:val="clear" w:color="auto" w:fill="EAF1ED"/>
          </w:tcPr>
          <w:p w14:paraId="415C9C77" w14:textId="77777777" w:rsidR="00E93CCC" w:rsidRPr="00BF1AEA" w:rsidRDefault="00E93CCC" w:rsidP="00A7085E">
            <w:pPr>
              <w:pStyle w:val="Tabletext"/>
              <w:spacing w:line="320" w:lineRule="exact"/>
              <w:rPr>
                <w:rFonts w:ascii="Calibri" w:hAnsi="Calibri" w:cs="Calibri"/>
                <w:sz w:val="24"/>
                <w:szCs w:val="24"/>
                <w:lang w:val="en-GB"/>
              </w:rPr>
            </w:pPr>
            <w:r w:rsidRPr="00BF1AEA">
              <w:rPr>
                <w:rFonts w:ascii="Calibri" w:hAnsi="Calibri" w:cs="Calibri"/>
                <w:sz w:val="24"/>
                <w:szCs w:val="24"/>
                <w:lang w:val="en-GB"/>
              </w:rPr>
              <w:t>Partnerships with training providers for placements</w:t>
            </w:r>
          </w:p>
        </w:tc>
        <w:tc>
          <w:tcPr>
            <w:tcW w:w="4333" w:type="dxa"/>
          </w:tcPr>
          <w:p w14:paraId="18EB69C2" w14:textId="7C9ED103" w:rsidR="00E93CCC" w:rsidRPr="00D22580" w:rsidRDefault="00E93CCC" w:rsidP="00A7085E">
            <w:pPr>
              <w:pStyle w:val="Tabletext"/>
              <w:spacing w:line="320" w:lineRule="exact"/>
              <w:rPr>
                <w:rFonts w:ascii="Calibri" w:hAnsi="Calibri" w:cs="Calibri"/>
                <w:color w:val="6C3E99"/>
                <w:sz w:val="24"/>
                <w:szCs w:val="24"/>
                <w:lang w:val="en-GB"/>
              </w:rPr>
            </w:pPr>
            <w:hyperlink w:anchor="Bluecare" w:history="1">
              <w:r w:rsidRPr="00D22580">
                <w:rPr>
                  <w:rStyle w:val="Hyperlink"/>
                  <w:rFonts w:ascii="Calibri" w:hAnsi="Calibri" w:cs="Calibri"/>
                  <w:color w:val="6C3E99"/>
                  <w:sz w:val="24"/>
                  <w:szCs w:val="24"/>
                  <w:lang w:val="en-GB"/>
                </w:rPr>
                <w:t xml:space="preserve">Case study – </w:t>
              </w:r>
              <w:proofErr w:type="spellStart"/>
              <w:r w:rsidRPr="00D22580">
                <w:rPr>
                  <w:rStyle w:val="Hyperlink"/>
                  <w:rFonts w:ascii="Calibri" w:hAnsi="Calibri" w:cs="Calibri"/>
                  <w:color w:val="6C3E99"/>
                  <w:sz w:val="24"/>
                  <w:szCs w:val="24"/>
                  <w:lang w:val="en-GB"/>
                </w:rPr>
                <w:t>BlueCare</w:t>
              </w:r>
              <w:proofErr w:type="spellEnd"/>
            </w:hyperlink>
          </w:p>
        </w:tc>
      </w:tr>
      <w:tr w:rsidR="00E93CCC" w:rsidRPr="00BF1AEA" w14:paraId="390AAB47" w14:textId="77777777" w:rsidTr="3C8E8C7C">
        <w:trPr>
          <w:cantSplit/>
        </w:trPr>
        <w:tc>
          <w:tcPr>
            <w:tcW w:w="4333" w:type="dxa"/>
            <w:shd w:val="clear" w:color="auto" w:fill="EAF1ED"/>
          </w:tcPr>
          <w:p w14:paraId="63326A93" w14:textId="77777777" w:rsidR="00E93CCC" w:rsidRPr="00BF1AEA" w:rsidRDefault="00E93CCC" w:rsidP="00A7085E">
            <w:pPr>
              <w:pStyle w:val="Tabletext"/>
              <w:spacing w:line="320" w:lineRule="exact"/>
              <w:rPr>
                <w:rFonts w:ascii="Calibri" w:hAnsi="Calibri" w:cs="Calibri"/>
                <w:sz w:val="24"/>
                <w:szCs w:val="24"/>
                <w:lang w:val="en-GB"/>
              </w:rPr>
            </w:pPr>
            <w:r w:rsidRPr="00BF1AEA">
              <w:rPr>
                <w:rFonts w:ascii="Calibri" w:hAnsi="Calibri" w:cs="Calibri"/>
                <w:sz w:val="24"/>
                <w:szCs w:val="24"/>
                <w:lang w:val="en-GB"/>
              </w:rPr>
              <w:t>Accessing funding for professional development</w:t>
            </w:r>
          </w:p>
        </w:tc>
        <w:tc>
          <w:tcPr>
            <w:tcW w:w="4333" w:type="dxa"/>
          </w:tcPr>
          <w:p w14:paraId="202F7AB2" w14:textId="0EB51E67" w:rsidR="00E93CCC" w:rsidRPr="00D22580" w:rsidRDefault="00E93CCC" w:rsidP="00A7085E">
            <w:pPr>
              <w:pStyle w:val="Tabletext"/>
              <w:spacing w:line="320" w:lineRule="exact"/>
              <w:rPr>
                <w:rFonts w:ascii="Calibri" w:hAnsi="Calibri" w:cs="Calibri"/>
                <w:color w:val="6C3E99"/>
                <w:sz w:val="24"/>
                <w:szCs w:val="24"/>
                <w:lang w:val="en-GB"/>
              </w:rPr>
            </w:pPr>
            <w:hyperlink w:anchor="Learningcultures" w:history="1">
              <w:r w:rsidRPr="00D22580">
                <w:rPr>
                  <w:rStyle w:val="Hyperlink"/>
                  <w:rFonts w:ascii="Calibri" w:hAnsi="Calibri" w:cs="Calibri"/>
                  <w:color w:val="6C3E99"/>
                  <w:sz w:val="24"/>
                  <w:szCs w:val="24"/>
                  <w:lang w:val="en-GB"/>
                </w:rPr>
                <w:t>4A – Learning cultures</w:t>
              </w:r>
            </w:hyperlink>
          </w:p>
          <w:p w14:paraId="5882CAB7" w14:textId="516F978C" w:rsidR="00E93CCC" w:rsidRPr="00D22580" w:rsidRDefault="00E93CCC" w:rsidP="00A7085E">
            <w:pPr>
              <w:pStyle w:val="Tabletext"/>
              <w:spacing w:line="320" w:lineRule="exact"/>
              <w:rPr>
                <w:rFonts w:ascii="Calibri" w:hAnsi="Calibri" w:cs="Calibri"/>
                <w:color w:val="6C3E99"/>
                <w:sz w:val="24"/>
                <w:szCs w:val="24"/>
                <w:lang w:val="en-GB"/>
              </w:rPr>
            </w:pPr>
            <w:hyperlink w:anchor="Learningcultures" w:history="1">
              <w:r w:rsidRPr="00D22580">
                <w:rPr>
                  <w:rStyle w:val="Hyperlink"/>
                  <w:rFonts w:ascii="Calibri" w:hAnsi="Calibri" w:cs="Calibri"/>
                  <w:color w:val="6C3E99"/>
                  <w:sz w:val="24"/>
                  <w:szCs w:val="24"/>
                  <w:lang w:val="en-GB"/>
                </w:rPr>
                <w:t>4B – Return on investment</w:t>
              </w:r>
            </w:hyperlink>
          </w:p>
          <w:p w14:paraId="2CA7B655" w14:textId="140AD287" w:rsidR="00E93CCC" w:rsidRPr="00D22580" w:rsidRDefault="00E93CCC" w:rsidP="00A7085E">
            <w:pPr>
              <w:pStyle w:val="Tabletext"/>
              <w:spacing w:line="320" w:lineRule="exact"/>
              <w:rPr>
                <w:rFonts w:ascii="Calibri" w:hAnsi="Calibri" w:cs="Calibri"/>
                <w:color w:val="6C3E99"/>
                <w:sz w:val="24"/>
                <w:szCs w:val="24"/>
                <w:lang w:val="en-GB"/>
              </w:rPr>
            </w:pPr>
            <w:hyperlink w:anchor="Accesstofunded" w:history="1">
              <w:r w:rsidRPr="00D22580">
                <w:rPr>
                  <w:rStyle w:val="Hyperlink"/>
                  <w:rFonts w:ascii="Calibri" w:hAnsi="Calibri" w:cs="Calibri"/>
                  <w:color w:val="6C3E99"/>
                  <w:sz w:val="24"/>
                  <w:szCs w:val="24"/>
                  <w:lang w:val="en-GB"/>
                </w:rPr>
                <w:t>4E – Access to funded training</w:t>
              </w:r>
            </w:hyperlink>
          </w:p>
        </w:tc>
      </w:tr>
      <w:tr w:rsidR="00E93CCC" w:rsidRPr="00BF1AEA" w14:paraId="73B77522" w14:textId="77777777" w:rsidTr="3C8E8C7C">
        <w:trPr>
          <w:cantSplit/>
        </w:trPr>
        <w:tc>
          <w:tcPr>
            <w:tcW w:w="4333" w:type="dxa"/>
            <w:shd w:val="clear" w:color="auto" w:fill="EAF1ED"/>
          </w:tcPr>
          <w:p w14:paraId="695998CF" w14:textId="77777777" w:rsidR="00E93CCC" w:rsidRPr="00BF1AEA" w:rsidRDefault="00E93CCC" w:rsidP="00A7085E">
            <w:pPr>
              <w:pStyle w:val="Tabletext"/>
              <w:spacing w:line="320" w:lineRule="exact"/>
              <w:rPr>
                <w:rFonts w:ascii="Calibri" w:hAnsi="Calibri" w:cs="Calibri"/>
                <w:sz w:val="24"/>
                <w:szCs w:val="24"/>
                <w:lang w:val="en-GB"/>
              </w:rPr>
            </w:pPr>
            <w:r w:rsidRPr="00BF1AEA">
              <w:rPr>
                <w:rFonts w:ascii="Calibri" w:hAnsi="Calibri" w:cs="Calibri"/>
                <w:sz w:val="24"/>
                <w:szCs w:val="24"/>
                <w:lang w:val="en-GB"/>
              </w:rPr>
              <w:t>Supporting staff to get accredited training</w:t>
            </w:r>
          </w:p>
        </w:tc>
        <w:tc>
          <w:tcPr>
            <w:tcW w:w="4333" w:type="dxa"/>
          </w:tcPr>
          <w:p w14:paraId="2D482B1F" w14:textId="08C1C512" w:rsidR="00E93CCC" w:rsidRPr="00D22580" w:rsidRDefault="00E93CCC" w:rsidP="00A7085E">
            <w:pPr>
              <w:pStyle w:val="Tabletext"/>
              <w:spacing w:line="320" w:lineRule="exact"/>
              <w:rPr>
                <w:rFonts w:ascii="Calibri" w:hAnsi="Calibri" w:cs="Calibri"/>
                <w:color w:val="6C3E99"/>
                <w:sz w:val="24"/>
                <w:szCs w:val="24"/>
                <w:lang w:val="en-GB"/>
              </w:rPr>
            </w:pPr>
            <w:hyperlink w:anchor="Recognisingthereturn" w:history="1">
              <w:r w:rsidRPr="00D22580">
                <w:rPr>
                  <w:rStyle w:val="Hyperlink"/>
                  <w:rFonts w:ascii="Calibri" w:hAnsi="Calibri" w:cs="Calibri"/>
                  <w:color w:val="6C3E99"/>
                  <w:sz w:val="24"/>
                  <w:szCs w:val="24"/>
                  <w:lang w:val="en-GB"/>
                </w:rPr>
                <w:t>4C – Skill Sets</w:t>
              </w:r>
            </w:hyperlink>
          </w:p>
          <w:p w14:paraId="44AB09A5" w14:textId="4B9BFD57" w:rsidR="00E93CCC" w:rsidRPr="00D22580" w:rsidRDefault="00E93CCC" w:rsidP="00A7085E">
            <w:pPr>
              <w:pStyle w:val="Tabletext"/>
              <w:spacing w:line="320" w:lineRule="exact"/>
              <w:rPr>
                <w:rFonts w:ascii="Calibri" w:hAnsi="Calibri" w:cs="Calibri"/>
                <w:color w:val="6C3E99"/>
                <w:sz w:val="24"/>
                <w:szCs w:val="24"/>
                <w:lang w:val="en-GB"/>
              </w:rPr>
            </w:pPr>
            <w:hyperlink w:anchor="RegognitionofPrior" w:history="1">
              <w:r w:rsidRPr="00D22580">
                <w:rPr>
                  <w:rStyle w:val="Hyperlink"/>
                  <w:rFonts w:ascii="Calibri" w:hAnsi="Calibri" w:cs="Calibri"/>
                  <w:color w:val="6C3E99"/>
                  <w:sz w:val="24"/>
                  <w:szCs w:val="24"/>
                  <w:lang w:val="en-GB"/>
                </w:rPr>
                <w:t>4D – Recognition of Prior Learning</w:t>
              </w:r>
            </w:hyperlink>
          </w:p>
          <w:p w14:paraId="709DE06C" w14:textId="56D2962C" w:rsidR="00E93CCC" w:rsidRPr="00D22580" w:rsidRDefault="00E93CCC" w:rsidP="00A7085E">
            <w:pPr>
              <w:pStyle w:val="Tabletext"/>
              <w:spacing w:line="320" w:lineRule="exact"/>
              <w:rPr>
                <w:rFonts w:ascii="Calibri" w:hAnsi="Calibri" w:cs="Calibri"/>
                <w:color w:val="6C3E99"/>
                <w:sz w:val="24"/>
                <w:szCs w:val="24"/>
                <w:lang w:val="en-GB"/>
              </w:rPr>
            </w:pPr>
            <w:hyperlink w:anchor="Recognisingthereturn" w:history="1">
              <w:r w:rsidRPr="00D22580">
                <w:rPr>
                  <w:rStyle w:val="Hyperlink"/>
                  <w:rFonts w:ascii="Calibri" w:hAnsi="Calibri" w:cs="Calibri"/>
                  <w:color w:val="6C3E99"/>
                  <w:sz w:val="24"/>
                  <w:szCs w:val="24"/>
                  <w:lang w:val="en-GB"/>
                </w:rPr>
                <w:t>4F – Flexible rostering</w:t>
              </w:r>
            </w:hyperlink>
          </w:p>
        </w:tc>
      </w:tr>
      <w:tr w:rsidR="00E93CCC" w:rsidRPr="00BF1AEA" w14:paraId="71A59881" w14:textId="77777777" w:rsidTr="3C8E8C7C">
        <w:trPr>
          <w:cantSplit/>
        </w:trPr>
        <w:tc>
          <w:tcPr>
            <w:tcW w:w="4333" w:type="dxa"/>
            <w:shd w:val="clear" w:color="auto" w:fill="EAF1ED"/>
          </w:tcPr>
          <w:p w14:paraId="60159AC0" w14:textId="77777777" w:rsidR="00E93CCC" w:rsidRPr="00BF1AEA" w:rsidRDefault="00E93CCC" w:rsidP="00A7085E">
            <w:pPr>
              <w:pStyle w:val="Tabletext"/>
              <w:spacing w:line="320" w:lineRule="exact"/>
              <w:rPr>
                <w:rFonts w:ascii="Calibri" w:hAnsi="Calibri" w:cs="Calibri"/>
                <w:sz w:val="24"/>
                <w:szCs w:val="24"/>
                <w:lang w:val="en-GB"/>
              </w:rPr>
            </w:pPr>
            <w:r w:rsidRPr="00BF1AEA">
              <w:rPr>
                <w:rFonts w:ascii="Calibri" w:hAnsi="Calibri" w:cs="Calibri"/>
                <w:sz w:val="24"/>
                <w:szCs w:val="24"/>
                <w:lang w:val="en-GB"/>
              </w:rPr>
              <w:t>High staff attrition</w:t>
            </w:r>
          </w:p>
        </w:tc>
        <w:tc>
          <w:tcPr>
            <w:tcW w:w="4333" w:type="dxa"/>
          </w:tcPr>
          <w:p w14:paraId="37DEAC44" w14:textId="184E5F74" w:rsidR="00E93CCC" w:rsidRPr="00D22580" w:rsidRDefault="00E93CCC" w:rsidP="00A7085E">
            <w:pPr>
              <w:pStyle w:val="Tabletext"/>
              <w:spacing w:line="320" w:lineRule="exact"/>
              <w:rPr>
                <w:rFonts w:ascii="Calibri" w:hAnsi="Calibri" w:cs="Calibri"/>
                <w:color w:val="6C3E99"/>
                <w:sz w:val="24"/>
                <w:szCs w:val="24"/>
                <w:lang w:val="en-GB"/>
              </w:rPr>
            </w:pPr>
            <w:hyperlink w:anchor="Mentoring" w:history="1">
              <w:r w:rsidRPr="00D22580">
                <w:rPr>
                  <w:rStyle w:val="Hyperlink"/>
                  <w:rFonts w:ascii="Calibri" w:hAnsi="Calibri" w:cs="Calibri"/>
                  <w:color w:val="6C3E99"/>
                  <w:sz w:val="24"/>
                  <w:szCs w:val="24"/>
                  <w:lang w:val="en-GB"/>
                </w:rPr>
                <w:t>5C – Pathways</w:t>
              </w:r>
            </w:hyperlink>
          </w:p>
          <w:p w14:paraId="7483717C" w14:textId="282E1401" w:rsidR="00E93CCC" w:rsidRPr="00D22580" w:rsidRDefault="00E93CCC" w:rsidP="00A7085E">
            <w:pPr>
              <w:pStyle w:val="Tabletext"/>
              <w:spacing w:line="320" w:lineRule="exact"/>
              <w:rPr>
                <w:rFonts w:ascii="Calibri" w:hAnsi="Calibri" w:cs="Calibri"/>
                <w:color w:val="6C3E99"/>
                <w:sz w:val="24"/>
                <w:szCs w:val="24"/>
                <w:lang w:val="en-GB"/>
              </w:rPr>
            </w:pPr>
            <w:hyperlink w:anchor="Mentoring" w:history="1">
              <w:r w:rsidRPr="00D22580">
                <w:rPr>
                  <w:rStyle w:val="Hyperlink"/>
                  <w:rFonts w:ascii="Calibri" w:hAnsi="Calibri" w:cs="Calibri"/>
                  <w:color w:val="6C3E99"/>
                  <w:sz w:val="24"/>
                  <w:szCs w:val="24"/>
                  <w:lang w:val="en-GB"/>
                </w:rPr>
                <w:t>5D – Mentoring</w:t>
              </w:r>
            </w:hyperlink>
            <w:r w:rsidRPr="00D22580">
              <w:rPr>
                <w:rFonts w:ascii="Calibri" w:hAnsi="Calibri" w:cs="Calibri"/>
                <w:color w:val="6C3E99"/>
                <w:sz w:val="24"/>
                <w:szCs w:val="24"/>
                <w:lang w:val="en-GB"/>
              </w:rPr>
              <w:t xml:space="preserve"> </w:t>
            </w:r>
          </w:p>
        </w:tc>
      </w:tr>
      <w:tr w:rsidR="00E93CCC" w:rsidRPr="00BF1AEA" w14:paraId="08BDC0F2" w14:textId="77777777" w:rsidTr="3C8E8C7C">
        <w:trPr>
          <w:cantSplit/>
        </w:trPr>
        <w:tc>
          <w:tcPr>
            <w:tcW w:w="4333" w:type="dxa"/>
            <w:shd w:val="clear" w:color="auto" w:fill="EAF1ED"/>
          </w:tcPr>
          <w:p w14:paraId="78D893CE" w14:textId="77777777" w:rsidR="00E93CCC" w:rsidRPr="00BF1AEA" w:rsidRDefault="00E93CCC" w:rsidP="00A7085E">
            <w:pPr>
              <w:pStyle w:val="Tabletext"/>
              <w:spacing w:line="320" w:lineRule="exact"/>
              <w:rPr>
                <w:rFonts w:ascii="Calibri" w:hAnsi="Calibri" w:cs="Calibri"/>
                <w:sz w:val="24"/>
                <w:szCs w:val="24"/>
                <w:lang w:val="en-GB"/>
              </w:rPr>
            </w:pPr>
            <w:r w:rsidRPr="00BF1AEA">
              <w:rPr>
                <w:rFonts w:ascii="Calibri" w:hAnsi="Calibri" w:cs="Calibri"/>
                <w:sz w:val="24"/>
                <w:szCs w:val="24"/>
                <w:lang w:val="en-GB"/>
              </w:rPr>
              <w:t>Retention of key staff</w:t>
            </w:r>
          </w:p>
        </w:tc>
        <w:tc>
          <w:tcPr>
            <w:tcW w:w="4333" w:type="dxa"/>
          </w:tcPr>
          <w:p w14:paraId="27AB4B49" w14:textId="407AB546" w:rsidR="00E93CCC" w:rsidRPr="00D22580" w:rsidRDefault="00E93CCC" w:rsidP="00A7085E">
            <w:pPr>
              <w:pStyle w:val="Tabletext"/>
              <w:spacing w:line="320" w:lineRule="exact"/>
              <w:rPr>
                <w:rFonts w:ascii="Calibri" w:hAnsi="Calibri" w:cs="Calibri"/>
                <w:color w:val="6C3E99"/>
                <w:sz w:val="24"/>
                <w:szCs w:val="24"/>
                <w:lang w:val="en-GB"/>
              </w:rPr>
            </w:pPr>
            <w:hyperlink w:anchor="Eldercare" w:history="1">
              <w:r w:rsidRPr="00D22580">
                <w:rPr>
                  <w:rStyle w:val="Hyperlink"/>
                  <w:rFonts w:ascii="Calibri" w:hAnsi="Calibri" w:cs="Calibri"/>
                  <w:color w:val="6C3E99"/>
                  <w:sz w:val="24"/>
                  <w:szCs w:val="24"/>
                  <w:lang w:val="en-GB"/>
                </w:rPr>
                <w:t>Case study – Elder Care</w:t>
              </w:r>
            </w:hyperlink>
          </w:p>
          <w:p w14:paraId="7173F653" w14:textId="4FF63F60" w:rsidR="00E93CCC" w:rsidRPr="00D22580" w:rsidRDefault="00E93CCC" w:rsidP="00A7085E">
            <w:pPr>
              <w:pStyle w:val="Tabletext"/>
              <w:spacing w:line="320" w:lineRule="exact"/>
              <w:rPr>
                <w:rFonts w:ascii="Calibri" w:hAnsi="Calibri" w:cs="Calibri"/>
                <w:color w:val="6C3E99"/>
                <w:sz w:val="24"/>
                <w:szCs w:val="24"/>
                <w:lang w:val="en-GB"/>
              </w:rPr>
            </w:pPr>
            <w:hyperlink w:anchor="Chorus" w:history="1">
              <w:r w:rsidRPr="00D22580">
                <w:rPr>
                  <w:rStyle w:val="Hyperlink"/>
                  <w:rFonts w:ascii="Calibri" w:hAnsi="Calibri" w:cs="Calibri"/>
                  <w:color w:val="6C3E99"/>
                  <w:sz w:val="24"/>
                  <w:szCs w:val="24"/>
                  <w:lang w:val="en-GB"/>
                </w:rPr>
                <w:t>Case study – Chorus</w:t>
              </w:r>
            </w:hyperlink>
            <w:r w:rsidRPr="00D22580">
              <w:rPr>
                <w:rFonts w:ascii="Calibri" w:hAnsi="Calibri" w:cs="Calibri"/>
                <w:color w:val="6C3E99"/>
                <w:sz w:val="24"/>
                <w:szCs w:val="24"/>
                <w:lang w:val="en-GB"/>
              </w:rPr>
              <w:t xml:space="preserve"> </w:t>
            </w:r>
          </w:p>
        </w:tc>
      </w:tr>
      <w:tr w:rsidR="00E93CCC" w:rsidRPr="00BF1AEA" w14:paraId="55BE4715" w14:textId="77777777" w:rsidTr="3C8E8C7C">
        <w:trPr>
          <w:cantSplit/>
        </w:trPr>
        <w:tc>
          <w:tcPr>
            <w:tcW w:w="4333" w:type="dxa"/>
            <w:shd w:val="clear" w:color="auto" w:fill="EAF1ED"/>
          </w:tcPr>
          <w:p w14:paraId="729FC1E1" w14:textId="77777777" w:rsidR="00E93CCC" w:rsidRPr="00BF1AEA" w:rsidRDefault="00E93CCC" w:rsidP="00A7085E">
            <w:pPr>
              <w:pStyle w:val="Tabletext"/>
              <w:spacing w:line="320" w:lineRule="exact"/>
              <w:rPr>
                <w:rFonts w:ascii="Calibri" w:hAnsi="Calibri" w:cs="Calibri"/>
                <w:sz w:val="24"/>
                <w:szCs w:val="24"/>
                <w:lang w:val="en-GB"/>
              </w:rPr>
            </w:pPr>
            <w:r w:rsidRPr="00BF1AEA">
              <w:rPr>
                <w:rFonts w:ascii="Calibri" w:hAnsi="Calibri" w:cs="Calibri"/>
                <w:sz w:val="24"/>
                <w:szCs w:val="24"/>
                <w:lang w:val="en-GB"/>
              </w:rPr>
              <w:t>Growing, supporting and retaining local staff (particularly in regional, rural and remote areas)</w:t>
            </w:r>
          </w:p>
        </w:tc>
        <w:tc>
          <w:tcPr>
            <w:tcW w:w="4333" w:type="dxa"/>
          </w:tcPr>
          <w:p w14:paraId="75DDB6E4" w14:textId="6349A425" w:rsidR="00E93CCC" w:rsidRPr="00D22580" w:rsidRDefault="00E93CCC" w:rsidP="00A7085E">
            <w:pPr>
              <w:pStyle w:val="Tabletext"/>
              <w:spacing w:line="320" w:lineRule="exact"/>
              <w:rPr>
                <w:rFonts w:ascii="Calibri" w:hAnsi="Calibri" w:cs="Calibri"/>
                <w:color w:val="6C3E99"/>
                <w:sz w:val="24"/>
                <w:szCs w:val="24"/>
                <w:lang w:val="en-GB"/>
              </w:rPr>
            </w:pPr>
            <w:hyperlink w:anchor="Localisedtraining" w:history="1">
              <w:r w:rsidRPr="00D22580">
                <w:rPr>
                  <w:rStyle w:val="Hyperlink"/>
                  <w:rFonts w:ascii="Calibri" w:hAnsi="Calibri" w:cs="Calibri"/>
                  <w:color w:val="6C3E99"/>
                  <w:sz w:val="24"/>
                  <w:szCs w:val="24"/>
                  <w:lang w:val="en-GB"/>
                </w:rPr>
                <w:t>6A – Local training</w:t>
              </w:r>
            </w:hyperlink>
          </w:p>
        </w:tc>
      </w:tr>
      <w:tr w:rsidR="00E93CCC" w:rsidRPr="00BF1AEA" w14:paraId="6C0696D6" w14:textId="77777777" w:rsidTr="3C8E8C7C">
        <w:trPr>
          <w:cantSplit/>
        </w:trPr>
        <w:tc>
          <w:tcPr>
            <w:tcW w:w="4333" w:type="dxa"/>
            <w:shd w:val="clear" w:color="auto" w:fill="EAF1ED"/>
          </w:tcPr>
          <w:p w14:paraId="7FB9CD03" w14:textId="77777777" w:rsidR="00E93CCC" w:rsidRPr="00BF1AEA" w:rsidRDefault="00E93CCC" w:rsidP="00A7085E">
            <w:pPr>
              <w:pStyle w:val="Tabletext"/>
              <w:spacing w:line="320" w:lineRule="exact"/>
              <w:rPr>
                <w:rFonts w:ascii="Calibri" w:hAnsi="Calibri" w:cs="Calibri"/>
                <w:sz w:val="24"/>
                <w:szCs w:val="24"/>
                <w:lang w:val="en-GB"/>
              </w:rPr>
            </w:pPr>
            <w:r w:rsidRPr="00BF1AEA">
              <w:rPr>
                <w:rFonts w:ascii="Calibri" w:hAnsi="Calibri" w:cs="Calibri"/>
                <w:sz w:val="24"/>
                <w:szCs w:val="24"/>
                <w:lang w:val="en-GB"/>
              </w:rPr>
              <w:t>Growing the First Nations workforce</w:t>
            </w:r>
          </w:p>
        </w:tc>
        <w:tc>
          <w:tcPr>
            <w:tcW w:w="4333" w:type="dxa"/>
          </w:tcPr>
          <w:p w14:paraId="15FAEADF" w14:textId="46FB928B" w:rsidR="00E93CCC" w:rsidRPr="00D22580" w:rsidRDefault="00E93CCC" w:rsidP="00A7085E">
            <w:pPr>
              <w:pStyle w:val="Tabletext"/>
              <w:spacing w:line="320" w:lineRule="exact"/>
              <w:rPr>
                <w:rFonts w:ascii="Calibri" w:hAnsi="Calibri" w:cs="Calibri"/>
                <w:color w:val="6C3E99"/>
                <w:sz w:val="24"/>
                <w:szCs w:val="24"/>
                <w:lang w:val="en-GB"/>
              </w:rPr>
            </w:pPr>
            <w:hyperlink w:anchor="Culturallyapproapriate" w:history="1">
              <w:r w:rsidRPr="00D22580">
                <w:rPr>
                  <w:rStyle w:val="Hyperlink"/>
                  <w:rFonts w:ascii="Calibri" w:hAnsi="Calibri" w:cs="Calibri"/>
                  <w:color w:val="6C3E99"/>
                  <w:sz w:val="24"/>
                  <w:szCs w:val="24"/>
                  <w:lang w:val="en-GB"/>
                </w:rPr>
                <w:t>6B – Culturally appropriate recruitment</w:t>
              </w:r>
            </w:hyperlink>
          </w:p>
          <w:p w14:paraId="56112D60" w14:textId="09BB8000" w:rsidR="00E93CCC" w:rsidRPr="00D22580" w:rsidRDefault="00E93CCC" w:rsidP="00A7085E">
            <w:pPr>
              <w:pStyle w:val="Tabletext"/>
              <w:spacing w:line="320" w:lineRule="exact"/>
              <w:rPr>
                <w:rFonts w:ascii="Calibri" w:hAnsi="Calibri" w:cs="Calibri"/>
                <w:color w:val="6C3E99"/>
                <w:sz w:val="24"/>
                <w:szCs w:val="24"/>
                <w:lang w:val="en-GB"/>
              </w:rPr>
            </w:pPr>
            <w:hyperlink w:anchor="Culturalgrounding" w:history="1">
              <w:r w:rsidRPr="00D22580">
                <w:rPr>
                  <w:rStyle w:val="Hyperlink"/>
                  <w:rFonts w:ascii="Calibri" w:hAnsi="Calibri" w:cs="Calibri"/>
                  <w:color w:val="6C3E99"/>
                  <w:sz w:val="24"/>
                  <w:szCs w:val="24"/>
                  <w:lang w:val="en-GB"/>
                </w:rPr>
                <w:t>6C – Cultural grounding</w:t>
              </w:r>
            </w:hyperlink>
          </w:p>
        </w:tc>
      </w:tr>
      <w:tr w:rsidR="00E93CCC" w:rsidRPr="00BF1AEA" w14:paraId="30132F39" w14:textId="77777777" w:rsidTr="3C8E8C7C">
        <w:trPr>
          <w:cantSplit/>
        </w:trPr>
        <w:tc>
          <w:tcPr>
            <w:tcW w:w="4333" w:type="dxa"/>
            <w:shd w:val="clear" w:color="auto" w:fill="EAF1ED"/>
          </w:tcPr>
          <w:p w14:paraId="53D57D36" w14:textId="77777777" w:rsidR="00E93CCC" w:rsidRPr="00BF1AEA" w:rsidRDefault="00E93CCC" w:rsidP="00A7085E">
            <w:pPr>
              <w:pStyle w:val="Tabletext"/>
              <w:spacing w:line="320" w:lineRule="exact"/>
              <w:rPr>
                <w:rFonts w:ascii="Calibri" w:hAnsi="Calibri" w:cs="Calibri"/>
                <w:sz w:val="24"/>
                <w:szCs w:val="24"/>
                <w:lang w:val="en-GB"/>
              </w:rPr>
            </w:pPr>
            <w:r w:rsidRPr="00BF1AEA">
              <w:rPr>
                <w:rFonts w:ascii="Calibri" w:hAnsi="Calibri" w:cs="Calibri"/>
                <w:sz w:val="24"/>
                <w:szCs w:val="24"/>
                <w:lang w:val="en-GB"/>
              </w:rPr>
              <w:t>Supporting workforce diversity</w:t>
            </w:r>
          </w:p>
        </w:tc>
        <w:tc>
          <w:tcPr>
            <w:tcW w:w="4333" w:type="dxa"/>
          </w:tcPr>
          <w:p w14:paraId="403168FE" w14:textId="7A5B211E" w:rsidR="00E93CCC" w:rsidRPr="00D22580" w:rsidRDefault="00E93CCC" w:rsidP="00A7085E">
            <w:pPr>
              <w:pStyle w:val="Tabletext"/>
              <w:spacing w:line="320" w:lineRule="exact"/>
              <w:rPr>
                <w:rFonts w:ascii="Calibri" w:hAnsi="Calibri" w:cs="Calibri"/>
                <w:color w:val="6C3E99"/>
                <w:sz w:val="24"/>
                <w:szCs w:val="24"/>
                <w:lang w:val="en-GB"/>
              </w:rPr>
            </w:pPr>
            <w:hyperlink w:anchor="Roleredesign" w:history="1">
              <w:r w:rsidRPr="00D22580">
                <w:rPr>
                  <w:rStyle w:val="Hyperlink"/>
                  <w:rFonts w:ascii="Calibri" w:hAnsi="Calibri" w:cs="Calibri"/>
                  <w:color w:val="6C3E99"/>
                  <w:sz w:val="24"/>
                  <w:szCs w:val="24"/>
                  <w:lang w:val="en-GB"/>
                </w:rPr>
                <w:t>6D – Role redesign</w:t>
              </w:r>
            </w:hyperlink>
          </w:p>
          <w:p w14:paraId="4295B316" w14:textId="61FCACC7" w:rsidR="00E93CCC" w:rsidRPr="00D22580" w:rsidRDefault="00E93CCC" w:rsidP="00A7085E">
            <w:pPr>
              <w:pStyle w:val="Tabletext"/>
              <w:spacing w:line="320" w:lineRule="exact"/>
              <w:rPr>
                <w:rFonts w:ascii="Calibri" w:hAnsi="Calibri" w:cs="Calibri"/>
                <w:color w:val="6C3E99"/>
                <w:sz w:val="24"/>
                <w:szCs w:val="24"/>
                <w:lang w:val="en-GB"/>
              </w:rPr>
            </w:pPr>
            <w:hyperlink w:anchor="SKIP" w:history="1">
              <w:r w:rsidRPr="00D22580">
                <w:rPr>
                  <w:rStyle w:val="Hyperlink"/>
                  <w:rFonts w:ascii="Calibri" w:hAnsi="Calibri" w:cs="Calibri"/>
                  <w:color w:val="6C3E99"/>
                  <w:sz w:val="24"/>
                  <w:szCs w:val="24"/>
                  <w:lang w:val="en-GB"/>
                </w:rPr>
                <w:t xml:space="preserve">Case study – </w:t>
              </w:r>
              <w:proofErr w:type="spellStart"/>
              <w:r w:rsidR="002F2A75" w:rsidRPr="00D22580">
                <w:rPr>
                  <w:rStyle w:val="Hyperlink"/>
                  <w:rFonts w:ascii="Calibri" w:hAnsi="Calibri" w:cs="Calibri"/>
                  <w:color w:val="6C3E99"/>
                  <w:sz w:val="24"/>
                  <w:szCs w:val="24"/>
                  <w:lang w:val="en-GB"/>
                </w:rPr>
                <w:t>SKiP</w:t>
              </w:r>
              <w:proofErr w:type="spellEnd"/>
            </w:hyperlink>
          </w:p>
          <w:p w14:paraId="04043288" w14:textId="08281B45" w:rsidR="00E93CCC" w:rsidRPr="00D22580" w:rsidRDefault="00E93CCC" w:rsidP="00A7085E">
            <w:pPr>
              <w:pStyle w:val="Tabletext"/>
              <w:spacing w:line="320" w:lineRule="exact"/>
              <w:rPr>
                <w:rFonts w:ascii="Calibri" w:hAnsi="Calibri" w:cs="Calibri"/>
                <w:color w:val="6C3E99"/>
                <w:sz w:val="24"/>
                <w:szCs w:val="24"/>
                <w:lang w:val="en-GB"/>
              </w:rPr>
            </w:pPr>
            <w:hyperlink w:anchor="Scope" w:history="1">
              <w:r w:rsidRPr="00D22580">
                <w:rPr>
                  <w:rStyle w:val="Hyperlink"/>
                  <w:rFonts w:ascii="Calibri" w:hAnsi="Calibri" w:cs="Calibri"/>
                  <w:color w:val="6C3E99"/>
                  <w:sz w:val="24"/>
                  <w:szCs w:val="24"/>
                  <w:lang w:val="en-GB"/>
                </w:rPr>
                <w:t>Case study - Scope</w:t>
              </w:r>
            </w:hyperlink>
          </w:p>
        </w:tc>
      </w:tr>
    </w:tbl>
    <w:p w14:paraId="1BD96BD1" w14:textId="77777777" w:rsidR="006952F1" w:rsidRPr="00BF1AEA" w:rsidRDefault="006952F1" w:rsidP="005C54AF">
      <w:pPr>
        <w:pStyle w:val="BodyText"/>
        <w:rPr>
          <w:lang w:val="en-GB"/>
        </w:rPr>
      </w:pPr>
    </w:p>
    <w:p w14:paraId="7F09F8DA" w14:textId="02E6FCA4" w:rsidR="006952F1" w:rsidRPr="00BF1AEA" w:rsidRDefault="00224FBA" w:rsidP="006952F1">
      <w:pPr>
        <w:pStyle w:val="Heading1"/>
        <w:spacing w:line="240" w:lineRule="auto"/>
        <w:rPr>
          <w:rFonts w:ascii="Calibri" w:hAnsi="Calibri"/>
          <w:color w:val="8331A7"/>
          <w:lang w:val="en-GB"/>
        </w:rPr>
      </w:pPr>
      <w:bookmarkStart w:id="9" w:name="_Toc199322305"/>
      <w:r w:rsidRPr="00BF1AEA">
        <w:rPr>
          <w:rFonts w:ascii="Calibri" w:hAnsi="Calibri"/>
          <w:color w:val="8331A7"/>
          <w:lang w:val="en-GB"/>
        </w:rPr>
        <w:lastRenderedPageBreak/>
        <w:t>Attracting workers</w:t>
      </w:r>
      <w:bookmarkEnd w:id="9"/>
    </w:p>
    <w:p w14:paraId="3C9CD1C9" w14:textId="20E31F5B" w:rsidR="006952F1" w:rsidRPr="00BF1AEA" w:rsidRDefault="00F53ABC" w:rsidP="006952F1">
      <w:pPr>
        <w:pStyle w:val="Heading2"/>
        <w:numPr>
          <w:ilvl w:val="0"/>
          <w:numId w:val="0"/>
        </w:numPr>
        <w:spacing w:line="240" w:lineRule="auto"/>
        <w:rPr>
          <w:rFonts w:ascii="Calibri" w:hAnsi="Calibri"/>
          <w:color w:val="8331A7"/>
          <w:lang w:val="en-GB"/>
        </w:rPr>
      </w:pPr>
      <w:bookmarkStart w:id="10" w:name="_Toc199322306"/>
      <w:r w:rsidRPr="00BF1AEA">
        <w:rPr>
          <w:rFonts w:ascii="Calibri" w:hAnsi="Calibri"/>
          <w:color w:val="8331A7"/>
          <w:lang w:val="en-GB"/>
        </w:rPr>
        <w:t>Why it is important</w:t>
      </w:r>
      <w:bookmarkEnd w:id="10"/>
    </w:p>
    <w:p w14:paraId="12D7EBDB" w14:textId="77777777" w:rsidR="00B2293F" w:rsidRPr="00BF1AEA" w:rsidRDefault="00B2293F" w:rsidP="00F53ABC">
      <w:pPr>
        <w:pStyle w:val="BodyText"/>
        <w:spacing w:line="312" w:lineRule="auto"/>
        <w:rPr>
          <w:rFonts w:ascii="Calibri" w:hAnsi="Calibri"/>
          <w:sz w:val="24"/>
          <w:szCs w:val="24"/>
          <w:lang w:val="en-GB"/>
        </w:rPr>
      </w:pPr>
      <w:r w:rsidRPr="00BF1AEA">
        <w:rPr>
          <w:rFonts w:ascii="Calibri" w:hAnsi="Calibri"/>
          <w:sz w:val="24"/>
          <w:szCs w:val="24"/>
          <w:lang w:val="en-GB"/>
        </w:rPr>
        <w:t xml:space="preserve">The care and support sector is diverse, with a wide range of roles and occupations, and must grow to meet demand now and into the future. This means employers need to get more people interested in the sector through both training and direct entry pathways. </w:t>
      </w:r>
    </w:p>
    <w:p w14:paraId="496110A4" w14:textId="77777777" w:rsidR="00B2293F" w:rsidRPr="00BF1AEA" w:rsidRDefault="00B2293F" w:rsidP="00F53ABC">
      <w:pPr>
        <w:pStyle w:val="BodyText"/>
        <w:spacing w:line="312" w:lineRule="auto"/>
        <w:rPr>
          <w:rFonts w:ascii="Calibri" w:hAnsi="Calibri"/>
          <w:sz w:val="24"/>
          <w:szCs w:val="24"/>
          <w:lang w:val="en-GB"/>
        </w:rPr>
      </w:pPr>
      <w:r w:rsidRPr="00BF1AEA">
        <w:rPr>
          <w:rFonts w:ascii="Calibri" w:hAnsi="Calibri"/>
          <w:sz w:val="24"/>
          <w:szCs w:val="24"/>
          <w:lang w:val="en-GB"/>
        </w:rPr>
        <w:t xml:space="preserve">To do so, school leavers, job seekers and people changing careers need to have awareness of the career opportunities that the care and support sector offers. This is relevant to people who work exclusively in the sector (for example, disability support workers) and those that may work in other sectors (like nurses). </w:t>
      </w:r>
    </w:p>
    <w:p w14:paraId="6D84D334" w14:textId="52D23943" w:rsidR="006952F1" w:rsidRPr="00BF1AEA" w:rsidRDefault="00B2293F" w:rsidP="006D5DE4">
      <w:pPr>
        <w:pStyle w:val="BodyText"/>
        <w:spacing w:line="312" w:lineRule="auto"/>
        <w:rPr>
          <w:rFonts w:ascii="Calibri" w:hAnsi="Calibri"/>
          <w:sz w:val="24"/>
          <w:szCs w:val="24"/>
          <w:lang w:val="en-GB"/>
        </w:rPr>
      </w:pPr>
      <w:r w:rsidRPr="00BF1AEA">
        <w:rPr>
          <w:rFonts w:ascii="Calibri" w:hAnsi="Calibri"/>
          <w:sz w:val="24"/>
          <w:szCs w:val="24"/>
          <w:lang w:val="en-GB"/>
        </w:rPr>
        <w:t>Improving awareness of and exposure to the care and support sector can go some way to alleviating negative perceptions about careers and encourage students and workers into the workforce. Raising the visibility of different employers, job roles and employment arrangements is also essential for increasing the attractiveness of the sector.</w:t>
      </w:r>
      <w:r w:rsidR="00F53ABC" w:rsidRPr="00BF1AEA">
        <w:rPr>
          <w:rFonts w:ascii="Calibri" w:hAnsi="Calibri"/>
          <w:sz w:val="24"/>
          <w:szCs w:val="24"/>
          <w:lang w:val="en-GB"/>
        </w:rPr>
        <w:t xml:space="preserve"> </w:t>
      </w:r>
    </w:p>
    <w:p w14:paraId="58961B55" w14:textId="4EE52DDF" w:rsidR="006D5DE4" w:rsidRPr="00BF1AEA" w:rsidRDefault="00266DBF" w:rsidP="006D5DE4">
      <w:pPr>
        <w:pStyle w:val="Heading2"/>
        <w:numPr>
          <w:ilvl w:val="0"/>
          <w:numId w:val="0"/>
        </w:numPr>
        <w:spacing w:line="240" w:lineRule="auto"/>
        <w:rPr>
          <w:rFonts w:ascii="Calibri" w:hAnsi="Calibri"/>
          <w:color w:val="8331A7"/>
          <w:lang w:val="en-GB"/>
        </w:rPr>
      </w:pPr>
      <w:bookmarkStart w:id="11" w:name="_Toc199322307"/>
      <w:r w:rsidRPr="00BF1AEA">
        <w:rPr>
          <w:rFonts w:ascii="Calibri" w:hAnsi="Calibri"/>
          <w:color w:val="8331A7"/>
          <w:lang w:val="en-GB"/>
        </w:rPr>
        <w:t>What are the barriers</w:t>
      </w:r>
      <w:bookmarkEnd w:id="11"/>
    </w:p>
    <w:p w14:paraId="1B6235B5" w14:textId="77777777" w:rsidR="0069780C" w:rsidRPr="00BF1AEA" w:rsidRDefault="0069780C" w:rsidP="007271DE">
      <w:pPr>
        <w:pStyle w:val="BodyText"/>
        <w:spacing w:after="0" w:line="312" w:lineRule="auto"/>
        <w:rPr>
          <w:rFonts w:ascii="Calibri" w:hAnsi="Calibri"/>
          <w:color w:val="7F3D97"/>
          <w:sz w:val="28"/>
          <w:szCs w:val="28"/>
          <w:lang w:val="en-GB"/>
        </w:rPr>
      </w:pPr>
      <w:r w:rsidRPr="00BF1AEA">
        <w:rPr>
          <w:rFonts w:ascii="Calibri" w:hAnsi="Calibri"/>
          <w:color w:val="7F3D97"/>
          <w:sz w:val="28"/>
          <w:szCs w:val="28"/>
          <w:lang w:val="en-GB"/>
        </w:rPr>
        <w:t xml:space="preserve">Historical stigma </w:t>
      </w:r>
    </w:p>
    <w:p w14:paraId="6B2E54F8" w14:textId="77777777" w:rsidR="00B740C5" w:rsidRPr="00BF1AEA" w:rsidRDefault="0069780C" w:rsidP="007271DE">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Potential workers often see the care and support sector as gendered or an ‘end of career’ option, rather than a lifelong career. The recent coverage of the care and support work as labour intensive, low status and with poor rates of pay has exacerbated this stigma. </w:t>
      </w:r>
    </w:p>
    <w:p w14:paraId="72737380" w14:textId="44667602" w:rsidR="00B740C5" w:rsidRPr="00BF1AEA" w:rsidRDefault="00B3160E" w:rsidP="007271DE">
      <w:pPr>
        <w:pStyle w:val="BodyText"/>
        <w:spacing w:after="0" w:line="312" w:lineRule="auto"/>
        <w:rPr>
          <w:rFonts w:ascii="Calibri" w:hAnsi="Calibri"/>
          <w:color w:val="7F3D97"/>
          <w:sz w:val="28"/>
          <w:szCs w:val="28"/>
          <w:lang w:val="en-GB"/>
        </w:rPr>
      </w:pPr>
      <w:r w:rsidRPr="00BF1AEA">
        <w:rPr>
          <w:rFonts w:ascii="Calibri" w:hAnsi="Calibri"/>
          <w:color w:val="7F3D97"/>
          <w:sz w:val="28"/>
          <w:szCs w:val="28"/>
          <w:lang w:val="en-GB"/>
        </w:rPr>
        <w:t>Limited awareness</w:t>
      </w:r>
      <w:r w:rsidR="00B740C5" w:rsidRPr="00BF1AEA">
        <w:rPr>
          <w:rFonts w:ascii="Calibri" w:hAnsi="Calibri"/>
          <w:color w:val="7F3D97"/>
          <w:sz w:val="28"/>
          <w:szCs w:val="28"/>
          <w:lang w:val="en-GB"/>
        </w:rPr>
        <w:t xml:space="preserve"> </w:t>
      </w:r>
    </w:p>
    <w:p w14:paraId="1EC373F9" w14:textId="77777777" w:rsidR="00B740C5" w:rsidRPr="00BF1AEA" w:rsidRDefault="0069780C" w:rsidP="007271DE">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There is low visibility of the career pathways into the care and support sector. This creates barriers to entry, with potential workers not aware of the range of rewarding careers available or how they can best get started in the industry. </w:t>
      </w:r>
    </w:p>
    <w:p w14:paraId="2AA2938E" w14:textId="38EABE3E" w:rsidR="00B740C5" w:rsidRPr="00BF1AEA" w:rsidRDefault="005E698A" w:rsidP="007271DE">
      <w:pPr>
        <w:pStyle w:val="BodyText"/>
        <w:spacing w:after="0" w:line="312" w:lineRule="auto"/>
        <w:rPr>
          <w:rFonts w:ascii="Calibri" w:hAnsi="Calibri"/>
          <w:color w:val="7F3D97"/>
          <w:sz w:val="28"/>
          <w:szCs w:val="28"/>
          <w:lang w:val="en-GB"/>
        </w:rPr>
      </w:pPr>
      <w:r w:rsidRPr="00BF1AEA">
        <w:rPr>
          <w:rFonts w:ascii="Calibri" w:hAnsi="Calibri"/>
          <w:color w:val="7F3D97"/>
          <w:sz w:val="28"/>
          <w:szCs w:val="28"/>
          <w:lang w:val="en-GB"/>
        </w:rPr>
        <w:t xml:space="preserve">Competition with other sectors </w:t>
      </w:r>
    </w:p>
    <w:p w14:paraId="2052370F" w14:textId="77777777" w:rsidR="00FF376D" w:rsidRPr="00BF1AEA" w:rsidRDefault="0069780C" w:rsidP="007271DE">
      <w:pPr>
        <w:pStyle w:val="BodyText"/>
        <w:spacing w:before="0" w:line="312" w:lineRule="auto"/>
        <w:rPr>
          <w:rFonts w:ascii="Calibri" w:hAnsi="Calibri"/>
          <w:sz w:val="24"/>
          <w:szCs w:val="24"/>
          <w:lang w:val="en-GB"/>
        </w:rPr>
      </w:pPr>
      <w:r w:rsidRPr="00BF1AEA">
        <w:rPr>
          <w:rFonts w:ascii="Calibri" w:hAnsi="Calibri"/>
          <w:sz w:val="24"/>
          <w:szCs w:val="24"/>
          <w:lang w:val="en-GB"/>
        </w:rPr>
        <w:t>The labour market in Australia is characterised by a scarcity of available workers to fill job openings. This means that employers in the care and support sector are competing for workers with other areas like health and social services, where job roles and career journeys are often much better understood.</w:t>
      </w:r>
    </w:p>
    <w:p w14:paraId="3419F4D5" w14:textId="27D8EE66" w:rsidR="00B740C5" w:rsidRPr="00BF1AEA" w:rsidRDefault="00FF376D" w:rsidP="00F74CB3">
      <w:pPr>
        <w:pStyle w:val="BodyText"/>
        <w:spacing w:after="0" w:line="312" w:lineRule="auto"/>
        <w:rPr>
          <w:rFonts w:ascii="Calibri" w:hAnsi="Calibri"/>
          <w:color w:val="7F3D97"/>
          <w:sz w:val="28"/>
          <w:szCs w:val="28"/>
          <w:lang w:val="en-GB"/>
        </w:rPr>
      </w:pPr>
      <w:r w:rsidRPr="00BF1AEA">
        <w:rPr>
          <w:rFonts w:ascii="Calibri" w:hAnsi="Calibri"/>
          <w:color w:val="7F3D97"/>
          <w:sz w:val="28"/>
          <w:szCs w:val="28"/>
          <w:lang w:val="en-GB"/>
        </w:rPr>
        <w:t xml:space="preserve">Employment stability </w:t>
      </w:r>
    </w:p>
    <w:p w14:paraId="3AD99503" w14:textId="77777777" w:rsidR="00B740C5" w:rsidRPr="00BF1AEA" w:rsidRDefault="0069780C" w:rsidP="00F74CB3">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The community sector tends to have short funding cycles which typically reduce the length of contracts and contribute to high levels of employment instability. This has led to a range of highly localised employment arrangements, including more short-term contracts and casualised roles, which can discourage potential workers who are seeking permanent full or part time positions. </w:t>
      </w:r>
    </w:p>
    <w:p w14:paraId="57B3F8F0" w14:textId="24E6310C" w:rsidR="00A14C3B" w:rsidRPr="00BF1AEA" w:rsidRDefault="00A14C3B" w:rsidP="00F74CB3">
      <w:pPr>
        <w:pStyle w:val="BodyText"/>
        <w:spacing w:after="0" w:line="312" w:lineRule="auto"/>
        <w:rPr>
          <w:rFonts w:ascii="Calibri" w:hAnsi="Calibri"/>
          <w:color w:val="7F3D97"/>
          <w:sz w:val="28"/>
          <w:szCs w:val="28"/>
          <w:lang w:val="en-GB"/>
        </w:rPr>
      </w:pPr>
    </w:p>
    <w:p w14:paraId="68BA10F0" w14:textId="3DC71961" w:rsidR="00B740C5" w:rsidRPr="00BF1AEA" w:rsidRDefault="006C258B" w:rsidP="00A14C3B">
      <w:pPr>
        <w:pStyle w:val="BodyText"/>
        <w:spacing w:after="0" w:line="312" w:lineRule="auto"/>
        <w:rPr>
          <w:rFonts w:ascii="Calibri" w:hAnsi="Calibri"/>
          <w:color w:val="7F3D97"/>
          <w:sz w:val="28"/>
          <w:szCs w:val="28"/>
          <w:lang w:val="en-GB"/>
        </w:rPr>
      </w:pPr>
      <w:r w:rsidRPr="00BF1AEA">
        <w:rPr>
          <w:rFonts w:ascii="Calibri" w:hAnsi="Calibri"/>
          <w:color w:val="7F3D97"/>
          <w:sz w:val="28"/>
          <w:szCs w:val="28"/>
          <w:lang w:val="en-GB"/>
        </w:rPr>
        <w:lastRenderedPageBreak/>
        <w:t>Administrative burden of traineeships</w:t>
      </w:r>
    </w:p>
    <w:p w14:paraId="0E31B9F6" w14:textId="48365DD2" w:rsidR="00BB7B03" w:rsidRPr="00BF1AEA" w:rsidRDefault="0069780C" w:rsidP="00F74CB3">
      <w:pPr>
        <w:pStyle w:val="BodyText"/>
        <w:spacing w:before="0" w:line="312" w:lineRule="auto"/>
        <w:rPr>
          <w:rFonts w:ascii="Calibri" w:hAnsi="Calibri"/>
          <w:sz w:val="24"/>
          <w:szCs w:val="24"/>
          <w:lang w:val="en-GB"/>
        </w:rPr>
      </w:pPr>
      <w:r w:rsidRPr="00BF1AEA">
        <w:rPr>
          <w:rFonts w:ascii="Calibri" w:hAnsi="Calibri"/>
          <w:sz w:val="24"/>
          <w:szCs w:val="24"/>
          <w:lang w:val="en-GB"/>
        </w:rPr>
        <w:t>The current funding model is problematic for the common traineeships entry pathway as many employers do not have the administrative, economic, or operational ‘bandwidth’ to complete their training obligations as the host employer.</w:t>
      </w:r>
    </w:p>
    <w:p w14:paraId="069F5B17" w14:textId="3B3CAEAC" w:rsidR="003753C3" w:rsidRPr="00BF1AEA" w:rsidRDefault="00AD2AE4" w:rsidP="003753C3">
      <w:pPr>
        <w:pStyle w:val="Heading2"/>
        <w:numPr>
          <w:ilvl w:val="0"/>
          <w:numId w:val="0"/>
        </w:numPr>
        <w:rPr>
          <w:rFonts w:ascii="Calibri" w:hAnsi="Calibri"/>
          <w:color w:val="8331A7"/>
          <w:lang w:val="en-GB"/>
        </w:rPr>
      </w:pPr>
      <w:bookmarkStart w:id="12" w:name="_Toc199322308"/>
      <w:r w:rsidRPr="00BF1AEA">
        <w:rPr>
          <w:rFonts w:ascii="Calibri" w:hAnsi="Calibri"/>
          <w:color w:val="8331A7"/>
          <w:lang w:val="en-GB"/>
        </w:rPr>
        <w:t xml:space="preserve">Effective </w:t>
      </w:r>
      <w:r w:rsidR="00402B5E" w:rsidRPr="00BF1AEA">
        <w:rPr>
          <w:rFonts w:ascii="Calibri" w:hAnsi="Calibri"/>
          <w:color w:val="8331A7"/>
          <w:lang w:val="en-GB"/>
        </w:rPr>
        <w:t>strategies</w:t>
      </w:r>
      <w:bookmarkEnd w:id="12"/>
    </w:p>
    <w:p w14:paraId="5EB6E4C8" w14:textId="513477E4" w:rsidR="00C5634D" w:rsidRPr="00BF1AEA" w:rsidRDefault="008872E6" w:rsidP="00C5634D">
      <w:pPr>
        <w:pStyle w:val="BodyText"/>
        <w:spacing w:after="0" w:line="312" w:lineRule="auto"/>
        <w:rPr>
          <w:rFonts w:ascii="Calibri" w:hAnsi="Calibri"/>
          <w:color w:val="7F3D97"/>
          <w:sz w:val="28"/>
          <w:szCs w:val="28"/>
          <w:lang w:val="en-GB"/>
        </w:rPr>
      </w:pPr>
      <w:bookmarkStart w:id="13" w:name="Improvingvisability"/>
      <w:r w:rsidRPr="00BF1AEA">
        <w:rPr>
          <w:rFonts w:ascii="Calibri" w:hAnsi="Calibri"/>
          <w:color w:val="7F3D97"/>
          <w:sz w:val="28"/>
          <w:szCs w:val="28"/>
          <w:lang w:val="en-GB"/>
        </w:rPr>
        <w:t>2A – Improving visibility of career pathways</w:t>
      </w:r>
    </w:p>
    <w:bookmarkEnd w:id="13"/>
    <w:p w14:paraId="635A04ED" w14:textId="77777777" w:rsidR="00EC182C" w:rsidRPr="00BF1AEA" w:rsidRDefault="00EC182C" w:rsidP="00F74CB3">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Industry employers have partnered with training providers to raise awareness of pathways into, and within, the care and support workforce for both vocationally and higher education trained occupations. This has included: </w:t>
      </w:r>
    </w:p>
    <w:p w14:paraId="187DFAE9" w14:textId="61B34433" w:rsidR="006C6C63" w:rsidRPr="00BF1AEA" w:rsidRDefault="00EC182C" w:rsidP="00FA2EC7">
      <w:pPr>
        <w:pStyle w:val="BodyText"/>
        <w:numPr>
          <w:ilvl w:val="0"/>
          <w:numId w:val="39"/>
        </w:numPr>
        <w:spacing w:before="0" w:line="312" w:lineRule="auto"/>
        <w:rPr>
          <w:lang w:val="en-GB"/>
        </w:rPr>
      </w:pPr>
      <w:r w:rsidRPr="00BF1AEA">
        <w:rPr>
          <w:rFonts w:ascii="Calibri" w:hAnsi="Calibri"/>
          <w:sz w:val="24"/>
          <w:szCs w:val="24"/>
          <w:lang w:val="en-GB"/>
        </w:rPr>
        <w:t xml:space="preserve">hosting booths at career festivals and open days </w:t>
      </w:r>
      <w:r w:rsidR="00A557D9" w:rsidRPr="00BF1AEA">
        <w:rPr>
          <w:rFonts w:ascii="Calibri" w:hAnsi="Calibri"/>
          <w:sz w:val="24"/>
          <w:szCs w:val="24"/>
          <w:lang w:val="en-GB"/>
        </w:rPr>
        <w:t xml:space="preserve">such as the </w:t>
      </w:r>
      <w:hyperlink r:id="rId21" w:history="1">
        <w:r w:rsidR="00A557D9" w:rsidRPr="00BF1AEA">
          <w:rPr>
            <w:rStyle w:val="Hyperlink"/>
            <w:rFonts w:ascii="Calibri" w:hAnsi="Calibri"/>
            <w:sz w:val="24"/>
            <w:szCs w:val="24"/>
            <w:lang w:val="en-GB"/>
          </w:rPr>
          <w:t>Melbourne Disability Expo.</w:t>
        </w:r>
      </w:hyperlink>
      <w:r w:rsidR="00A557D9" w:rsidRPr="00BF1AEA">
        <w:rPr>
          <w:rFonts w:ascii="Calibri" w:hAnsi="Calibri"/>
          <w:sz w:val="24"/>
          <w:szCs w:val="24"/>
          <w:lang w:val="en-GB"/>
        </w:rPr>
        <w:t xml:space="preserve"> </w:t>
      </w:r>
    </w:p>
    <w:p w14:paraId="5C350F73" w14:textId="6B78E88B" w:rsidR="00EC182C" w:rsidRPr="00BF1AEA" w:rsidRDefault="00EC182C" w:rsidP="00FA2EC7">
      <w:pPr>
        <w:pStyle w:val="BodyText"/>
        <w:numPr>
          <w:ilvl w:val="0"/>
          <w:numId w:val="39"/>
        </w:numPr>
        <w:spacing w:before="0" w:line="312" w:lineRule="auto"/>
        <w:rPr>
          <w:lang w:val="en-GB"/>
        </w:rPr>
      </w:pPr>
      <w:r w:rsidRPr="00BF1AEA">
        <w:rPr>
          <w:rFonts w:ascii="Calibri" w:hAnsi="Calibri"/>
          <w:sz w:val="24"/>
          <w:szCs w:val="24"/>
          <w:lang w:val="en-GB"/>
        </w:rPr>
        <w:t xml:space="preserve">using innovative recruitment practices (like online platforms and community groups) </w:t>
      </w:r>
    </w:p>
    <w:p w14:paraId="132757A7" w14:textId="77777777" w:rsidR="006C6C63" w:rsidRPr="00BF1AEA" w:rsidRDefault="00EC182C" w:rsidP="00FA2EC7">
      <w:pPr>
        <w:pStyle w:val="BodyText"/>
        <w:numPr>
          <w:ilvl w:val="0"/>
          <w:numId w:val="39"/>
        </w:numPr>
        <w:spacing w:before="0" w:line="312" w:lineRule="auto"/>
        <w:rPr>
          <w:lang w:val="en-GB"/>
        </w:rPr>
      </w:pPr>
      <w:r w:rsidRPr="00BF1AEA">
        <w:rPr>
          <w:rFonts w:ascii="Calibri" w:hAnsi="Calibri"/>
          <w:sz w:val="24"/>
          <w:szCs w:val="24"/>
          <w:lang w:val="en-GB"/>
        </w:rPr>
        <w:t xml:space="preserve">connecting with school counsellors to reach high school students </w:t>
      </w:r>
    </w:p>
    <w:p w14:paraId="5BBD4225" w14:textId="4E89AFBA" w:rsidR="003753C3" w:rsidRPr="00BF1AEA" w:rsidRDefault="00EC182C" w:rsidP="00FA2EC7">
      <w:pPr>
        <w:pStyle w:val="BodyText"/>
        <w:numPr>
          <w:ilvl w:val="0"/>
          <w:numId w:val="39"/>
        </w:numPr>
        <w:spacing w:before="0" w:line="312" w:lineRule="auto"/>
        <w:rPr>
          <w:lang w:val="en-GB"/>
        </w:rPr>
      </w:pPr>
      <w:r w:rsidRPr="00BF1AEA">
        <w:rPr>
          <w:rFonts w:ascii="Calibri" w:hAnsi="Calibri"/>
          <w:sz w:val="24"/>
          <w:szCs w:val="24"/>
          <w:lang w:val="en-GB"/>
        </w:rPr>
        <w:t>engaging with government employment services to connect with people seeking a career change.</w:t>
      </w:r>
    </w:p>
    <w:p w14:paraId="047D6023" w14:textId="694FF1F0" w:rsidR="00067923" w:rsidRPr="00BF1AEA" w:rsidRDefault="00496B65" w:rsidP="00067923">
      <w:pPr>
        <w:pStyle w:val="BodyText"/>
        <w:spacing w:after="0" w:line="312" w:lineRule="auto"/>
        <w:rPr>
          <w:rFonts w:ascii="Calibri" w:hAnsi="Calibri"/>
          <w:color w:val="7F3D97"/>
          <w:sz w:val="28"/>
          <w:szCs w:val="28"/>
          <w:lang w:val="en-GB"/>
        </w:rPr>
      </w:pPr>
      <w:bookmarkStart w:id="14" w:name="Promotingthestrength"/>
      <w:r w:rsidRPr="00BF1AEA">
        <w:rPr>
          <w:rFonts w:ascii="Calibri" w:hAnsi="Calibri"/>
          <w:color w:val="7F3D97"/>
          <w:sz w:val="28"/>
          <w:szCs w:val="28"/>
          <w:lang w:val="en-GB"/>
        </w:rPr>
        <w:t>2B – Promoting the strengths of the sector</w:t>
      </w:r>
    </w:p>
    <w:bookmarkEnd w:id="14"/>
    <w:p w14:paraId="2E9425DD" w14:textId="125F60BE" w:rsidR="00067923" w:rsidRPr="00BF1AEA" w:rsidRDefault="00773645" w:rsidP="00773645">
      <w:pPr>
        <w:pStyle w:val="BodyText"/>
        <w:spacing w:before="0" w:line="312" w:lineRule="auto"/>
        <w:rPr>
          <w:rFonts w:ascii="Calibri" w:hAnsi="Calibri"/>
          <w:sz w:val="24"/>
          <w:szCs w:val="24"/>
          <w:lang w:val="en-GB"/>
        </w:rPr>
      </w:pPr>
      <w:r w:rsidRPr="00BF1AEA">
        <w:rPr>
          <w:rFonts w:ascii="Calibri" w:hAnsi="Calibri"/>
          <w:sz w:val="24"/>
          <w:szCs w:val="24"/>
          <w:lang w:val="en-GB"/>
        </w:rPr>
        <w:t>Employers and peak bodies have used community events (fetes, festivals) to directly market the care and support sector as an attractive career choice to help overcome existing stigma and undervaluing of the workforce. Others have proactively communicated the impact that the workforce can have through websites and related collateral, or through providing positive placement experiences (discussed further in the next section).</w:t>
      </w:r>
    </w:p>
    <w:p w14:paraId="2DB348F6" w14:textId="6339B817" w:rsidR="00FA4E3A" w:rsidRPr="00BF1AEA" w:rsidRDefault="0096188B" w:rsidP="00FA4E3A">
      <w:pPr>
        <w:pStyle w:val="BodyText"/>
        <w:spacing w:after="0" w:line="312" w:lineRule="auto"/>
        <w:rPr>
          <w:rFonts w:ascii="Calibri" w:hAnsi="Calibri"/>
          <w:color w:val="7F3D97"/>
          <w:sz w:val="28"/>
          <w:szCs w:val="28"/>
          <w:lang w:val="en-GB"/>
        </w:rPr>
      </w:pPr>
      <w:bookmarkStart w:id="15" w:name="Wraparoundsupports"/>
      <w:r w:rsidRPr="00BF1AEA">
        <w:rPr>
          <w:rFonts w:ascii="Calibri" w:hAnsi="Calibri"/>
          <w:color w:val="7F3D97"/>
          <w:sz w:val="28"/>
          <w:szCs w:val="28"/>
          <w:lang w:val="en-GB"/>
        </w:rPr>
        <w:t>2C – Wrap around supports</w:t>
      </w:r>
    </w:p>
    <w:bookmarkEnd w:id="15"/>
    <w:p w14:paraId="1D50801D" w14:textId="77777777" w:rsidR="00012326" w:rsidRPr="00BF1AEA" w:rsidRDefault="00012326" w:rsidP="00FA4E3A">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High performing employers have tended to provide the wrap around supports required to help workers succeed in the care and support sector. This has included: </w:t>
      </w:r>
    </w:p>
    <w:p w14:paraId="11B82F56" w14:textId="77777777" w:rsidR="00012326" w:rsidRPr="00BF1AEA" w:rsidRDefault="00012326" w:rsidP="00FA2EC7">
      <w:pPr>
        <w:pStyle w:val="BodyText"/>
        <w:numPr>
          <w:ilvl w:val="0"/>
          <w:numId w:val="40"/>
        </w:numPr>
        <w:spacing w:before="0" w:line="312" w:lineRule="auto"/>
        <w:rPr>
          <w:lang w:val="en-GB"/>
        </w:rPr>
      </w:pPr>
      <w:r w:rsidRPr="00BF1AEA">
        <w:rPr>
          <w:rFonts w:ascii="Calibri" w:hAnsi="Calibri"/>
          <w:sz w:val="24"/>
          <w:szCs w:val="24"/>
          <w:lang w:val="en-GB"/>
        </w:rPr>
        <w:t xml:space="preserve">structured induction, onboarding and orientation processes for new recruits </w:t>
      </w:r>
    </w:p>
    <w:p w14:paraId="20C71B81" w14:textId="4617C549" w:rsidR="00012326" w:rsidRPr="00BF1AEA" w:rsidRDefault="00012326" w:rsidP="00FA2EC7">
      <w:pPr>
        <w:pStyle w:val="BodyText"/>
        <w:numPr>
          <w:ilvl w:val="0"/>
          <w:numId w:val="40"/>
        </w:numPr>
        <w:spacing w:before="0" w:line="312" w:lineRule="auto"/>
        <w:rPr>
          <w:lang w:val="en-GB"/>
        </w:rPr>
      </w:pPr>
      <w:r w:rsidRPr="00BF1AEA">
        <w:rPr>
          <w:rFonts w:ascii="Calibri" w:hAnsi="Calibri"/>
          <w:sz w:val="24"/>
          <w:szCs w:val="24"/>
          <w:lang w:val="en-GB"/>
        </w:rPr>
        <w:t xml:space="preserve">assistance with </w:t>
      </w:r>
      <w:r w:rsidR="00DC472A" w:rsidRPr="00BF1AEA">
        <w:rPr>
          <w:rFonts w:ascii="Calibri" w:hAnsi="Calibri"/>
          <w:sz w:val="24"/>
          <w:szCs w:val="24"/>
          <w:lang w:val="en-GB"/>
        </w:rPr>
        <w:t>Language, Literacy and Numeracy (LLN)</w:t>
      </w:r>
      <w:r w:rsidR="00DC472A" w:rsidRPr="00BF1AEA" w:rsidDel="00DC472A">
        <w:rPr>
          <w:rFonts w:ascii="Calibri" w:hAnsi="Calibri"/>
          <w:sz w:val="24"/>
          <w:szCs w:val="24"/>
          <w:lang w:val="en-GB"/>
        </w:rPr>
        <w:t xml:space="preserve"> </w:t>
      </w:r>
      <w:r w:rsidRPr="00BF1AEA">
        <w:rPr>
          <w:rFonts w:ascii="Calibri" w:hAnsi="Calibri"/>
          <w:sz w:val="24"/>
          <w:szCs w:val="24"/>
          <w:lang w:val="en-GB"/>
        </w:rPr>
        <w:t xml:space="preserve">and digital literacy skills to support with work-readiness </w:t>
      </w:r>
    </w:p>
    <w:p w14:paraId="11EAEC96" w14:textId="77777777" w:rsidR="00012326" w:rsidRPr="00BF1AEA" w:rsidRDefault="00012326" w:rsidP="00FA2EC7">
      <w:pPr>
        <w:pStyle w:val="BodyText"/>
        <w:numPr>
          <w:ilvl w:val="0"/>
          <w:numId w:val="40"/>
        </w:numPr>
        <w:spacing w:before="0" w:line="312" w:lineRule="auto"/>
        <w:rPr>
          <w:lang w:val="en-GB"/>
        </w:rPr>
      </w:pPr>
      <w:r w:rsidRPr="00BF1AEA">
        <w:rPr>
          <w:rFonts w:ascii="Calibri" w:hAnsi="Calibri"/>
          <w:sz w:val="24"/>
          <w:szCs w:val="24"/>
          <w:lang w:val="en-GB"/>
        </w:rPr>
        <w:t xml:space="preserve">pastoral care to build resilience </w:t>
      </w:r>
    </w:p>
    <w:p w14:paraId="57DC5801" w14:textId="62F94CFD" w:rsidR="00B05601" w:rsidRPr="00BF1AEA" w:rsidRDefault="00012326" w:rsidP="00FA2EC7">
      <w:pPr>
        <w:pStyle w:val="BodyText"/>
        <w:numPr>
          <w:ilvl w:val="0"/>
          <w:numId w:val="40"/>
        </w:numPr>
        <w:spacing w:before="0" w:line="312" w:lineRule="auto"/>
        <w:rPr>
          <w:lang w:val="en-GB"/>
        </w:rPr>
      </w:pPr>
      <w:r w:rsidRPr="00BF1AEA">
        <w:rPr>
          <w:rFonts w:ascii="Calibri" w:hAnsi="Calibri"/>
          <w:sz w:val="24"/>
          <w:szCs w:val="24"/>
          <w:lang w:val="en-GB"/>
        </w:rPr>
        <w:t>access to peer support groups or buddies to provide additional assistance on a day-to-day basis.</w:t>
      </w:r>
    </w:p>
    <w:p w14:paraId="465D6C2A" w14:textId="383156D1" w:rsidR="00D4086A" w:rsidRPr="00BF1AEA" w:rsidRDefault="00E67021" w:rsidP="00D4086A">
      <w:pPr>
        <w:pStyle w:val="BodyText"/>
        <w:spacing w:after="0" w:line="312" w:lineRule="auto"/>
        <w:rPr>
          <w:rFonts w:ascii="Calibri" w:hAnsi="Calibri"/>
          <w:color w:val="7F3D97"/>
          <w:sz w:val="28"/>
          <w:szCs w:val="28"/>
          <w:lang w:val="en-GB"/>
        </w:rPr>
      </w:pPr>
      <w:bookmarkStart w:id="16" w:name="Preemploymentprograms"/>
      <w:r w:rsidRPr="00BF1AEA">
        <w:rPr>
          <w:rFonts w:ascii="Calibri" w:hAnsi="Calibri"/>
          <w:color w:val="7F3D97"/>
          <w:sz w:val="28"/>
          <w:szCs w:val="28"/>
          <w:lang w:val="en-GB"/>
        </w:rPr>
        <w:t>2D – Pre-employment programs</w:t>
      </w:r>
    </w:p>
    <w:bookmarkEnd w:id="16"/>
    <w:p w14:paraId="30A0CCB2" w14:textId="3D795AFB" w:rsidR="00301FBF" w:rsidRPr="00BF1AEA" w:rsidRDefault="009A1214" w:rsidP="00B05601">
      <w:pPr>
        <w:pStyle w:val="BodyText"/>
        <w:spacing w:before="0" w:line="312" w:lineRule="auto"/>
        <w:rPr>
          <w:rFonts w:ascii="Calibri" w:hAnsi="Calibri"/>
          <w:sz w:val="24"/>
          <w:szCs w:val="24"/>
          <w:lang w:val="en-GB"/>
        </w:rPr>
      </w:pPr>
      <w:r w:rsidRPr="00BF1AEA">
        <w:rPr>
          <w:rFonts w:ascii="Calibri" w:hAnsi="Calibri"/>
          <w:sz w:val="24"/>
          <w:szCs w:val="24"/>
          <w:lang w:val="en-GB"/>
        </w:rPr>
        <w:t>Many employers have developed ‘taster’ pre-employment programs or partnered with providers to develop initiatives that allow prospective hires to assess whether the sector is a good fit for them before either invest their time and money. This not only provides essential skills for new entrants, but it also increases positive exposure and prepares them for the roles they may move into.</w:t>
      </w:r>
    </w:p>
    <w:p w14:paraId="66B5505C" w14:textId="0414E4F9" w:rsidR="003674C3" w:rsidRPr="00BF1AEA" w:rsidRDefault="003B581B" w:rsidP="003674C3">
      <w:pPr>
        <w:pStyle w:val="BodyText"/>
        <w:spacing w:after="0" w:line="312" w:lineRule="auto"/>
        <w:rPr>
          <w:rFonts w:ascii="Calibri" w:hAnsi="Calibri"/>
          <w:color w:val="7F3D97"/>
          <w:sz w:val="28"/>
          <w:szCs w:val="28"/>
          <w:lang w:val="en-GB"/>
        </w:rPr>
      </w:pPr>
      <w:bookmarkStart w:id="17" w:name="Valuesbased"/>
      <w:r w:rsidRPr="00BF1AEA">
        <w:rPr>
          <w:rFonts w:ascii="Calibri" w:hAnsi="Calibri"/>
          <w:color w:val="7F3D97"/>
          <w:sz w:val="28"/>
          <w:szCs w:val="28"/>
          <w:lang w:val="en-GB"/>
        </w:rPr>
        <w:lastRenderedPageBreak/>
        <w:t>2E – Values-based recruitment</w:t>
      </w:r>
    </w:p>
    <w:bookmarkEnd w:id="17"/>
    <w:p w14:paraId="5A20E3AD" w14:textId="24459B8E" w:rsidR="003674C3" w:rsidRPr="00BF1AEA" w:rsidRDefault="00301FBF" w:rsidP="003674C3">
      <w:pPr>
        <w:pStyle w:val="BodyText"/>
        <w:spacing w:before="0" w:line="312" w:lineRule="auto"/>
        <w:rPr>
          <w:rFonts w:ascii="Calibri" w:hAnsi="Calibri"/>
          <w:sz w:val="24"/>
          <w:szCs w:val="24"/>
          <w:lang w:val="en-GB"/>
        </w:rPr>
      </w:pPr>
      <w:r w:rsidRPr="00BF1AEA">
        <w:rPr>
          <w:rFonts w:ascii="Calibri" w:hAnsi="Calibri"/>
          <w:sz w:val="24"/>
          <w:szCs w:val="24"/>
          <w:lang w:val="en-GB"/>
        </w:rPr>
        <w:t>Many employers have used values-based recruitment to determine if there is a mutual fit between the organisation and the job seeker, supporting improved attraction and retention of the right candidates. This focuses on attracting workers whose attitudes, values and behaviours align with those of the organisation, something that has been found to be a strong determinant for sustained employment in the care and support sector.</w:t>
      </w:r>
    </w:p>
    <w:p w14:paraId="430BA7C6" w14:textId="066DBE9B" w:rsidR="00605398" w:rsidRPr="00BF1AEA" w:rsidRDefault="00605398" w:rsidP="003674C3">
      <w:pPr>
        <w:pStyle w:val="BodyText"/>
        <w:spacing w:before="0" w:line="312" w:lineRule="auto"/>
        <w:rPr>
          <w:rFonts w:ascii="Calibri" w:hAnsi="Calibri"/>
          <w:sz w:val="24"/>
          <w:szCs w:val="24"/>
          <w:lang w:val="en-GB"/>
        </w:rPr>
      </w:pPr>
      <w:r w:rsidRPr="00BF1AEA">
        <w:rPr>
          <w:rFonts w:ascii="Calibri" w:hAnsi="Calibri"/>
          <w:sz w:val="24"/>
          <w:szCs w:val="24"/>
          <w:lang w:val="en-GB"/>
        </w:rPr>
        <w:t>T</w:t>
      </w:r>
      <w:r w:rsidR="003F382D" w:rsidRPr="00BF1AEA">
        <w:rPr>
          <w:rFonts w:ascii="Calibri" w:hAnsi="Calibri"/>
          <w:sz w:val="24"/>
          <w:szCs w:val="24"/>
          <w:lang w:val="en-GB"/>
        </w:rPr>
        <w:t xml:space="preserve">he case study below shows how these strategies can be implemented, and </w:t>
      </w:r>
      <w:r w:rsidR="00937A09" w:rsidRPr="00BF1AEA">
        <w:rPr>
          <w:rFonts w:ascii="Calibri" w:hAnsi="Calibri"/>
          <w:sz w:val="24"/>
          <w:szCs w:val="24"/>
          <w:lang w:val="en-GB"/>
        </w:rPr>
        <w:t xml:space="preserve">other </w:t>
      </w:r>
      <w:r w:rsidR="00D54C1D" w:rsidRPr="00BF1AEA">
        <w:rPr>
          <w:rFonts w:ascii="Calibri" w:hAnsi="Calibri"/>
          <w:sz w:val="24"/>
          <w:szCs w:val="24"/>
          <w:lang w:val="en-GB"/>
        </w:rPr>
        <w:t>example</w:t>
      </w:r>
      <w:r w:rsidR="00937A09" w:rsidRPr="00BF1AEA">
        <w:rPr>
          <w:rFonts w:ascii="Calibri" w:hAnsi="Calibri"/>
          <w:sz w:val="24"/>
          <w:szCs w:val="24"/>
          <w:lang w:val="en-GB"/>
        </w:rPr>
        <w:t>s</w:t>
      </w:r>
      <w:r w:rsidR="00BB72AE" w:rsidRPr="00BF1AEA">
        <w:rPr>
          <w:rFonts w:ascii="Calibri" w:hAnsi="Calibri"/>
          <w:sz w:val="24"/>
          <w:szCs w:val="24"/>
          <w:lang w:val="en-GB"/>
        </w:rPr>
        <w:t xml:space="preserve"> </w:t>
      </w:r>
      <w:r w:rsidR="00D54C1D" w:rsidRPr="00BF1AEA">
        <w:rPr>
          <w:rFonts w:ascii="Calibri" w:hAnsi="Calibri"/>
          <w:sz w:val="24"/>
          <w:szCs w:val="24"/>
          <w:lang w:val="en-GB"/>
        </w:rPr>
        <w:t xml:space="preserve">can be found </w:t>
      </w:r>
      <w:r w:rsidR="0069179F" w:rsidRPr="00BF1AEA">
        <w:rPr>
          <w:rFonts w:ascii="Calibri" w:hAnsi="Calibri"/>
          <w:sz w:val="24"/>
          <w:szCs w:val="24"/>
          <w:lang w:val="en-GB"/>
        </w:rPr>
        <w:t xml:space="preserve">in the resources section of </w:t>
      </w:r>
      <w:r w:rsidR="00D54C1D" w:rsidRPr="00BF1AEA">
        <w:rPr>
          <w:rFonts w:ascii="Calibri" w:hAnsi="Calibri"/>
          <w:sz w:val="24"/>
          <w:szCs w:val="24"/>
          <w:lang w:val="en-GB"/>
        </w:rPr>
        <w:t xml:space="preserve">the </w:t>
      </w:r>
      <w:r w:rsidR="00F702CE" w:rsidRPr="00BF1AEA">
        <w:rPr>
          <w:rFonts w:ascii="Calibri" w:hAnsi="Calibri"/>
          <w:sz w:val="24"/>
          <w:szCs w:val="24"/>
          <w:lang w:val="en-GB"/>
        </w:rPr>
        <w:t>National Disability Services website</w:t>
      </w:r>
      <w:r w:rsidR="0069179F" w:rsidRPr="00BF1AEA">
        <w:rPr>
          <w:rFonts w:ascii="Calibri" w:hAnsi="Calibri"/>
          <w:sz w:val="24"/>
          <w:szCs w:val="24"/>
          <w:lang w:val="en-GB"/>
        </w:rPr>
        <w:t>,</w:t>
      </w:r>
      <w:r w:rsidR="00112AF4" w:rsidRPr="00BF1AEA">
        <w:rPr>
          <w:rFonts w:ascii="Calibri" w:hAnsi="Calibri"/>
          <w:sz w:val="24"/>
          <w:szCs w:val="24"/>
          <w:lang w:val="en-GB"/>
        </w:rPr>
        <w:t xml:space="preserve"> such as </w:t>
      </w:r>
      <w:hyperlink r:id="rId22" w:anchor="WorkforceAttraction" w:history="1">
        <w:r w:rsidR="00112AF4" w:rsidRPr="00BF1AEA">
          <w:rPr>
            <w:rStyle w:val="Hyperlink"/>
            <w:rFonts w:ascii="Calibri" w:hAnsi="Calibri"/>
            <w:sz w:val="24"/>
            <w:szCs w:val="24"/>
            <w:lang w:val="en-GB"/>
          </w:rPr>
          <w:t>Workforce attraction</w:t>
        </w:r>
      </w:hyperlink>
      <w:r w:rsidR="00112AF4" w:rsidRPr="00BF1AEA">
        <w:rPr>
          <w:rFonts w:ascii="Calibri" w:hAnsi="Calibri"/>
          <w:sz w:val="24"/>
          <w:szCs w:val="24"/>
          <w:lang w:val="en-GB"/>
        </w:rPr>
        <w:t xml:space="preserve">, and </w:t>
      </w:r>
      <w:r w:rsidR="0069179F" w:rsidRPr="00BF1AEA">
        <w:rPr>
          <w:rFonts w:ascii="Calibri" w:hAnsi="Calibri"/>
          <w:sz w:val="24"/>
          <w:szCs w:val="24"/>
          <w:lang w:val="en-GB"/>
        </w:rPr>
        <w:t xml:space="preserve"> ‘</w:t>
      </w:r>
      <w:hyperlink r:id="rId23" w:history="1">
        <w:r w:rsidR="0069179F" w:rsidRPr="00BF1AEA">
          <w:rPr>
            <w:rStyle w:val="Hyperlink"/>
            <w:rFonts w:ascii="Calibri" w:hAnsi="Calibri"/>
            <w:sz w:val="24"/>
            <w:szCs w:val="24"/>
            <w:lang w:val="en-GB"/>
          </w:rPr>
          <w:t>Support your staffing strategy in NSW’</w:t>
        </w:r>
      </w:hyperlink>
      <w:r w:rsidR="00494953" w:rsidRPr="00BF1AEA">
        <w:rPr>
          <w:rFonts w:ascii="Calibri" w:hAnsi="Calibri"/>
          <w:sz w:val="24"/>
          <w:szCs w:val="24"/>
          <w:lang w:val="en-GB"/>
        </w:rPr>
        <w:t xml:space="preserve">, and the </w:t>
      </w:r>
      <w:r w:rsidR="00860C53" w:rsidRPr="00BF1AEA">
        <w:rPr>
          <w:rFonts w:ascii="Calibri" w:hAnsi="Calibri"/>
          <w:sz w:val="24"/>
          <w:szCs w:val="24"/>
          <w:lang w:val="en-GB"/>
        </w:rPr>
        <w:t xml:space="preserve">resources </w:t>
      </w:r>
      <w:r w:rsidR="00976DFD" w:rsidRPr="00BF1AEA">
        <w:rPr>
          <w:rFonts w:ascii="Calibri" w:hAnsi="Calibri"/>
          <w:sz w:val="24"/>
          <w:szCs w:val="24"/>
          <w:lang w:val="en-GB"/>
        </w:rPr>
        <w:t xml:space="preserve">on the </w:t>
      </w:r>
      <w:hyperlink r:id="rId24" w:anchor=":~:text=Find%20resources%20and%20information%20to%20support%20your%20workforce.,initiatives%2C%20including%20open%20consultations%2C%20resources%2C%20training%20and%20webinars." w:history="1">
        <w:r w:rsidR="00976DFD" w:rsidRPr="00BF1AEA">
          <w:rPr>
            <w:rStyle w:val="Hyperlink"/>
            <w:rFonts w:ascii="Calibri" w:hAnsi="Calibri"/>
            <w:sz w:val="24"/>
            <w:szCs w:val="24"/>
            <w:lang w:val="en-GB"/>
          </w:rPr>
          <w:t>Department of Health, Disability and Ageing website.</w:t>
        </w:r>
      </w:hyperlink>
    </w:p>
    <w:p w14:paraId="6510C6D4" w14:textId="7CF8E4F4" w:rsidR="00835A48" w:rsidRPr="00BF1AEA" w:rsidRDefault="00EF39EA" w:rsidP="00835A48">
      <w:pPr>
        <w:pStyle w:val="Heading2"/>
        <w:numPr>
          <w:ilvl w:val="0"/>
          <w:numId w:val="0"/>
        </w:numPr>
        <w:spacing w:line="240" w:lineRule="auto"/>
        <w:rPr>
          <w:rFonts w:ascii="Calibri" w:hAnsi="Calibri"/>
          <w:color w:val="8331A7"/>
          <w:lang w:val="en-GB"/>
        </w:rPr>
      </w:pPr>
      <w:bookmarkStart w:id="18" w:name="_Toc199322309"/>
      <w:bookmarkStart w:id="19" w:name="Casestudyskilledcare"/>
      <w:bookmarkStart w:id="20" w:name="Skilledcare"/>
      <w:r w:rsidRPr="00BF1AEA">
        <w:rPr>
          <w:rFonts w:ascii="Calibri" w:hAnsi="Calibri"/>
          <w:color w:val="8331A7"/>
          <w:lang w:val="en-GB"/>
        </w:rPr>
        <w:t>Case Study – Skilled Care</w:t>
      </w:r>
      <w:bookmarkEnd w:id="18"/>
    </w:p>
    <w:bookmarkEnd w:id="19"/>
    <w:bookmarkEnd w:id="20"/>
    <w:p w14:paraId="5C07C820" w14:textId="77777777" w:rsidR="00610663" w:rsidRPr="00BF1AEA" w:rsidRDefault="001F284A" w:rsidP="000E6A6B">
      <w:pPr>
        <w:pStyle w:val="BodyText"/>
        <w:spacing w:line="300" w:lineRule="auto"/>
        <w:rPr>
          <w:rFonts w:ascii="Calibri" w:hAnsi="Calibri"/>
          <w:sz w:val="24"/>
          <w:szCs w:val="24"/>
          <w:lang w:val="en-GB"/>
        </w:rPr>
      </w:pPr>
      <w:r w:rsidRPr="00BF1AEA">
        <w:rPr>
          <w:rFonts w:ascii="Calibri" w:hAnsi="Calibri"/>
          <w:sz w:val="24"/>
          <w:szCs w:val="24"/>
          <w:lang w:val="en-GB"/>
        </w:rPr>
        <w:t xml:space="preserve">This case study demonstrates strategies 2A, 2B, 2C and 2E which have been delivered through an industry-training provider partnership model. </w:t>
      </w:r>
    </w:p>
    <w:p w14:paraId="470068F4" w14:textId="249E92B2" w:rsidR="00610663" w:rsidRPr="00BF1AEA" w:rsidRDefault="001F284A" w:rsidP="000E6A6B">
      <w:pPr>
        <w:pStyle w:val="BodyText"/>
        <w:spacing w:line="300" w:lineRule="auto"/>
        <w:rPr>
          <w:rFonts w:ascii="Calibri" w:hAnsi="Calibri"/>
          <w:sz w:val="24"/>
          <w:szCs w:val="24"/>
          <w:lang w:val="en-GB"/>
        </w:rPr>
      </w:pPr>
      <w:hyperlink r:id="rId25" w:history="1">
        <w:r w:rsidRPr="00BF1AEA">
          <w:rPr>
            <w:rStyle w:val="Hyperlink"/>
            <w:rFonts w:ascii="Calibri" w:hAnsi="Calibri"/>
            <w:sz w:val="24"/>
            <w:szCs w:val="24"/>
            <w:lang w:val="en-GB"/>
          </w:rPr>
          <w:t>Skilled Care</w:t>
        </w:r>
      </w:hyperlink>
      <w:r w:rsidRPr="00BF1AEA">
        <w:rPr>
          <w:rFonts w:ascii="Calibri" w:hAnsi="Calibri"/>
          <w:sz w:val="24"/>
          <w:szCs w:val="24"/>
          <w:lang w:val="en-GB"/>
        </w:rPr>
        <w:t xml:space="preserve"> is a Registered Training Organisation (RTO) focusing on aged care staffing, training and recruitment. It operates nationally with supporting staff in New South Wales, Queensland, Victoria and Western Australia. It is owned by the LionHouse group of companies which has a diverse portfolio of industry education and employment solutions amongst private, government, and large multi-national workforces. </w:t>
      </w:r>
    </w:p>
    <w:p w14:paraId="78D3C8BA" w14:textId="77777777" w:rsidR="00610663" w:rsidRPr="00BF1AEA" w:rsidRDefault="001F284A" w:rsidP="000E6A6B">
      <w:pPr>
        <w:pStyle w:val="BodyText"/>
        <w:spacing w:line="300" w:lineRule="auto"/>
        <w:rPr>
          <w:rFonts w:ascii="Calibri" w:hAnsi="Calibri"/>
          <w:sz w:val="24"/>
          <w:szCs w:val="24"/>
          <w:lang w:val="en-GB"/>
        </w:rPr>
      </w:pPr>
      <w:r w:rsidRPr="00BF1AEA">
        <w:rPr>
          <w:rFonts w:ascii="Calibri" w:hAnsi="Calibri"/>
          <w:sz w:val="24"/>
          <w:szCs w:val="24"/>
          <w:lang w:val="en-GB"/>
        </w:rPr>
        <w:t xml:space="preserve">Skilled Care recognised that traineeships provide a strong incentive mechanism to attract students into the care and support sector, while also supporting employers to recruit workers. Skilled Care’s model provides organisations with a structured traineeship program which brings in high-quality candidates while removing or reducing financial barriers to hosting students. Employers are supported financially through a combination of available government incentives and payroll tax savings. </w:t>
      </w:r>
    </w:p>
    <w:p w14:paraId="28A19FAC" w14:textId="77777777" w:rsidR="003C67DD" w:rsidRPr="00BF1AEA" w:rsidRDefault="001F284A" w:rsidP="000E6A6B">
      <w:pPr>
        <w:pStyle w:val="BodyText"/>
        <w:spacing w:line="300" w:lineRule="auto"/>
        <w:rPr>
          <w:rFonts w:ascii="Calibri" w:hAnsi="Calibri"/>
          <w:sz w:val="24"/>
          <w:szCs w:val="24"/>
          <w:lang w:val="en-GB"/>
        </w:rPr>
      </w:pPr>
      <w:r w:rsidRPr="00BF1AEA">
        <w:rPr>
          <w:rFonts w:ascii="Calibri" w:hAnsi="Calibri"/>
          <w:sz w:val="24"/>
          <w:szCs w:val="24"/>
          <w:lang w:val="en-GB"/>
        </w:rPr>
        <w:t xml:space="preserve">Skilled Care identified that careful recruitment was a key factor in workforce attraction, and matching high-quality and motivated candidates with providers would support better retention within the sector. Skilled Care undertakes recruitment for no charge as part of its model, so the only cost to the employer is the subsidised labour cost to support the traineeship, which results in a net positive financial position for providers. </w:t>
      </w:r>
    </w:p>
    <w:p w14:paraId="686358A6" w14:textId="77777777" w:rsidR="0098708F" w:rsidRPr="00BF1AEA" w:rsidRDefault="001F284A" w:rsidP="000E6A6B">
      <w:pPr>
        <w:pStyle w:val="BodyText"/>
        <w:spacing w:line="300" w:lineRule="auto"/>
        <w:rPr>
          <w:rFonts w:ascii="Calibri" w:hAnsi="Calibri"/>
          <w:sz w:val="24"/>
          <w:szCs w:val="24"/>
          <w:lang w:val="en-GB"/>
        </w:rPr>
      </w:pPr>
      <w:r w:rsidRPr="00BF1AEA">
        <w:rPr>
          <w:rFonts w:ascii="Calibri" w:hAnsi="Calibri"/>
          <w:sz w:val="24"/>
          <w:szCs w:val="24"/>
          <w:lang w:val="en-GB"/>
        </w:rPr>
        <w:t xml:space="preserve">Once a partnership is established, Skilled Care </w:t>
      </w:r>
      <w:proofErr w:type="gramStart"/>
      <w:r w:rsidRPr="00BF1AEA">
        <w:rPr>
          <w:rFonts w:ascii="Calibri" w:hAnsi="Calibri"/>
          <w:sz w:val="24"/>
          <w:szCs w:val="24"/>
          <w:lang w:val="en-GB"/>
        </w:rPr>
        <w:t>recruits</w:t>
      </w:r>
      <w:proofErr w:type="gramEnd"/>
      <w:r w:rsidRPr="00BF1AEA">
        <w:rPr>
          <w:rFonts w:ascii="Calibri" w:hAnsi="Calibri"/>
          <w:sz w:val="24"/>
          <w:szCs w:val="24"/>
          <w:lang w:val="en-GB"/>
        </w:rPr>
        <w:t xml:space="preserve"> suitable candidates for the employer. Skilled Care’s model has a dedicated recruitment team which has a focus on ‘nurturing’ high-quality and motivated candidates for traineeships. The recruitment team targets the ‘considered career changer’ cohort rather than school leavers. It identifies individuals who show an interest in a potential career in care through web data analytics and interactions with advertising materials (such as banner ads or through SEEK). The Skilled Care recruitment team continuously engages with suitable candidates and manages all the administrative components of bringing the candidate on board into the program once they are ready to take the next step. </w:t>
      </w:r>
    </w:p>
    <w:p w14:paraId="0A8E4242" w14:textId="77777777" w:rsidR="0098708F" w:rsidRPr="00BF1AEA" w:rsidRDefault="001F284A" w:rsidP="001F284A">
      <w:pPr>
        <w:pStyle w:val="BodyText"/>
        <w:spacing w:line="312" w:lineRule="auto"/>
        <w:rPr>
          <w:rFonts w:ascii="Calibri" w:hAnsi="Calibri"/>
          <w:sz w:val="24"/>
          <w:szCs w:val="24"/>
          <w:lang w:val="en-GB"/>
        </w:rPr>
      </w:pPr>
      <w:r w:rsidRPr="00BF1AEA">
        <w:rPr>
          <w:rFonts w:ascii="Calibri" w:hAnsi="Calibri"/>
          <w:sz w:val="24"/>
          <w:szCs w:val="24"/>
          <w:lang w:val="en-GB"/>
        </w:rPr>
        <w:lastRenderedPageBreak/>
        <w:t xml:space="preserve">Skilled Care has received significant positive feedback on their model as providing a ‘win-win’ for both care organisations and trainees. The uptake rate for a candidate put forward for a final interview with the employer is 70%. The careful consideration and identification of suitable candidates </w:t>
      </w:r>
      <w:proofErr w:type="gramStart"/>
      <w:r w:rsidRPr="00BF1AEA">
        <w:rPr>
          <w:rFonts w:ascii="Calibri" w:hAnsi="Calibri"/>
          <w:sz w:val="24"/>
          <w:szCs w:val="24"/>
          <w:lang w:val="en-GB"/>
        </w:rPr>
        <w:t>provides</w:t>
      </w:r>
      <w:proofErr w:type="gramEnd"/>
      <w:r w:rsidRPr="00BF1AEA">
        <w:rPr>
          <w:rFonts w:ascii="Calibri" w:hAnsi="Calibri"/>
          <w:sz w:val="24"/>
          <w:szCs w:val="24"/>
          <w:lang w:val="en-GB"/>
        </w:rPr>
        <w:t xml:space="preserve"> organisations with a pipeline of trainees which they can invest in with confidence. </w:t>
      </w:r>
    </w:p>
    <w:p w14:paraId="5D4DE81C" w14:textId="77777777" w:rsidR="0098708F" w:rsidRPr="00BF1AEA" w:rsidRDefault="001F284A" w:rsidP="001F284A">
      <w:pPr>
        <w:pStyle w:val="BodyText"/>
        <w:spacing w:line="312" w:lineRule="auto"/>
        <w:rPr>
          <w:rFonts w:ascii="Calibri" w:hAnsi="Calibri"/>
          <w:sz w:val="24"/>
          <w:szCs w:val="24"/>
          <w:lang w:val="en-GB"/>
        </w:rPr>
      </w:pPr>
      <w:r w:rsidRPr="00BF1AEA">
        <w:rPr>
          <w:rFonts w:ascii="Calibri" w:hAnsi="Calibri"/>
          <w:sz w:val="24"/>
          <w:szCs w:val="24"/>
          <w:lang w:val="en-GB"/>
        </w:rPr>
        <w:t xml:space="preserve">The traineeship model has also had a significant positive impact on workforce stress at partner care organisations. Due to the functional nature of the training provided by Skill Care, the trainees can alleviate workload pressures rather than add to them, which results in improved quality of care and staff satisfaction within the facilities. </w:t>
      </w:r>
    </w:p>
    <w:p w14:paraId="48469D7F" w14:textId="0E909FC4" w:rsidR="003674C3" w:rsidRPr="00BF1AEA" w:rsidRDefault="001F284A" w:rsidP="001F284A">
      <w:pPr>
        <w:pStyle w:val="BodyText"/>
        <w:spacing w:line="312" w:lineRule="auto"/>
        <w:rPr>
          <w:rFonts w:ascii="Calibri" w:hAnsi="Calibri"/>
          <w:sz w:val="24"/>
          <w:szCs w:val="24"/>
          <w:lang w:val="en-GB"/>
        </w:rPr>
      </w:pPr>
      <w:r w:rsidRPr="00BF1AEA">
        <w:rPr>
          <w:rFonts w:ascii="Calibri" w:hAnsi="Calibri"/>
          <w:sz w:val="24"/>
          <w:szCs w:val="24"/>
          <w:lang w:val="en-GB"/>
        </w:rPr>
        <w:t xml:space="preserve">Student retention and progression too </w:t>
      </w:r>
      <w:proofErr w:type="gramStart"/>
      <w:r w:rsidRPr="00BF1AEA">
        <w:rPr>
          <w:rFonts w:ascii="Calibri" w:hAnsi="Calibri"/>
          <w:sz w:val="24"/>
          <w:szCs w:val="24"/>
          <w:lang w:val="en-GB"/>
        </w:rPr>
        <w:t>has</w:t>
      </w:r>
      <w:proofErr w:type="gramEnd"/>
      <w:r w:rsidRPr="00BF1AEA">
        <w:rPr>
          <w:rFonts w:ascii="Calibri" w:hAnsi="Calibri"/>
          <w:sz w:val="24"/>
          <w:szCs w:val="24"/>
          <w:lang w:val="en-GB"/>
        </w:rPr>
        <w:t xml:space="preserve"> been significantly higher under this model than the full qualification pathway. The 12-month commitment of a Certificate III in Individual Support (Ageing and Disability) is often difficult for a student to sustain financially. Skilled Care’s approach of embedding employment into the training process motivates students to continue through to completion. Moreover, Skilled Care have achieved an average progression rate of 84% from their Certificate III into a Certificate IV.</w:t>
      </w:r>
    </w:p>
    <w:p w14:paraId="7D01689A" w14:textId="35EE6B3C" w:rsidR="00E713B1" w:rsidRPr="00BF1AEA" w:rsidRDefault="00241E1B" w:rsidP="00E713B1">
      <w:pPr>
        <w:pStyle w:val="Heading1"/>
        <w:spacing w:line="240" w:lineRule="auto"/>
        <w:rPr>
          <w:rFonts w:ascii="Calibri" w:hAnsi="Calibri"/>
          <w:color w:val="8331A7"/>
          <w:lang w:val="en-GB"/>
        </w:rPr>
      </w:pPr>
      <w:bookmarkStart w:id="21" w:name="_Toc199322310"/>
      <w:r w:rsidRPr="00BF1AEA">
        <w:rPr>
          <w:rFonts w:ascii="Calibri" w:hAnsi="Calibri"/>
          <w:color w:val="8331A7"/>
          <w:lang w:val="en-GB"/>
        </w:rPr>
        <w:lastRenderedPageBreak/>
        <w:t>Supporting placements</w:t>
      </w:r>
      <w:bookmarkEnd w:id="21"/>
    </w:p>
    <w:p w14:paraId="3A16C8E4" w14:textId="77777777" w:rsidR="00E713B1" w:rsidRPr="00BF1AEA" w:rsidRDefault="00E713B1" w:rsidP="00E713B1">
      <w:pPr>
        <w:pStyle w:val="Heading2"/>
        <w:numPr>
          <w:ilvl w:val="0"/>
          <w:numId w:val="0"/>
        </w:numPr>
        <w:spacing w:line="240" w:lineRule="auto"/>
        <w:rPr>
          <w:rFonts w:ascii="Calibri" w:hAnsi="Calibri"/>
          <w:color w:val="8331A7"/>
          <w:lang w:val="en-GB"/>
        </w:rPr>
      </w:pPr>
      <w:bookmarkStart w:id="22" w:name="_Toc199322311"/>
      <w:r w:rsidRPr="00BF1AEA">
        <w:rPr>
          <w:rFonts w:ascii="Calibri" w:hAnsi="Calibri"/>
          <w:color w:val="8331A7"/>
          <w:lang w:val="en-GB"/>
        </w:rPr>
        <w:t>Why it is important</w:t>
      </w:r>
      <w:bookmarkEnd w:id="22"/>
    </w:p>
    <w:p w14:paraId="6EA2533D" w14:textId="77777777" w:rsidR="0058042F" w:rsidRPr="00BF1AEA" w:rsidRDefault="0058042F" w:rsidP="00E713B1">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Placements are a mandatory component of many education and training programs. They also provide a positive opportunity to attract and recruit workers into employment with the organisation providing the placement. The quality of placements significantly affects whether students choose to work in the care and support sector. </w:t>
      </w:r>
    </w:p>
    <w:p w14:paraId="33092734" w14:textId="3149933D" w:rsidR="003674C3" w:rsidRPr="00BF1AEA" w:rsidRDefault="0058042F" w:rsidP="00E713B1">
      <w:pPr>
        <w:pStyle w:val="BodyText"/>
        <w:spacing w:before="0" w:line="312" w:lineRule="auto"/>
        <w:rPr>
          <w:rFonts w:ascii="Calibri" w:hAnsi="Calibri"/>
          <w:sz w:val="24"/>
          <w:szCs w:val="24"/>
          <w:lang w:val="en-GB"/>
        </w:rPr>
      </w:pPr>
      <w:r w:rsidRPr="00BF1AEA">
        <w:rPr>
          <w:rFonts w:ascii="Calibri" w:hAnsi="Calibri"/>
          <w:sz w:val="24"/>
          <w:szCs w:val="24"/>
          <w:lang w:val="en-GB"/>
        </w:rPr>
        <w:t>Positive placement experiences lead to greater numbers of students, trainees and interns who are likely to consider careers in the care and support sector. Important factors in providing students with positive experiences are the availability, quality and range of settings in which placements are undertaken. Increasing positive exposure pre-service also helps alleviate negative perceptions about careers in the care and support sector.</w:t>
      </w:r>
    </w:p>
    <w:p w14:paraId="48DEB0A2" w14:textId="0FB0E7F0" w:rsidR="00EA2E7F" w:rsidRPr="00BF1AEA" w:rsidRDefault="006F58B0" w:rsidP="00EA2E7F">
      <w:pPr>
        <w:pStyle w:val="Heading2"/>
        <w:numPr>
          <w:ilvl w:val="0"/>
          <w:numId w:val="0"/>
        </w:numPr>
        <w:spacing w:line="240" w:lineRule="auto"/>
        <w:rPr>
          <w:rFonts w:ascii="Calibri" w:hAnsi="Calibri"/>
          <w:color w:val="8331A7"/>
          <w:lang w:val="en-GB"/>
        </w:rPr>
      </w:pPr>
      <w:bookmarkStart w:id="23" w:name="_Toc199322312"/>
      <w:r w:rsidRPr="00BF1AEA">
        <w:rPr>
          <w:rFonts w:ascii="Calibri" w:hAnsi="Calibri"/>
          <w:color w:val="8331A7"/>
          <w:lang w:val="en-GB"/>
        </w:rPr>
        <w:t>What are the common barriers</w:t>
      </w:r>
      <w:bookmarkEnd w:id="23"/>
    </w:p>
    <w:p w14:paraId="36E7D066" w14:textId="77777777" w:rsidR="001C19A0" w:rsidRPr="00BF1AEA" w:rsidRDefault="001C19A0" w:rsidP="001C19A0">
      <w:pPr>
        <w:pStyle w:val="BodyText"/>
        <w:spacing w:before="0" w:after="0" w:line="312" w:lineRule="auto"/>
        <w:rPr>
          <w:rFonts w:ascii="Calibri" w:hAnsi="Calibri"/>
          <w:color w:val="7030A0"/>
          <w:sz w:val="28"/>
          <w:szCs w:val="28"/>
          <w:lang w:val="en-GB"/>
        </w:rPr>
      </w:pPr>
      <w:r w:rsidRPr="00BF1AEA">
        <w:rPr>
          <w:rFonts w:ascii="Calibri" w:hAnsi="Calibri"/>
          <w:color w:val="7030A0"/>
          <w:sz w:val="28"/>
          <w:szCs w:val="28"/>
          <w:lang w:val="en-GB"/>
        </w:rPr>
        <w:t xml:space="preserve">Placement poverty </w:t>
      </w:r>
    </w:p>
    <w:p w14:paraId="36E85FF0" w14:textId="2ECD8362" w:rsidR="001C19A0" w:rsidRPr="00BF1AEA" w:rsidRDefault="001C19A0" w:rsidP="00EA2E7F">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Placements often require students to give up paid work to complete their assessments, with many students unable to do so given their financial </w:t>
      </w:r>
      <w:r w:rsidR="00973F41" w:rsidRPr="00BF1AEA">
        <w:rPr>
          <w:rFonts w:ascii="Calibri" w:hAnsi="Calibri"/>
          <w:sz w:val="24"/>
          <w:szCs w:val="24"/>
          <w:lang w:val="en-GB"/>
        </w:rPr>
        <w:t xml:space="preserve">and personal </w:t>
      </w:r>
      <w:r w:rsidRPr="00BF1AEA">
        <w:rPr>
          <w:rFonts w:ascii="Calibri" w:hAnsi="Calibri"/>
          <w:sz w:val="24"/>
          <w:szCs w:val="24"/>
          <w:lang w:val="en-GB"/>
        </w:rPr>
        <w:t xml:space="preserve">situations. This results in missed opportunities for employers in accessing potential workers. </w:t>
      </w:r>
    </w:p>
    <w:p w14:paraId="4465B93C" w14:textId="77777777" w:rsidR="001C19A0" w:rsidRPr="00BF1AEA" w:rsidRDefault="001C19A0" w:rsidP="001C19A0">
      <w:pPr>
        <w:pStyle w:val="BodyText"/>
        <w:spacing w:before="0" w:after="0" w:line="312" w:lineRule="auto"/>
        <w:rPr>
          <w:rFonts w:ascii="Calibri" w:hAnsi="Calibri"/>
          <w:color w:val="7030A0"/>
          <w:sz w:val="28"/>
          <w:szCs w:val="28"/>
          <w:lang w:val="en-GB"/>
        </w:rPr>
      </w:pPr>
      <w:r w:rsidRPr="00BF1AEA">
        <w:rPr>
          <w:rFonts w:ascii="Calibri" w:hAnsi="Calibri"/>
          <w:color w:val="7030A0"/>
          <w:sz w:val="28"/>
          <w:szCs w:val="28"/>
          <w:lang w:val="en-GB"/>
        </w:rPr>
        <w:t xml:space="preserve">Supervision </w:t>
      </w:r>
    </w:p>
    <w:p w14:paraId="051293A6" w14:textId="77777777" w:rsidR="001C19A0" w:rsidRPr="00BF1AEA" w:rsidRDefault="001C19A0" w:rsidP="00EA2E7F">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Workforce pressures impact the ability of employers to provide sufficient supervision to students on placement, particularly in releasing staff with appropriate experience and mentoring and coaching skills to ensure that students have a positive learning experience. </w:t>
      </w:r>
    </w:p>
    <w:p w14:paraId="6A975E23" w14:textId="77777777" w:rsidR="001C19A0" w:rsidRPr="00BF1AEA" w:rsidRDefault="001C19A0" w:rsidP="001C19A0">
      <w:pPr>
        <w:pStyle w:val="BodyText"/>
        <w:spacing w:before="0" w:after="0" w:line="312" w:lineRule="auto"/>
        <w:rPr>
          <w:rFonts w:ascii="Calibri" w:hAnsi="Calibri"/>
          <w:color w:val="7030A0"/>
          <w:sz w:val="28"/>
          <w:szCs w:val="28"/>
          <w:lang w:val="en-GB"/>
        </w:rPr>
      </w:pPr>
      <w:r w:rsidRPr="00BF1AEA">
        <w:rPr>
          <w:rFonts w:ascii="Calibri" w:hAnsi="Calibri"/>
          <w:color w:val="7030A0"/>
          <w:sz w:val="28"/>
          <w:szCs w:val="28"/>
          <w:lang w:val="en-GB"/>
        </w:rPr>
        <w:t xml:space="preserve">Community settings </w:t>
      </w:r>
    </w:p>
    <w:p w14:paraId="3657FEAB" w14:textId="695C3FF4" w:rsidR="001C19A0" w:rsidRPr="00BF1AEA" w:rsidRDefault="001C19A0" w:rsidP="00EA2E7F">
      <w:pPr>
        <w:pStyle w:val="BodyText"/>
        <w:spacing w:before="0" w:line="312" w:lineRule="auto"/>
        <w:rPr>
          <w:rFonts w:ascii="Calibri" w:hAnsi="Calibri"/>
          <w:sz w:val="24"/>
          <w:szCs w:val="24"/>
          <w:lang w:val="en-GB"/>
        </w:rPr>
      </w:pPr>
      <w:r w:rsidRPr="00BF1AEA">
        <w:rPr>
          <w:rFonts w:ascii="Calibri" w:hAnsi="Calibri"/>
          <w:sz w:val="24"/>
          <w:szCs w:val="24"/>
          <w:lang w:val="en-GB"/>
        </w:rPr>
        <w:t>Workforce shortages also make it difficult to provide placements in community or home-based care</w:t>
      </w:r>
      <w:r w:rsidR="00F4298E" w:rsidRPr="00BF1AEA">
        <w:rPr>
          <w:rFonts w:ascii="Calibri" w:hAnsi="Calibri"/>
          <w:sz w:val="24"/>
          <w:szCs w:val="24"/>
          <w:lang w:val="en-GB"/>
        </w:rPr>
        <w:t xml:space="preserve"> and s</w:t>
      </w:r>
      <w:r w:rsidR="00F83E79" w:rsidRPr="00BF1AEA">
        <w:rPr>
          <w:rFonts w:ascii="Calibri" w:hAnsi="Calibri"/>
          <w:sz w:val="24"/>
          <w:szCs w:val="24"/>
          <w:lang w:val="en-GB"/>
        </w:rPr>
        <w:t>upport</w:t>
      </w:r>
      <w:r w:rsidRPr="00BF1AEA">
        <w:rPr>
          <w:rFonts w:ascii="Calibri" w:hAnsi="Calibri"/>
          <w:sz w:val="24"/>
          <w:szCs w:val="24"/>
          <w:lang w:val="en-GB"/>
        </w:rPr>
        <w:t xml:space="preserve">, shifting primary exposure to residential aged care settings rather than the full suite of environments in which supports are delivered. People receiving care </w:t>
      </w:r>
      <w:r w:rsidR="00F4298E" w:rsidRPr="00BF1AEA">
        <w:rPr>
          <w:rFonts w:ascii="Calibri" w:hAnsi="Calibri"/>
          <w:sz w:val="24"/>
          <w:szCs w:val="24"/>
          <w:lang w:val="en-GB"/>
        </w:rPr>
        <w:t xml:space="preserve">and support </w:t>
      </w:r>
      <w:r w:rsidRPr="00BF1AEA">
        <w:rPr>
          <w:rFonts w:ascii="Calibri" w:hAnsi="Calibri"/>
          <w:sz w:val="24"/>
          <w:szCs w:val="24"/>
          <w:lang w:val="en-GB"/>
        </w:rPr>
        <w:t xml:space="preserve">in the community may not consent to having students attend on placements. In rural, regional and remote settings, supporting placements can be even more difficult due to the lack of appropriate resources, access to trainers and diverse placement settings available in these regions. </w:t>
      </w:r>
    </w:p>
    <w:p w14:paraId="51455778" w14:textId="77777777" w:rsidR="001C19A0" w:rsidRPr="00BF1AEA" w:rsidRDefault="001C19A0" w:rsidP="001C19A0">
      <w:pPr>
        <w:pStyle w:val="BodyText"/>
        <w:spacing w:before="0" w:after="0" w:line="312" w:lineRule="auto"/>
        <w:rPr>
          <w:rFonts w:ascii="Calibri" w:hAnsi="Calibri"/>
          <w:color w:val="7030A0"/>
          <w:sz w:val="28"/>
          <w:szCs w:val="28"/>
          <w:lang w:val="en-GB"/>
        </w:rPr>
      </w:pPr>
      <w:r w:rsidRPr="00BF1AEA">
        <w:rPr>
          <w:rFonts w:ascii="Calibri" w:hAnsi="Calibri"/>
          <w:color w:val="7030A0"/>
          <w:sz w:val="28"/>
          <w:szCs w:val="28"/>
          <w:lang w:val="en-GB"/>
        </w:rPr>
        <w:t xml:space="preserve">Partnerships </w:t>
      </w:r>
    </w:p>
    <w:p w14:paraId="28F1372E" w14:textId="68D1BCD0" w:rsidR="00EA2E7F" w:rsidRPr="00BF1AEA" w:rsidRDefault="001C19A0" w:rsidP="00EA2E7F">
      <w:pPr>
        <w:pStyle w:val="BodyText"/>
        <w:spacing w:before="0" w:line="312" w:lineRule="auto"/>
        <w:rPr>
          <w:rFonts w:ascii="Calibri" w:hAnsi="Calibri"/>
          <w:sz w:val="24"/>
          <w:szCs w:val="24"/>
          <w:lang w:val="en-GB"/>
        </w:rPr>
      </w:pPr>
      <w:r w:rsidRPr="00BF1AEA">
        <w:rPr>
          <w:rFonts w:ascii="Calibri" w:hAnsi="Calibri"/>
          <w:sz w:val="24"/>
          <w:szCs w:val="24"/>
          <w:lang w:val="en-GB"/>
        </w:rPr>
        <w:t>Training providers often find it difficult to establish industry and employer partnerships to support quality placements, due to the perception that placements place a high administrative burden on service providers which reduces their willingness to host students.</w:t>
      </w:r>
    </w:p>
    <w:p w14:paraId="181903F0" w14:textId="1CD6B9D6" w:rsidR="0087461C" w:rsidRPr="00BF1AEA" w:rsidRDefault="009F646C" w:rsidP="0087461C">
      <w:pPr>
        <w:pStyle w:val="Heading2"/>
        <w:numPr>
          <w:ilvl w:val="0"/>
          <w:numId w:val="0"/>
        </w:numPr>
        <w:spacing w:line="240" w:lineRule="auto"/>
        <w:rPr>
          <w:rFonts w:ascii="Calibri" w:hAnsi="Calibri"/>
          <w:color w:val="8331A7"/>
          <w:lang w:val="en-GB"/>
        </w:rPr>
      </w:pPr>
      <w:bookmarkStart w:id="24" w:name="_Toc199322313"/>
      <w:r w:rsidRPr="00BF1AEA">
        <w:rPr>
          <w:rFonts w:ascii="Calibri" w:hAnsi="Calibri"/>
          <w:color w:val="8331A7"/>
          <w:lang w:val="en-GB"/>
        </w:rPr>
        <w:lastRenderedPageBreak/>
        <w:t>Effective strategies</w:t>
      </w:r>
      <w:bookmarkEnd w:id="24"/>
    </w:p>
    <w:p w14:paraId="062F7741" w14:textId="75C5010C" w:rsidR="00747BAA" w:rsidRPr="00BF1AEA" w:rsidRDefault="00B0485C" w:rsidP="00747BAA">
      <w:pPr>
        <w:pStyle w:val="BodyText"/>
        <w:spacing w:before="0" w:after="0" w:line="312" w:lineRule="auto"/>
        <w:rPr>
          <w:rFonts w:ascii="Calibri" w:hAnsi="Calibri"/>
          <w:color w:val="7030A0"/>
          <w:sz w:val="28"/>
          <w:szCs w:val="28"/>
          <w:lang w:val="en-GB"/>
        </w:rPr>
      </w:pPr>
      <w:bookmarkStart w:id="25" w:name="Partnershipapproaches"/>
      <w:r w:rsidRPr="00BF1AEA">
        <w:rPr>
          <w:rFonts w:ascii="Calibri" w:hAnsi="Calibri"/>
          <w:color w:val="7030A0"/>
          <w:sz w:val="28"/>
          <w:szCs w:val="28"/>
          <w:lang w:val="en-GB"/>
        </w:rPr>
        <w:t>3A – Partnership approaches</w:t>
      </w:r>
    </w:p>
    <w:bookmarkEnd w:id="25"/>
    <w:p w14:paraId="0EBD880D" w14:textId="7E2EF19D" w:rsidR="0087461C" w:rsidRPr="00BF1AEA" w:rsidRDefault="00081555" w:rsidP="0087461C">
      <w:pPr>
        <w:pStyle w:val="BodyText"/>
        <w:spacing w:before="0" w:line="312" w:lineRule="auto"/>
        <w:rPr>
          <w:rFonts w:ascii="Calibri" w:hAnsi="Calibri"/>
          <w:sz w:val="24"/>
          <w:szCs w:val="24"/>
          <w:lang w:val="en-GB"/>
        </w:rPr>
      </w:pPr>
      <w:r w:rsidRPr="00BF1AEA">
        <w:rPr>
          <w:rFonts w:ascii="Calibri" w:hAnsi="Calibri"/>
          <w:sz w:val="24"/>
          <w:szCs w:val="24"/>
          <w:lang w:val="en-GB"/>
        </w:rPr>
        <w:t>Employers have worked closely with training providers to build strong placement processes. This can include establishing preferred provider arrangements to ensure availability, working with RTOs to introduce screening approaches to ensure that students on placement are a good cultural fit with an interest in working in the sector, having clear roles and responsibilities between RTOs and employers, and establishing arrangements that support supervision and mentoring throughout placements.</w:t>
      </w:r>
    </w:p>
    <w:p w14:paraId="2513F41A" w14:textId="2BEE2AF2" w:rsidR="00BA7799" w:rsidRPr="00BF1AEA" w:rsidRDefault="005D5B0A" w:rsidP="00BA7799">
      <w:pPr>
        <w:pStyle w:val="BodyText"/>
        <w:spacing w:before="0" w:after="0" w:line="312" w:lineRule="auto"/>
        <w:rPr>
          <w:rFonts w:ascii="Calibri" w:hAnsi="Calibri"/>
          <w:color w:val="7030A0"/>
          <w:sz w:val="28"/>
          <w:szCs w:val="28"/>
          <w:lang w:val="en-GB"/>
        </w:rPr>
      </w:pPr>
      <w:bookmarkStart w:id="26" w:name="Workplacesupports"/>
      <w:r w:rsidRPr="00BF1AEA">
        <w:rPr>
          <w:rFonts w:ascii="Calibri" w:hAnsi="Calibri"/>
          <w:color w:val="7030A0"/>
          <w:sz w:val="28"/>
          <w:szCs w:val="28"/>
          <w:lang w:val="en-GB"/>
        </w:rPr>
        <w:t>3B – Workplace supports</w:t>
      </w:r>
    </w:p>
    <w:bookmarkEnd w:id="26"/>
    <w:p w14:paraId="449C0601" w14:textId="77777777" w:rsidR="000C1162" w:rsidRPr="00BF1AEA" w:rsidRDefault="000C1162" w:rsidP="00BA7799">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Employer practices here have included: </w:t>
      </w:r>
    </w:p>
    <w:p w14:paraId="0A715580" w14:textId="77777777" w:rsidR="000C1162" w:rsidRPr="00BF1AEA" w:rsidRDefault="000C1162" w:rsidP="00FA2EC7">
      <w:pPr>
        <w:pStyle w:val="BodyText"/>
        <w:numPr>
          <w:ilvl w:val="0"/>
          <w:numId w:val="41"/>
        </w:numPr>
        <w:spacing w:before="0" w:line="312" w:lineRule="auto"/>
        <w:rPr>
          <w:lang w:val="en-GB"/>
        </w:rPr>
      </w:pPr>
      <w:r w:rsidRPr="00BF1AEA">
        <w:rPr>
          <w:rFonts w:ascii="Calibri" w:hAnsi="Calibri"/>
          <w:sz w:val="24"/>
          <w:szCs w:val="24"/>
          <w:lang w:val="en-GB"/>
        </w:rPr>
        <w:t xml:space="preserve">the use of ‘buddy shifts’, where workers are paired to build peer relationships </w:t>
      </w:r>
    </w:p>
    <w:p w14:paraId="275C5E34" w14:textId="3D0BD82F" w:rsidR="000C1162" w:rsidRPr="00BF1AEA" w:rsidRDefault="000C1162" w:rsidP="00FA2EC7">
      <w:pPr>
        <w:pStyle w:val="BodyText"/>
        <w:numPr>
          <w:ilvl w:val="0"/>
          <w:numId w:val="41"/>
        </w:numPr>
        <w:spacing w:before="0" w:line="312" w:lineRule="auto"/>
        <w:rPr>
          <w:lang w:val="en-GB"/>
        </w:rPr>
      </w:pPr>
      <w:r w:rsidRPr="00BF1AEA">
        <w:rPr>
          <w:rFonts w:ascii="Calibri" w:hAnsi="Calibri"/>
          <w:sz w:val="24"/>
          <w:szCs w:val="24"/>
          <w:lang w:val="en-GB"/>
        </w:rPr>
        <w:t xml:space="preserve">dedicated positions within services for mentoring and coaching </w:t>
      </w:r>
    </w:p>
    <w:p w14:paraId="6155D818" w14:textId="77777777" w:rsidR="000C1162" w:rsidRPr="00BF1AEA" w:rsidRDefault="000C1162" w:rsidP="00FA2EC7">
      <w:pPr>
        <w:pStyle w:val="BodyText"/>
        <w:numPr>
          <w:ilvl w:val="0"/>
          <w:numId w:val="41"/>
        </w:numPr>
        <w:spacing w:before="0" w:line="312" w:lineRule="auto"/>
        <w:rPr>
          <w:lang w:val="en-GB"/>
        </w:rPr>
      </w:pPr>
      <w:r w:rsidRPr="00BF1AEA">
        <w:rPr>
          <w:rFonts w:ascii="Calibri" w:hAnsi="Calibri"/>
          <w:sz w:val="24"/>
          <w:szCs w:val="24"/>
          <w:lang w:val="en-GB"/>
        </w:rPr>
        <w:t>regular check-ins with students on placement to ensure meaningful learning opportunities.</w:t>
      </w:r>
    </w:p>
    <w:p w14:paraId="2A29EA73" w14:textId="79CA4F6C" w:rsidR="00BA7799" w:rsidRPr="00BF1AEA" w:rsidRDefault="000C1162" w:rsidP="000C1162">
      <w:pPr>
        <w:pStyle w:val="BodyText"/>
        <w:spacing w:before="0" w:line="312" w:lineRule="auto"/>
        <w:rPr>
          <w:rFonts w:ascii="Calibri" w:hAnsi="Calibri"/>
          <w:sz w:val="24"/>
          <w:szCs w:val="24"/>
          <w:lang w:val="en-GB"/>
        </w:rPr>
      </w:pPr>
      <w:r w:rsidRPr="00BF1AEA">
        <w:rPr>
          <w:rFonts w:ascii="Calibri" w:hAnsi="Calibri"/>
          <w:sz w:val="24"/>
          <w:szCs w:val="24"/>
          <w:lang w:val="en-GB"/>
        </w:rPr>
        <w:t>These have helped them improve placement experiences and support more students to complete, and transition to working in the sector.</w:t>
      </w:r>
    </w:p>
    <w:p w14:paraId="3E412F86" w14:textId="685545F2" w:rsidR="00F702CE" w:rsidRPr="00BF1AEA" w:rsidRDefault="00F702CE" w:rsidP="000C1162">
      <w:pPr>
        <w:pStyle w:val="BodyText"/>
        <w:spacing w:before="0" w:line="312" w:lineRule="auto"/>
        <w:rPr>
          <w:rFonts w:ascii="Calibri" w:hAnsi="Calibri"/>
          <w:sz w:val="24"/>
          <w:szCs w:val="24"/>
          <w:lang w:val="en-GB"/>
        </w:rPr>
      </w:pPr>
      <w:r w:rsidRPr="00BF1AEA">
        <w:rPr>
          <w:rFonts w:ascii="Calibri" w:hAnsi="Calibri"/>
          <w:sz w:val="24"/>
          <w:szCs w:val="24"/>
          <w:lang w:val="en-GB"/>
        </w:rPr>
        <w:t>The case study below shows how these strategies can be implemented</w:t>
      </w:r>
      <w:r w:rsidR="00AB387D" w:rsidRPr="00BF1AEA">
        <w:rPr>
          <w:rFonts w:ascii="Calibri" w:hAnsi="Calibri"/>
          <w:sz w:val="24"/>
          <w:szCs w:val="24"/>
          <w:lang w:val="en-GB"/>
        </w:rPr>
        <w:t>.</w:t>
      </w:r>
    </w:p>
    <w:p w14:paraId="3C2EE0C3" w14:textId="4241658F" w:rsidR="002563C8" w:rsidRPr="00BF1AEA" w:rsidRDefault="006D17B5" w:rsidP="002563C8">
      <w:pPr>
        <w:pStyle w:val="Heading2"/>
        <w:numPr>
          <w:ilvl w:val="0"/>
          <w:numId w:val="0"/>
        </w:numPr>
        <w:spacing w:line="240" w:lineRule="auto"/>
        <w:rPr>
          <w:rFonts w:ascii="Calibri" w:hAnsi="Calibri"/>
          <w:color w:val="8331A7"/>
          <w:lang w:val="en-GB"/>
        </w:rPr>
      </w:pPr>
      <w:bookmarkStart w:id="27" w:name="_Toc199322314"/>
      <w:bookmarkStart w:id="28" w:name="Bluecare"/>
      <w:r w:rsidRPr="00BF1AEA">
        <w:rPr>
          <w:rFonts w:ascii="Calibri" w:hAnsi="Calibri"/>
          <w:color w:val="8331A7"/>
          <w:lang w:val="en-GB"/>
        </w:rPr>
        <w:t>Case study – BlueCare</w:t>
      </w:r>
      <w:bookmarkEnd w:id="27"/>
    </w:p>
    <w:bookmarkEnd w:id="28"/>
    <w:p w14:paraId="1CFCE343" w14:textId="77777777" w:rsidR="0080158B" w:rsidRPr="00BF1AEA" w:rsidRDefault="00845402" w:rsidP="002563C8">
      <w:pPr>
        <w:pStyle w:val="BodyText"/>
        <w:spacing w:before="0" w:line="312" w:lineRule="auto"/>
        <w:rPr>
          <w:lang w:val="en-GB"/>
        </w:rPr>
      </w:pPr>
      <w:r w:rsidRPr="00BF1AEA">
        <w:rPr>
          <w:rFonts w:ascii="Calibri" w:hAnsi="Calibri"/>
          <w:sz w:val="24"/>
          <w:szCs w:val="24"/>
          <w:lang w:val="en-GB"/>
        </w:rPr>
        <w:t>This case study demonstrates strategies 3A and 3B, led by an employer to support positive placements.</w:t>
      </w:r>
      <w:r w:rsidR="0080158B" w:rsidRPr="00BF1AEA">
        <w:rPr>
          <w:lang w:val="en-GB"/>
        </w:rPr>
        <w:t xml:space="preserve"> </w:t>
      </w:r>
    </w:p>
    <w:p w14:paraId="54099FD0" w14:textId="6142310A" w:rsidR="003E3E9F" w:rsidRPr="00BF1AEA" w:rsidRDefault="0080158B" w:rsidP="002563C8">
      <w:pPr>
        <w:pStyle w:val="BodyText"/>
        <w:spacing w:before="0" w:line="312" w:lineRule="auto"/>
        <w:rPr>
          <w:rFonts w:ascii="Calibri" w:hAnsi="Calibri"/>
          <w:sz w:val="24"/>
          <w:szCs w:val="24"/>
          <w:lang w:val="en-GB"/>
        </w:rPr>
      </w:pPr>
      <w:hyperlink r:id="rId26" w:history="1">
        <w:r w:rsidRPr="00BF1AEA">
          <w:rPr>
            <w:rStyle w:val="Hyperlink"/>
            <w:rFonts w:ascii="Calibri" w:hAnsi="Calibri"/>
            <w:sz w:val="24"/>
            <w:szCs w:val="24"/>
            <w:lang w:val="en-GB"/>
          </w:rPr>
          <w:t>BlueCare</w:t>
        </w:r>
      </w:hyperlink>
      <w:r w:rsidRPr="00BF1AEA">
        <w:rPr>
          <w:rFonts w:ascii="Calibri" w:hAnsi="Calibri"/>
          <w:sz w:val="24"/>
          <w:szCs w:val="24"/>
          <w:lang w:val="en-GB"/>
        </w:rPr>
        <w:t xml:space="preserve"> is one of Queensland’s largest providers of in-home care, residential aged care, and retirement living, working to help communities live rich and full lives. It was established in 1953 and is an agency of UnitingCare, underpinned by the shared values of compassion, respect, justice, working together and leading through learning. </w:t>
      </w:r>
    </w:p>
    <w:p w14:paraId="3C1ECE31" w14:textId="77777777" w:rsidR="003E3E9F" w:rsidRPr="00BF1AEA" w:rsidRDefault="0080158B" w:rsidP="002563C8">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BlueCare has a large and growing network of aged care professionals, with 8,500 employees and 500 volunteers working together. </w:t>
      </w:r>
    </w:p>
    <w:p w14:paraId="12FBC7CA" w14:textId="77777777" w:rsidR="003E3E9F" w:rsidRPr="00BF1AEA" w:rsidRDefault="0080158B" w:rsidP="002563C8">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Like the broader aged care sector, BlueCare finds it difficult to attract sufficient workers. Although RTO partners can offer BlueCare access to a large pool of students for placement, they are not always situated in areas where BlueCare has workforce needs, especially in regional and remote locations. </w:t>
      </w:r>
    </w:p>
    <w:p w14:paraId="204D7CE7" w14:textId="77777777" w:rsidR="003E3E9F" w:rsidRPr="00BF1AEA" w:rsidRDefault="0080158B" w:rsidP="002563C8">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When RTOs organise student placements, they often do not complete detailed screening to ensure placements are the right fit for student career goals or to determine if the student is genuinely seeking employment. As an example, BlueCare received many students for their aged care placements whose actual preference was to work in the disability sector. This was a large factor in their 24% conversion rate of placement-to-employee, sitting well below their target of 50%. </w:t>
      </w:r>
    </w:p>
    <w:p w14:paraId="20762049" w14:textId="77777777" w:rsidR="00685C34" w:rsidRPr="00BF1AEA" w:rsidRDefault="0080158B" w:rsidP="002563C8">
      <w:pPr>
        <w:pStyle w:val="BodyText"/>
        <w:spacing w:before="0" w:line="312" w:lineRule="auto"/>
        <w:rPr>
          <w:rFonts w:ascii="Calibri" w:hAnsi="Calibri"/>
          <w:sz w:val="24"/>
          <w:szCs w:val="24"/>
          <w:lang w:val="en-GB"/>
        </w:rPr>
      </w:pPr>
      <w:r w:rsidRPr="00BF1AEA">
        <w:rPr>
          <w:rFonts w:ascii="Calibri" w:hAnsi="Calibri"/>
          <w:sz w:val="24"/>
          <w:szCs w:val="24"/>
          <w:lang w:val="en-GB"/>
        </w:rPr>
        <w:lastRenderedPageBreak/>
        <w:t xml:space="preserve">Faced with escalating demand for services, an ageing workforce, retention challenges, a skilled worker shortage, and an increasingly competitive labour market, BlueCare adopted a strategic “Grow Your Own (GYO)” approach. Pivotal in this has been the development of preferred partnership arrangements with select RTOs to boost training, traineeship and placement opportunities. </w:t>
      </w:r>
    </w:p>
    <w:p w14:paraId="39428251" w14:textId="03BDB930" w:rsidR="0080158B" w:rsidRPr="00BF1AEA" w:rsidRDefault="0080158B" w:rsidP="002563C8">
      <w:pPr>
        <w:pStyle w:val="BodyText"/>
        <w:spacing w:before="0" w:line="312" w:lineRule="auto"/>
        <w:rPr>
          <w:rFonts w:ascii="Calibri" w:hAnsi="Calibri"/>
          <w:sz w:val="24"/>
          <w:szCs w:val="24"/>
          <w:lang w:val="en-GB"/>
        </w:rPr>
      </w:pPr>
      <w:r w:rsidRPr="00BF1AEA">
        <w:rPr>
          <w:rFonts w:ascii="Calibri" w:hAnsi="Calibri"/>
          <w:sz w:val="24"/>
          <w:szCs w:val="24"/>
          <w:lang w:val="en-GB"/>
        </w:rPr>
        <w:t>BlueCare has a dedicated coordinating team and a GROW learning management system that provides information on traineeships and placements, details on funding for formal qualifications, and access to non-accredited training courses for workforce members.</w:t>
      </w:r>
    </w:p>
    <w:p w14:paraId="66B4177D" w14:textId="77777777" w:rsidR="00D336B9" w:rsidRPr="00BF1AEA" w:rsidRDefault="00D336B9" w:rsidP="002563C8">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Students studying with BlueCare’s preferred RTO partners are given priority for placements. The aim of BlueCare’s student placement program is to transition students into employment, thereby creating a steady pipeline of qualified and skilled personal care workers in areas where they are most needed. Other actions BlueCare has implemented to address their workforce attraction and training needs are: </w:t>
      </w:r>
    </w:p>
    <w:p w14:paraId="5FE5FC41" w14:textId="77777777" w:rsidR="00D336B9" w:rsidRPr="00BF1AEA" w:rsidRDefault="00D336B9" w:rsidP="00FA2EC7">
      <w:pPr>
        <w:pStyle w:val="BodyText"/>
        <w:numPr>
          <w:ilvl w:val="0"/>
          <w:numId w:val="42"/>
        </w:numPr>
        <w:spacing w:before="0" w:line="312" w:lineRule="auto"/>
        <w:rPr>
          <w:rFonts w:ascii="Calibri" w:hAnsi="Calibri"/>
          <w:sz w:val="24"/>
          <w:szCs w:val="24"/>
          <w:lang w:val="en-GB"/>
        </w:rPr>
      </w:pPr>
      <w:r w:rsidRPr="00BF1AEA">
        <w:rPr>
          <w:rFonts w:ascii="Calibri" w:hAnsi="Calibri"/>
          <w:sz w:val="24"/>
          <w:szCs w:val="24"/>
          <w:lang w:val="en-GB"/>
        </w:rPr>
        <w:t xml:space="preserve">increasing education partners for student placements from 3 preferred providers to 7 to better meet demand for student placements </w:t>
      </w:r>
    </w:p>
    <w:p w14:paraId="6974D8B3" w14:textId="77777777" w:rsidR="00D336B9" w:rsidRPr="00BF1AEA" w:rsidRDefault="00D336B9" w:rsidP="00FA2EC7">
      <w:pPr>
        <w:pStyle w:val="BodyText"/>
        <w:numPr>
          <w:ilvl w:val="0"/>
          <w:numId w:val="42"/>
        </w:numPr>
        <w:spacing w:before="0" w:line="312" w:lineRule="auto"/>
        <w:rPr>
          <w:rFonts w:ascii="Calibri" w:hAnsi="Calibri"/>
          <w:sz w:val="24"/>
          <w:szCs w:val="24"/>
          <w:lang w:val="en-GB"/>
        </w:rPr>
      </w:pPr>
      <w:r w:rsidRPr="00BF1AEA">
        <w:rPr>
          <w:rFonts w:ascii="Calibri" w:hAnsi="Calibri"/>
          <w:sz w:val="24"/>
          <w:szCs w:val="24"/>
          <w:lang w:val="en-GB"/>
        </w:rPr>
        <w:t xml:space="preserve">creating a request template for placements to ensure student availability, interest and employment availability aligns with organisational need and purpose </w:t>
      </w:r>
    </w:p>
    <w:p w14:paraId="25779BC6" w14:textId="77777777" w:rsidR="00D336B9" w:rsidRPr="00BF1AEA" w:rsidRDefault="00D336B9" w:rsidP="00FA2EC7">
      <w:pPr>
        <w:pStyle w:val="BodyText"/>
        <w:numPr>
          <w:ilvl w:val="0"/>
          <w:numId w:val="42"/>
        </w:numPr>
        <w:spacing w:before="0" w:line="312" w:lineRule="auto"/>
        <w:rPr>
          <w:rFonts w:ascii="Calibri" w:hAnsi="Calibri"/>
          <w:sz w:val="24"/>
          <w:szCs w:val="24"/>
          <w:lang w:val="en-GB"/>
        </w:rPr>
      </w:pPr>
      <w:r w:rsidRPr="00BF1AEA">
        <w:rPr>
          <w:rFonts w:ascii="Calibri" w:hAnsi="Calibri"/>
          <w:sz w:val="24"/>
          <w:szCs w:val="24"/>
          <w:lang w:val="en-GB"/>
        </w:rPr>
        <w:t xml:space="preserve">implementing a workforce attraction strategy that allows personal care students to be hired before or during their placement as unqualified personal carers, with paid placement shifts once employed, or to be employed in a qualified role after their placement, if a vacancy is available. </w:t>
      </w:r>
    </w:p>
    <w:p w14:paraId="5AE8FF3E" w14:textId="77777777" w:rsidR="00D336B9" w:rsidRPr="00BF1AEA" w:rsidRDefault="00D336B9" w:rsidP="00FA2EC7">
      <w:pPr>
        <w:pStyle w:val="BodyText"/>
        <w:numPr>
          <w:ilvl w:val="0"/>
          <w:numId w:val="42"/>
        </w:numPr>
        <w:spacing w:before="0" w:line="312" w:lineRule="auto"/>
        <w:rPr>
          <w:rFonts w:ascii="Calibri" w:hAnsi="Calibri"/>
          <w:sz w:val="24"/>
          <w:szCs w:val="24"/>
          <w:lang w:val="en-GB"/>
        </w:rPr>
      </w:pPr>
      <w:r w:rsidRPr="00BF1AEA">
        <w:rPr>
          <w:rFonts w:ascii="Calibri" w:hAnsi="Calibri"/>
          <w:sz w:val="24"/>
          <w:szCs w:val="24"/>
          <w:lang w:val="en-GB"/>
        </w:rPr>
        <w:t xml:space="preserve">providing paid personal carer practical placements to existing employees to incentivise existing workers without qualifications to participate, upskill and progress their career </w:t>
      </w:r>
    </w:p>
    <w:p w14:paraId="06FC3DD1" w14:textId="77777777" w:rsidR="00D336B9" w:rsidRPr="00BF1AEA" w:rsidRDefault="00D336B9" w:rsidP="00FA2EC7">
      <w:pPr>
        <w:pStyle w:val="BodyText"/>
        <w:numPr>
          <w:ilvl w:val="0"/>
          <w:numId w:val="42"/>
        </w:numPr>
        <w:spacing w:before="0" w:line="312" w:lineRule="auto"/>
        <w:rPr>
          <w:rFonts w:ascii="Calibri" w:hAnsi="Calibri"/>
          <w:sz w:val="24"/>
          <w:szCs w:val="24"/>
          <w:lang w:val="en-GB"/>
        </w:rPr>
      </w:pPr>
      <w:r w:rsidRPr="00BF1AEA">
        <w:rPr>
          <w:rFonts w:ascii="Calibri" w:hAnsi="Calibri"/>
          <w:sz w:val="24"/>
          <w:szCs w:val="24"/>
          <w:lang w:val="en-GB"/>
        </w:rPr>
        <w:t xml:space="preserve">expanding placement opportunities to include health administration and hospitality where hosting capacity and vacancies exist </w:t>
      </w:r>
    </w:p>
    <w:p w14:paraId="0689113B" w14:textId="77777777" w:rsidR="00D336B9" w:rsidRPr="00BF1AEA" w:rsidRDefault="00D336B9" w:rsidP="00FA2EC7">
      <w:pPr>
        <w:pStyle w:val="BodyText"/>
        <w:numPr>
          <w:ilvl w:val="0"/>
          <w:numId w:val="42"/>
        </w:numPr>
        <w:spacing w:before="0" w:line="312" w:lineRule="auto"/>
        <w:rPr>
          <w:rFonts w:ascii="Calibri" w:hAnsi="Calibri"/>
          <w:sz w:val="24"/>
          <w:szCs w:val="24"/>
          <w:lang w:val="en-GB"/>
        </w:rPr>
      </w:pPr>
      <w:r w:rsidRPr="00BF1AEA">
        <w:rPr>
          <w:rFonts w:ascii="Calibri" w:hAnsi="Calibri"/>
          <w:sz w:val="24"/>
          <w:szCs w:val="24"/>
          <w:lang w:val="en-GB"/>
        </w:rPr>
        <w:t xml:space="preserve">developing resources (such as handbooks) to support inducting students into ways of working </w:t>
      </w:r>
    </w:p>
    <w:p w14:paraId="2D3779F9" w14:textId="77777777" w:rsidR="00D336B9" w:rsidRPr="00BF1AEA" w:rsidRDefault="00D336B9" w:rsidP="00FA2EC7">
      <w:pPr>
        <w:pStyle w:val="BodyText"/>
        <w:numPr>
          <w:ilvl w:val="0"/>
          <w:numId w:val="42"/>
        </w:numPr>
        <w:spacing w:before="0" w:line="312" w:lineRule="auto"/>
        <w:rPr>
          <w:rFonts w:ascii="Calibri" w:hAnsi="Calibri"/>
          <w:sz w:val="24"/>
          <w:szCs w:val="24"/>
          <w:lang w:val="en-GB"/>
        </w:rPr>
      </w:pPr>
      <w:r w:rsidRPr="00BF1AEA">
        <w:rPr>
          <w:rFonts w:ascii="Calibri" w:hAnsi="Calibri"/>
          <w:sz w:val="24"/>
          <w:szCs w:val="24"/>
          <w:lang w:val="en-GB"/>
        </w:rPr>
        <w:t xml:space="preserve">assigning ‘Personal Care Worker Coaches’ to provide quality mentoring for upskilling </w:t>
      </w:r>
    </w:p>
    <w:p w14:paraId="12A7657B" w14:textId="77777777" w:rsidR="00D336B9" w:rsidRPr="00BF1AEA" w:rsidRDefault="00D336B9" w:rsidP="00FA2EC7">
      <w:pPr>
        <w:pStyle w:val="BodyText"/>
        <w:numPr>
          <w:ilvl w:val="0"/>
          <w:numId w:val="42"/>
        </w:numPr>
        <w:spacing w:before="0" w:line="312" w:lineRule="auto"/>
        <w:rPr>
          <w:rFonts w:ascii="Calibri" w:hAnsi="Calibri"/>
          <w:sz w:val="24"/>
          <w:szCs w:val="24"/>
          <w:lang w:val="en-GB"/>
        </w:rPr>
      </w:pPr>
      <w:r w:rsidRPr="00BF1AEA">
        <w:rPr>
          <w:rFonts w:ascii="Calibri" w:hAnsi="Calibri"/>
          <w:sz w:val="24"/>
          <w:szCs w:val="24"/>
          <w:lang w:val="en-GB"/>
        </w:rPr>
        <w:t xml:space="preserve">running a ‘Peer to Peer’ course for building buddying skills to increase professional development and leadership capacity </w:t>
      </w:r>
    </w:p>
    <w:p w14:paraId="65BCE1B5" w14:textId="77777777" w:rsidR="00D336B9" w:rsidRPr="00BF1AEA" w:rsidRDefault="00D336B9" w:rsidP="00FA2EC7">
      <w:pPr>
        <w:pStyle w:val="BodyText"/>
        <w:numPr>
          <w:ilvl w:val="0"/>
          <w:numId w:val="42"/>
        </w:numPr>
        <w:spacing w:before="0" w:line="312" w:lineRule="auto"/>
        <w:rPr>
          <w:rFonts w:ascii="Calibri" w:hAnsi="Calibri"/>
          <w:sz w:val="24"/>
          <w:szCs w:val="24"/>
          <w:lang w:val="en-GB"/>
        </w:rPr>
      </w:pPr>
      <w:r w:rsidRPr="00BF1AEA">
        <w:rPr>
          <w:rFonts w:ascii="Calibri" w:hAnsi="Calibri"/>
          <w:sz w:val="24"/>
          <w:szCs w:val="24"/>
          <w:lang w:val="en-GB"/>
        </w:rPr>
        <w:t xml:space="preserve">holding online information for students prior to their placement to highlight career opportunities in BlueCare and encourage them to apply for employment </w:t>
      </w:r>
    </w:p>
    <w:p w14:paraId="00B6EAFF" w14:textId="77777777" w:rsidR="00CA4806" w:rsidRPr="00BF1AEA" w:rsidRDefault="00D336B9" w:rsidP="00FA2EC7">
      <w:pPr>
        <w:pStyle w:val="BodyText"/>
        <w:numPr>
          <w:ilvl w:val="0"/>
          <w:numId w:val="42"/>
        </w:numPr>
        <w:spacing w:before="0" w:line="312" w:lineRule="auto"/>
        <w:rPr>
          <w:rFonts w:ascii="Calibri" w:hAnsi="Calibri"/>
          <w:sz w:val="24"/>
          <w:szCs w:val="24"/>
          <w:lang w:val="en-GB"/>
        </w:rPr>
      </w:pPr>
      <w:r w:rsidRPr="00BF1AEA">
        <w:rPr>
          <w:rFonts w:ascii="Calibri" w:hAnsi="Calibri"/>
          <w:sz w:val="24"/>
          <w:szCs w:val="24"/>
          <w:lang w:val="en-GB"/>
        </w:rPr>
        <w:t xml:space="preserve">regular check-ins between trainees and leaders to manage wellbeing and learning progress. </w:t>
      </w:r>
    </w:p>
    <w:p w14:paraId="36CEC64F" w14:textId="0461DAF5" w:rsidR="00D336B9" w:rsidRPr="00BF1AEA" w:rsidRDefault="00D336B9" w:rsidP="00CA4806">
      <w:pPr>
        <w:pStyle w:val="BodyText"/>
        <w:spacing w:before="0" w:line="312" w:lineRule="auto"/>
        <w:rPr>
          <w:rFonts w:ascii="Calibri" w:hAnsi="Calibri"/>
          <w:sz w:val="24"/>
          <w:szCs w:val="24"/>
          <w:lang w:val="en-GB"/>
        </w:rPr>
      </w:pPr>
      <w:r w:rsidRPr="00BF1AEA">
        <w:rPr>
          <w:rFonts w:ascii="Calibri" w:hAnsi="Calibri"/>
          <w:sz w:val="24"/>
          <w:szCs w:val="24"/>
          <w:lang w:val="en-GB"/>
        </w:rPr>
        <w:t>All these actions are combining to improve workforce attraction and retention and build a strong culture of supported learning and development at BlueCare. Paid placements have also supported existing workers to upskill with a qualification and progress to new roles internally.</w:t>
      </w:r>
    </w:p>
    <w:p w14:paraId="7BCB6906" w14:textId="6391A746" w:rsidR="003A2379" w:rsidRPr="00BF1AEA" w:rsidRDefault="00BF3222" w:rsidP="003A2379">
      <w:pPr>
        <w:pStyle w:val="Heading1"/>
        <w:spacing w:line="240" w:lineRule="auto"/>
        <w:rPr>
          <w:rFonts w:ascii="Calibri" w:hAnsi="Calibri"/>
          <w:color w:val="8331A7"/>
          <w:lang w:val="en-GB"/>
        </w:rPr>
      </w:pPr>
      <w:bookmarkStart w:id="29" w:name="_Toc199322315"/>
      <w:r w:rsidRPr="00BF1AEA">
        <w:rPr>
          <w:rFonts w:ascii="Calibri" w:hAnsi="Calibri"/>
          <w:color w:val="8331A7"/>
          <w:lang w:val="en-GB"/>
        </w:rPr>
        <w:lastRenderedPageBreak/>
        <w:t>Developing skills and recognising experience</w:t>
      </w:r>
      <w:bookmarkEnd w:id="29"/>
    </w:p>
    <w:p w14:paraId="45890E61" w14:textId="77777777" w:rsidR="003A2379" w:rsidRPr="00BF1AEA" w:rsidRDefault="003A2379" w:rsidP="003A2379">
      <w:pPr>
        <w:pStyle w:val="Heading2"/>
        <w:numPr>
          <w:ilvl w:val="0"/>
          <w:numId w:val="0"/>
        </w:numPr>
        <w:spacing w:line="240" w:lineRule="auto"/>
        <w:rPr>
          <w:rFonts w:ascii="Calibri" w:hAnsi="Calibri"/>
          <w:color w:val="8331A7"/>
          <w:lang w:val="en-GB"/>
        </w:rPr>
      </w:pPr>
      <w:bookmarkStart w:id="30" w:name="_Toc199322316"/>
      <w:r w:rsidRPr="00BF1AEA">
        <w:rPr>
          <w:rFonts w:ascii="Calibri" w:hAnsi="Calibri"/>
          <w:color w:val="8331A7"/>
          <w:lang w:val="en-GB"/>
        </w:rPr>
        <w:t>Why it is important</w:t>
      </w:r>
      <w:bookmarkEnd w:id="30"/>
    </w:p>
    <w:p w14:paraId="7894B407" w14:textId="7278DE35" w:rsidR="003A2379" w:rsidRPr="00BF1AEA" w:rsidRDefault="00F63BAE" w:rsidP="005927D1">
      <w:pPr>
        <w:pStyle w:val="BodyText"/>
        <w:spacing w:before="0" w:line="300" w:lineRule="auto"/>
        <w:rPr>
          <w:rFonts w:ascii="Calibri" w:hAnsi="Calibri"/>
          <w:sz w:val="24"/>
          <w:szCs w:val="24"/>
          <w:lang w:val="en-GB"/>
        </w:rPr>
      </w:pPr>
      <w:r w:rsidRPr="00BF1AEA">
        <w:rPr>
          <w:rFonts w:ascii="Calibri" w:hAnsi="Calibri"/>
          <w:sz w:val="24"/>
          <w:szCs w:val="24"/>
          <w:lang w:val="en-GB"/>
        </w:rPr>
        <w:t>Continuous learning and skill development are important to equip the workforce to meet the unique challenges of the care and support sector, improve outcomes for individual and their families. People working in the care and support sector need to have the contemporary skills to support person-centred and culturally safe approaches. This requires employers, and education and training providers to work together to build the capabilities of new entrants and existing workers.</w:t>
      </w:r>
    </w:p>
    <w:p w14:paraId="626DB568" w14:textId="3CA1E9CE" w:rsidR="0019538A" w:rsidRPr="00BF1AEA" w:rsidRDefault="00647798" w:rsidP="0019538A">
      <w:pPr>
        <w:pStyle w:val="Heading2"/>
        <w:numPr>
          <w:ilvl w:val="0"/>
          <w:numId w:val="0"/>
        </w:numPr>
        <w:spacing w:line="240" w:lineRule="auto"/>
        <w:rPr>
          <w:rFonts w:ascii="Calibri" w:hAnsi="Calibri"/>
          <w:color w:val="8331A7"/>
          <w:lang w:val="en-GB"/>
        </w:rPr>
      </w:pPr>
      <w:bookmarkStart w:id="31" w:name="_Toc199322317"/>
      <w:r w:rsidRPr="00BF1AEA">
        <w:rPr>
          <w:rFonts w:ascii="Calibri" w:hAnsi="Calibri"/>
          <w:color w:val="8331A7"/>
          <w:lang w:val="en-GB"/>
        </w:rPr>
        <w:t>What are the common barriers</w:t>
      </w:r>
      <w:bookmarkEnd w:id="31"/>
    </w:p>
    <w:p w14:paraId="43DBB979" w14:textId="24F8778E" w:rsidR="009B2591" w:rsidRPr="00BF1AEA" w:rsidRDefault="00A97AD2" w:rsidP="009B2591">
      <w:pPr>
        <w:pStyle w:val="BodyText"/>
        <w:spacing w:before="0" w:after="0" w:line="312" w:lineRule="auto"/>
        <w:rPr>
          <w:rFonts w:ascii="Calibri" w:hAnsi="Calibri"/>
          <w:color w:val="7030A0"/>
          <w:sz w:val="28"/>
          <w:szCs w:val="28"/>
          <w:lang w:val="en-GB"/>
        </w:rPr>
      </w:pPr>
      <w:r w:rsidRPr="00BF1AEA">
        <w:rPr>
          <w:rFonts w:ascii="Calibri" w:hAnsi="Calibri"/>
          <w:color w:val="7030A0"/>
          <w:sz w:val="28"/>
          <w:szCs w:val="28"/>
          <w:lang w:val="en-GB"/>
        </w:rPr>
        <w:t>Cost for workers</w:t>
      </w:r>
    </w:p>
    <w:p w14:paraId="283B63E8" w14:textId="2B699D66" w:rsidR="0019538A" w:rsidRPr="00BF1AEA" w:rsidRDefault="00370392" w:rsidP="005927D1">
      <w:pPr>
        <w:pStyle w:val="BodyText"/>
        <w:spacing w:before="0" w:line="300" w:lineRule="auto"/>
        <w:rPr>
          <w:rFonts w:ascii="Calibri" w:hAnsi="Calibri"/>
          <w:sz w:val="24"/>
          <w:szCs w:val="24"/>
          <w:lang w:val="en-GB"/>
        </w:rPr>
      </w:pPr>
      <w:r w:rsidRPr="00BF1AEA">
        <w:rPr>
          <w:rFonts w:ascii="Calibri" w:hAnsi="Calibri"/>
          <w:sz w:val="24"/>
          <w:szCs w:val="24"/>
          <w:lang w:val="en-GB"/>
        </w:rPr>
        <w:t>Many entry-level roles have employment conditions that involve upfront fees (for example, paying for police checks). Training courses also often have upfront fees. This reduces the ability for students and workers to self-fund their training. Entry level workers in the sector typically do not have the resources to support themselves to complete the required training. Even where they can, the lack of pay increases for completing additional training discourages workers from pursuing further professional development opportunities.</w:t>
      </w:r>
    </w:p>
    <w:p w14:paraId="2D885E86" w14:textId="607BCA59" w:rsidR="00E85531" w:rsidRPr="00BF1AEA" w:rsidRDefault="00F71745" w:rsidP="00E85531">
      <w:pPr>
        <w:pStyle w:val="BodyText"/>
        <w:spacing w:before="0" w:after="0" w:line="312" w:lineRule="auto"/>
        <w:rPr>
          <w:rFonts w:ascii="Calibri" w:hAnsi="Calibri"/>
          <w:color w:val="7030A0"/>
          <w:sz w:val="28"/>
          <w:szCs w:val="28"/>
          <w:lang w:val="en-GB"/>
        </w:rPr>
      </w:pPr>
      <w:r w:rsidRPr="00BF1AEA">
        <w:rPr>
          <w:rFonts w:ascii="Calibri" w:hAnsi="Calibri"/>
          <w:color w:val="7030A0"/>
          <w:sz w:val="28"/>
          <w:szCs w:val="28"/>
          <w:lang w:val="en-GB"/>
        </w:rPr>
        <w:t>Resourcing constraints</w:t>
      </w:r>
    </w:p>
    <w:p w14:paraId="7A085A97" w14:textId="55211272" w:rsidR="00E85531" w:rsidRPr="00BF1AEA" w:rsidRDefault="00227670" w:rsidP="005927D1">
      <w:pPr>
        <w:pStyle w:val="BodyText"/>
        <w:spacing w:before="0" w:line="300" w:lineRule="auto"/>
        <w:rPr>
          <w:rFonts w:ascii="Calibri" w:hAnsi="Calibri"/>
          <w:sz w:val="24"/>
          <w:szCs w:val="24"/>
          <w:lang w:val="en-GB"/>
        </w:rPr>
      </w:pPr>
      <w:r w:rsidRPr="00BF1AEA">
        <w:rPr>
          <w:rFonts w:ascii="Calibri" w:hAnsi="Calibri"/>
          <w:sz w:val="24"/>
          <w:szCs w:val="24"/>
          <w:lang w:val="en-GB"/>
        </w:rPr>
        <w:t>Other factors that can limit professional development are heavy workloads, shortages of skilled supervisors, lack of management commitment to training, and organisational systems that cannot adapt to the required workforce flexibility. These all create challenges in finding time to undertake professional development and are exacerbated by the high proportion of casual and part-time workers in the care</w:t>
      </w:r>
      <w:r w:rsidR="00C96437" w:rsidRPr="00BF1AEA">
        <w:rPr>
          <w:rFonts w:ascii="Calibri" w:hAnsi="Calibri"/>
          <w:sz w:val="24"/>
          <w:szCs w:val="24"/>
          <w:lang w:val="en-GB"/>
        </w:rPr>
        <w:t xml:space="preserve"> and support</w:t>
      </w:r>
      <w:r w:rsidRPr="00BF1AEA">
        <w:rPr>
          <w:rFonts w:ascii="Calibri" w:hAnsi="Calibri"/>
          <w:sz w:val="24"/>
          <w:szCs w:val="24"/>
          <w:lang w:val="en-GB"/>
        </w:rPr>
        <w:t xml:space="preserve"> sector.</w:t>
      </w:r>
    </w:p>
    <w:p w14:paraId="20AF8E2A" w14:textId="05FCEA21" w:rsidR="00B410DC" w:rsidRPr="00BF1AEA" w:rsidRDefault="00816A36" w:rsidP="00B410DC">
      <w:pPr>
        <w:pStyle w:val="BodyText"/>
        <w:spacing w:before="0" w:after="0" w:line="312" w:lineRule="auto"/>
        <w:rPr>
          <w:rFonts w:ascii="Calibri" w:hAnsi="Calibri"/>
          <w:color w:val="7030A0"/>
          <w:sz w:val="28"/>
          <w:szCs w:val="28"/>
          <w:lang w:val="en-GB"/>
        </w:rPr>
      </w:pPr>
      <w:r w:rsidRPr="00BF1AEA">
        <w:rPr>
          <w:rFonts w:ascii="Calibri" w:hAnsi="Calibri"/>
          <w:color w:val="7030A0"/>
          <w:sz w:val="28"/>
          <w:szCs w:val="28"/>
          <w:lang w:val="en-GB"/>
        </w:rPr>
        <w:t>Training availability</w:t>
      </w:r>
    </w:p>
    <w:p w14:paraId="21C86AA2" w14:textId="4502CFF9" w:rsidR="00B410DC" w:rsidRPr="00BF1AEA" w:rsidRDefault="004B13D4" w:rsidP="005927D1">
      <w:pPr>
        <w:pStyle w:val="BodyText"/>
        <w:spacing w:before="0" w:line="300" w:lineRule="auto"/>
        <w:rPr>
          <w:rFonts w:ascii="Calibri" w:hAnsi="Calibri"/>
          <w:sz w:val="24"/>
          <w:szCs w:val="24"/>
          <w:lang w:val="en-GB"/>
        </w:rPr>
      </w:pPr>
      <w:r w:rsidRPr="00BF1AEA">
        <w:rPr>
          <w:rFonts w:ascii="Calibri" w:hAnsi="Calibri"/>
          <w:sz w:val="24"/>
          <w:szCs w:val="24"/>
          <w:lang w:val="en-GB"/>
        </w:rPr>
        <w:t>There are limited training options that relate specifically to each of the different needs within the care and support sector. A particular gap is the various skilling needed for career progression, such as leadership or more managerial roles. This makes it hard for employers to find ‘off the shelf’ products that meet their needs, and more expensive to support professional development.</w:t>
      </w:r>
    </w:p>
    <w:p w14:paraId="258A68DB" w14:textId="44FC1020" w:rsidR="00356469" w:rsidRPr="00BF1AEA" w:rsidRDefault="00466D97" w:rsidP="00356469">
      <w:pPr>
        <w:pStyle w:val="BodyText"/>
        <w:spacing w:before="0" w:after="0" w:line="312" w:lineRule="auto"/>
        <w:rPr>
          <w:rFonts w:ascii="Calibri" w:hAnsi="Calibri"/>
          <w:color w:val="7030A0"/>
          <w:sz w:val="28"/>
          <w:szCs w:val="28"/>
          <w:lang w:val="en-GB"/>
        </w:rPr>
      </w:pPr>
      <w:r w:rsidRPr="00BF1AEA">
        <w:rPr>
          <w:rFonts w:ascii="Calibri" w:hAnsi="Calibri"/>
          <w:color w:val="7030A0"/>
          <w:sz w:val="28"/>
          <w:szCs w:val="28"/>
          <w:lang w:val="en-GB"/>
        </w:rPr>
        <w:t>Recognition of Prior Learning</w:t>
      </w:r>
    </w:p>
    <w:p w14:paraId="7192BDDB" w14:textId="1A06B160" w:rsidR="00356469" w:rsidRPr="00BF1AEA" w:rsidRDefault="003729EE" w:rsidP="005927D1">
      <w:pPr>
        <w:pStyle w:val="BodyText"/>
        <w:spacing w:before="0" w:line="300" w:lineRule="auto"/>
        <w:rPr>
          <w:rFonts w:ascii="Calibri" w:hAnsi="Calibri"/>
          <w:sz w:val="24"/>
          <w:szCs w:val="24"/>
          <w:lang w:val="en-GB"/>
        </w:rPr>
      </w:pPr>
      <w:r w:rsidRPr="00BF1AEA">
        <w:rPr>
          <w:rFonts w:ascii="Calibri" w:hAnsi="Calibri"/>
          <w:sz w:val="24"/>
          <w:szCs w:val="24"/>
          <w:lang w:val="en-GB"/>
        </w:rPr>
        <w:t xml:space="preserve">The care </w:t>
      </w:r>
      <w:r w:rsidR="00C96437" w:rsidRPr="00BF1AEA">
        <w:rPr>
          <w:rFonts w:ascii="Calibri" w:hAnsi="Calibri"/>
          <w:sz w:val="24"/>
          <w:szCs w:val="24"/>
          <w:lang w:val="en-GB"/>
        </w:rPr>
        <w:t xml:space="preserve">and support </w:t>
      </w:r>
      <w:r w:rsidRPr="00BF1AEA">
        <w:rPr>
          <w:rFonts w:ascii="Calibri" w:hAnsi="Calibri"/>
          <w:sz w:val="24"/>
          <w:szCs w:val="24"/>
          <w:lang w:val="en-GB"/>
        </w:rPr>
        <w:t>workforce could benefit from the many people who have significant relevant experience working in, or even outside, the sector but no formal qualifications. Recognition of Prior Learning (RPL) is a key mechanism for these workers but is difficult, and costly, for both employers and training providers, with limited guidance on how RPL processes can best be applied to support workers to gain formal qualifications.</w:t>
      </w:r>
    </w:p>
    <w:p w14:paraId="759A6083" w14:textId="46B2810E" w:rsidR="004B087F" w:rsidRPr="00BF1AEA" w:rsidRDefault="00364C37" w:rsidP="004B087F">
      <w:pPr>
        <w:pStyle w:val="Heading2"/>
        <w:numPr>
          <w:ilvl w:val="0"/>
          <w:numId w:val="0"/>
        </w:numPr>
        <w:spacing w:line="240" w:lineRule="auto"/>
        <w:rPr>
          <w:rFonts w:ascii="Calibri" w:hAnsi="Calibri"/>
          <w:color w:val="8331A7"/>
          <w:lang w:val="en-GB"/>
        </w:rPr>
      </w:pPr>
      <w:bookmarkStart w:id="32" w:name="_Toc199322318"/>
      <w:r w:rsidRPr="00BF1AEA">
        <w:rPr>
          <w:rFonts w:ascii="Calibri" w:hAnsi="Calibri"/>
          <w:color w:val="8331A7"/>
          <w:lang w:val="en-GB"/>
        </w:rPr>
        <w:lastRenderedPageBreak/>
        <w:t>Effective strategies</w:t>
      </w:r>
      <w:bookmarkEnd w:id="32"/>
    </w:p>
    <w:p w14:paraId="5113B73A" w14:textId="7E2A6CFF" w:rsidR="00364C37" w:rsidRPr="00BF1AEA" w:rsidRDefault="00F607C4" w:rsidP="00364C37">
      <w:pPr>
        <w:pStyle w:val="BodyText"/>
        <w:spacing w:before="0" w:after="0" w:line="312" w:lineRule="auto"/>
        <w:rPr>
          <w:rFonts w:ascii="Calibri" w:hAnsi="Calibri"/>
          <w:color w:val="7030A0"/>
          <w:sz w:val="28"/>
          <w:szCs w:val="28"/>
          <w:lang w:val="en-GB"/>
        </w:rPr>
      </w:pPr>
      <w:bookmarkStart w:id="33" w:name="Learningcultures"/>
      <w:r w:rsidRPr="00BF1AEA">
        <w:rPr>
          <w:rFonts w:ascii="Calibri" w:hAnsi="Calibri"/>
          <w:color w:val="7030A0"/>
          <w:sz w:val="28"/>
          <w:szCs w:val="28"/>
          <w:lang w:val="en-GB"/>
        </w:rPr>
        <w:t>4A – Learning cultures</w:t>
      </w:r>
    </w:p>
    <w:bookmarkEnd w:id="33"/>
    <w:p w14:paraId="69802F10" w14:textId="7B4F9076" w:rsidR="004B087F" w:rsidRPr="00BF1AEA" w:rsidRDefault="00C17A7C" w:rsidP="00C17A7C">
      <w:pPr>
        <w:pStyle w:val="BodyText"/>
        <w:spacing w:before="0" w:line="312" w:lineRule="auto"/>
        <w:rPr>
          <w:rFonts w:ascii="Calibri" w:hAnsi="Calibri"/>
          <w:sz w:val="24"/>
          <w:szCs w:val="24"/>
          <w:lang w:val="en-GB"/>
        </w:rPr>
      </w:pPr>
      <w:r w:rsidRPr="00BF1AEA">
        <w:rPr>
          <w:rFonts w:ascii="Calibri" w:hAnsi="Calibri"/>
          <w:sz w:val="24"/>
          <w:szCs w:val="24"/>
          <w:lang w:val="en-GB"/>
        </w:rPr>
        <w:t>Employers have established effective learning cultures through activities that include valuing the role of educators (often with dedicated roles or pathways within organisations), committing to evidence-based practice, structuring process for orientation and learning opportunities, codifying relationships with providers and employers, and providing access to appropriate facilities and environments. These have all enabled them to better support high quality professional development.</w:t>
      </w:r>
    </w:p>
    <w:p w14:paraId="204A2CB3" w14:textId="14BBDE2D" w:rsidR="00461440" w:rsidRPr="00BF1AEA" w:rsidRDefault="00FC2947" w:rsidP="00461440">
      <w:pPr>
        <w:pStyle w:val="BodyText"/>
        <w:spacing w:before="0" w:after="0" w:line="312" w:lineRule="auto"/>
        <w:rPr>
          <w:rFonts w:ascii="Calibri" w:hAnsi="Calibri"/>
          <w:color w:val="7030A0"/>
          <w:sz w:val="28"/>
          <w:szCs w:val="28"/>
          <w:lang w:val="en-GB"/>
        </w:rPr>
      </w:pPr>
      <w:bookmarkStart w:id="34" w:name="Recognisingthereturn"/>
      <w:r w:rsidRPr="00BF1AEA">
        <w:rPr>
          <w:rFonts w:ascii="Calibri" w:hAnsi="Calibri"/>
          <w:color w:val="7030A0"/>
          <w:sz w:val="28"/>
          <w:szCs w:val="28"/>
          <w:lang w:val="en-GB"/>
        </w:rPr>
        <w:t>4B – Recognising the return on investment of training</w:t>
      </w:r>
    </w:p>
    <w:bookmarkEnd w:id="34"/>
    <w:p w14:paraId="49D820D4" w14:textId="643D5F27" w:rsidR="00461440" w:rsidRPr="00BF1AEA" w:rsidRDefault="00934CE3" w:rsidP="00934CE3">
      <w:pPr>
        <w:pStyle w:val="BodyText"/>
        <w:spacing w:before="0" w:line="312" w:lineRule="auto"/>
        <w:rPr>
          <w:rFonts w:ascii="Calibri" w:hAnsi="Calibri"/>
          <w:sz w:val="24"/>
          <w:szCs w:val="24"/>
          <w:lang w:val="en-GB"/>
        </w:rPr>
      </w:pPr>
      <w:r w:rsidRPr="00BF1AEA">
        <w:rPr>
          <w:rFonts w:ascii="Calibri" w:hAnsi="Calibri"/>
          <w:sz w:val="24"/>
          <w:szCs w:val="24"/>
          <w:lang w:val="en-GB"/>
        </w:rPr>
        <w:t>Employers have successfully supported training development by clearly articulating the return on investment from funding training for members, outlining the benefits in terms of increased employee satisfaction, higher productivity, greater retention and avoided costs of additional recruitment. This has been further enhanced by also outlining the clear costs of not training the workforce.</w:t>
      </w:r>
    </w:p>
    <w:p w14:paraId="75658AC9" w14:textId="0D412E58" w:rsidR="008665F3" w:rsidRPr="00BF1AEA" w:rsidRDefault="003410DC" w:rsidP="008665F3">
      <w:pPr>
        <w:pStyle w:val="BodyText"/>
        <w:spacing w:before="0" w:after="0" w:line="312" w:lineRule="auto"/>
        <w:rPr>
          <w:rFonts w:ascii="Calibri" w:hAnsi="Calibri"/>
          <w:color w:val="7030A0"/>
          <w:sz w:val="28"/>
          <w:szCs w:val="28"/>
          <w:lang w:val="en-GB"/>
        </w:rPr>
      </w:pPr>
      <w:bookmarkStart w:id="35" w:name="Useofskill"/>
      <w:r w:rsidRPr="00BF1AEA">
        <w:rPr>
          <w:rFonts w:ascii="Calibri" w:hAnsi="Calibri"/>
          <w:color w:val="7030A0"/>
          <w:sz w:val="28"/>
          <w:szCs w:val="28"/>
          <w:lang w:val="en-GB"/>
        </w:rPr>
        <w:t>4C – Use of skill sets</w:t>
      </w:r>
    </w:p>
    <w:bookmarkEnd w:id="35"/>
    <w:p w14:paraId="3D87BFE6" w14:textId="76FA3870" w:rsidR="008665F3" w:rsidRPr="00BF1AEA" w:rsidRDefault="00D444D1" w:rsidP="008665F3">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Employers have leveraged nationally recognised skill sets to build the capability of their workforce in particular areas (such as the </w:t>
      </w:r>
      <w:r w:rsidRPr="00BF1AEA">
        <w:rPr>
          <w:rFonts w:ascii="Calibri" w:hAnsi="Calibri"/>
          <w:i/>
          <w:iCs/>
          <w:sz w:val="24"/>
          <w:szCs w:val="24"/>
          <w:lang w:val="en-GB"/>
        </w:rPr>
        <w:t>CHCSS00114 Entry into Care Roles Skill Set</w:t>
      </w:r>
      <w:r w:rsidRPr="00BF1AEA">
        <w:rPr>
          <w:rFonts w:ascii="Calibri" w:hAnsi="Calibri"/>
          <w:sz w:val="24"/>
          <w:szCs w:val="24"/>
          <w:lang w:val="en-GB"/>
        </w:rPr>
        <w:t xml:space="preserve">, </w:t>
      </w:r>
      <w:r w:rsidRPr="00BF1AEA">
        <w:rPr>
          <w:rFonts w:ascii="Calibri" w:hAnsi="Calibri"/>
          <w:i/>
          <w:iCs/>
          <w:sz w:val="24"/>
          <w:szCs w:val="24"/>
          <w:lang w:val="en-GB"/>
        </w:rPr>
        <w:t>CHCSS00069 Advocacy Skill Set</w:t>
      </w:r>
      <w:r w:rsidRPr="00BF1AEA">
        <w:rPr>
          <w:rFonts w:ascii="Calibri" w:hAnsi="Calibri"/>
          <w:sz w:val="24"/>
          <w:szCs w:val="24"/>
          <w:lang w:val="en-GB"/>
        </w:rPr>
        <w:t xml:space="preserve"> and </w:t>
      </w:r>
      <w:r w:rsidRPr="00BF1AEA">
        <w:rPr>
          <w:rFonts w:ascii="Calibri" w:hAnsi="Calibri"/>
          <w:i/>
          <w:iCs/>
          <w:sz w:val="24"/>
          <w:szCs w:val="24"/>
          <w:lang w:val="en-GB"/>
        </w:rPr>
        <w:t>CHCSS00067 Administer and Monitor Medication Skill Set).</w:t>
      </w:r>
      <w:r w:rsidRPr="00BF1AEA">
        <w:rPr>
          <w:rFonts w:ascii="Calibri" w:hAnsi="Calibri"/>
          <w:sz w:val="24"/>
          <w:szCs w:val="24"/>
          <w:lang w:val="en-GB"/>
        </w:rPr>
        <w:t xml:space="preserve"> This has proven to be a cost-effective approach to formal education and training, with lower administrative burden and need to cover staff to be released for training.</w:t>
      </w:r>
    </w:p>
    <w:p w14:paraId="728C4882" w14:textId="03C2FE4B" w:rsidR="00FE590A" w:rsidRPr="00BF1AEA" w:rsidRDefault="005B6E9A" w:rsidP="00FE590A">
      <w:pPr>
        <w:pStyle w:val="BodyText"/>
        <w:spacing w:before="0" w:after="0" w:line="312" w:lineRule="auto"/>
        <w:rPr>
          <w:rFonts w:ascii="Calibri" w:hAnsi="Calibri"/>
          <w:color w:val="7030A0"/>
          <w:sz w:val="28"/>
          <w:szCs w:val="28"/>
          <w:lang w:val="en-GB"/>
        </w:rPr>
      </w:pPr>
      <w:bookmarkStart w:id="36" w:name="RegognitionofPrior"/>
      <w:r w:rsidRPr="00BF1AEA">
        <w:rPr>
          <w:rFonts w:ascii="Calibri" w:hAnsi="Calibri"/>
          <w:color w:val="7030A0"/>
          <w:sz w:val="28"/>
          <w:szCs w:val="28"/>
          <w:lang w:val="en-GB"/>
        </w:rPr>
        <w:t>4D – Recognition of Prior Learning (RPL</w:t>
      </w:r>
      <w:bookmarkEnd w:id="36"/>
      <w:r w:rsidRPr="00BF1AEA">
        <w:rPr>
          <w:rFonts w:ascii="Calibri" w:hAnsi="Calibri"/>
          <w:color w:val="7030A0"/>
          <w:sz w:val="28"/>
          <w:szCs w:val="28"/>
          <w:lang w:val="en-GB"/>
        </w:rPr>
        <w:t>)</w:t>
      </w:r>
    </w:p>
    <w:p w14:paraId="0C77FF5D" w14:textId="59AC51CF" w:rsidR="00FE590A" w:rsidRPr="00BF1AEA" w:rsidRDefault="00653468" w:rsidP="00FE590A">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Some employers have established partnerships with RTOs to provide existing workers with cost-effective RPL to attain nationally recognised qualifications. This has helped with employee satisfaction and retention, with staff feeling more valued </w:t>
      </w:r>
      <w:proofErr w:type="gramStart"/>
      <w:r w:rsidRPr="00BF1AEA">
        <w:rPr>
          <w:rFonts w:ascii="Calibri" w:hAnsi="Calibri"/>
          <w:sz w:val="24"/>
          <w:szCs w:val="24"/>
          <w:lang w:val="en-GB"/>
        </w:rPr>
        <w:t>as a result of</w:t>
      </w:r>
      <w:proofErr w:type="gramEnd"/>
      <w:r w:rsidRPr="00BF1AEA">
        <w:rPr>
          <w:rFonts w:ascii="Calibri" w:hAnsi="Calibri"/>
          <w:sz w:val="24"/>
          <w:szCs w:val="24"/>
          <w:lang w:val="en-GB"/>
        </w:rPr>
        <w:t xml:space="preserve"> having their skills and experience recognised.</w:t>
      </w:r>
    </w:p>
    <w:p w14:paraId="6E79C36A" w14:textId="7871E836" w:rsidR="00A2278F" w:rsidRPr="00BF1AEA" w:rsidRDefault="00B05C41" w:rsidP="00A2278F">
      <w:pPr>
        <w:pStyle w:val="BodyText"/>
        <w:spacing w:before="0" w:after="0" w:line="312" w:lineRule="auto"/>
        <w:rPr>
          <w:rFonts w:ascii="Calibri" w:hAnsi="Calibri"/>
          <w:color w:val="7030A0"/>
          <w:sz w:val="28"/>
          <w:szCs w:val="28"/>
          <w:lang w:val="en-GB"/>
        </w:rPr>
      </w:pPr>
      <w:bookmarkStart w:id="37" w:name="Flexiblerostering"/>
      <w:r w:rsidRPr="00BF1AEA">
        <w:rPr>
          <w:rFonts w:ascii="Calibri" w:hAnsi="Calibri"/>
          <w:color w:val="7030A0"/>
          <w:sz w:val="28"/>
          <w:szCs w:val="28"/>
          <w:lang w:val="en-GB"/>
        </w:rPr>
        <w:t>4E – Flexible rostering</w:t>
      </w:r>
    </w:p>
    <w:bookmarkEnd w:id="37"/>
    <w:p w14:paraId="4861E422" w14:textId="4F9296B5" w:rsidR="00A2278F" w:rsidRPr="00BF1AEA" w:rsidRDefault="00AE029A" w:rsidP="00AE029A">
      <w:pPr>
        <w:pStyle w:val="BodyText"/>
        <w:spacing w:before="0" w:line="312" w:lineRule="auto"/>
        <w:rPr>
          <w:rFonts w:ascii="Calibri" w:hAnsi="Calibri"/>
          <w:sz w:val="24"/>
          <w:szCs w:val="24"/>
          <w:lang w:val="en-GB"/>
        </w:rPr>
      </w:pPr>
      <w:r w:rsidRPr="00BF1AEA">
        <w:rPr>
          <w:rFonts w:ascii="Calibri" w:hAnsi="Calibri"/>
          <w:sz w:val="24"/>
          <w:szCs w:val="24"/>
          <w:lang w:val="en-GB"/>
        </w:rPr>
        <w:t>Flexible rostering can support training by providing opportunities for staff to participate in training while maintaining work schedules. These practices allow workers employees to choose shifts based on their personal commitments, facilitating scheduling around training modules.</w:t>
      </w:r>
    </w:p>
    <w:p w14:paraId="727A2D04" w14:textId="39E04E6A" w:rsidR="002540C4" w:rsidRPr="00BF1AEA" w:rsidRDefault="00177BC9" w:rsidP="002540C4">
      <w:pPr>
        <w:pStyle w:val="BodyText"/>
        <w:spacing w:before="0" w:after="0" w:line="312" w:lineRule="auto"/>
        <w:rPr>
          <w:rFonts w:ascii="Calibri" w:hAnsi="Calibri"/>
          <w:color w:val="7030A0"/>
          <w:sz w:val="28"/>
          <w:szCs w:val="28"/>
          <w:lang w:val="en-GB"/>
        </w:rPr>
      </w:pPr>
      <w:bookmarkStart w:id="38" w:name="Accesstofunded"/>
      <w:r w:rsidRPr="00BF1AEA">
        <w:rPr>
          <w:rFonts w:ascii="Calibri" w:hAnsi="Calibri"/>
          <w:color w:val="7030A0"/>
          <w:sz w:val="28"/>
          <w:szCs w:val="28"/>
          <w:lang w:val="en-GB"/>
        </w:rPr>
        <w:t>4F – Access to funded training</w:t>
      </w:r>
    </w:p>
    <w:bookmarkEnd w:id="38"/>
    <w:p w14:paraId="174777ED" w14:textId="3D529B05" w:rsidR="00E24AB7" w:rsidRPr="00BF1AEA" w:rsidRDefault="00E45C3D" w:rsidP="002540C4">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There are various government programs in place to support workers to access training in the care and support economy, given the priority for workforce developments, including </w:t>
      </w:r>
      <w:hyperlink r:id="rId27" w:history="1">
        <w:r w:rsidRPr="00BF1AEA">
          <w:rPr>
            <w:rStyle w:val="Hyperlink"/>
            <w:rFonts w:ascii="Calibri" w:hAnsi="Calibri"/>
            <w:sz w:val="24"/>
            <w:szCs w:val="24"/>
            <w:lang w:val="en-GB"/>
          </w:rPr>
          <w:t>Fee Free TAFE</w:t>
        </w:r>
      </w:hyperlink>
      <w:r w:rsidRPr="00BF1AEA">
        <w:rPr>
          <w:rFonts w:ascii="Calibri" w:hAnsi="Calibri"/>
          <w:sz w:val="24"/>
          <w:szCs w:val="24"/>
          <w:lang w:val="en-GB"/>
        </w:rPr>
        <w:t>. Employers can work with their staff to apply for these training places to reduce costs to the worker.</w:t>
      </w:r>
    </w:p>
    <w:p w14:paraId="53A166CF" w14:textId="418C0550" w:rsidR="00AB387D" w:rsidRPr="00BF1AEA" w:rsidRDefault="00AB387D" w:rsidP="00AB387D">
      <w:pPr>
        <w:pStyle w:val="BodyText"/>
        <w:spacing w:before="0" w:line="312" w:lineRule="auto"/>
        <w:rPr>
          <w:rFonts w:ascii="Calibri" w:hAnsi="Calibri"/>
          <w:sz w:val="24"/>
          <w:szCs w:val="24"/>
          <w:lang w:val="en-GB"/>
        </w:rPr>
      </w:pPr>
      <w:r w:rsidRPr="00BF1AEA">
        <w:rPr>
          <w:rFonts w:ascii="Calibri" w:hAnsi="Calibri"/>
          <w:sz w:val="24"/>
          <w:szCs w:val="24"/>
          <w:lang w:val="en-GB"/>
        </w:rPr>
        <w:t>The case study below shows how these strategies can be implemented.</w:t>
      </w:r>
      <w:r w:rsidR="008C4DA1" w:rsidRPr="00BF1AEA">
        <w:rPr>
          <w:rFonts w:ascii="Calibri" w:hAnsi="Calibri"/>
          <w:sz w:val="24"/>
          <w:szCs w:val="24"/>
          <w:lang w:val="en-GB"/>
        </w:rPr>
        <w:t xml:space="preserve"> </w:t>
      </w:r>
      <w:r w:rsidR="00962D8E" w:rsidRPr="00BF1AEA">
        <w:rPr>
          <w:rFonts w:ascii="Calibri" w:hAnsi="Calibri"/>
          <w:sz w:val="24"/>
          <w:szCs w:val="24"/>
          <w:lang w:val="en-GB"/>
        </w:rPr>
        <w:t>Another available resource is the e</w:t>
      </w:r>
      <w:r w:rsidR="00C5754C" w:rsidRPr="00BF1AEA">
        <w:rPr>
          <w:rFonts w:ascii="Calibri" w:hAnsi="Calibri"/>
          <w:sz w:val="24"/>
          <w:szCs w:val="24"/>
          <w:lang w:val="en-GB"/>
        </w:rPr>
        <w:t xml:space="preserve">Learning modules </w:t>
      </w:r>
      <w:r w:rsidR="00962D8E" w:rsidRPr="00BF1AEA">
        <w:rPr>
          <w:rFonts w:ascii="Calibri" w:hAnsi="Calibri"/>
          <w:sz w:val="24"/>
          <w:szCs w:val="24"/>
          <w:lang w:val="en-GB"/>
        </w:rPr>
        <w:t xml:space="preserve">for NDIS workers on the </w:t>
      </w:r>
      <w:hyperlink r:id="rId28" w:history="1">
        <w:r w:rsidR="00962D8E" w:rsidRPr="00BF1AEA">
          <w:rPr>
            <w:rStyle w:val="Hyperlink"/>
            <w:rFonts w:ascii="Calibri" w:hAnsi="Calibri"/>
            <w:sz w:val="24"/>
            <w:szCs w:val="24"/>
            <w:lang w:val="en-GB"/>
          </w:rPr>
          <w:t>NDIS website</w:t>
        </w:r>
      </w:hyperlink>
      <w:r w:rsidR="00962D8E" w:rsidRPr="00BF1AEA">
        <w:rPr>
          <w:rFonts w:ascii="Calibri" w:hAnsi="Calibri"/>
          <w:sz w:val="24"/>
          <w:szCs w:val="24"/>
          <w:lang w:val="en-GB"/>
        </w:rPr>
        <w:t>.</w:t>
      </w:r>
    </w:p>
    <w:p w14:paraId="4728D17D" w14:textId="77777777" w:rsidR="00AB387D" w:rsidRPr="00BF1AEA" w:rsidRDefault="00AB387D" w:rsidP="002540C4">
      <w:pPr>
        <w:pStyle w:val="BodyText"/>
        <w:spacing w:before="0" w:line="312" w:lineRule="auto"/>
        <w:rPr>
          <w:rFonts w:ascii="Calibri" w:hAnsi="Calibri"/>
          <w:sz w:val="24"/>
          <w:szCs w:val="24"/>
          <w:lang w:val="en-GB"/>
        </w:rPr>
      </w:pPr>
    </w:p>
    <w:p w14:paraId="619A25D1" w14:textId="4239C2AC" w:rsidR="00450496" w:rsidRPr="00BF1AEA" w:rsidRDefault="004B2B08" w:rsidP="00450496">
      <w:pPr>
        <w:pStyle w:val="Heading2"/>
        <w:numPr>
          <w:ilvl w:val="0"/>
          <w:numId w:val="0"/>
        </w:numPr>
        <w:spacing w:line="240" w:lineRule="auto"/>
        <w:rPr>
          <w:rFonts w:ascii="Calibri" w:hAnsi="Calibri"/>
          <w:color w:val="8331A7"/>
          <w:lang w:val="en-GB"/>
        </w:rPr>
      </w:pPr>
      <w:bookmarkStart w:id="39" w:name="_Toc199322319"/>
      <w:bookmarkStart w:id="40" w:name="Crosslinks"/>
      <w:r w:rsidRPr="00BF1AEA">
        <w:rPr>
          <w:rFonts w:ascii="Calibri" w:hAnsi="Calibri"/>
          <w:color w:val="8331A7"/>
          <w:lang w:val="en-GB"/>
        </w:rPr>
        <w:lastRenderedPageBreak/>
        <w:t>Case study – Crosslinks</w:t>
      </w:r>
      <w:bookmarkEnd w:id="39"/>
    </w:p>
    <w:bookmarkEnd w:id="40"/>
    <w:p w14:paraId="436B7C66" w14:textId="35DF9C02" w:rsidR="001D6636" w:rsidRPr="00BF1AEA" w:rsidRDefault="001D6636" w:rsidP="00450496">
      <w:pPr>
        <w:pStyle w:val="BodyText"/>
        <w:spacing w:before="0" w:line="312" w:lineRule="auto"/>
        <w:rPr>
          <w:rFonts w:ascii="Calibri" w:hAnsi="Calibri"/>
          <w:sz w:val="24"/>
          <w:szCs w:val="24"/>
          <w:lang w:val="en-GB"/>
        </w:rPr>
      </w:pPr>
      <w:r w:rsidRPr="00BF1AEA">
        <w:rPr>
          <w:rFonts w:ascii="Calibri" w:hAnsi="Calibri"/>
          <w:sz w:val="24"/>
          <w:szCs w:val="24"/>
          <w:lang w:val="en-GB"/>
        </w:rPr>
        <w:t>This case study demonstrates strategy 4D, which has been successfully implemented through an industry-training provider partnership.</w:t>
      </w:r>
    </w:p>
    <w:p w14:paraId="1B94B728" w14:textId="1B42D974" w:rsidR="009A6C24" w:rsidRPr="00BF1AEA" w:rsidRDefault="00A10B30" w:rsidP="00A10B30">
      <w:pPr>
        <w:pStyle w:val="BodyText"/>
        <w:spacing w:before="0" w:line="312" w:lineRule="auto"/>
        <w:rPr>
          <w:rFonts w:ascii="Calibri" w:hAnsi="Calibri"/>
          <w:sz w:val="24"/>
          <w:szCs w:val="24"/>
          <w:lang w:val="en-GB"/>
        </w:rPr>
      </w:pPr>
      <w:hyperlink r:id="rId29" w:history="1">
        <w:r w:rsidRPr="00BF1AEA">
          <w:rPr>
            <w:rStyle w:val="Hyperlink"/>
            <w:rFonts w:ascii="Calibri" w:hAnsi="Calibri"/>
            <w:sz w:val="24"/>
            <w:szCs w:val="24"/>
            <w:lang w:val="en-GB"/>
          </w:rPr>
          <w:t>Crosslinks</w:t>
        </w:r>
      </w:hyperlink>
      <w:r w:rsidRPr="00BF1AEA">
        <w:rPr>
          <w:rFonts w:ascii="Calibri" w:hAnsi="Calibri"/>
          <w:sz w:val="24"/>
          <w:szCs w:val="24"/>
          <w:lang w:val="en-GB"/>
        </w:rPr>
        <w:t xml:space="preserve"> is a not-for-profit registered NDIS provider who has been supporting people with disabilities for over 27 years. It delivers services across metropolitan Perth that cover Supported Independent Living – long term accommodation, Community Participation and Activities, and Support Coordination. </w:t>
      </w:r>
    </w:p>
    <w:p w14:paraId="3516A0E6" w14:textId="213BE009" w:rsidR="009A6C24" w:rsidRPr="00BF1AEA" w:rsidRDefault="00A10B30" w:rsidP="00A10B30">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It has more than 240 staff working under the guiding principles of collaboration, effective listening, experiencing fun, doing what’s right for participants, and striving every day to make a positive difference. Crosslinks </w:t>
      </w:r>
      <w:proofErr w:type="gramStart"/>
      <w:r w:rsidRPr="00BF1AEA">
        <w:rPr>
          <w:rFonts w:ascii="Calibri" w:hAnsi="Calibri"/>
          <w:sz w:val="24"/>
          <w:szCs w:val="24"/>
          <w:lang w:val="en-GB"/>
        </w:rPr>
        <w:t>prides</w:t>
      </w:r>
      <w:proofErr w:type="gramEnd"/>
      <w:r w:rsidRPr="00BF1AEA">
        <w:rPr>
          <w:rFonts w:ascii="Calibri" w:hAnsi="Calibri"/>
          <w:sz w:val="24"/>
          <w:szCs w:val="24"/>
          <w:lang w:val="en-GB"/>
        </w:rPr>
        <w:t xml:space="preserve"> itself on having a workforce with the right skills and access to the resources necessary to provide the highest quality </w:t>
      </w:r>
      <w:r w:rsidR="00EC6303" w:rsidRPr="00BF1AEA">
        <w:rPr>
          <w:rFonts w:ascii="Calibri" w:hAnsi="Calibri"/>
          <w:sz w:val="24"/>
          <w:szCs w:val="24"/>
          <w:lang w:val="en-GB"/>
        </w:rPr>
        <w:t xml:space="preserve">support </w:t>
      </w:r>
      <w:r w:rsidRPr="00BF1AEA">
        <w:rPr>
          <w:rFonts w:ascii="Calibri" w:hAnsi="Calibri"/>
          <w:sz w:val="24"/>
          <w:szCs w:val="24"/>
          <w:lang w:val="en-GB"/>
        </w:rPr>
        <w:t xml:space="preserve">for each participant. </w:t>
      </w:r>
    </w:p>
    <w:p w14:paraId="402B2FEC" w14:textId="77777777" w:rsidR="009A6C24" w:rsidRPr="00BF1AEA" w:rsidRDefault="00A10B30" w:rsidP="00A10B30">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To foster growth and empower the Crosslinks workforce, as well as benefit the broader community of entry level workers in the disability support sector, Crosslink established a new approach for accessing and completing formal qualifications on-the-job – called the ‘Fast Tracking a Skilled Workforce’ (FTSW) initiative. </w:t>
      </w:r>
    </w:p>
    <w:p w14:paraId="76779193" w14:textId="77777777" w:rsidR="009A6C24" w:rsidRPr="00BF1AEA" w:rsidRDefault="00A10B30" w:rsidP="00A10B30">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The FTSW initiative was designed to build on the existing Crosslinks employee training and previous on-the-job experience within a Recognised Prior Learning (RPL) framework to contribute to and fast-track completion of selected formal qualifications (including Certificate III, IV or Diploma in Community Services, and Certificate IV in Disability). The RPL and any gaps in credits required for graduation are supplemented with a tailored learning program for each person to achieve their qualification goal. </w:t>
      </w:r>
    </w:p>
    <w:p w14:paraId="20FE0544" w14:textId="79BE1D70" w:rsidR="009A6C24" w:rsidRPr="00BF1AEA" w:rsidRDefault="00A10B30" w:rsidP="00A10B30">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In doing this, Crosslinks collaborated with </w:t>
      </w:r>
      <w:hyperlink r:id="rId30" w:history="1">
        <w:r w:rsidRPr="00BF1AEA">
          <w:rPr>
            <w:rStyle w:val="Hyperlink"/>
            <w:rFonts w:ascii="Calibri" w:hAnsi="Calibri"/>
            <w:sz w:val="24"/>
            <w:szCs w:val="24"/>
            <w:lang w:val="en-GB"/>
          </w:rPr>
          <w:t>iinduct</w:t>
        </w:r>
      </w:hyperlink>
      <w:r w:rsidRPr="00BF1AEA">
        <w:rPr>
          <w:rFonts w:ascii="Calibri" w:hAnsi="Calibri"/>
          <w:sz w:val="24"/>
          <w:szCs w:val="24"/>
          <w:lang w:val="en-GB"/>
        </w:rPr>
        <w:t xml:space="preserve"> (who provide a specialised online learning product able to evidence student knowledge and facilitate personalised learning needs analysis for course completion) and the Bradford Institute of Advanced Education (an RTO experienced in community service professionals) to bring the concept to life. Two disability services organisations were initially engaged to pilot the program, alongside Crosslinks itself, to demonstrate success and scalability. After the first year, the partnership included eight organisations in total. The initiative was supported by funding through the Department of Communities ‘Disability Workforce Development and Retention Fund’ procured by the NDS. </w:t>
      </w:r>
    </w:p>
    <w:p w14:paraId="75638347" w14:textId="77777777" w:rsidR="00057F95" w:rsidRPr="00BF1AEA" w:rsidRDefault="00A10B30" w:rsidP="00057F95">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Each participating service organisation had flexibility to define the level of support provided to employees including flexible rostering to attend training, assisting with preparation of RPL evidence, creating workplace learning experiences, and completing performance reports. Crosslinks allocated a dedicated learning and development team member to provide weekly in-person support for all participating employees, as well as ensuring supervisory support for RPL evidence collection. </w:t>
      </w:r>
    </w:p>
    <w:p w14:paraId="254C8452" w14:textId="77777777" w:rsidR="0061780F" w:rsidRPr="00BF1AEA" w:rsidRDefault="0061780F" w:rsidP="00057F95">
      <w:pPr>
        <w:pStyle w:val="BodyText"/>
        <w:spacing w:before="0" w:line="312" w:lineRule="auto"/>
        <w:rPr>
          <w:rFonts w:ascii="Calibri" w:hAnsi="Calibri"/>
          <w:sz w:val="24"/>
          <w:szCs w:val="24"/>
          <w:lang w:val="en-GB"/>
        </w:rPr>
      </w:pPr>
    </w:p>
    <w:p w14:paraId="6CF85B96" w14:textId="77777777" w:rsidR="0061780F" w:rsidRPr="00BF1AEA" w:rsidRDefault="0061780F" w:rsidP="00057F95">
      <w:pPr>
        <w:pStyle w:val="BodyText"/>
        <w:spacing w:before="0" w:line="312" w:lineRule="auto"/>
        <w:rPr>
          <w:rFonts w:ascii="Calibri" w:hAnsi="Calibri"/>
          <w:sz w:val="24"/>
          <w:szCs w:val="24"/>
          <w:lang w:val="en-GB"/>
        </w:rPr>
      </w:pPr>
    </w:p>
    <w:p w14:paraId="540243C0" w14:textId="037CFCBC" w:rsidR="00057F95" w:rsidRPr="00BF1AEA" w:rsidRDefault="00A10B30" w:rsidP="00057F95">
      <w:pPr>
        <w:pStyle w:val="BodyText"/>
        <w:spacing w:before="0" w:line="312" w:lineRule="auto"/>
        <w:rPr>
          <w:rFonts w:ascii="Calibri" w:hAnsi="Calibri"/>
          <w:sz w:val="24"/>
          <w:szCs w:val="24"/>
          <w:lang w:val="en-GB"/>
        </w:rPr>
      </w:pPr>
      <w:r w:rsidRPr="00BF1AEA">
        <w:rPr>
          <w:rFonts w:ascii="Calibri" w:hAnsi="Calibri"/>
          <w:sz w:val="24"/>
          <w:szCs w:val="24"/>
          <w:lang w:val="en-GB"/>
        </w:rPr>
        <w:lastRenderedPageBreak/>
        <w:t xml:space="preserve">The FTSW has transformed professional development for Crosslink’s Disability Support Workers and has had a tangible impact on their careers, the business they work for, and for people with disabilities accessing services. Specific outcomes across the varying participating service providers have been: </w:t>
      </w:r>
    </w:p>
    <w:p w14:paraId="185B00B1" w14:textId="77777777" w:rsidR="00057F95" w:rsidRPr="00BF1AEA" w:rsidRDefault="00A10B30" w:rsidP="00FA2EC7">
      <w:pPr>
        <w:pStyle w:val="BodyText"/>
        <w:numPr>
          <w:ilvl w:val="0"/>
          <w:numId w:val="43"/>
        </w:numPr>
        <w:spacing w:before="0" w:line="312" w:lineRule="auto"/>
        <w:rPr>
          <w:rFonts w:ascii="Calibri" w:hAnsi="Calibri"/>
          <w:sz w:val="24"/>
          <w:szCs w:val="24"/>
          <w:lang w:val="en-GB"/>
        </w:rPr>
      </w:pPr>
      <w:r w:rsidRPr="00BF1AEA">
        <w:rPr>
          <w:rFonts w:ascii="Calibri" w:hAnsi="Calibri"/>
          <w:sz w:val="24"/>
          <w:szCs w:val="24"/>
          <w:lang w:val="en-GB"/>
        </w:rPr>
        <w:t xml:space="preserve">Enabling 203 Support Workers across the disability sector (within the Crosslinks partnership) to complete 213 formal qualifications and enhance their professional capabilities </w:t>
      </w:r>
    </w:p>
    <w:p w14:paraId="7B2EA148" w14:textId="77777777" w:rsidR="00057F95" w:rsidRPr="00BF1AEA" w:rsidRDefault="00A10B30" w:rsidP="00FA2EC7">
      <w:pPr>
        <w:pStyle w:val="BodyText"/>
        <w:numPr>
          <w:ilvl w:val="0"/>
          <w:numId w:val="43"/>
        </w:numPr>
        <w:spacing w:before="0" w:line="312" w:lineRule="auto"/>
        <w:rPr>
          <w:rFonts w:ascii="Calibri" w:hAnsi="Calibri"/>
          <w:sz w:val="24"/>
          <w:szCs w:val="24"/>
          <w:lang w:val="en-GB"/>
        </w:rPr>
      </w:pPr>
      <w:r w:rsidRPr="00BF1AEA">
        <w:rPr>
          <w:rFonts w:ascii="Calibri" w:hAnsi="Calibri"/>
          <w:sz w:val="24"/>
          <w:szCs w:val="24"/>
          <w:lang w:val="en-GB"/>
        </w:rPr>
        <w:t>Increasing participating Support Workers job satisfaction, skill sets and self-confidence in their role</w:t>
      </w:r>
    </w:p>
    <w:p w14:paraId="3A6BB1AD" w14:textId="77777777" w:rsidR="00057F95" w:rsidRPr="00BF1AEA" w:rsidRDefault="00A10B30" w:rsidP="00FA2EC7">
      <w:pPr>
        <w:pStyle w:val="BodyText"/>
        <w:numPr>
          <w:ilvl w:val="0"/>
          <w:numId w:val="43"/>
        </w:numPr>
        <w:spacing w:before="0" w:line="312" w:lineRule="auto"/>
        <w:rPr>
          <w:rFonts w:ascii="Calibri" w:hAnsi="Calibri"/>
          <w:sz w:val="24"/>
          <w:szCs w:val="24"/>
          <w:lang w:val="en-GB"/>
        </w:rPr>
      </w:pPr>
      <w:r w:rsidRPr="00BF1AEA">
        <w:rPr>
          <w:rFonts w:ascii="Calibri" w:hAnsi="Calibri"/>
          <w:sz w:val="24"/>
          <w:szCs w:val="24"/>
          <w:lang w:val="en-GB"/>
        </w:rPr>
        <w:t xml:space="preserve">Providing clarity on career paths and practical opportunities to pursue and reach career goals </w:t>
      </w:r>
    </w:p>
    <w:p w14:paraId="0F8DCC2E" w14:textId="77777777" w:rsidR="00057F95" w:rsidRPr="00BF1AEA" w:rsidRDefault="00A10B30" w:rsidP="00FA2EC7">
      <w:pPr>
        <w:pStyle w:val="BodyText"/>
        <w:numPr>
          <w:ilvl w:val="0"/>
          <w:numId w:val="43"/>
        </w:numPr>
        <w:spacing w:before="0" w:line="312" w:lineRule="auto"/>
        <w:rPr>
          <w:rFonts w:ascii="Calibri" w:hAnsi="Calibri"/>
          <w:sz w:val="24"/>
          <w:szCs w:val="24"/>
          <w:lang w:val="en-GB"/>
        </w:rPr>
      </w:pPr>
      <w:r w:rsidRPr="00BF1AEA">
        <w:rPr>
          <w:rFonts w:ascii="Calibri" w:hAnsi="Calibri"/>
          <w:sz w:val="24"/>
          <w:szCs w:val="24"/>
          <w:lang w:val="en-GB"/>
        </w:rPr>
        <w:t xml:space="preserve">Decreasing staff turnover through increased engagement, leading to reduction in need for casual staff and enabling more consistency of staff for people with disabilities </w:t>
      </w:r>
    </w:p>
    <w:p w14:paraId="2871A063" w14:textId="77777777" w:rsidR="00057F95" w:rsidRPr="00BF1AEA" w:rsidRDefault="00A10B30" w:rsidP="00FA2EC7">
      <w:pPr>
        <w:pStyle w:val="BodyText"/>
        <w:numPr>
          <w:ilvl w:val="0"/>
          <w:numId w:val="43"/>
        </w:numPr>
        <w:spacing w:before="0" w:line="312" w:lineRule="auto"/>
        <w:rPr>
          <w:rFonts w:ascii="Calibri" w:hAnsi="Calibri"/>
          <w:sz w:val="24"/>
          <w:szCs w:val="24"/>
          <w:lang w:val="en-GB"/>
        </w:rPr>
      </w:pPr>
      <w:r w:rsidRPr="00BF1AEA">
        <w:rPr>
          <w:rFonts w:ascii="Calibri" w:hAnsi="Calibri"/>
          <w:sz w:val="24"/>
          <w:szCs w:val="24"/>
          <w:lang w:val="en-GB"/>
        </w:rPr>
        <w:t xml:space="preserve">Enhancing the creativity and focus of support to enable more person-centred care to assist people with disabilities in achieving their goals </w:t>
      </w:r>
    </w:p>
    <w:p w14:paraId="26029183" w14:textId="77777777" w:rsidR="00057F95" w:rsidRPr="00BF1AEA" w:rsidRDefault="00A10B30" w:rsidP="00FA2EC7">
      <w:pPr>
        <w:pStyle w:val="BodyText"/>
        <w:numPr>
          <w:ilvl w:val="0"/>
          <w:numId w:val="43"/>
        </w:numPr>
        <w:spacing w:before="0" w:line="312" w:lineRule="auto"/>
        <w:rPr>
          <w:rFonts w:ascii="Calibri" w:hAnsi="Calibri"/>
          <w:sz w:val="24"/>
          <w:szCs w:val="24"/>
          <w:lang w:val="en-GB"/>
        </w:rPr>
      </w:pPr>
      <w:r w:rsidRPr="00BF1AEA">
        <w:rPr>
          <w:rFonts w:ascii="Calibri" w:hAnsi="Calibri"/>
          <w:sz w:val="24"/>
          <w:szCs w:val="24"/>
          <w:lang w:val="en-GB"/>
        </w:rPr>
        <w:t xml:space="preserve">Building more confidence with families and carers in service quality and reliability </w:t>
      </w:r>
    </w:p>
    <w:p w14:paraId="2FD6E19E" w14:textId="110FCB9A" w:rsidR="00450496" w:rsidRPr="00BF1AEA" w:rsidRDefault="00A10B30" w:rsidP="00FA2EC7">
      <w:pPr>
        <w:pStyle w:val="BodyText"/>
        <w:numPr>
          <w:ilvl w:val="0"/>
          <w:numId w:val="43"/>
        </w:numPr>
        <w:spacing w:before="0" w:line="312" w:lineRule="auto"/>
        <w:rPr>
          <w:rFonts w:ascii="Calibri" w:hAnsi="Calibri"/>
          <w:sz w:val="24"/>
          <w:szCs w:val="24"/>
          <w:lang w:val="en-GB"/>
        </w:rPr>
      </w:pPr>
      <w:r w:rsidRPr="00BF1AEA">
        <w:rPr>
          <w:rFonts w:ascii="Calibri" w:hAnsi="Calibri"/>
          <w:sz w:val="24"/>
          <w:szCs w:val="24"/>
          <w:lang w:val="en-GB"/>
        </w:rPr>
        <w:t xml:space="preserve">Improving business’ efficiency and service quality with staff more equipped to deliver quality care. For Crosslinks, 113 Disability Support Workers have gained formal qualifications with 90% of employees now having a formal qualification (compared to the industry standard of 11%). Service demand, recruitment and retention </w:t>
      </w:r>
      <w:proofErr w:type="gramStart"/>
      <w:r w:rsidRPr="00BF1AEA">
        <w:rPr>
          <w:rFonts w:ascii="Calibri" w:hAnsi="Calibri"/>
          <w:sz w:val="24"/>
          <w:szCs w:val="24"/>
          <w:lang w:val="en-GB"/>
        </w:rPr>
        <w:t>has</w:t>
      </w:r>
      <w:proofErr w:type="gramEnd"/>
      <w:r w:rsidRPr="00BF1AEA">
        <w:rPr>
          <w:rFonts w:ascii="Calibri" w:hAnsi="Calibri"/>
          <w:sz w:val="24"/>
          <w:szCs w:val="24"/>
          <w:lang w:val="en-GB"/>
        </w:rPr>
        <w:t xml:space="preserve"> grown, and casual employment and agency staff dependence has reduced.</w:t>
      </w:r>
    </w:p>
    <w:p w14:paraId="24F3CF95" w14:textId="55E292A4" w:rsidR="005D1F1F" w:rsidRPr="00BF1AEA" w:rsidRDefault="00FE467E" w:rsidP="005D1F1F">
      <w:pPr>
        <w:pStyle w:val="Heading1"/>
        <w:spacing w:line="240" w:lineRule="auto"/>
        <w:rPr>
          <w:rFonts w:ascii="Calibri" w:hAnsi="Calibri"/>
          <w:color w:val="8331A7"/>
          <w:lang w:val="en-GB"/>
        </w:rPr>
      </w:pPr>
      <w:bookmarkStart w:id="41" w:name="_Toc199322320"/>
      <w:r w:rsidRPr="00BF1AEA">
        <w:rPr>
          <w:rFonts w:ascii="Calibri" w:hAnsi="Calibri"/>
          <w:color w:val="8331A7"/>
          <w:lang w:val="en-GB"/>
        </w:rPr>
        <w:lastRenderedPageBreak/>
        <w:t>Building pathways and retaining experience</w:t>
      </w:r>
      <w:bookmarkEnd w:id="41"/>
    </w:p>
    <w:p w14:paraId="386F51AF" w14:textId="77777777" w:rsidR="005D1F1F" w:rsidRPr="00BF1AEA" w:rsidRDefault="005D1F1F" w:rsidP="005D1F1F">
      <w:pPr>
        <w:pStyle w:val="Heading2"/>
        <w:numPr>
          <w:ilvl w:val="0"/>
          <w:numId w:val="0"/>
        </w:numPr>
        <w:spacing w:line="240" w:lineRule="auto"/>
        <w:rPr>
          <w:rFonts w:ascii="Calibri" w:hAnsi="Calibri"/>
          <w:color w:val="8331A7"/>
          <w:lang w:val="en-GB"/>
        </w:rPr>
      </w:pPr>
      <w:bookmarkStart w:id="42" w:name="_Toc199322321"/>
      <w:r w:rsidRPr="00BF1AEA">
        <w:rPr>
          <w:rFonts w:ascii="Calibri" w:hAnsi="Calibri"/>
          <w:color w:val="8331A7"/>
          <w:lang w:val="en-GB"/>
        </w:rPr>
        <w:t>Why it is important</w:t>
      </w:r>
      <w:bookmarkEnd w:id="42"/>
    </w:p>
    <w:p w14:paraId="60B5E1B6" w14:textId="77777777" w:rsidR="00CF09E3" w:rsidRPr="00BF1AEA" w:rsidRDefault="00167D08" w:rsidP="00167D08">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Career pathways within the care and support sector are essential to supporting retention. They provide individuals with a clear roadmap for personal and professional growth, helping retention of knowledge and expertise in the sector. For employers, career pathways help attract, develop, and retain talent, ensuring a motivated and skilled workforce. Awareness and accessibility of pathways can be challenging because of the diversity of approaches between employers and contexts. </w:t>
      </w:r>
    </w:p>
    <w:p w14:paraId="659BCC27" w14:textId="04202195" w:rsidR="005D1F1F" w:rsidRPr="00BF1AEA" w:rsidRDefault="00167D08" w:rsidP="00167D08">
      <w:pPr>
        <w:pStyle w:val="BodyText"/>
        <w:spacing w:before="0" w:line="312" w:lineRule="auto"/>
        <w:rPr>
          <w:rFonts w:ascii="Calibri" w:hAnsi="Calibri"/>
          <w:sz w:val="24"/>
          <w:szCs w:val="24"/>
          <w:lang w:val="en-GB"/>
        </w:rPr>
      </w:pPr>
      <w:r w:rsidRPr="00BF1AEA">
        <w:rPr>
          <w:rFonts w:ascii="Calibri" w:hAnsi="Calibri"/>
          <w:sz w:val="24"/>
          <w:szCs w:val="24"/>
          <w:lang w:val="en-GB"/>
        </w:rPr>
        <w:t>Retaining staff is key to becoming a high performing organisation as it reduces recruitment and training costs, enhances productivity, and preserves institutional knowledge. Long-term employees bring experience, stability, and deep understanding of contemporary practice, which improves the quality of care, treatment and support. Ultimately, a stable workforce supports innovation, growth, and consistency, contributing to long-term success.</w:t>
      </w:r>
    </w:p>
    <w:p w14:paraId="480E82D2" w14:textId="0E4D9D39" w:rsidR="006C26A8" w:rsidRPr="00BF1AEA" w:rsidRDefault="002777F6" w:rsidP="006C26A8">
      <w:pPr>
        <w:pStyle w:val="Heading2"/>
        <w:numPr>
          <w:ilvl w:val="0"/>
          <w:numId w:val="0"/>
        </w:numPr>
        <w:spacing w:line="240" w:lineRule="auto"/>
        <w:rPr>
          <w:rFonts w:ascii="Calibri" w:hAnsi="Calibri"/>
          <w:color w:val="8331A7"/>
          <w:lang w:val="en-GB"/>
        </w:rPr>
      </w:pPr>
      <w:bookmarkStart w:id="43" w:name="_Toc199322322"/>
      <w:r w:rsidRPr="00BF1AEA">
        <w:rPr>
          <w:rFonts w:ascii="Calibri" w:hAnsi="Calibri"/>
          <w:color w:val="8331A7"/>
          <w:lang w:val="en-GB"/>
        </w:rPr>
        <w:t>What are the common barriers</w:t>
      </w:r>
      <w:bookmarkEnd w:id="43"/>
    </w:p>
    <w:p w14:paraId="6FBD9258" w14:textId="08E8A63A" w:rsidR="006C26A8" w:rsidRPr="00BF1AEA" w:rsidRDefault="00174323" w:rsidP="006C26A8">
      <w:pPr>
        <w:pStyle w:val="BodyText"/>
        <w:spacing w:before="0" w:after="0" w:line="312" w:lineRule="auto"/>
        <w:rPr>
          <w:rFonts w:ascii="Calibri" w:hAnsi="Calibri"/>
          <w:color w:val="7030A0"/>
          <w:sz w:val="28"/>
          <w:szCs w:val="28"/>
          <w:lang w:val="en-GB"/>
        </w:rPr>
      </w:pPr>
      <w:r w:rsidRPr="00BF1AEA">
        <w:rPr>
          <w:rFonts w:ascii="Calibri" w:hAnsi="Calibri"/>
          <w:color w:val="7030A0"/>
          <w:sz w:val="28"/>
          <w:szCs w:val="28"/>
          <w:lang w:val="en-GB"/>
        </w:rPr>
        <w:t>Entry pathways</w:t>
      </w:r>
    </w:p>
    <w:p w14:paraId="46871A73" w14:textId="407054A3" w:rsidR="006C26A8" w:rsidRPr="00BF1AEA" w:rsidRDefault="00E93DCA" w:rsidP="00E93DCA">
      <w:pPr>
        <w:pStyle w:val="BodyText"/>
        <w:spacing w:before="0" w:line="312" w:lineRule="auto"/>
        <w:rPr>
          <w:rFonts w:ascii="Calibri" w:hAnsi="Calibri"/>
          <w:sz w:val="24"/>
          <w:szCs w:val="24"/>
          <w:lang w:val="en-GB"/>
        </w:rPr>
      </w:pPr>
      <w:r w:rsidRPr="00BF1AEA">
        <w:rPr>
          <w:rFonts w:ascii="Calibri" w:hAnsi="Calibri"/>
          <w:sz w:val="24"/>
          <w:szCs w:val="24"/>
          <w:lang w:val="en-GB"/>
        </w:rPr>
        <w:t>There is low awareness of the range of entry pathways, diversity of job roles on offer and available career opportunities for workers in the care and support sector. In part, this is because the aged care, disability support and veterans’ care sectors have been packaged and promoted as a uniform sector, which does not reflect the reality of the industry and discourages individuals from considering careers in care</w:t>
      </w:r>
      <w:r w:rsidR="009D2091" w:rsidRPr="00BF1AEA">
        <w:rPr>
          <w:rFonts w:ascii="Calibri" w:hAnsi="Calibri"/>
          <w:sz w:val="24"/>
          <w:szCs w:val="24"/>
          <w:lang w:val="en-GB"/>
        </w:rPr>
        <w:t xml:space="preserve"> and support</w:t>
      </w:r>
      <w:r w:rsidRPr="00BF1AEA">
        <w:rPr>
          <w:rFonts w:ascii="Calibri" w:hAnsi="Calibri"/>
          <w:sz w:val="24"/>
          <w:szCs w:val="24"/>
          <w:lang w:val="en-GB"/>
        </w:rPr>
        <w:t>.</w:t>
      </w:r>
    </w:p>
    <w:p w14:paraId="06C061E0" w14:textId="33E1E69D" w:rsidR="00810D11" w:rsidRPr="00BF1AEA" w:rsidRDefault="000D3F05" w:rsidP="00810D11">
      <w:pPr>
        <w:pStyle w:val="BodyText"/>
        <w:spacing w:before="0" w:after="0" w:line="312" w:lineRule="auto"/>
        <w:rPr>
          <w:rFonts w:ascii="Calibri" w:hAnsi="Calibri"/>
          <w:color w:val="7030A0"/>
          <w:sz w:val="28"/>
          <w:szCs w:val="28"/>
          <w:lang w:val="en-GB"/>
        </w:rPr>
      </w:pPr>
      <w:r w:rsidRPr="00BF1AEA">
        <w:rPr>
          <w:rFonts w:ascii="Calibri" w:hAnsi="Calibri"/>
          <w:color w:val="7030A0"/>
          <w:sz w:val="28"/>
          <w:szCs w:val="28"/>
          <w:lang w:val="en-GB"/>
        </w:rPr>
        <w:t>Progression points</w:t>
      </w:r>
    </w:p>
    <w:p w14:paraId="28AD3033" w14:textId="363C0DC4" w:rsidR="00B3052B" w:rsidRPr="00BF1AEA" w:rsidRDefault="00CB7EFF" w:rsidP="00CB7EFF">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Opportunities for advancement in role, level, and responsibility are key to career satisfaction. However, these progression opportunities and career structures are not visible in many roles in the care </w:t>
      </w:r>
      <w:r w:rsidR="009D2091" w:rsidRPr="00BF1AEA">
        <w:rPr>
          <w:rFonts w:ascii="Calibri" w:hAnsi="Calibri"/>
          <w:sz w:val="24"/>
          <w:szCs w:val="24"/>
          <w:lang w:val="en-GB"/>
        </w:rPr>
        <w:t xml:space="preserve">and support </w:t>
      </w:r>
      <w:r w:rsidRPr="00BF1AEA">
        <w:rPr>
          <w:rFonts w:ascii="Calibri" w:hAnsi="Calibri"/>
          <w:sz w:val="24"/>
          <w:szCs w:val="24"/>
          <w:lang w:val="en-GB"/>
        </w:rPr>
        <w:t>sector, such as personal care workers (PCWs), Aboriginal and Torres Strait Islander health workers, lived experience (peer) workers, occupational therapists, and social workers.</w:t>
      </w:r>
    </w:p>
    <w:p w14:paraId="6D34C5EB" w14:textId="14319327" w:rsidR="00F051DC" w:rsidRPr="00BF1AEA" w:rsidRDefault="005F79CE" w:rsidP="00F051DC">
      <w:pPr>
        <w:pStyle w:val="BodyText"/>
        <w:spacing w:before="0" w:after="0" w:line="312" w:lineRule="auto"/>
        <w:rPr>
          <w:rFonts w:ascii="Calibri" w:hAnsi="Calibri"/>
          <w:color w:val="7030A0"/>
          <w:sz w:val="28"/>
          <w:szCs w:val="28"/>
          <w:lang w:val="en-GB"/>
        </w:rPr>
      </w:pPr>
      <w:r w:rsidRPr="00BF1AEA">
        <w:rPr>
          <w:rFonts w:ascii="Calibri" w:hAnsi="Calibri"/>
          <w:color w:val="7030A0"/>
          <w:sz w:val="28"/>
          <w:szCs w:val="28"/>
          <w:lang w:val="en-GB"/>
        </w:rPr>
        <w:t>Availability of roles</w:t>
      </w:r>
    </w:p>
    <w:p w14:paraId="09ED9848" w14:textId="50061855" w:rsidR="00F051DC" w:rsidRPr="00BF1AEA" w:rsidRDefault="004558DD" w:rsidP="004558DD">
      <w:pPr>
        <w:pStyle w:val="BodyText"/>
        <w:spacing w:before="0" w:line="312" w:lineRule="auto"/>
        <w:rPr>
          <w:rFonts w:ascii="Calibri" w:hAnsi="Calibri"/>
          <w:sz w:val="24"/>
          <w:szCs w:val="24"/>
          <w:lang w:val="en-GB"/>
        </w:rPr>
      </w:pPr>
      <w:r w:rsidRPr="00BF1AEA">
        <w:rPr>
          <w:rFonts w:ascii="Calibri" w:hAnsi="Calibri"/>
          <w:sz w:val="24"/>
          <w:szCs w:val="24"/>
          <w:lang w:val="en-GB"/>
        </w:rPr>
        <w:t>Opportunities for role progression are also restricted by the size of service providers, their funding envelope, team structures, and service delivery models. This makes other sectors, such as healthcare, more appealing to workers as they are perceived to offer better prospects for career growth.</w:t>
      </w:r>
    </w:p>
    <w:p w14:paraId="64D4E7DF" w14:textId="77777777" w:rsidR="00B55E0C" w:rsidRPr="00BF1AEA" w:rsidRDefault="00B55E0C" w:rsidP="00CE1F69">
      <w:pPr>
        <w:pStyle w:val="BodyText"/>
        <w:spacing w:before="0" w:after="0" w:line="312" w:lineRule="auto"/>
        <w:rPr>
          <w:rFonts w:ascii="Calibri" w:hAnsi="Calibri"/>
          <w:color w:val="7030A0"/>
          <w:sz w:val="28"/>
          <w:szCs w:val="28"/>
          <w:lang w:val="en-GB"/>
        </w:rPr>
      </w:pPr>
    </w:p>
    <w:p w14:paraId="108E38E8" w14:textId="77777777" w:rsidR="00B55E0C" w:rsidRPr="00BF1AEA" w:rsidRDefault="00B55E0C" w:rsidP="00CE1F69">
      <w:pPr>
        <w:pStyle w:val="BodyText"/>
        <w:spacing w:before="0" w:after="0" w:line="312" w:lineRule="auto"/>
        <w:rPr>
          <w:rFonts w:ascii="Calibri" w:hAnsi="Calibri"/>
          <w:color w:val="7030A0"/>
          <w:sz w:val="28"/>
          <w:szCs w:val="28"/>
          <w:lang w:val="en-GB"/>
        </w:rPr>
      </w:pPr>
    </w:p>
    <w:p w14:paraId="4FFFA108" w14:textId="77777777" w:rsidR="00B55E0C" w:rsidRPr="00BF1AEA" w:rsidRDefault="00B55E0C" w:rsidP="00CE1F69">
      <w:pPr>
        <w:pStyle w:val="BodyText"/>
        <w:spacing w:before="0" w:after="0" w:line="312" w:lineRule="auto"/>
        <w:rPr>
          <w:rFonts w:ascii="Calibri" w:hAnsi="Calibri"/>
          <w:color w:val="7030A0"/>
          <w:sz w:val="28"/>
          <w:szCs w:val="28"/>
          <w:lang w:val="en-GB"/>
        </w:rPr>
      </w:pPr>
    </w:p>
    <w:p w14:paraId="07B485A1" w14:textId="3B29DC92" w:rsidR="00CE1F69" w:rsidRPr="00BF1AEA" w:rsidRDefault="0026767A" w:rsidP="00CE1F69">
      <w:pPr>
        <w:pStyle w:val="BodyText"/>
        <w:spacing w:before="0" w:after="0" w:line="312" w:lineRule="auto"/>
        <w:rPr>
          <w:rFonts w:ascii="Calibri" w:hAnsi="Calibri"/>
          <w:color w:val="7030A0"/>
          <w:sz w:val="28"/>
          <w:szCs w:val="28"/>
          <w:lang w:val="en-GB"/>
        </w:rPr>
      </w:pPr>
      <w:r w:rsidRPr="00BF1AEA">
        <w:rPr>
          <w:rFonts w:ascii="Calibri" w:hAnsi="Calibri"/>
          <w:color w:val="7030A0"/>
          <w:sz w:val="28"/>
          <w:szCs w:val="28"/>
          <w:lang w:val="en-GB"/>
        </w:rPr>
        <w:lastRenderedPageBreak/>
        <w:t>Workplace culture</w:t>
      </w:r>
    </w:p>
    <w:p w14:paraId="4FA9F1C9" w14:textId="119A50DE" w:rsidR="00187F45" w:rsidRPr="00BF1AEA" w:rsidRDefault="009A5874" w:rsidP="009A5874">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The organisational pressure in the care </w:t>
      </w:r>
      <w:r w:rsidR="009D2091" w:rsidRPr="00BF1AEA">
        <w:rPr>
          <w:rFonts w:ascii="Calibri" w:hAnsi="Calibri"/>
          <w:sz w:val="24"/>
          <w:szCs w:val="24"/>
          <w:lang w:val="en-GB"/>
        </w:rPr>
        <w:t xml:space="preserve">and support </w:t>
      </w:r>
      <w:r w:rsidRPr="00BF1AEA">
        <w:rPr>
          <w:rFonts w:ascii="Calibri" w:hAnsi="Calibri"/>
          <w:sz w:val="24"/>
          <w:szCs w:val="24"/>
          <w:lang w:val="en-GB"/>
        </w:rPr>
        <w:t>sector means that employers often face challenges in providing the supportive workplace culture that is essential for a resilient workforce. High workloads, stress, and fatigue all combine to produce significant burnout and workforce attrition. These issues are heightened in regional and remote areas, where the challenges of limited support resources and infrastructure are more pronounced.</w:t>
      </w:r>
    </w:p>
    <w:p w14:paraId="71524E1F" w14:textId="2F3B5FCC" w:rsidR="00CE2A5B" w:rsidRPr="00BF1AEA" w:rsidRDefault="00A32D3C" w:rsidP="00CE2A5B">
      <w:pPr>
        <w:pStyle w:val="BodyText"/>
        <w:spacing w:before="0" w:after="0" w:line="312" w:lineRule="auto"/>
        <w:rPr>
          <w:rFonts w:ascii="Calibri" w:hAnsi="Calibri"/>
          <w:color w:val="7030A0"/>
          <w:sz w:val="28"/>
          <w:szCs w:val="28"/>
          <w:lang w:val="en-GB"/>
        </w:rPr>
      </w:pPr>
      <w:r w:rsidRPr="00BF1AEA">
        <w:rPr>
          <w:rFonts w:ascii="Calibri" w:hAnsi="Calibri"/>
          <w:color w:val="7030A0"/>
          <w:sz w:val="28"/>
          <w:szCs w:val="28"/>
          <w:lang w:val="en-GB"/>
        </w:rPr>
        <w:t>Workplace injuries</w:t>
      </w:r>
    </w:p>
    <w:p w14:paraId="2D0CB52B" w14:textId="3CC203BF" w:rsidR="005864CC" w:rsidRPr="00BF1AEA" w:rsidRDefault="002C6B68" w:rsidP="009A5874">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Workplace injuries are another a major reason workers leave the care </w:t>
      </w:r>
      <w:r w:rsidR="009D2091" w:rsidRPr="00BF1AEA">
        <w:rPr>
          <w:rFonts w:ascii="Calibri" w:hAnsi="Calibri"/>
          <w:sz w:val="24"/>
          <w:szCs w:val="24"/>
          <w:lang w:val="en-GB"/>
        </w:rPr>
        <w:t xml:space="preserve">and support </w:t>
      </w:r>
      <w:r w:rsidRPr="00BF1AEA">
        <w:rPr>
          <w:rFonts w:ascii="Calibri" w:hAnsi="Calibri"/>
          <w:sz w:val="24"/>
          <w:szCs w:val="24"/>
          <w:lang w:val="en-GB"/>
        </w:rPr>
        <w:t xml:space="preserve">sector. Community and personal care </w:t>
      </w:r>
      <w:r w:rsidR="009D2091" w:rsidRPr="00BF1AEA">
        <w:rPr>
          <w:rFonts w:ascii="Calibri" w:hAnsi="Calibri"/>
          <w:sz w:val="24"/>
          <w:szCs w:val="24"/>
          <w:lang w:val="en-GB"/>
        </w:rPr>
        <w:t xml:space="preserve">and support </w:t>
      </w:r>
      <w:r w:rsidRPr="00BF1AEA">
        <w:rPr>
          <w:rFonts w:ascii="Calibri" w:hAnsi="Calibri"/>
          <w:sz w:val="24"/>
          <w:szCs w:val="24"/>
          <w:lang w:val="en-GB"/>
        </w:rPr>
        <w:t xml:space="preserve">workers have the highest rates of work-related injuries, including back, neck, and shoulder strains, as well as serious musculoskeletal disorders caused by improper handling or a lack of equipment. </w:t>
      </w:r>
    </w:p>
    <w:p w14:paraId="45FA83B3" w14:textId="41B9DA0E" w:rsidR="00A250FB" w:rsidRPr="00BF1AEA" w:rsidRDefault="00AE70B0" w:rsidP="00A250FB">
      <w:pPr>
        <w:pStyle w:val="Heading2"/>
        <w:numPr>
          <w:ilvl w:val="0"/>
          <w:numId w:val="0"/>
        </w:numPr>
        <w:spacing w:line="240" w:lineRule="auto"/>
        <w:rPr>
          <w:rFonts w:ascii="Calibri" w:hAnsi="Calibri"/>
          <w:color w:val="8331A7"/>
          <w:lang w:val="en-GB"/>
        </w:rPr>
      </w:pPr>
      <w:bookmarkStart w:id="44" w:name="_Toc199322323"/>
      <w:r w:rsidRPr="00BF1AEA">
        <w:rPr>
          <w:rFonts w:ascii="Calibri" w:hAnsi="Calibri"/>
          <w:color w:val="8331A7"/>
          <w:lang w:val="en-GB"/>
        </w:rPr>
        <w:t>Effective strategies</w:t>
      </w:r>
      <w:bookmarkEnd w:id="44"/>
    </w:p>
    <w:p w14:paraId="369B3BB3" w14:textId="43A20BCC" w:rsidR="00A250FB" w:rsidRPr="00BF1AEA" w:rsidRDefault="00B01C0C" w:rsidP="00A250FB">
      <w:pPr>
        <w:pStyle w:val="BodyText"/>
        <w:spacing w:before="0" w:after="0" w:line="312" w:lineRule="auto"/>
        <w:rPr>
          <w:rFonts w:ascii="Calibri" w:hAnsi="Calibri"/>
          <w:color w:val="7030A0"/>
          <w:sz w:val="28"/>
          <w:szCs w:val="28"/>
          <w:lang w:val="en-GB"/>
        </w:rPr>
      </w:pPr>
      <w:bookmarkStart w:id="45" w:name="RTOopendays"/>
      <w:r w:rsidRPr="00BF1AEA">
        <w:rPr>
          <w:rFonts w:ascii="Calibri" w:hAnsi="Calibri"/>
          <w:color w:val="7030A0"/>
          <w:sz w:val="28"/>
          <w:szCs w:val="28"/>
          <w:lang w:val="en-GB"/>
        </w:rPr>
        <w:t>5A – RTO open days</w:t>
      </w:r>
    </w:p>
    <w:bookmarkEnd w:id="45"/>
    <w:p w14:paraId="6358D9A5" w14:textId="38342D88" w:rsidR="00B85406" w:rsidRPr="00BF1AEA" w:rsidRDefault="001C0B47" w:rsidP="001C0B47">
      <w:pPr>
        <w:pStyle w:val="BodyText"/>
        <w:spacing w:before="0" w:line="312" w:lineRule="auto"/>
        <w:rPr>
          <w:rFonts w:ascii="Calibri" w:hAnsi="Calibri"/>
          <w:sz w:val="24"/>
          <w:szCs w:val="24"/>
          <w:lang w:val="en-GB"/>
        </w:rPr>
      </w:pPr>
      <w:r w:rsidRPr="00BF1AEA">
        <w:rPr>
          <w:rFonts w:ascii="Calibri" w:hAnsi="Calibri"/>
          <w:sz w:val="24"/>
          <w:szCs w:val="24"/>
          <w:lang w:val="en-GB"/>
        </w:rPr>
        <w:t>Industry bodies have partnered with RTOs to co-host RTO Open Days, where prospective students and workers can meet with employers to learn more about the industry, training options, RTO's facilities, and supports available. This has helped to increase interest of potential students in the care and support sector by giving both a feel for the learning environment before enrolling in a course, and the realities of working in the sector after completion.</w:t>
      </w:r>
    </w:p>
    <w:p w14:paraId="166C50F1" w14:textId="3F5C6C8B" w:rsidR="009F742A" w:rsidRPr="00BF1AEA" w:rsidRDefault="00B42AA2" w:rsidP="009F742A">
      <w:pPr>
        <w:pStyle w:val="BodyText"/>
        <w:spacing w:before="0" w:after="0" w:line="312" w:lineRule="auto"/>
        <w:rPr>
          <w:rFonts w:ascii="Calibri" w:hAnsi="Calibri"/>
          <w:color w:val="7030A0"/>
          <w:sz w:val="28"/>
          <w:szCs w:val="28"/>
          <w:lang w:val="en-GB"/>
        </w:rPr>
      </w:pPr>
      <w:bookmarkStart w:id="46" w:name="Schoolvisits"/>
      <w:r w:rsidRPr="00BF1AEA">
        <w:rPr>
          <w:rFonts w:ascii="Calibri" w:hAnsi="Calibri"/>
          <w:color w:val="7030A0"/>
          <w:sz w:val="28"/>
          <w:szCs w:val="28"/>
          <w:lang w:val="en-GB"/>
        </w:rPr>
        <w:t>5B – School visits</w:t>
      </w:r>
    </w:p>
    <w:bookmarkEnd w:id="46"/>
    <w:p w14:paraId="2930CF1D" w14:textId="0F16215F" w:rsidR="009168EA" w:rsidRPr="00BF1AEA" w:rsidRDefault="00A57B5E" w:rsidP="00A57B5E">
      <w:pPr>
        <w:pStyle w:val="BodyText"/>
        <w:spacing w:before="0" w:line="312" w:lineRule="auto"/>
        <w:rPr>
          <w:rFonts w:ascii="Calibri" w:hAnsi="Calibri"/>
          <w:sz w:val="24"/>
          <w:szCs w:val="24"/>
          <w:lang w:val="en-GB"/>
        </w:rPr>
      </w:pPr>
      <w:r w:rsidRPr="00BF1AEA">
        <w:rPr>
          <w:rFonts w:ascii="Calibri" w:hAnsi="Calibri"/>
          <w:sz w:val="24"/>
          <w:szCs w:val="24"/>
          <w:lang w:val="en-GB"/>
        </w:rPr>
        <w:t>Employers have connected with local schools to raise awareness of career pathways with students, talking about career opportunities, industry trends, and the skills required for related roles. These visits help students understand the different career pathways available to them after school, whether through further education, apprenticeships, internships, or direct entry into the workforce.</w:t>
      </w:r>
    </w:p>
    <w:p w14:paraId="25ACD3D6" w14:textId="0E0B3037" w:rsidR="00760454" w:rsidRPr="00BF1AEA" w:rsidRDefault="00C77F92" w:rsidP="00760454">
      <w:pPr>
        <w:pStyle w:val="BodyText"/>
        <w:spacing w:before="0" w:after="0" w:line="312" w:lineRule="auto"/>
        <w:rPr>
          <w:rFonts w:ascii="Calibri" w:hAnsi="Calibri"/>
          <w:color w:val="7030A0"/>
          <w:sz w:val="28"/>
          <w:szCs w:val="28"/>
          <w:lang w:val="en-GB"/>
        </w:rPr>
      </w:pPr>
      <w:bookmarkStart w:id="47" w:name="Structuredtraining"/>
      <w:r w:rsidRPr="00BF1AEA">
        <w:rPr>
          <w:rFonts w:ascii="Calibri" w:hAnsi="Calibri"/>
          <w:color w:val="7030A0"/>
          <w:sz w:val="28"/>
          <w:szCs w:val="28"/>
          <w:lang w:val="en-GB"/>
        </w:rPr>
        <w:t>5C – Structured training and development pathways</w:t>
      </w:r>
    </w:p>
    <w:bookmarkEnd w:id="47"/>
    <w:p w14:paraId="07BC88C6" w14:textId="3E128CCF" w:rsidR="001F5A81" w:rsidRPr="00BF1AEA" w:rsidRDefault="00B81675" w:rsidP="00760454">
      <w:pPr>
        <w:pStyle w:val="BodyText"/>
        <w:spacing w:before="0" w:line="312" w:lineRule="auto"/>
        <w:rPr>
          <w:rFonts w:ascii="Calibri" w:hAnsi="Calibri"/>
          <w:sz w:val="24"/>
          <w:szCs w:val="24"/>
          <w:lang w:val="en-GB"/>
        </w:rPr>
      </w:pPr>
      <w:r w:rsidRPr="00BF1AEA">
        <w:rPr>
          <w:rFonts w:ascii="Calibri" w:hAnsi="Calibri"/>
          <w:sz w:val="24"/>
          <w:szCs w:val="24"/>
          <w:lang w:val="en-GB"/>
        </w:rPr>
        <w:t>Employers have invested in offering scaffolded development through regular training sessions to enhance both technical and non-technical skills. This can build from entry level content to more advanced and specialised care or support, with potential branding to mentoring, coaching and leadership.</w:t>
      </w:r>
    </w:p>
    <w:p w14:paraId="61100207" w14:textId="43D295C1" w:rsidR="00652E33" w:rsidRPr="00BF1AEA" w:rsidRDefault="00322CFF" w:rsidP="00652E33">
      <w:pPr>
        <w:pStyle w:val="BodyText"/>
        <w:spacing w:before="0" w:after="0" w:line="312" w:lineRule="auto"/>
        <w:rPr>
          <w:rFonts w:ascii="Calibri" w:hAnsi="Calibri"/>
          <w:color w:val="7030A0"/>
          <w:sz w:val="28"/>
          <w:szCs w:val="28"/>
          <w:lang w:val="en-GB"/>
        </w:rPr>
      </w:pPr>
      <w:bookmarkStart w:id="48" w:name="Mentoring"/>
      <w:r w:rsidRPr="00BF1AEA">
        <w:rPr>
          <w:rFonts w:ascii="Calibri" w:hAnsi="Calibri"/>
          <w:color w:val="7030A0"/>
          <w:sz w:val="28"/>
          <w:szCs w:val="28"/>
          <w:lang w:val="en-GB"/>
        </w:rPr>
        <w:t>5D – Mentoring</w:t>
      </w:r>
    </w:p>
    <w:bookmarkEnd w:id="48"/>
    <w:p w14:paraId="2B83FBFA" w14:textId="30F567B9" w:rsidR="00652E33" w:rsidRPr="00BF1AEA" w:rsidRDefault="00284938" w:rsidP="00284938">
      <w:pPr>
        <w:pStyle w:val="BodyText"/>
        <w:tabs>
          <w:tab w:val="left" w:pos="1457"/>
        </w:tabs>
        <w:spacing w:before="0" w:line="312" w:lineRule="auto"/>
        <w:rPr>
          <w:rFonts w:ascii="Calibri" w:hAnsi="Calibri"/>
          <w:sz w:val="24"/>
          <w:szCs w:val="24"/>
          <w:lang w:val="en-GB"/>
        </w:rPr>
      </w:pPr>
      <w:r w:rsidRPr="00BF1AEA">
        <w:rPr>
          <w:rFonts w:ascii="Calibri" w:hAnsi="Calibri"/>
          <w:sz w:val="24"/>
          <w:szCs w:val="24"/>
          <w:lang w:val="en-GB"/>
        </w:rPr>
        <w:t>Employers have created designated workplace mentors with a small-time release or a focus on buddy shifts for students on placement and new workforce entrant. Targeted recruitment programs that focus on identifying existing workers with an affinity for mentoring have helped make these initiatives effective, increasing employee satisfaction. Mentors also report higher satisfaction because of career progression.</w:t>
      </w:r>
    </w:p>
    <w:p w14:paraId="19B4AF11" w14:textId="3F5C0399" w:rsidR="00AB387D" w:rsidRPr="00BF1AEA" w:rsidRDefault="00AB387D" w:rsidP="00AB387D">
      <w:pPr>
        <w:pStyle w:val="BodyText"/>
        <w:spacing w:before="0" w:line="312" w:lineRule="auto"/>
        <w:rPr>
          <w:ins w:id="49" w:author="Jane Mancini" w:date="2025-06-27T15:23:00Z" w16du:dateUtc="2025-06-27T05:23:00Z"/>
          <w:rFonts w:ascii="Calibri" w:hAnsi="Calibri"/>
          <w:sz w:val="24"/>
          <w:szCs w:val="24"/>
          <w:lang w:val="en-GB"/>
        </w:rPr>
      </w:pPr>
      <w:r w:rsidRPr="00BF1AEA">
        <w:rPr>
          <w:rFonts w:ascii="Calibri" w:hAnsi="Calibri"/>
          <w:sz w:val="24"/>
          <w:szCs w:val="24"/>
          <w:lang w:val="en-GB"/>
        </w:rPr>
        <w:t xml:space="preserve">The </w:t>
      </w:r>
      <w:r w:rsidR="00592AA4" w:rsidRPr="00BF1AEA">
        <w:rPr>
          <w:rFonts w:ascii="Calibri" w:hAnsi="Calibri"/>
          <w:sz w:val="24"/>
          <w:szCs w:val="24"/>
          <w:lang w:val="en-GB"/>
        </w:rPr>
        <w:t xml:space="preserve">following </w:t>
      </w:r>
      <w:r w:rsidRPr="00BF1AEA">
        <w:rPr>
          <w:rFonts w:ascii="Calibri" w:hAnsi="Calibri"/>
          <w:sz w:val="24"/>
          <w:szCs w:val="24"/>
          <w:lang w:val="en-GB"/>
        </w:rPr>
        <w:t>case study shows how these strategies can be implemented</w:t>
      </w:r>
      <w:ins w:id="50" w:author="Jane Mancini" w:date="2025-06-27T15:23:00Z" w16du:dateUtc="2025-06-27T05:23:00Z">
        <w:r w:rsidRPr="00BF1AEA">
          <w:rPr>
            <w:rFonts w:ascii="Calibri" w:hAnsi="Calibri"/>
            <w:sz w:val="24"/>
            <w:szCs w:val="24"/>
            <w:lang w:val="en-GB"/>
          </w:rPr>
          <w:t>.</w:t>
        </w:r>
      </w:ins>
    </w:p>
    <w:p w14:paraId="30FFBC15" w14:textId="4480A322" w:rsidR="00926CA2" w:rsidRPr="00BF1AEA" w:rsidRDefault="002C20D0" w:rsidP="00926CA2">
      <w:pPr>
        <w:pStyle w:val="Heading2"/>
        <w:numPr>
          <w:ilvl w:val="0"/>
          <w:numId w:val="0"/>
        </w:numPr>
        <w:spacing w:line="240" w:lineRule="auto"/>
        <w:rPr>
          <w:rFonts w:ascii="Calibri" w:hAnsi="Calibri"/>
          <w:color w:val="8331A7"/>
          <w:lang w:val="en-GB"/>
        </w:rPr>
      </w:pPr>
      <w:bookmarkStart w:id="51" w:name="_Toc199322324"/>
      <w:bookmarkStart w:id="52" w:name="Eldercare"/>
      <w:r w:rsidRPr="00BF1AEA">
        <w:rPr>
          <w:rFonts w:ascii="Calibri" w:hAnsi="Calibri"/>
          <w:color w:val="8331A7"/>
          <w:lang w:val="en-GB"/>
        </w:rPr>
        <w:lastRenderedPageBreak/>
        <w:t>Case study – Elder Care</w:t>
      </w:r>
      <w:bookmarkEnd w:id="51"/>
    </w:p>
    <w:bookmarkEnd w:id="52"/>
    <w:p w14:paraId="0255CF56" w14:textId="116B4588" w:rsidR="00926CA2" w:rsidRPr="00BF1AEA" w:rsidRDefault="00630102" w:rsidP="00630102">
      <w:pPr>
        <w:pStyle w:val="BodyText"/>
        <w:spacing w:before="0" w:line="312" w:lineRule="auto"/>
        <w:rPr>
          <w:rFonts w:ascii="Calibri" w:hAnsi="Calibri"/>
          <w:sz w:val="24"/>
          <w:szCs w:val="24"/>
          <w:lang w:val="en-GB"/>
        </w:rPr>
      </w:pPr>
      <w:r w:rsidRPr="00BF1AEA">
        <w:rPr>
          <w:rFonts w:ascii="Calibri" w:hAnsi="Calibri"/>
          <w:sz w:val="24"/>
          <w:szCs w:val="24"/>
          <w:lang w:val="en-GB"/>
        </w:rPr>
        <w:t>This case study demonstrates strategies 5C and 5D, led by the industry.</w:t>
      </w:r>
    </w:p>
    <w:p w14:paraId="41127095" w14:textId="23133EDB" w:rsidR="000D6F48" w:rsidRPr="00BF1AEA" w:rsidRDefault="00E41729" w:rsidP="00630102">
      <w:pPr>
        <w:pStyle w:val="BodyText"/>
        <w:spacing w:before="0" w:line="312" w:lineRule="auto"/>
        <w:rPr>
          <w:rFonts w:ascii="Calibri" w:hAnsi="Calibri"/>
          <w:sz w:val="24"/>
          <w:szCs w:val="24"/>
          <w:lang w:val="en-GB"/>
        </w:rPr>
      </w:pPr>
      <w:hyperlink r:id="rId31" w:history="1">
        <w:r w:rsidRPr="00BF1AEA">
          <w:rPr>
            <w:rStyle w:val="Hyperlink"/>
            <w:rFonts w:ascii="Calibri" w:hAnsi="Calibri"/>
            <w:sz w:val="24"/>
            <w:szCs w:val="24"/>
            <w:lang w:val="en-GB"/>
          </w:rPr>
          <w:t>Eldercare</w:t>
        </w:r>
      </w:hyperlink>
      <w:r w:rsidRPr="00BF1AEA">
        <w:rPr>
          <w:rFonts w:ascii="Calibri" w:hAnsi="Calibri"/>
          <w:sz w:val="24"/>
          <w:szCs w:val="24"/>
          <w:lang w:val="en-GB"/>
        </w:rPr>
        <w:t xml:space="preserve"> is a large not-for-profit aged care provider delivering care in South Australia since 1959. Service delivery spans 13 residential aged care sites (with approximately 1,000 residents in greater Adelaide and Yorke Peninsula regions), 200 independent living units across 12 retirement villages (many co-located with residential sites), and an allied health day therapy centre (assisting over 300 clients in Hendon). </w:t>
      </w:r>
    </w:p>
    <w:p w14:paraId="75BFAE85" w14:textId="77777777" w:rsidR="000D6F48" w:rsidRPr="00BF1AEA" w:rsidRDefault="00E41729" w:rsidP="00630102">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Service delivery is based on a person-centred approach to care that celebrates diversity and nurtures each person’s unique mind, body and spirit. The Eldercare Model of Care guides staff in their case management, wellbeing assessment and planning, resident engagement, and in putting core values of respect, accountability and connection into action. </w:t>
      </w:r>
    </w:p>
    <w:p w14:paraId="1F923466" w14:textId="77777777" w:rsidR="000D6F48" w:rsidRPr="00BF1AEA" w:rsidRDefault="00E41729" w:rsidP="00630102">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The care team includes over 1,600 staff (clinical, allied health, personal and spiritual care) and over 200 passionate and skilled volunteers. To deliver a high standard of care and contribute to meeting Aged Care Quality and Safety Commission Standards, the Eldercare workforce must hold a range of qualifications and experience relevant to their role. </w:t>
      </w:r>
    </w:p>
    <w:p w14:paraId="2207F166" w14:textId="77777777" w:rsidR="000D6F48" w:rsidRPr="00BF1AEA" w:rsidRDefault="00E41729" w:rsidP="00630102">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Eldercare has a strong culture of learning and development, with focus on internal promotion and career progression to ensure staff feel satisfied at work and are supported to reach professional goals. This includes progression pathways from Personal Care Worker to enrolled and registered nurse, and from clinical leadership, to site manager and executive leadership. </w:t>
      </w:r>
    </w:p>
    <w:p w14:paraId="53A636E2" w14:textId="77777777" w:rsidR="000D6F48" w:rsidRPr="00BF1AEA" w:rsidRDefault="00E41729" w:rsidP="00630102">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Eldercare has invested in implementing a Transition to Practice program that supports entry to sector and retention. This is a 1-year program that provides trainees with focused mentorship on the job before they transition to afternoon or night shift work. The program is executed in small numbers, with only 1 per site at any given time to ensure high quality mentorship. Most trainees have transitioned successfully to permanent RN employment after the program. </w:t>
      </w:r>
    </w:p>
    <w:p w14:paraId="16DA39ED" w14:textId="77777777" w:rsidR="000D6F48" w:rsidRPr="00BF1AEA" w:rsidRDefault="00E41729" w:rsidP="00630102">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Eldercare has also invested in improving the onboarding process through delivering competency-based induction training to better support staff to build skills before going onto the roster. The training aims to deliver clear messaging on purpose and values within the workforce, with leadership demonstrating this culture from the top down. Identifying trainers and funding to roll out this training across all staff is an ongoing process. Onboarding surveys are run at 1, 3 and 6 months to understand the experience of new starters and inform improvements the overall onboarding process. </w:t>
      </w:r>
    </w:p>
    <w:p w14:paraId="387EB21A" w14:textId="77777777" w:rsidR="000D6F48" w:rsidRPr="00BF1AEA" w:rsidRDefault="00E41729" w:rsidP="00630102">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While attributing the impact of individual initiatives is difficult to determine amongst the range of reform and changes in the broader aged care sector, Eldercare run a biennial employee engagement survey to monitor and understand internal workforce satisfaction. In 2024, 83% of employees found Eldercare a great place to work, 94% felt work is meaningful, 84% felt valued at work, 91% were proud of their work, and 89% felt they made a difference. Overall, there is a strong sense among staff that their work matters and has purpose. </w:t>
      </w:r>
    </w:p>
    <w:p w14:paraId="41BD6492" w14:textId="4CECEE4C" w:rsidR="00630102" w:rsidRPr="00BF1AEA" w:rsidRDefault="00E41729" w:rsidP="00630102">
      <w:pPr>
        <w:pStyle w:val="BodyText"/>
        <w:spacing w:before="0" w:line="312" w:lineRule="auto"/>
        <w:rPr>
          <w:rFonts w:ascii="Calibri" w:hAnsi="Calibri"/>
          <w:sz w:val="24"/>
          <w:szCs w:val="24"/>
          <w:lang w:val="en-GB"/>
        </w:rPr>
      </w:pPr>
      <w:r w:rsidRPr="00BF1AEA">
        <w:rPr>
          <w:rFonts w:ascii="Calibri" w:hAnsi="Calibri"/>
          <w:sz w:val="24"/>
          <w:szCs w:val="24"/>
          <w:lang w:val="en-GB"/>
        </w:rPr>
        <w:lastRenderedPageBreak/>
        <w:t>Eldercare’s forward thinking is to build a positive perception of the aged care sector as a valued and respected career choice and remain committed to investing in supporting the growth of their trainees and graduates.</w:t>
      </w:r>
    </w:p>
    <w:p w14:paraId="7C8B7D02" w14:textId="29CCD005" w:rsidR="008B38AF" w:rsidRPr="00BF1AEA" w:rsidRDefault="00D20FA7" w:rsidP="008B38AF">
      <w:pPr>
        <w:pStyle w:val="Heading2"/>
        <w:numPr>
          <w:ilvl w:val="0"/>
          <w:numId w:val="0"/>
        </w:numPr>
        <w:spacing w:line="240" w:lineRule="auto"/>
        <w:rPr>
          <w:rFonts w:ascii="Calibri" w:hAnsi="Calibri"/>
          <w:color w:val="8331A7"/>
          <w:lang w:val="en-GB"/>
        </w:rPr>
      </w:pPr>
      <w:bookmarkStart w:id="53" w:name="_Toc199322325"/>
      <w:bookmarkStart w:id="54" w:name="Chorus"/>
      <w:r w:rsidRPr="00BF1AEA">
        <w:rPr>
          <w:rFonts w:ascii="Calibri" w:hAnsi="Calibri"/>
          <w:color w:val="8331A7"/>
          <w:lang w:val="en-GB"/>
        </w:rPr>
        <w:t>Case study – Chorus</w:t>
      </w:r>
      <w:bookmarkEnd w:id="53"/>
    </w:p>
    <w:bookmarkEnd w:id="54"/>
    <w:p w14:paraId="149B8893" w14:textId="77777777" w:rsidR="00A41A20" w:rsidRPr="00BF1AEA" w:rsidRDefault="00A41A20" w:rsidP="008B38AF">
      <w:pPr>
        <w:pStyle w:val="BodyText"/>
        <w:spacing w:before="0" w:line="312" w:lineRule="auto"/>
        <w:rPr>
          <w:rFonts w:ascii="Calibri" w:hAnsi="Calibri"/>
          <w:sz w:val="24"/>
          <w:szCs w:val="24"/>
          <w:lang w:val="en-GB"/>
        </w:rPr>
      </w:pPr>
      <w:r w:rsidRPr="00BF1AEA">
        <w:rPr>
          <w:rFonts w:ascii="Calibri" w:hAnsi="Calibri"/>
          <w:sz w:val="24"/>
          <w:szCs w:val="24"/>
          <w:lang w:val="en-GB"/>
        </w:rPr>
        <w:t>This case study demonstrates strategies 5C and an innovative approach to role design.</w:t>
      </w:r>
    </w:p>
    <w:p w14:paraId="77FF1B26" w14:textId="62A86ED9" w:rsidR="00695209" w:rsidRPr="00BF1AEA" w:rsidRDefault="002F2CD4" w:rsidP="002F2CD4">
      <w:pPr>
        <w:pStyle w:val="BodyText"/>
        <w:spacing w:before="0" w:line="312" w:lineRule="auto"/>
        <w:rPr>
          <w:rFonts w:ascii="Calibri" w:hAnsi="Calibri"/>
          <w:sz w:val="24"/>
          <w:szCs w:val="24"/>
          <w:lang w:val="en-GB"/>
        </w:rPr>
      </w:pPr>
      <w:hyperlink r:id="rId32" w:history="1">
        <w:r w:rsidRPr="00BF1AEA">
          <w:rPr>
            <w:rStyle w:val="Hyperlink"/>
            <w:rFonts w:ascii="Calibri" w:hAnsi="Calibri"/>
            <w:sz w:val="24"/>
            <w:szCs w:val="24"/>
            <w:lang w:val="en-GB"/>
          </w:rPr>
          <w:t>Chorus Australia</w:t>
        </w:r>
      </w:hyperlink>
      <w:r w:rsidRPr="00BF1AEA">
        <w:rPr>
          <w:rFonts w:ascii="Calibri" w:hAnsi="Calibri"/>
          <w:sz w:val="24"/>
          <w:szCs w:val="24"/>
          <w:lang w:val="en-GB"/>
        </w:rPr>
        <w:t xml:space="preserve"> is a not-for-profit organisation that supports local communities in metro and regional Western Australia with over 1,000 employees and volunteers. They aim to help people live the life they choose through providing relationship focused, meaningful and safe care </w:t>
      </w:r>
      <w:r w:rsidR="000B6883" w:rsidRPr="00BF1AEA">
        <w:rPr>
          <w:rFonts w:ascii="Calibri" w:hAnsi="Calibri"/>
          <w:sz w:val="24"/>
          <w:szCs w:val="24"/>
          <w:lang w:val="en-GB"/>
        </w:rPr>
        <w:t xml:space="preserve">and support </w:t>
      </w:r>
      <w:r w:rsidRPr="00BF1AEA">
        <w:rPr>
          <w:rFonts w:ascii="Calibri" w:hAnsi="Calibri"/>
          <w:sz w:val="24"/>
          <w:szCs w:val="24"/>
          <w:lang w:val="en-GB"/>
        </w:rPr>
        <w:t xml:space="preserve">at home and in the community. They have a particular focus on seniors and people living with disability and mental illness. </w:t>
      </w:r>
    </w:p>
    <w:p w14:paraId="67DB79CA" w14:textId="77777777" w:rsidR="00695209" w:rsidRPr="00BF1AEA" w:rsidRDefault="002F2CD4" w:rsidP="002F2CD4">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Chorus’ approach is underpinned by a flat structure that is moving away from hierarchical and transactional relationships with reducing employee attrition as one of its objectives. Location is the organising principle of service delivery and management, with each small geographic area providing all service types and receiving funding through multiple streams. This structure has promoted deeper connection with community and encouraged both autonomous and collaborative practice within the local team. </w:t>
      </w:r>
    </w:p>
    <w:p w14:paraId="3C56B0FD" w14:textId="723B541D" w:rsidR="00695209" w:rsidRPr="00BF1AEA" w:rsidRDefault="002F2CD4" w:rsidP="002F2CD4">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This change was motivated by the fact that working as an individual supporting people in their home and community can lead to a high level of disengagement with fellow staff. Additionally, the historical practice of fully prescribing employee directions in how they provide care </w:t>
      </w:r>
      <w:r w:rsidR="000B6883" w:rsidRPr="00BF1AEA">
        <w:rPr>
          <w:rFonts w:ascii="Calibri" w:hAnsi="Calibri"/>
          <w:sz w:val="24"/>
          <w:szCs w:val="24"/>
          <w:lang w:val="en-GB"/>
        </w:rPr>
        <w:t xml:space="preserve">and support </w:t>
      </w:r>
      <w:r w:rsidRPr="00BF1AEA">
        <w:rPr>
          <w:rFonts w:ascii="Calibri" w:hAnsi="Calibri"/>
          <w:sz w:val="24"/>
          <w:szCs w:val="24"/>
          <w:lang w:val="en-GB"/>
        </w:rPr>
        <w:t xml:space="preserve">was inhibiting employees to act autonomously and collaboratively in identifying problems, determining resolutions and developing for future professional growth. </w:t>
      </w:r>
    </w:p>
    <w:p w14:paraId="36BA70D8" w14:textId="66A9D97C" w:rsidR="00695209" w:rsidRPr="00BF1AEA" w:rsidRDefault="002F2CD4" w:rsidP="002F2CD4">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Chorus undertook extensive consultation to understand what was needed and to co-design a new operating model and way of working. Launched in late 2021, the “Fresh Approach to Community Service” model and culture is based around 5 key principles focusing on local needs, relationship networks, building on community strengths, teamwork, and a deep understanding of local care </w:t>
      </w:r>
      <w:r w:rsidR="000B6883" w:rsidRPr="00BF1AEA">
        <w:rPr>
          <w:rFonts w:ascii="Calibri" w:hAnsi="Calibri"/>
          <w:sz w:val="24"/>
          <w:szCs w:val="24"/>
          <w:lang w:val="en-GB"/>
        </w:rPr>
        <w:t xml:space="preserve">and support </w:t>
      </w:r>
      <w:r w:rsidRPr="00BF1AEA">
        <w:rPr>
          <w:rFonts w:ascii="Calibri" w:hAnsi="Calibri"/>
          <w:sz w:val="24"/>
          <w:szCs w:val="24"/>
          <w:lang w:val="en-GB"/>
        </w:rPr>
        <w:t xml:space="preserve">ecosystems. </w:t>
      </w:r>
    </w:p>
    <w:p w14:paraId="3A62EF56" w14:textId="21EB16E3" w:rsidR="00886DC9" w:rsidRPr="00BF1AEA" w:rsidRDefault="002F2CD4" w:rsidP="002F2CD4">
      <w:pPr>
        <w:pStyle w:val="BodyText"/>
        <w:spacing w:before="0" w:line="312" w:lineRule="auto"/>
        <w:rPr>
          <w:rFonts w:ascii="Calibri" w:hAnsi="Calibri"/>
          <w:sz w:val="24"/>
          <w:szCs w:val="24"/>
          <w:lang w:val="en-GB"/>
        </w:rPr>
      </w:pPr>
      <w:r w:rsidRPr="00BF1AEA">
        <w:rPr>
          <w:rFonts w:ascii="Calibri" w:hAnsi="Calibri"/>
          <w:sz w:val="24"/>
          <w:szCs w:val="24"/>
          <w:lang w:val="en-GB"/>
        </w:rPr>
        <w:t>Following introduction of this new approach, Chorus undertook radical decentralisation – moving from centralised to local team led service planning and coordination; from siloed to holistic care</w:t>
      </w:r>
      <w:r w:rsidR="000B6883" w:rsidRPr="00BF1AEA">
        <w:rPr>
          <w:rFonts w:ascii="Calibri" w:hAnsi="Calibri"/>
          <w:sz w:val="24"/>
          <w:szCs w:val="24"/>
          <w:lang w:val="en-GB"/>
        </w:rPr>
        <w:t xml:space="preserve"> and support</w:t>
      </w:r>
      <w:r w:rsidRPr="00BF1AEA">
        <w:rPr>
          <w:rFonts w:ascii="Calibri" w:hAnsi="Calibri"/>
          <w:sz w:val="24"/>
          <w:szCs w:val="24"/>
          <w:lang w:val="en-GB"/>
        </w:rPr>
        <w:t xml:space="preserve">; from hierarchical management to self-organising stewardship and accountability; from centralized and individual decision making to collaborative practice, guided by an evidence and community informed playbook; and from having a central administrative team to having all employees involved in customer engagement. </w:t>
      </w:r>
    </w:p>
    <w:p w14:paraId="78506A88" w14:textId="2F2E13B7" w:rsidR="00886DC9" w:rsidRPr="00BF1AEA" w:rsidRDefault="002F2CD4" w:rsidP="002F2CD4">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A customer-centric model was also adopted, enabled by the multi-skilled team approach, where care </w:t>
      </w:r>
      <w:r w:rsidR="000B6883" w:rsidRPr="00BF1AEA">
        <w:rPr>
          <w:rFonts w:ascii="Calibri" w:hAnsi="Calibri"/>
          <w:sz w:val="24"/>
          <w:szCs w:val="24"/>
          <w:lang w:val="en-GB"/>
        </w:rPr>
        <w:t xml:space="preserve">and support </w:t>
      </w:r>
      <w:r w:rsidRPr="00BF1AEA">
        <w:rPr>
          <w:rFonts w:ascii="Calibri" w:hAnsi="Calibri"/>
          <w:sz w:val="24"/>
          <w:szCs w:val="24"/>
          <w:lang w:val="en-GB"/>
        </w:rPr>
        <w:t>recipients now connect with a small team of local workers who provide tailored and shared care</w:t>
      </w:r>
      <w:r w:rsidR="000B6883" w:rsidRPr="00BF1AEA">
        <w:rPr>
          <w:rFonts w:ascii="Calibri" w:hAnsi="Calibri"/>
          <w:sz w:val="24"/>
          <w:szCs w:val="24"/>
          <w:lang w:val="en-GB"/>
        </w:rPr>
        <w:t xml:space="preserve"> and support</w:t>
      </w:r>
      <w:r w:rsidRPr="00BF1AEA">
        <w:rPr>
          <w:rFonts w:ascii="Calibri" w:hAnsi="Calibri"/>
          <w:sz w:val="24"/>
          <w:szCs w:val="24"/>
          <w:lang w:val="en-GB"/>
        </w:rPr>
        <w:t xml:space="preserve">. </w:t>
      </w:r>
    </w:p>
    <w:p w14:paraId="3989EEF3" w14:textId="77777777" w:rsidR="00886DC9" w:rsidRPr="00BF1AEA" w:rsidRDefault="00886DC9" w:rsidP="002F2CD4">
      <w:pPr>
        <w:pStyle w:val="BodyText"/>
        <w:spacing w:before="0" w:line="312" w:lineRule="auto"/>
        <w:rPr>
          <w:rFonts w:ascii="Calibri" w:hAnsi="Calibri"/>
          <w:sz w:val="24"/>
          <w:szCs w:val="24"/>
          <w:lang w:val="en-GB"/>
        </w:rPr>
      </w:pPr>
    </w:p>
    <w:p w14:paraId="542FAA7B" w14:textId="77777777" w:rsidR="00886DC9" w:rsidRPr="00BF1AEA" w:rsidRDefault="002F2CD4" w:rsidP="002F2CD4">
      <w:pPr>
        <w:pStyle w:val="BodyText"/>
        <w:spacing w:before="0" w:line="312" w:lineRule="auto"/>
        <w:rPr>
          <w:rFonts w:ascii="Calibri" w:hAnsi="Calibri"/>
          <w:sz w:val="24"/>
          <w:szCs w:val="24"/>
          <w:lang w:val="en-GB"/>
        </w:rPr>
      </w:pPr>
      <w:r w:rsidRPr="00BF1AEA">
        <w:rPr>
          <w:rFonts w:ascii="Calibri" w:hAnsi="Calibri"/>
          <w:sz w:val="24"/>
          <w:szCs w:val="24"/>
          <w:lang w:val="en-GB"/>
        </w:rPr>
        <w:lastRenderedPageBreak/>
        <w:t xml:space="preserve">Chorus also developed and implemented a renumeration concept (the Contribution Diamond) where skills and capability, and leadership qualities are central in determining compensation. This recognises and reflects each person’s unique values and has improved the organisational culture. </w:t>
      </w:r>
    </w:p>
    <w:p w14:paraId="5D0025E0" w14:textId="5925CC05" w:rsidR="00886DC9" w:rsidRPr="00BF1AEA" w:rsidRDefault="002F2CD4" w:rsidP="002F2CD4">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The approach overall has improved the experience and outcomes for all employees, volunteers, customers, and communities, as well as Chorus as a business. The new small multidisciplinary teams – each with a local lead fostering regular collaboration -- have reduced the siloing of work, increased employee engagement, and empowered local teams to better tailor care </w:t>
      </w:r>
      <w:r w:rsidR="000B6883" w:rsidRPr="00BF1AEA">
        <w:rPr>
          <w:rFonts w:ascii="Calibri" w:hAnsi="Calibri"/>
          <w:sz w:val="24"/>
          <w:szCs w:val="24"/>
          <w:lang w:val="en-GB"/>
        </w:rPr>
        <w:t xml:space="preserve">and support </w:t>
      </w:r>
      <w:r w:rsidRPr="00BF1AEA">
        <w:rPr>
          <w:rFonts w:ascii="Calibri" w:hAnsi="Calibri"/>
          <w:sz w:val="24"/>
          <w:szCs w:val="24"/>
          <w:lang w:val="en-GB"/>
        </w:rPr>
        <w:t xml:space="preserve">to their community’s need. </w:t>
      </w:r>
    </w:p>
    <w:p w14:paraId="4EA3CA0F" w14:textId="7BA0A5A8" w:rsidR="008B38AF" w:rsidRPr="00BF1AEA" w:rsidRDefault="002F2CD4" w:rsidP="002F2CD4">
      <w:pPr>
        <w:pStyle w:val="BodyText"/>
        <w:spacing w:before="0" w:line="312" w:lineRule="auto"/>
        <w:rPr>
          <w:rFonts w:ascii="Calibri" w:hAnsi="Calibri"/>
          <w:sz w:val="24"/>
          <w:szCs w:val="24"/>
          <w:lang w:val="en-GB"/>
        </w:rPr>
      </w:pPr>
      <w:r w:rsidRPr="00BF1AEA">
        <w:rPr>
          <w:rFonts w:ascii="Calibri" w:hAnsi="Calibri"/>
          <w:sz w:val="24"/>
          <w:szCs w:val="24"/>
          <w:lang w:val="en-GB"/>
        </w:rPr>
        <w:t>This shift also stimulated employee career aspirations and supported staff in progressing and growing within the organisation. Wellbeing measures at Chorus show high levels of self-determination and purpose, an above average level of overall wellbeing, and reduction in intent to leave. Productivity of local teams has improved 15% over 2 years, moving Chorus from an operating loss to surplus. Staff turnover has also reduced well below industry average, being under 20% for the last 6 months.</w:t>
      </w:r>
    </w:p>
    <w:p w14:paraId="41FC36C6" w14:textId="62FA444A" w:rsidR="00F0558A" w:rsidRPr="00BF1AEA" w:rsidRDefault="00324C12" w:rsidP="00F0558A">
      <w:pPr>
        <w:pStyle w:val="Heading1"/>
        <w:spacing w:line="240" w:lineRule="auto"/>
        <w:rPr>
          <w:rFonts w:ascii="Calibri" w:hAnsi="Calibri"/>
          <w:color w:val="8331A7"/>
          <w:lang w:val="en-GB"/>
        </w:rPr>
      </w:pPr>
      <w:bookmarkStart w:id="55" w:name="_Toc199322326"/>
      <w:r w:rsidRPr="00BF1AEA">
        <w:rPr>
          <w:rFonts w:ascii="Calibri" w:hAnsi="Calibri"/>
          <w:color w:val="8331A7"/>
          <w:lang w:val="en-GB"/>
        </w:rPr>
        <w:lastRenderedPageBreak/>
        <w:t>Supporting diversity</w:t>
      </w:r>
      <w:bookmarkEnd w:id="55"/>
    </w:p>
    <w:p w14:paraId="03CE1889" w14:textId="77777777" w:rsidR="00F0558A" w:rsidRPr="00BF1AEA" w:rsidRDefault="00F0558A" w:rsidP="00F0558A">
      <w:pPr>
        <w:pStyle w:val="Heading2"/>
        <w:numPr>
          <w:ilvl w:val="0"/>
          <w:numId w:val="0"/>
        </w:numPr>
        <w:spacing w:line="240" w:lineRule="auto"/>
        <w:rPr>
          <w:rFonts w:ascii="Calibri" w:hAnsi="Calibri"/>
          <w:color w:val="8331A7"/>
          <w:lang w:val="en-GB"/>
        </w:rPr>
      </w:pPr>
      <w:bookmarkStart w:id="56" w:name="_Toc199322327"/>
      <w:r w:rsidRPr="00BF1AEA">
        <w:rPr>
          <w:rFonts w:ascii="Calibri" w:hAnsi="Calibri"/>
          <w:color w:val="8331A7"/>
          <w:lang w:val="en-GB"/>
        </w:rPr>
        <w:t>Why it is important</w:t>
      </w:r>
      <w:bookmarkEnd w:id="56"/>
    </w:p>
    <w:p w14:paraId="6FA5AD74" w14:textId="77FD9171" w:rsidR="00F0558A" w:rsidRPr="00BF1AEA" w:rsidRDefault="001A123C" w:rsidP="001A123C">
      <w:pPr>
        <w:pStyle w:val="BodyText"/>
        <w:spacing w:before="0" w:line="312" w:lineRule="auto"/>
        <w:rPr>
          <w:rFonts w:ascii="Calibri" w:hAnsi="Calibri"/>
          <w:sz w:val="24"/>
          <w:szCs w:val="24"/>
          <w:lang w:val="en-GB"/>
        </w:rPr>
      </w:pPr>
      <w:r w:rsidRPr="00BF1AEA">
        <w:rPr>
          <w:rFonts w:ascii="Calibri" w:hAnsi="Calibri"/>
          <w:sz w:val="24"/>
          <w:szCs w:val="24"/>
          <w:lang w:val="en-GB"/>
        </w:rPr>
        <w:t>Workplace diversity is crucial for an inclusive, representative and safe environment for individuals. A diverse workforce brings the range of perspectives, cultural competencies, and experiences, which are essential for understanding and addressing the unique needs of an increasingly diverse population. By fostering an inclusive environment, employers can enhance communication, improve care</w:t>
      </w:r>
      <w:r w:rsidR="000B6883" w:rsidRPr="00BF1AEA">
        <w:rPr>
          <w:rFonts w:ascii="Calibri" w:hAnsi="Calibri"/>
          <w:sz w:val="24"/>
          <w:szCs w:val="24"/>
          <w:lang w:val="en-GB"/>
        </w:rPr>
        <w:t xml:space="preserve"> and support</w:t>
      </w:r>
      <w:r w:rsidRPr="00BF1AEA">
        <w:rPr>
          <w:rFonts w:ascii="Calibri" w:hAnsi="Calibri"/>
          <w:sz w:val="24"/>
          <w:szCs w:val="24"/>
          <w:lang w:val="en-GB"/>
        </w:rPr>
        <w:t xml:space="preserve"> delivery, and reduce biases, ultimately leading to better outcomes.</w:t>
      </w:r>
    </w:p>
    <w:p w14:paraId="3E1F8ACB" w14:textId="781EAF9D" w:rsidR="00E4714B" w:rsidRPr="00BF1AEA" w:rsidRDefault="00BA7B59" w:rsidP="00E4714B">
      <w:pPr>
        <w:pStyle w:val="Heading2"/>
        <w:numPr>
          <w:ilvl w:val="0"/>
          <w:numId w:val="0"/>
        </w:numPr>
        <w:spacing w:line="240" w:lineRule="auto"/>
        <w:rPr>
          <w:rFonts w:ascii="Calibri" w:hAnsi="Calibri"/>
          <w:color w:val="8331A7"/>
          <w:lang w:val="en-GB"/>
        </w:rPr>
      </w:pPr>
      <w:bookmarkStart w:id="57" w:name="_Toc199322328"/>
      <w:r w:rsidRPr="00BF1AEA">
        <w:rPr>
          <w:rFonts w:ascii="Calibri" w:hAnsi="Calibri"/>
          <w:color w:val="8331A7"/>
          <w:lang w:val="en-GB"/>
        </w:rPr>
        <w:t>What are the common barriers</w:t>
      </w:r>
      <w:bookmarkEnd w:id="57"/>
    </w:p>
    <w:p w14:paraId="0E53353A" w14:textId="00CB5474" w:rsidR="000279DC" w:rsidRPr="00BF1AEA" w:rsidRDefault="00E36AF3" w:rsidP="000279DC">
      <w:pPr>
        <w:pStyle w:val="BodyText"/>
        <w:spacing w:before="0" w:after="0" w:line="312" w:lineRule="auto"/>
        <w:rPr>
          <w:rFonts w:ascii="Calibri" w:hAnsi="Calibri"/>
          <w:color w:val="7030A0"/>
          <w:sz w:val="28"/>
          <w:szCs w:val="28"/>
          <w:lang w:val="en-GB"/>
        </w:rPr>
      </w:pPr>
      <w:r w:rsidRPr="00BF1AEA">
        <w:rPr>
          <w:rFonts w:ascii="Calibri" w:hAnsi="Calibri"/>
          <w:color w:val="7030A0"/>
          <w:sz w:val="28"/>
          <w:szCs w:val="28"/>
          <w:lang w:val="en-GB"/>
        </w:rPr>
        <w:t>Role models and representation</w:t>
      </w:r>
    </w:p>
    <w:p w14:paraId="466AD25A" w14:textId="27B724B5" w:rsidR="00E4714B" w:rsidRPr="00BF1AEA" w:rsidRDefault="007C43A3" w:rsidP="00AF281A">
      <w:pPr>
        <w:pStyle w:val="BodyText"/>
        <w:spacing w:before="0" w:line="312" w:lineRule="auto"/>
        <w:rPr>
          <w:rFonts w:ascii="Calibri" w:hAnsi="Calibri"/>
          <w:sz w:val="24"/>
          <w:szCs w:val="24"/>
          <w:lang w:val="en-GB"/>
        </w:rPr>
      </w:pPr>
      <w:r w:rsidRPr="00BF1AEA">
        <w:rPr>
          <w:rFonts w:ascii="Calibri" w:hAnsi="Calibri"/>
          <w:sz w:val="24"/>
          <w:szCs w:val="24"/>
          <w:lang w:val="en-GB"/>
        </w:rPr>
        <w:t>The</w:t>
      </w:r>
      <w:r w:rsidR="00D13E52" w:rsidRPr="00BF1AEA">
        <w:rPr>
          <w:rFonts w:ascii="Calibri" w:hAnsi="Calibri"/>
          <w:sz w:val="24"/>
          <w:szCs w:val="24"/>
          <w:lang w:val="en-GB"/>
        </w:rPr>
        <w:t xml:space="preserve"> </w:t>
      </w:r>
      <w:r w:rsidR="00AF281A" w:rsidRPr="00BF1AEA">
        <w:rPr>
          <w:rFonts w:ascii="Calibri" w:hAnsi="Calibri"/>
          <w:sz w:val="24"/>
          <w:szCs w:val="24"/>
          <w:lang w:val="en-GB"/>
        </w:rPr>
        <w:t xml:space="preserve">Australian care </w:t>
      </w:r>
      <w:r w:rsidRPr="00BF1AEA">
        <w:rPr>
          <w:rFonts w:ascii="Calibri" w:hAnsi="Calibri"/>
          <w:sz w:val="24"/>
          <w:szCs w:val="24"/>
          <w:lang w:val="en-GB"/>
        </w:rPr>
        <w:t xml:space="preserve">and support </w:t>
      </w:r>
      <w:r w:rsidR="00AF281A" w:rsidRPr="00BF1AEA">
        <w:rPr>
          <w:rFonts w:ascii="Calibri" w:hAnsi="Calibri"/>
          <w:sz w:val="24"/>
          <w:szCs w:val="24"/>
          <w:lang w:val="en-GB"/>
        </w:rPr>
        <w:t xml:space="preserve">workforce is broad culturally in some areas. For example, the </w:t>
      </w:r>
      <w:r w:rsidR="00831246" w:rsidRPr="00BF1AEA">
        <w:rPr>
          <w:rFonts w:ascii="Calibri" w:hAnsi="Calibri"/>
          <w:sz w:val="24"/>
          <w:szCs w:val="24"/>
          <w:lang w:val="en-GB"/>
        </w:rPr>
        <w:t xml:space="preserve">Australian </w:t>
      </w:r>
      <w:r w:rsidR="00AF281A" w:rsidRPr="00BF1AEA">
        <w:rPr>
          <w:rFonts w:ascii="Calibri" w:hAnsi="Calibri"/>
          <w:sz w:val="24"/>
          <w:szCs w:val="24"/>
          <w:lang w:val="en-GB"/>
        </w:rPr>
        <w:t xml:space="preserve">Government's </w:t>
      </w:r>
      <w:r w:rsidR="00590E2B" w:rsidRPr="00BF1AEA">
        <w:rPr>
          <w:rFonts w:ascii="Calibri" w:hAnsi="Calibri"/>
          <w:sz w:val="24"/>
          <w:szCs w:val="24"/>
          <w:lang w:val="en-GB"/>
        </w:rPr>
        <w:t xml:space="preserve">Aged Care Worker Survey 2024 report </w:t>
      </w:r>
      <w:r w:rsidR="00AF281A" w:rsidRPr="00BF1AEA">
        <w:rPr>
          <w:rFonts w:ascii="Calibri" w:hAnsi="Calibri"/>
          <w:sz w:val="24"/>
          <w:szCs w:val="24"/>
          <w:lang w:val="en-GB"/>
        </w:rPr>
        <w:t xml:space="preserve">showed </w:t>
      </w:r>
      <w:r w:rsidRPr="00BF1AEA">
        <w:rPr>
          <w:rFonts w:ascii="Calibri" w:hAnsi="Calibri"/>
          <w:sz w:val="24"/>
          <w:szCs w:val="24"/>
          <w:lang w:val="en-GB"/>
        </w:rPr>
        <w:t>40.8</w:t>
      </w:r>
      <w:r w:rsidR="006015C0" w:rsidRPr="00BF1AEA">
        <w:rPr>
          <w:rFonts w:ascii="Calibri" w:hAnsi="Calibri"/>
          <w:sz w:val="24"/>
          <w:szCs w:val="24"/>
          <w:lang w:val="en-GB"/>
        </w:rPr>
        <w:t xml:space="preserve">% </w:t>
      </w:r>
      <w:r w:rsidR="00AF281A" w:rsidRPr="00BF1AEA">
        <w:rPr>
          <w:rFonts w:ascii="Calibri" w:hAnsi="Calibri"/>
          <w:sz w:val="24"/>
          <w:szCs w:val="24"/>
          <w:lang w:val="en-GB"/>
        </w:rPr>
        <w:t xml:space="preserve">of </w:t>
      </w:r>
      <w:r w:rsidR="004B6242" w:rsidRPr="00BF1AEA">
        <w:rPr>
          <w:rFonts w:ascii="Calibri" w:hAnsi="Calibri"/>
          <w:sz w:val="24"/>
          <w:szCs w:val="24"/>
          <w:lang w:val="en-GB"/>
        </w:rPr>
        <w:t>respondents</w:t>
      </w:r>
      <w:r w:rsidR="006015C0" w:rsidRPr="00BF1AEA">
        <w:rPr>
          <w:rFonts w:ascii="Calibri" w:hAnsi="Calibri"/>
          <w:sz w:val="24"/>
          <w:szCs w:val="24"/>
          <w:lang w:val="en-GB"/>
        </w:rPr>
        <w:t xml:space="preserve"> sp</w:t>
      </w:r>
      <w:r w:rsidR="002B4772" w:rsidRPr="00BF1AEA">
        <w:rPr>
          <w:rFonts w:ascii="Calibri" w:hAnsi="Calibri"/>
          <w:sz w:val="24"/>
          <w:szCs w:val="24"/>
          <w:lang w:val="en-GB"/>
        </w:rPr>
        <w:t>oke a</w:t>
      </w:r>
      <w:r w:rsidR="004B6242" w:rsidRPr="00BF1AEA">
        <w:rPr>
          <w:rFonts w:ascii="Calibri" w:hAnsi="Calibri"/>
          <w:sz w:val="24"/>
          <w:szCs w:val="24"/>
          <w:lang w:val="en-GB"/>
        </w:rPr>
        <w:t xml:space="preserve"> language </w:t>
      </w:r>
      <w:r w:rsidR="002B4772" w:rsidRPr="00BF1AEA">
        <w:rPr>
          <w:rFonts w:ascii="Calibri" w:hAnsi="Calibri"/>
          <w:sz w:val="24"/>
          <w:szCs w:val="24"/>
          <w:lang w:val="en-GB"/>
        </w:rPr>
        <w:t xml:space="preserve">other </w:t>
      </w:r>
      <w:r w:rsidR="004B6242" w:rsidRPr="00BF1AEA">
        <w:rPr>
          <w:rFonts w:ascii="Calibri" w:hAnsi="Calibri"/>
          <w:sz w:val="24"/>
          <w:szCs w:val="24"/>
          <w:lang w:val="en-GB"/>
        </w:rPr>
        <w:t>than English at home</w:t>
      </w:r>
      <w:r w:rsidR="00AF281A" w:rsidRPr="00BF1AEA">
        <w:rPr>
          <w:rFonts w:ascii="Calibri" w:hAnsi="Calibri"/>
          <w:sz w:val="24"/>
          <w:szCs w:val="24"/>
          <w:lang w:val="en-GB"/>
        </w:rPr>
        <w:t>. However, in other areas the lack of diversity is discouraging the entry of critical cohorts. Due in part to historical perceptions of the sector, the workforce has low male and Aboriginal and Torres Strait Islander People representation and lacks workers with lived experience.</w:t>
      </w:r>
    </w:p>
    <w:p w14:paraId="2B8D04A9" w14:textId="33161D6F" w:rsidR="0055575F" w:rsidRPr="00BF1AEA" w:rsidRDefault="000604D5" w:rsidP="0055575F">
      <w:pPr>
        <w:pStyle w:val="BodyText"/>
        <w:spacing w:before="0" w:after="0" w:line="312" w:lineRule="auto"/>
        <w:rPr>
          <w:rFonts w:ascii="Calibri" w:hAnsi="Calibri"/>
          <w:color w:val="7030A0"/>
          <w:sz w:val="28"/>
          <w:szCs w:val="28"/>
          <w:lang w:val="en-GB"/>
        </w:rPr>
      </w:pPr>
      <w:r w:rsidRPr="00BF1AEA">
        <w:rPr>
          <w:rFonts w:ascii="Calibri" w:hAnsi="Calibri"/>
          <w:color w:val="7030A0"/>
          <w:sz w:val="28"/>
          <w:szCs w:val="28"/>
          <w:lang w:val="en-GB"/>
        </w:rPr>
        <w:t>Availability of training</w:t>
      </w:r>
    </w:p>
    <w:p w14:paraId="54B0C4E9" w14:textId="1AF9868D" w:rsidR="0055575F" w:rsidRPr="00BF1AEA" w:rsidRDefault="00E94213" w:rsidP="00E94213">
      <w:pPr>
        <w:pStyle w:val="BodyText"/>
        <w:spacing w:before="0" w:line="312" w:lineRule="auto"/>
        <w:rPr>
          <w:rFonts w:ascii="Calibri" w:hAnsi="Calibri"/>
          <w:sz w:val="24"/>
          <w:szCs w:val="24"/>
          <w:lang w:val="en-GB"/>
        </w:rPr>
      </w:pPr>
      <w:r w:rsidRPr="00BF1AEA">
        <w:rPr>
          <w:rFonts w:ascii="Calibri" w:hAnsi="Calibri"/>
          <w:sz w:val="24"/>
          <w:szCs w:val="24"/>
          <w:lang w:val="en-GB"/>
        </w:rPr>
        <w:t>Limited access to education and training available in rural and remote areas makes it hard to attract students from these regions. Many individuals in these areas move to metropolitan locations to pursue their studies, resulting in a workforce that is lost to and not representative of the local community.</w:t>
      </w:r>
    </w:p>
    <w:p w14:paraId="5AACD2A3" w14:textId="405B19DD" w:rsidR="00C4123A" w:rsidRPr="00BF1AEA" w:rsidRDefault="00690A24" w:rsidP="00C4123A">
      <w:pPr>
        <w:pStyle w:val="BodyText"/>
        <w:spacing w:before="0" w:after="0" w:line="312" w:lineRule="auto"/>
        <w:rPr>
          <w:rFonts w:ascii="Calibri" w:hAnsi="Calibri"/>
          <w:color w:val="7030A0"/>
          <w:sz w:val="28"/>
          <w:szCs w:val="28"/>
          <w:lang w:val="en-GB"/>
        </w:rPr>
      </w:pPr>
      <w:r w:rsidRPr="00BF1AEA">
        <w:rPr>
          <w:rFonts w:ascii="Calibri" w:hAnsi="Calibri"/>
          <w:color w:val="7030A0"/>
          <w:sz w:val="28"/>
          <w:szCs w:val="28"/>
          <w:lang w:val="en-GB"/>
        </w:rPr>
        <w:t>Gendered perceptions</w:t>
      </w:r>
    </w:p>
    <w:p w14:paraId="40AA1EAD" w14:textId="524DF64F" w:rsidR="00C4123A" w:rsidRPr="00BF1AEA" w:rsidRDefault="004A4BC3" w:rsidP="00E94213">
      <w:pPr>
        <w:pStyle w:val="BodyText"/>
        <w:spacing w:before="0" w:line="312" w:lineRule="auto"/>
        <w:rPr>
          <w:rFonts w:ascii="Calibri" w:hAnsi="Calibri"/>
          <w:sz w:val="24"/>
          <w:szCs w:val="24"/>
          <w:lang w:val="en-GB"/>
        </w:rPr>
      </w:pPr>
      <w:r w:rsidRPr="00BF1AEA">
        <w:rPr>
          <w:rFonts w:ascii="Calibri" w:hAnsi="Calibri"/>
          <w:sz w:val="24"/>
          <w:szCs w:val="24"/>
          <w:lang w:val="en-GB"/>
        </w:rPr>
        <w:t>The care and support sector is often perceived as ‘women’s work’, the result of the currently highly gendered nature of the workforce. This gender bias has reduced the interest of men in engaging in care and support roles, particularly when there are options of higher paid or more secure roles in traditionally masculine industries.</w:t>
      </w:r>
    </w:p>
    <w:p w14:paraId="4FEB7D9F" w14:textId="223CD127" w:rsidR="00293A5C" w:rsidRPr="00BF1AEA" w:rsidRDefault="004D4E93" w:rsidP="00293A5C">
      <w:pPr>
        <w:pStyle w:val="BodyText"/>
        <w:spacing w:before="0" w:after="0" w:line="312" w:lineRule="auto"/>
        <w:rPr>
          <w:rFonts w:ascii="Calibri" w:hAnsi="Calibri"/>
          <w:color w:val="7030A0"/>
          <w:sz w:val="28"/>
          <w:szCs w:val="28"/>
          <w:lang w:val="en-GB"/>
        </w:rPr>
      </w:pPr>
      <w:r w:rsidRPr="00BF1AEA">
        <w:rPr>
          <w:rFonts w:ascii="Calibri" w:hAnsi="Calibri"/>
          <w:color w:val="7030A0"/>
          <w:sz w:val="28"/>
          <w:szCs w:val="28"/>
          <w:lang w:val="en-GB"/>
        </w:rPr>
        <w:t>First Nations</w:t>
      </w:r>
    </w:p>
    <w:p w14:paraId="448ED6CB" w14:textId="34059F79" w:rsidR="00B01D8E" w:rsidRPr="00BF1AEA" w:rsidRDefault="00E904C6" w:rsidP="00E94213">
      <w:pPr>
        <w:pStyle w:val="BodyText"/>
        <w:spacing w:before="0" w:line="312" w:lineRule="auto"/>
        <w:rPr>
          <w:rFonts w:ascii="Calibri" w:hAnsi="Calibri"/>
          <w:sz w:val="24"/>
          <w:szCs w:val="24"/>
          <w:lang w:val="en-GB"/>
        </w:rPr>
      </w:pPr>
      <w:r w:rsidRPr="00BF1AEA">
        <w:rPr>
          <w:rFonts w:ascii="Calibri" w:hAnsi="Calibri"/>
          <w:sz w:val="24"/>
          <w:szCs w:val="24"/>
          <w:lang w:val="en-GB"/>
        </w:rPr>
        <w:t>The underrepresentation of First Nations people in the care and support sector is a complex issue. Contributing factors range from ongoing impacts of colonisation and trauma, discrimination and racism, limited awareness of pathways, few culturally safe workplaces, geographical barriers and financial barriers to engaging in education and training.</w:t>
      </w:r>
    </w:p>
    <w:p w14:paraId="75506870" w14:textId="77777777" w:rsidR="00C248E4" w:rsidRPr="00BF1AEA" w:rsidRDefault="00C248E4" w:rsidP="00E94213">
      <w:pPr>
        <w:pStyle w:val="BodyText"/>
        <w:spacing w:before="0" w:line="312" w:lineRule="auto"/>
        <w:rPr>
          <w:rFonts w:ascii="Calibri" w:hAnsi="Calibri"/>
          <w:sz w:val="24"/>
          <w:szCs w:val="24"/>
          <w:lang w:val="en-GB"/>
        </w:rPr>
      </w:pPr>
    </w:p>
    <w:p w14:paraId="23608982" w14:textId="40BDF0AB" w:rsidR="00C248E4" w:rsidRPr="00BF1AEA" w:rsidRDefault="00B30CDA" w:rsidP="00C248E4">
      <w:pPr>
        <w:pStyle w:val="Heading2"/>
        <w:numPr>
          <w:ilvl w:val="0"/>
          <w:numId w:val="0"/>
        </w:numPr>
        <w:spacing w:line="240" w:lineRule="auto"/>
        <w:rPr>
          <w:rFonts w:ascii="Calibri" w:hAnsi="Calibri"/>
          <w:color w:val="8331A7"/>
          <w:lang w:val="en-GB"/>
        </w:rPr>
      </w:pPr>
      <w:bookmarkStart w:id="58" w:name="_Toc199322329"/>
      <w:r w:rsidRPr="00BF1AEA">
        <w:rPr>
          <w:rFonts w:ascii="Calibri" w:hAnsi="Calibri"/>
          <w:color w:val="8331A7"/>
          <w:lang w:val="en-GB"/>
        </w:rPr>
        <w:lastRenderedPageBreak/>
        <w:t>Effective strategies</w:t>
      </w:r>
      <w:bookmarkEnd w:id="58"/>
    </w:p>
    <w:p w14:paraId="498805E9" w14:textId="030B845F" w:rsidR="00C248E4" w:rsidRPr="00BF1AEA" w:rsidRDefault="009364FF" w:rsidP="00C248E4">
      <w:pPr>
        <w:pStyle w:val="BodyText"/>
        <w:spacing w:before="0" w:after="0" w:line="312" w:lineRule="auto"/>
        <w:rPr>
          <w:rFonts w:ascii="Calibri" w:hAnsi="Calibri"/>
          <w:color w:val="7030A0"/>
          <w:sz w:val="28"/>
          <w:szCs w:val="28"/>
          <w:lang w:val="en-GB"/>
        </w:rPr>
      </w:pPr>
      <w:bookmarkStart w:id="59" w:name="Localisedtraining"/>
      <w:r w:rsidRPr="00BF1AEA">
        <w:rPr>
          <w:rFonts w:ascii="Calibri" w:hAnsi="Calibri"/>
          <w:color w:val="7030A0"/>
          <w:sz w:val="28"/>
          <w:szCs w:val="28"/>
          <w:lang w:val="en-GB"/>
        </w:rPr>
        <w:t>6A – Localised training partnerships</w:t>
      </w:r>
    </w:p>
    <w:bookmarkEnd w:id="59"/>
    <w:p w14:paraId="12D2284B" w14:textId="59D4F217" w:rsidR="00C248E4" w:rsidRPr="00BF1AEA" w:rsidRDefault="002831B4" w:rsidP="00C248E4">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Some employers have provided localised education, training, and placement opportunities for students to develop, grow and sustain the regional, rural and remote care </w:t>
      </w:r>
      <w:r w:rsidR="00ED151B" w:rsidRPr="00BF1AEA">
        <w:rPr>
          <w:rFonts w:ascii="Calibri" w:hAnsi="Calibri"/>
          <w:sz w:val="24"/>
          <w:szCs w:val="24"/>
          <w:lang w:val="en-GB"/>
        </w:rPr>
        <w:t xml:space="preserve">and support </w:t>
      </w:r>
      <w:r w:rsidRPr="00BF1AEA">
        <w:rPr>
          <w:rFonts w:ascii="Calibri" w:hAnsi="Calibri"/>
          <w:sz w:val="24"/>
          <w:szCs w:val="24"/>
          <w:lang w:val="en-GB"/>
        </w:rPr>
        <w:t>workforce. This aligns with community preferences to undertake training on country, and in their own community.</w:t>
      </w:r>
    </w:p>
    <w:p w14:paraId="29B181EE" w14:textId="790A9ED2" w:rsidR="000421E8" w:rsidRPr="00BF1AEA" w:rsidRDefault="00B328EF" w:rsidP="000421E8">
      <w:pPr>
        <w:pStyle w:val="BodyText"/>
        <w:spacing w:before="0" w:after="0" w:line="312" w:lineRule="auto"/>
        <w:rPr>
          <w:rFonts w:ascii="Calibri" w:hAnsi="Calibri"/>
          <w:color w:val="7030A0"/>
          <w:sz w:val="28"/>
          <w:szCs w:val="28"/>
          <w:lang w:val="en-GB"/>
        </w:rPr>
      </w:pPr>
      <w:bookmarkStart w:id="60" w:name="Culturallyapproapriate"/>
      <w:r w:rsidRPr="00BF1AEA">
        <w:rPr>
          <w:rFonts w:ascii="Calibri" w:hAnsi="Calibri"/>
          <w:color w:val="7030A0"/>
          <w:sz w:val="28"/>
          <w:szCs w:val="28"/>
          <w:lang w:val="en-GB"/>
        </w:rPr>
        <w:t>6B – Culturally appropriate recruitment</w:t>
      </w:r>
    </w:p>
    <w:bookmarkEnd w:id="60"/>
    <w:p w14:paraId="4D3FF547" w14:textId="12B20A71" w:rsidR="000421E8" w:rsidRPr="00BF1AEA" w:rsidRDefault="00747EF1" w:rsidP="00747EF1">
      <w:pPr>
        <w:pStyle w:val="BodyText"/>
        <w:spacing w:before="0" w:line="312" w:lineRule="auto"/>
        <w:rPr>
          <w:rFonts w:ascii="Calibri" w:hAnsi="Calibri"/>
          <w:sz w:val="24"/>
          <w:szCs w:val="24"/>
          <w:lang w:val="en-GB"/>
        </w:rPr>
      </w:pPr>
      <w:r w:rsidRPr="00BF1AEA">
        <w:rPr>
          <w:rFonts w:ascii="Calibri" w:hAnsi="Calibri"/>
          <w:sz w:val="24"/>
          <w:szCs w:val="24"/>
          <w:lang w:val="en-GB"/>
        </w:rPr>
        <w:t>Tailored programs that target First Nations communities and offer support in the form of training, scholarships, wrap around supports and culturally safe work environments have been used by training providers and employers to increase representation of First Nations workers.</w:t>
      </w:r>
    </w:p>
    <w:p w14:paraId="2168E557" w14:textId="633BE14D" w:rsidR="00B55223" w:rsidRPr="00BF1AEA" w:rsidRDefault="008C05D1" w:rsidP="00B55223">
      <w:pPr>
        <w:pStyle w:val="BodyText"/>
        <w:spacing w:before="0" w:after="0" w:line="312" w:lineRule="auto"/>
        <w:rPr>
          <w:rFonts w:ascii="Calibri" w:hAnsi="Calibri"/>
          <w:color w:val="7030A0"/>
          <w:sz w:val="28"/>
          <w:szCs w:val="28"/>
          <w:lang w:val="en-GB"/>
        </w:rPr>
      </w:pPr>
      <w:bookmarkStart w:id="61" w:name="Culturalgrounding"/>
      <w:r w:rsidRPr="00BF1AEA">
        <w:rPr>
          <w:rFonts w:ascii="Calibri" w:hAnsi="Calibri"/>
          <w:color w:val="7030A0"/>
          <w:sz w:val="28"/>
          <w:szCs w:val="28"/>
          <w:lang w:val="en-GB"/>
        </w:rPr>
        <w:t>6C – Cultural grounding</w:t>
      </w:r>
    </w:p>
    <w:bookmarkEnd w:id="61"/>
    <w:p w14:paraId="12C99453" w14:textId="6D734F38" w:rsidR="00B55223" w:rsidRPr="00BF1AEA" w:rsidRDefault="00465AE9" w:rsidP="00465AE9">
      <w:pPr>
        <w:pStyle w:val="BodyText"/>
        <w:spacing w:before="0" w:line="312" w:lineRule="auto"/>
        <w:rPr>
          <w:rFonts w:ascii="Calibri" w:hAnsi="Calibri"/>
          <w:sz w:val="24"/>
          <w:szCs w:val="24"/>
          <w:lang w:val="en-GB"/>
        </w:rPr>
      </w:pPr>
      <w:r w:rsidRPr="00BF1AEA">
        <w:rPr>
          <w:rFonts w:ascii="Calibri" w:hAnsi="Calibri"/>
          <w:sz w:val="24"/>
          <w:szCs w:val="24"/>
          <w:lang w:val="en-GB"/>
        </w:rPr>
        <w:t>Some employers have supported Aboriginal and Torres Strait Islander students through developing culturally responsive curriculum and teaching approaches, undertaking community outreach to improve awareness of job opportunities, establishing peer networking groups to improve the cultural load, and developing structured pathways to support workers to progress in their careers.</w:t>
      </w:r>
    </w:p>
    <w:p w14:paraId="249A3633" w14:textId="0FC030D2" w:rsidR="00465AE9" w:rsidRPr="00BF1AEA" w:rsidRDefault="00734520" w:rsidP="00465AE9">
      <w:pPr>
        <w:pStyle w:val="BodyText"/>
        <w:spacing w:before="0" w:after="0" w:line="312" w:lineRule="auto"/>
        <w:rPr>
          <w:rFonts w:ascii="Calibri" w:hAnsi="Calibri"/>
          <w:color w:val="7030A0"/>
          <w:sz w:val="28"/>
          <w:szCs w:val="28"/>
          <w:lang w:val="en-GB"/>
        </w:rPr>
      </w:pPr>
      <w:bookmarkStart w:id="62" w:name="Roleredesign"/>
      <w:r w:rsidRPr="00BF1AEA">
        <w:rPr>
          <w:rFonts w:ascii="Calibri" w:hAnsi="Calibri"/>
          <w:color w:val="7030A0"/>
          <w:sz w:val="28"/>
          <w:szCs w:val="28"/>
          <w:lang w:val="en-GB"/>
        </w:rPr>
        <w:t>6D – Role re-design</w:t>
      </w:r>
    </w:p>
    <w:bookmarkEnd w:id="62"/>
    <w:p w14:paraId="1FA94814" w14:textId="14544E6F" w:rsidR="00465AE9" w:rsidRPr="00BF1AEA" w:rsidRDefault="007C3AA9" w:rsidP="007C3AA9">
      <w:pPr>
        <w:pStyle w:val="BodyText"/>
        <w:spacing w:before="0" w:line="312" w:lineRule="auto"/>
        <w:rPr>
          <w:rFonts w:ascii="Calibri" w:hAnsi="Calibri"/>
          <w:sz w:val="24"/>
          <w:szCs w:val="24"/>
          <w:lang w:val="en-GB"/>
        </w:rPr>
      </w:pPr>
      <w:r w:rsidRPr="00BF1AEA">
        <w:rPr>
          <w:rFonts w:ascii="Calibri" w:hAnsi="Calibri"/>
          <w:sz w:val="24"/>
          <w:szCs w:val="24"/>
          <w:lang w:val="en-GB"/>
        </w:rPr>
        <w:t>Some employers have re-designed job roles to encourage workers with lived experience by adopting flexible, inclusive practices that focus on the individual's abilities rather than limitations. These have involved offering flexible work hours, developing small teams to provide care and support, and using assistive technologies to support employees in performing their tasks. Job descriptions have been adjusted to focus on core competencies and essential functions, allowing for adjustments in the way certain tasks are performed. Training for other staff on inclusivity, and fostering a supportive work culture, has also helped create an environment where inclusion is prioritised.</w:t>
      </w:r>
    </w:p>
    <w:p w14:paraId="06804D90" w14:textId="43721B71" w:rsidR="00AB387D" w:rsidRPr="00BF1AEA" w:rsidRDefault="00AB387D" w:rsidP="007C3AA9">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The </w:t>
      </w:r>
      <w:r w:rsidR="00592AA4" w:rsidRPr="00BF1AEA">
        <w:rPr>
          <w:rFonts w:ascii="Calibri" w:hAnsi="Calibri"/>
          <w:sz w:val="24"/>
          <w:szCs w:val="24"/>
          <w:lang w:val="en-GB"/>
        </w:rPr>
        <w:t xml:space="preserve">following </w:t>
      </w:r>
      <w:r w:rsidRPr="00BF1AEA">
        <w:rPr>
          <w:rFonts w:ascii="Calibri" w:hAnsi="Calibri"/>
          <w:sz w:val="24"/>
          <w:szCs w:val="24"/>
          <w:lang w:val="en-GB"/>
        </w:rPr>
        <w:t>case study shows how these strategies can be implemented.</w:t>
      </w:r>
    </w:p>
    <w:p w14:paraId="7C0AF058" w14:textId="3DE38E84" w:rsidR="00201429" w:rsidRPr="00BF1AEA" w:rsidRDefault="00201429" w:rsidP="00201429">
      <w:pPr>
        <w:pStyle w:val="Heading2"/>
        <w:numPr>
          <w:ilvl w:val="0"/>
          <w:numId w:val="0"/>
        </w:numPr>
        <w:spacing w:line="240" w:lineRule="auto"/>
        <w:rPr>
          <w:rFonts w:ascii="Calibri" w:hAnsi="Calibri"/>
          <w:color w:val="8331A7"/>
          <w:lang w:val="en-GB"/>
        </w:rPr>
      </w:pPr>
      <w:bookmarkStart w:id="63" w:name="_Toc199322330"/>
      <w:bookmarkStart w:id="64" w:name="SKIP"/>
      <w:r w:rsidRPr="00BF1AEA">
        <w:rPr>
          <w:rFonts w:ascii="Calibri" w:hAnsi="Calibri"/>
          <w:color w:val="8331A7"/>
          <w:lang w:val="en-GB"/>
        </w:rPr>
        <w:t xml:space="preserve">Case study </w:t>
      </w:r>
      <w:r w:rsidR="002B5472" w:rsidRPr="00BF1AEA">
        <w:rPr>
          <w:rFonts w:ascii="Calibri" w:hAnsi="Calibri"/>
          <w:color w:val="8331A7"/>
          <w:lang w:val="en-GB"/>
        </w:rPr>
        <w:t>– S</w:t>
      </w:r>
      <w:r w:rsidR="006E2DCD">
        <w:rPr>
          <w:rFonts w:ascii="Calibri" w:hAnsi="Calibri"/>
          <w:color w:val="8331A7"/>
          <w:lang w:val="en-GB"/>
        </w:rPr>
        <w:t>K</w:t>
      </w:r>
      <w:r w:rsidR="002B5472" w:rsidRPr="00BF1AEA">
        <w:rPr>
          <w:rFonts w:ascii="Calibri" w:hAnsi="Calibri"/>
          <w:color w:val="8331A7"/>
          <w:lang w:val="en-GB"/>
        </w:rPr>
        <w:t>iP</w:t>
      </w:r>
      <w:bookmarkEnd w:id="63"/>
    </w:p>
    <w:bookmarkEnd w:id="64"/>
    <w:p w14:paraId="220D135A" w14:textId="77777777" w:rsidR="00A23D5F" w:rsidRPr="00BF1AEA" w:rsidRDefault="00A23D5F" w:rsidP="00201429">
      <w:pPr>
        <w:pStyle w:val="BodyText"/>
        <w:spacing w:before="0" w:line="312" w:lineRule="auto"/>
        <w:rPr>
          <w:rFonts w:ascii="Calibri" w:hAnsi="Calibri"/>
          <w:sz w:val="24"/>
          <w:szCs w:val="24"/>
          <w:lang w:val="en-GB"/>
        </w:rPr>
      </w:pPr>
      <w:r w:rsidRPr="00BF1AEA">
        <w:rPr>
          <w:rFonts w:ascii="Calibri" w:hAnsi="Calibri"/>
          <w:sz w:val="24"/>
          <w:szCs w:val="24"/>
          <w:lang w:val="en-GB"/>
        </w:rPr>
        <w:t>This case study demonstrates 6A and 6B, led through employers, staff and training providers.</w:t>
      </w:r>
    </w:p>
    <w:p w14:paraId="1C43039C" w14:textId="5519DCF9" w:rsidR="00C1196E" w:rsidRPr="00BF1AEA" w:rsidRDefault="00C1196E" w:rsidP="00C1196E">
      <w:pPr>
        <w:pStyle w:val="BodyText"/>
        <w:spacing w:before="0" w:line="312" w:lineRule="auto"/>
        <w:rPr>
          <w:rFonts w:ascii="Calibri" w:hAnsi="Calibri"/>
          <w:sz w:val="24"/>
          <w:szCs w:val="24"/>
          <w:lang w:val="en-GB"/>
        </w:rPr>
      </w:pPr>
      <w:hyperlink r:id="rId33" w:history="1">
        <w:r w:rsidRPr="00BF1AEA">
          <w:rPr>
            <w:rStyle w:val="Hyperlink"/>
            <w:rFonts w:ascii="Calibri" w:hAnsi="Calibri"/>
            <w:sz w:val="24"/>
            <w:szCs w:val="24"/>
            <w:lang w:val="en-GB"/>
          </w:rPr>
          <w:t>S</w:t>
        </w:r>
        <w:r w:rsidR="00E622A2">
          <w:rPr>
            <w:rStyle w:val="Hyperlink"/>
            <w:rFonts w:ascii="Calibri" w:hAnsi="Calibri"/>
            <w:sz w:val="24"/>
            <w:szCs w:val="24"/>
            <w:lang w:val="en-GB"/>
          </w:rPr>
          <w:t>K</w:t>
        </w:r>
        <w:r w:rsidRPr="00BF1AEA">
          <w:rPr>
            <w:rStyle w:val="Hyperlink"/>
            <w:rFonts w:ascii="Calibri" w:hAnsi="Calibri"/>
            <w:sz w:val="24"/>
            <w:szCs w:val="24"/>
            <w:lang w:val="en-GB"/>
          </w:rPr>
          <w:t>iP</w:t>
        </w:r>
      </w:hyperlink>
      <w:r w:rsidRPr="00BF1AEA">
        <w:rPr>
          <w:rFonts w:ascii="Calibri" w:hAnsi="Calibri"/>
          <w:sz w:val="24"/>
          <w:szCs w:val="24"/>
          <w:lang w:val="en-GB"/>
        </w:rPr>
        <w:t xml:space="preserve"> is a program in Victoria coordinated by RMIT’s Workforce Innovation and Development Institute and brings together employers, employees and RMIT as the training and assessment provider. Workers need to be on at least a 12-month fixed term contract and meet “priority industry group requirements” – such as workers with disability and workers from cultural, linguistic and religious communities. </w:t>
      </w:r>
    </w:p>
    <w:p w14:paraId="385C0997" w14:textId="592FB061" w:rsidR="00C1196E" w:rsidRPr="00BF1AEA" w:rsidRDefault="002F2A75" w:rsidP="00C1196E">
      <w:pPr>
        <w:pStyle w:val="BodyText"/>
        <w:spacing w:before="0" w:line="312" w:lineRule="auto"/>
        <w:rPr>
          <w:rFonts w:ascii="Calibri" w:hAnsi="Calibri"/>
          <w:sz w:val="24"/>
          <w:szCs w:val="24"/>
          <w:lang w:val="en-GB"/>
        </w:rPr>
      </w:pPr>
      <w:r>
        <w:rPr>
          <w:rFonts w:ascii="Calibri" w:hAnsi="Calibri"/>
          <w:sz w:val="24"/>
          <w:szCs w:val="24"/>
          <w:lang w:val="en-GB"/>
        </w:rPr>
        <w:t>SKiP</w:t>
      </w:r>
      <w:r w:rsidR="00C1196E" w:rsidRPr="00BF1AEA">
        <w:rPr>
          <w:rFonts w:ascii="Calibri" w:hAnsi="Calibri"/>
          <w:sz w:val="24"/>
          <w:szCs w:val="24"/>
          <w:lang w:val="en-GB"/>
        </w:rPr>
        <w:t xml:space="preserve"> operates as a triangulated model between TAFE, employers and workplace mentors, and its approach works backwards from employment vacancies, matching a worker to an employer and providing the training necessary to support them into skilled work. The development of human resource-oriented </w:t>
      </w:r>
      <w:r w:rsidR="00C1196E" w:rsidRPr="00BF1AEA">
        <w:rPr>
          <w:rFonts w:ascii="Calibri" w:hAnsi="Calibri"/>
          <w:sz w:val="24"/>
          <w:szCs w:val="24"/>
          <w:lang w:val="en-GB"/>
        </w:rPr>
        <w:lastRenderedPageBreak/>
        <w:t xml:space="preserve">assessment centres also filtered out candidates and helped workers ensure they had complete information on this sector and profession. </w:t>
      </w:r>
    </w:p>
    <w:p w14:paraId="59C49858" w14:textId="77777777" w:rsidR="001D581A" w:rsidRPr="00BF1AEA" w:rsidRDefault="00C1196E" w:rsidP="00C1196E">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Workers accepted into the program receive an integrated two-week pre-service induction program, supported by workplace mentors. Mentors are funded by the program and are independent to workplace supervisors to ensure clarity of roles, expectations and functions. Existing worker entrants are paid at the rate of SCHADS SACS 2.1 to reflect that they are an unqualified worker, not a trainee wage that is well below standard industry pay rates. </w:t>
      </w:r>
    </w:p>
    <w:p w14:paraId="598A485C" w14:textId="126EBCE9" w:rsidR="001D581A" w:rsidRPr="00BF1AEA" w:rsidRDefault="00C1196E" w:rsidP="00C1196E">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Workers are released for training </w:t>
      </w:r>
      <w:proofErr w:type="gramStart"/>
      <w:r w:rsidRPr="00BF1AEA">
        <w:rPr>
          <w:rFonts w:ascii="Calibri" w:hAnsi="Calibri"/>
          <w:sz w:val="24"/>
          <w:szCs w:val="24"/>
          <w:lang w:val="en-GB"/>
        </w:rPr>
        <w:t>off-job</w:t>
      </w:r>
      <w:proofErr w:type="gramEnd"/>
      <w:r w:rsidRPr="00BF1AEA">
        <w:rPr>
          <w:rFonts w:ascii="Calibri" w:hAnsi="Calibri"/>
          <w:sz w:val="24"/>
          <w:szCs w:val="24"/>
          <w:lang w:val="en-GB"/>
        </w:rPr>
        <w:t xml:space="preserve"> once a week, and paid to do so by the employer, to gain a full Certificate IV in Disability. Where employers cannot afford to pay for training, they can apply for financial assistance from the </w:t>
      </w:r>
      <w:r w:rsidR="002F2A75">
        <w:rPr>
          <w:rFonts w:ascii="Calibri" w:hAnsi="Calibri"/>
          <w:sz w:val="24"/>
          <w:szCs w:val="24"/>
          <w:lang w:val="en-GB"/>
        </w:rPr>
        <w:t>SKiP</w:t>
      </w:r>
      <w:r w:rsidRPr="00BF1AEA">
        <w:rPr>
          <w:rFonts w:ascii="Calibri" w:hAnsi="Calibri"/>
          <w:sz w:val="24"/>
          <w:szCs w:val="24"/>
          <w:lang w:val="en-GB"/>
        </w:rPr>
        <w:t xml:space="preserve"> program. Workers are employed for a minimum of 20 hours a week. </w:t>
      </w:r>
    </w:p>
    <w:p w14:paraId="07261EB1" w14:textId="77777777" w:rsidR="001D581A" w:rsidRPr="00BF1AEA" w:rsidRDefault="00C1196E" w:rsidP="00C1196E">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The program supports both entry level skill development and can be linked to an ongoing higher apprenticeship program that supports upskilling into advanced positions. The systematic approach to work integrated learning (WIL) across the spectrum of skills required has increased uptake of the program. </w:t>
      </w:r>
    </w:p>
    <w:p w14:paraId="4844AF9A" w14:textId="2906DBAC" w:rsidR="00201429" w:rsidRPr="00BF1AEA" w:rsidRDefault="00C1196E" w:rsidP="00C1196E">
      <w:pPr>
        <w:pStyle w:val="BodyText"/>
        <w:spacing w:before="0" w:line="312" w:lineRule="auto"/>
        <w:rPr>
          <w:rFonts w:ascii="Calibri" w:hAnsi="Calibri"/>
          <w:sz w:val="24"/>
          <w:szCs w:val="24"/>
          <w:lang w:val="en-GB"/>
        </w:rPr>
      </w:pPr>
      <w:r w:rsidRPr="00BF1AEA">
        <w:rPr>
          <w:rFonts w:ascii="Calibri" w:hAnsi="Calibri"/>
          <w:sz w:val="24"/>
          <w:szCs w:val="24"/>
          <w:lang w:val="en-GB"/>
        </w:rPr>
        <w:t>While the administrative burden of apprenticeships has prevented some providers from taking up the program, others have found mitigation options, such as the funding provided under the Working for Victoria to cover HR costs with the program.</w:t>
      </w:r>
    </w:p>
    <w:p w14:paraId="5C868B49" w14:textId="41359A2A" w:rsidR="00EF7B31" w:rsidRPr="00BF1AEA" w:rsidRDefault="00EF7B31" w:rsidP="00EF7B31">
      <w:pPr>
        <w:pStyle w:val="Heading2"/>
        <w:numPr>
          <w:ilvl w:val="0"/>
          <w:numId w:val="0"/>
        </w:numPr>
        <w:spacing w:line="240" w:lineRule="auto"/>
        <w:rPr>
          <w:rFonts w:ascii="Calibri" w:hAnsi="Calibri"/>
          <w:color w:val="8331A7"/>
          <w:lang w:val="en-GB"/>
        </w:rPr>
      </w:pPr>
      <w:bookmarkStart w:id="65" w:name="_Toc199322331"/>
      <w:bookmarkStart w:id="66" w:name="Scope"/>
      <w:r w:rsidRPr="00BF1AEA">
        <w:rPr>
          <w:rFonts w:ascii="Calibri" w:hAnsi="Calibri"/>
          <w:color w:val="8331A7"/>
          <w:lang w:val="en-GB"/>
        </w:rPr>
        <w:t xml:space="preserve">Case study – </w:t>
      </w:r>
      <w:r w:rsidR="00485F11" w:rsidRPr="00BF1AEA">
        <w:rPr>
          <w:rFonts w:ascii="Calibri" w:hAnsi="Calibri"/>
          <w:color w:val="8331A7"/>
          <w:lang w:val="en-GB"/>
        </w:rPr>
        <w:t>Scope</w:t>
      </w:r>
      <w:bookmarkEnd w:id="65"/>
    </w:p>
    <w:bookmarkEnd w:id="66"/>
    <w:p w14:paraId="512AFF26" w14:textId="77777777" w:rsidR="000F5996" w:rsidRPr="00BF1AEA" w:rsidRDefault="00673412" w:rsidP="00EF7B31">
      <w:pPr>
        <w:pStyle w:val="BodyText"/>
        <w:spacing w:before="0" w:line="312" w:lineRule="auto"/>
        <w:rPr>
          <w:rFonts w:ascii="Calibri" w:hAnsi="Calibri"/>
          <w:sz w:val="24"/>
          <w:szCs w:val="24"/>
          <w:lang w:val="en-GB"/>
        </w:rPr>
      </w:pPr>
      <w:r w:rsidRPr="00BF1AEA">
        <w:rPr>
          <w:rFonts w:ascii="Calibri" w:hAnsi="Calibri"/>
          <w:sz w:val="24"/>
          <w:szCs w:val="24"/>
          <w:lang w:val="en-GB"/>
        </w:rPr>
        <w:t>This case study demonstrates 6D and the supporting organisational structures required for successful delivery.</w:t>
      </w:r>
    </w:p>
    <w:p w14:paraId="651E8B57" w14:textId="0BD42A52" w:rsidR="00766D5E" w:rsidRPr="00BF1AEA" w:rsidRDefault="005F3D13" w:rsidP="005F3D13">
      <w:pPr>
        <w:pStyle w:val="BodyText"/>
        <w:spacing w:before="0" w:line="312" w:lineRule="auto"/>
        <w:rPr>
          <w:rFonts w:ascii="Calibri" w:hAnsi="Calibri"/>
          <w:sz w:val="24"/>
          <w:szCs w:val="24"/>
          <w:lang w:val="en-GB"/>
        </w:rPr>
      </w:pPr>
      <w:hyperlink r:id="rId34" w:anchor=":~:text=Scope%20Group%20is%20one%20of%20the%20largest%20not-for-profit,New%20South%20Wales%20through%20over%20425%20service%20locations." w:history="1">
        <w:r w:rsidRPr="00BF1AEA">
          <w:rPr>
            <w:rStyle w:val="Hyperlink"/>
            <w:rFonts w:ascii="Calibri" w:hAnsi="Calibri"/>
            <w:sz w:val="24"/>
            <w:szCs w:val="24"/>
            <w:lang w:val="en-GB"/>
          </w:rPr>
          <w:t>Scope</w:t>
        </w:r>
      </w:hyperlink>
      <w:r w:rsidRPr="00BF1AEA">
        <w:rPr>
          <w:rFonts w:ascii="Calibri" w:hAnsi="Calibri"/>
          <w:sz w:val="24"/>
          <w:szCs w:val="24"/>
          <w:lang w:val="en-GB"/>
        </w:rPr>
        <w:t xml:space="preserve"> is a large not-for-profit disability service provider operating across NSW and VIC and spanning over 400 service and office locations. In the 2023-24 financial year, support was provided to more than 5,200 people with complex intellectual, physical and multiple disabilities. The Scope workforce consists of almost 7,000 employees with a large frontline operational service delivery workforce. </w:t>
      </w:r>
    </w:p>
    <w:p w14:paraId="723EBC2B" w14:textId="77777777" w:rsidR="00766D5E" w:rsidRPr="00BF1AEA" w:rsidRDefault="005F3D13" w:rsidP="005F3D13">
      <w:pPr>
        <w:pStyle w:val="BodyText"/>
        <w:spacing w:before="0" w:line="312" w:lineRule="auto"/>
        <w:rPr>
          <w:rFonts w:ascii="Calibri" w:hAnsi="Calibri"/>
          <w:sz w:val="24"/>
          <w:szCs w:val="24"/>
          <w:lang w:val="en-GB"/>
        </w:rPr>
      </w:pPr>
      <w:r w:rsidRPr="00BF1AEA">
        <w:rPr>
          <w:rFonts w:ascii="Calibri" w:hAnsi="Calibri"/>
          <w:sz w:val="24"/>
          <w:szCs w:val="24"/>
          <w:lang w:val="en-GB"/>
        </w:rPr>
        <w:t xml:space="preserve">Scope is driven by its Disability Inclusive Workforce Strategy (the Strategy), encompassing nine recommendation and 71 initiatives developed in collaboration with Scope employees. It is currently working to implement five priority initiatives: </w:t>
      </w:r>
    </w:p>
    <w:p w14:paraId="70CE9213" w14:textId="77777777" w:rsidR="00766D5E" w:rsidRPr="00BF1AEA" w:rsidRDefault="005F3D13" w:rsidP="00FA2EC7">
      <w:pPr>
        <w:pStyle w:val="BodyText"/>
        <w:numPr>
          <w:ilvl w:val="0"/>
          <w:numId w:val="44"/>
        </w:numPr>
        <w:spacing w:before="0" w:line="312" w:lineRule="auto"/>
        <w:rPr>
          <w:rFonts w:ascii="Calibri" w:hAnsi="Calibri"/>
          <w:sz w:val="24"/>
          <w:szCs w:val="24"/>
          <w:lang w:val="en-GB"/>
        </w:rPr>
      </w:pPr>
      <w:r w:rsidRPr="00BF1AEA">
        <w:rPr>
          <w:rFonts w:ascii="Calibri" w:hAnsi="Calibri"/>
          <w:sz w:val="24"/>
          <w:szCs w:val="24"/>
          <w:lang w:val="en-GB"/>
        </w:rPr>
        <w:t xml:space="preserve">Representation: forming a representative body for employees with disability </w:t>
      </w:r>
    </w:p>
    <w:p w14:paraId="625ADCD8" w14:textId="77777777" w:rsidR="00766D5E" w:rsidRPr="00BF1AEA" w:rsidRDefault="005F3D13" w:rsidP="00FA2EC7">
      <w:pPr>
        <w:pStyle w:val="BodyText"/>
        <w:numPr>
          <w:ilvl w:val="0"/>
          <w:numId w:val="44"/>
        </w:numPr>
        <w:spacing w:before="0" w:line="312" w:lineRule="auto"/>
        <w:rPr>
          <w:rFonts w:ascii="Calibri" w:hAnsi="Calibri"/>
          <w:sz w:val="24"/>
          <w:szCs w:val="24"/>
          <w:lang w:val="en-GB"/>
        </w:rPr>
      </w:pPr>
      <w:r w:rsidRPr="00BF1AEA">
        <w:rPr>
          <w:rFonts w:ascii="Calibri" w:hAnsi="Calibri"/>
          <w:sz w:val="24"/>
          <w:szCs w:val="24"/>
          <w:lang w:val="en-GB"/>
        </w:rPr>
        <w:t xml:space="preserve">Workplace Adjustments: developing a Workplace Adjustment Policy and Protocol </w:t>
      </w:r>
    </w:p>
    <w:p w14:paraId="561C0969" w14:textId="77777777" w:rsidR="00766D5E" w:rsidRPr="00BF1AEA" w:rsidRDefault="005F3D13" w:rsidP="00FA2EC7">
      <w:pPr>
        <w:pStyle w:val="BodyText"/>
        <w:numPr>
          <w:ilvl w:val="0"/>
          <w:numId w:val="44"/>
        </w:numPr>
        <w:spacing w:before="0" w:line="312" w:lineRule="auto"/>
        <w:rPr>
          <w:rFonts w:ascii="Calibri" w:hAnsi="Calibri"/>
          <w:sz w:val="24"/>
          <w:szCs w:val="24"/>
          <w:lang w:val="en-GB"/>
        </w:rPr>
      </w:pPr>
      <w:r w:rsidRPr="00BF1AEA">
        <w:rPr>
          <w:rFonts w:ascii="Calibri" w:hAnsi="Calibri"/>
          <w:sz w:val="24"/>
          <w:szCs w:val="24"/>
          <w:lang w:val="en-GB"/>
        </w:rPr>
        <w:t xml:space="preserve">Disclosure: Creating a Disclosure Policy and Protocol </w:t>
      </w:r>
    </w:p>
    <w:p w14:paraId="235F2130" w14:textId="77777777" w:rsidR="00766D5E" w:rsidRPr="00BF1AEA" w:rsidRDefault="005F3D13" w:rsidP="00FA2EC7">
      <w:pPr>
        <w:pStyle w:val="BodyText"/>
        <w:numPr>
          <w:ilvl w:val="0"/>
          <w:numId w:val="44"/>
        </w:numPr>
        <w:spacing w:before="0" w:line="312" w:lineRule="auto"/>
        <w:rPr>
          <w:rFonts w:ascii="Calibri" w:hAnsi="Calibri"/>
          <w:sz w:val="24"/>
          <w:szCs w:val="24"/>
          <w:lang w:val="en-GB"/>
        </w:rPr>
      </w:pPr>
      <w:r w:rsidRPr="00BF1AEA">
        <w:rPr>
          <w:rFonts w:ascii="Calibri" w:hAnsi="Calibri"/>
          <w:sz w:val="24"/>
          <w:szCs w:val="24"/>
          <w:lang w:val="en-GB"/>
        </w:rPr>
        <w:t xml:space="preserve">Leadership: Prioritising people with disability for senior roles </w:t>
      </w:r>
    </w:p>
    <w:p w14:paraId="0FBB54D3" w14:textId="77777777" w:rsidR="00766D5E" w:rsidRPr="00BF1AEA" w:rsidRDefault="005F3D13" w:rsidP="00FA2EC7">
      <w:pPr>
        <w:pStyle w:val="BodyText"/>
        <w:numPr>
          <w:ilvl w:val="0"/>
          <w:numId w:val="44"/>
        </w:numPr>
        <w:spacing w:before="0" w:line="312" w:lineRule="auto"/>
        <w:rPr>
          <w:rFonts w:ascii="Calibri" w:hAnsi="Calibri"/>
          <w:sz w:val="24"/>
          <w:szCs w:val="24"/>
          <w:lang w:val="en-GB"/>
        </w:rPr>
      </w:pPr>
      <w:r w:rsidRPr="00BF1AEA">
        <w:rPr>
          <w:rFonts w:ascii="Calibri" w:hAnsi="Calibri"/>
          <w:sz w:val="24"/>
          <w:szCs w:val="24"/>
          <w:lang w:val="en-GB"/>
        </w:rPr>
        <w:t>Prioritised and Partner roles: Creating roles for people with disability in key and strategic positions.</w:t>
      </w:r>
    </w:p>
    <w:p w14:paraId="72C07648" w14:textId="0601D7AA" w:rsidR="00EF7B31" w:rsidRPr="00BF1AEA" w:rsidRDefault="005F3D13" w:rsidP="00766D5E">
      <w:pPr>
        <w:pStyle w:val="BodyText"/>
        <w:spacing w:before="0" w:line="312" w:lineRule="auto"/>
        <w:rPr>
          <w:rFonts w:ascii="Calibri" w:hAnsi="Calibri"/>
          <w:sz w:val="24"/>
          <w:szCs w:val="24"/>
          <w:lang w:val="en-GB"/>
        </w:rPr>
      </w:pPr>
      <w:r w:rsidRPr="00BF1AEA">
        <w:rPr>
          <w:rFonts w:ascii="Calibri" w:hAnsi="Calibri"/>
          <w:sz w:val="24"/>
          <w:szCs w:val="24"/>
          <w:lang w:val="en-GB"/>
        </w:rPr>
        <w:lastRenderedPageBreak/>
        <w:t>Specific actions underway include forming a talent acquisition working group, building partnerships with recruitment service providers for people with disability, exploring deliberate and systematic job design including principles for adjustments, and directly communicating accessibility and adjustments as core elements of job design to potential and current employees.</w:t>
      </w:r>
    </w:p>
    <w:sectPr w:rsidR="00EF7B31" w:rsidRPr="00BF1AEA" w:rsidSect="00B63F70">
      <w:headerReference w:type="even" r:id="rId35"/>
      <w:headerReference w:type="default" r:id="rId36"/>
      <w:footerReference w:type="even" r:id="rId37"/>
      <w:footerReference w:type="default" r:id="rId38"/>
      <w:headerReference w:type="first" r:id="rId39"/>
      <w:pgSz w:w="11906" w:h="16838" w:code="9"/>
      <w:pgMar w:top="1123" w:right="720" w:bottom="1123" w:left="720" w:header="454" w:footer="221" w:gutter="0"/>
      <w:pgNumType w:start="1" w:chapSep="period"/>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1196C" w14:textId="77777777" w:rsidR="00655F53" w:rsidRDefault="00655F53" w:rsidP="00B649EB">
      <w:pPr>
        <w:spacing w:before="0" w:after="0" w:line="240" w:lineRule="auto"/>
      </w:pPr>
      <w:r>
        <w:separator/>
      </w:r>
    </w:p>
    <w:p w14:paraId="4E5935C0" w14:textId="77777777" w:rsidR="00655F53" w:rsidRDefault="00655F53"/>
  </w:endnote>
  <w:endnote w:type="continuationSeparator" w:id="0">
    <w:p w14:paraId="1318E63F" w14:textId="77777777" w:rsidR="00655F53" w:rsidRDefault="00655F53" w:rsidP="00B649EB">
      <w:pPr>
        <w:spacing w:before="0" w:after="0" w:line="240" w:lineRule="auto"/>
      </w:pPr>
      <w:r>
        <w:continuationSeparator/>
      </w:r>
    </w:p>
    <w:p w14:paraId="3D45AA0C" w14:textId="77777777" w:rsidR="00655F53" w:rsidRDefault="00655F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Gothic Medium">
    <w:panose1 w:val="020B05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inionPro-Regular">
    <w:altName w:val="Calibri"/>
    <w:panose1 w:val="020B0604020202020204"/>
    <w:charset w:val="4D"/>
    <w:family w:val="auto"/>
    <w:pitch w:val="default"/>
    <w:sig w:usb0="00000003" w:usb1="00000000" w:usb2="00000000" w:usb3="00000000" w:csb0="00000001" w:csb1="00000000"/>
  </w:font>
  <w:font w:name="ProximaSoft-Thin">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F290" w14:textId="407D24E0" w:rsidR="00EE3889" w:rsidRPr="000572B6" w:rsidRDefault="00EE3889" w:rsidP="00EE3889">
    <w:pPr>
      <w:pStyle w:val="Footer"/>
      <w:framePr w:wrap="none" w:vAnchor="text" w:hAnchor="margin" w:xAlign="right" w:y="1"/>
      <w:rPr>
        <w:rStyle w:val="PageNumber"/>
        <w:rFonts w:ascii="Calibri" w:hAnsi="Calibri" w:cs="Calibri"/>
        <w:sz w:val="24"/>
        <w:szCs w:val="24"/>
      </w:rPr>
    </w:pPr>
  </w:p>
  <w:p w14:paraId="260DAF62" w14:textId="77777777" w:rsidR="00EE3889" w:rsidRDefault="00EE38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963341"/>
      <w:docPartObj>
        <w:docPartGallery w:val="Page Numbers (Bottom of Page)"/>
        <w:docPartUnique/>
      </w:docPartObj>
    </w:sdtPr>
    <w:sdtEndPr>
      <w:rPr>
        <w:rStyle w:val="PageNumber"/>
      </w:rPr>
    </w:sdtEndPr>
    <w:sdtContent>
      <w:p w14:paraId="486C4D56" w14:textId="77777777" w:rsidR="009A4521" w:rsidRDefault="009A4521" w:rsidP="003239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DFADFC" w14:textId="77777777" w:rsidR="009A4521" w:rsidRPr="005C54AF" w:rsidRDefault="009A4521" w:rsidP="00036FAA">
    <w:pPr>
      <w:pStyle w:val="Footer"/>
      <w:ind w:right="360"/>
    </w:pPr>
  </w:p>
  <w:p w14:paraId="0922A346" w14:textId="77777777" w:rsidR="009A4521" w:rsidRDefault="009A452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6517549"/>
      <w:docPartObj>
        <w:docPartGallery w:val="Page Numbers (Bottom of Page)"/>
        <w:docPartUnique/>
      </w:docPartObj>
    </w:sdtPr>
    <w:sdtEndPr>
      <w:rPr>
        <w:rStyle w:val="PageNumber"/>
      </w:rPr>
    </w:sdtEndPr>
    <w:sdtContent>
      <w:p w14:paraId="22C4CF9E" w14:textId="77777777" w:rsidR="009A4521" w:rsidRDefault="009A4521" w:rsidP="00660C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35DA46E" w14:textId="77777777" w:rsidR="009A4521" w:rsidRDefault="009A4521" w:rsidP="003514F4">
    <w:pPr>
      <w:tabs>
        <w:tab w:val="left" w:pos="7920"/>
        <w:tab w:val="right" w:pos="10106"/>
      </w:tabs>
      <w:ind w:right="360"/>
    </w:pPr>
  </w:p>
  <w:p w14:paraId="6A7A0D77" w14:textId="77777777" w:rsidR="009A4521" w:rsidRDefault="009A4521" w:rsidP="003514F4">
    <w:pPr>
      <w:tabs>
        <w:tab w:val="left" w:pos="7920"/>
        <w:tab w:val="right" w:pos="10106"/>
      </w:tabs>
      <w:ind w:right="360"/>
    </w:pPr>
  </w:p>
  <w:p w14:paraId="676371A9" w14:textId="77777777" w:rsidR="009A4521" w:rsidRDefault="009A4521" w:rsidP="003514F4">
    <w:pPr>
      <w:tabs>
        <w:tab w:val="left" w:pos="7920"/>
        <w:tab w:val="right" w:pos="10106"/>
      </w:tabs>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61508483"/>
      <w:docPartObj>
        <w:docPartGallery w:val="Page Numbers (Bottom of Page)"/>
        <w:docPartUnique/>
      </w:docPartObj>
    </w:sdtPr>
    <w:sdtEndPr>
      <w:rPr>
        <w:rStyle w:val="PageNumber"/>
      </w:rPr>
    </w:sdtEndPr>
    <w:sdtContent>
      <w:p w14:paraId="5B9C82BB" w14:textId="0221D0CC" w:rsidR="00293795" w:rsidRDefault="00293795" w:rsidP="00660C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A4BE071" w14:textId="77777777" w:rsidR="00FB537F" w:rsidRPr="005C54AF" w:rsidRDefault="00FB537F" w:rsidP="00293795">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libri" w:hAnsi="Calibri" w:cs="Calibri"/>
        <w:sz w:val="24"/>
        <w:szCs w:val="24"/>
      </w:rPr>
      <w:id w:val="1839962093"/>
      <w:docPartObj>
        <w:docPartGallery w:val="Page Numbers (Bottom of Page)"/>
        <w:docPartUnique/>
      </w:docPartObj>
    </w:sdtPr>
    <w:sdtEndPr>
      <w:rPr>
        <w:rStyle w:val="PageNumber"/>
      </w:rPr>
    </w:sdtEndPr>
    <w:sdtContent>
      <w:p w14:paraId="22A3E184" w14:textId="5931E54A" w:rsidR="00293795" w:rsidRPr="00293795" w:rsidRDefault="00293795" w:rsidP="00660C89">
        <w:pPr>
          <w:pStyle w:val="Footer"/>
          <w:framePr w:wrap="none" w:vAnchor="text" w:hAnchor="margin" w:xAlign="right" w:y="1"/>
          <w:rPr>
            <w:rStyle w:val="PageNumber"/>
            <w:rFonts w:ascii="Calibri" w:hAnsi="Calibri" w:cs="Calibri"/>
            <w:sz w:val="24"/>
            <w:szCs w:val="24"/>
          </w:rPr>
        </w:pPr>
        <w:r w:rsidRPr="00293795">
          <w:rPr>
            <w:rStyle w:val="PageNumber"/>
            <w:rFonts w:ascii="Calibri" w:hAnsi="Calibri" w:cs="Calibri"/>
            <w:sz w:val="24"/>
            <w:szCs w:val="24"/>
          </w:rPr>
          <w:fldChar w:fldCharType="begin"/>
        </w:r>
        <w:r w:rsidRPr="00293795">
          <w:rPr>
            <w:rStyle w:val="PageNumber"/>
            <w:rFonts w:ascii="Calibri" w:hAnsi="Calibri" w:cs="Calibri"/>
            <w:sz w:val="24"/>
            <w:szCs w:val="24"/>
          </w:rPr>
          <w:instrText xml:space="preserve"> PAGE </w:instrText>
        </w:r>
        <w:r w:rsidRPr="00293795">
          <w:rPr>
            <w:rStyle w:val="PageNumber"/>
            <w:rFonts w:ascii="Calibri" w:hAnsi="Calibri" w:cs="Calibri"/>
            <w:sz w:val="24"/>
            <w:szCs w:val="24"/>
          </w:rPr>
          <w:fldChar w:fldCharType="separate"/>
        </w:r>
        <w:r w:rsidRPr="00293795">
          <w:rPr>
            <w:rStyle w:val="PageNumber"/>
            <w:rFonts w:ascii="Calibri" w:hAnsi="Calibri" w:cs="Calibri"/>
            <w:noProof/>
            <w:sz w:val="24"/>
            <w:szCs w:val="24"/>
          </w:rPr>
          <w:t>1</w:t>
        </w:r>
        <w:r w:rsidRPr="00293795">
          <w:rPr>
            <w:rStyle w:val="PageNumber"/>
            <w:rFonts w:ascii="Calibri" w:hAnsi="Calibri" w:cs="Calibri"/>
            <w:sz w:val="24"/>
            <w:szCs w:val="24"/>
          </w:rPr>
          <w:fldChar w:fldCharType="end"/>
        </w:r>
      </w:p>
    </w:sdtContent>
  </w:sdt>
  <w:p w14:paraId="31BDBBAD" w14:textId="093B1158" w:rsidR="002257DB" w:rsidRPr="00D01484" w:rsidRDefault="002257DB" w:rsidP="002257DB">
    <w:pPr>
      <w:pStyle w:val="Footer"/>
      <w:ind w:right="360"/>
      <w:rPr>
        <w:rFonts w:ascii="Calibri" w:hAnsi="Calibri" w:cs="Calibri"/>
        <w:sz w:val="24"/>
        <w:szCs w:val="24"/>
      </w:rPr>
    </w:pPr>
    <w:r w:rsidRPr="00B07A09">
      <w:rPr>
        <w:rFonts w:ascii="Calibri" w:hAnsi="Calibri" w:cs="Calibri"/>
        <w:sz w:val="24"/>
        <w:szCs w:val="24"/>
      </w:rPr>
      <w:t xml:space="preserve">Career Pathways – </w:t>
    </w:r>
    <w:r w:rsidR="009E7C5E">
      <w:rPr>
        <w:rFonts w:ascii="Calibri" w:hAnsi="Calibri" w:cs="Calibri"/>
        <w:sz w:val="24"/>
        <w:szCs w:val="24"/>
      </w:rPr>
      <w:t>Good Practice Guide</w:t>
    </w:r>
  </w:p>
  <w:p w14:paraId="59EF9622" w14:textId="77777777" w:rsidR="00293795" w:rsidRDefault="002937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16F1A" w14:textId="77777777" w:rsidR="00655F53" w:rsidRDefault="00655F53" w:rsidP="00786D98">
      <w:pPr>
        <w:spacing w:before="0" w:after="0" w:line="240" w:lineRule="auto"/>
      </w:pPr>
      <w:r>
        <w:separator/>
      </w:r>
    </w:p>
  </w:footnote>
  <w:footnote w:type="continuationSeparator" w:id="0">
    <w:p w14:paraId="4AC026E4" w14:textId="77777777" w:rsidR="00655F53" w:rsidRDefault="00655F53" w:rsidP="00B649EB">
      <w:pPr>
        <w:spacing w:before="0" w:after="0" w:line="240" w:lineRule="auto"/>
      </w:pPr>
      <w:r>
        <w:continuationSeparator/>
      </w:r>
    </w:p>
    <w:p w14:paraId="48A0C2B5" w14:textId="77777777" w:rsidR="00655F53" w:rsidRDefault="00655F53"/>
  </w:footnote>
  <w:footnote w:id="1">
    <w:p w14:paraId="553A6190" w14:textId="3D146357" w:rsidR="007D3956" w:rsidRDefault="007D3956">
      <w:pPr>
        <w:pStyle w:val="FootnoteText"/>
        <w:rPr>
          <w:rFonts w:ascii="Calibri" w:hAnsi="Calibri" w:cs="Calibri"/>
        </w:rPr>
      </w:pPr>
      <w:r>
        <w:rPr>
          <w:rStyle w:val="FootnoteReference"/>
        </w:rPr>
        <w:footnoteRef/>
      </w:r>
      <w:r>
        <w:t xml:space="preserve"> </w:t>
      </w:r>
      <w:r w:rsidR="00FC4558" w:rsidRPr="00FC4558">
        <w:rPr>
          <w:rFonts w:ascii="Calibri" w:hAnsi="Calibri" w:cs="Calibri"/>
        </w:rPr>
        <w:t xml:space="preserve">Australian Government Department of Prime Minister and Cabinet. 2024. Care and support economy. Accessed at </w:t>
      </w:r>
      <w:hyperlink r:id="rId1" w:history="1">
        <w:r w:rsidR="00FC4558" w:rsidRPr="00FC4558">
          <w:rPr>
            <w:rStyle w:val="Hyperlink"/>
            <w:rFonts w:ascii="Calibri" w:hAnsi="Calibri" w:cs="Calibri"/>
          </w:rPr>
          <w:t>https://www.pmc.gov.au/resources/care-and-support-economy-state-play</w:t>
        </w:r>
      </w:hyperlink>
      <w:r w:rsidR="00FC4558" w:rsidRPr="00FC4558">
        <w:rPr>
          <w:rFonts w:ascii="Calibri" w:hAnsi="Calibri" w:cs="Calibri"/>
        </w:rPr>
        <w:t>.</w:t>
      </w:r>
    </w:p>
    <w:p w14:paraId="357B1C04" w14:textId="77777777" w:rsidR="00E04E8E" w:rsidRDefault="00E04E8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0" w:type="auto"/>
      <w:tblLayout w:type="fixed"/>
      <w:tblLook w:val="04A0" w:firstRow="1" w:lastRow="0" w:firstColumn="1" w:lastColumn="0" w:noHBand="0" w:noVBand="1"/>
    </w:tblPr>
    <w:tblGrid>
      <w:gridCol w:w="5233"/>
      <w:gridCol w:w="5233"/>
    </w:tblGrid>
    <w:tr w:rsidR="00FB537F" w14:paraId="2719A3EB" w14:textId="77777777" w:rsidTr="005C54AF">
      <w:trPr>
        <w:trHeight w:hRule="exact" w:val="356"/>
      </w:trPr>
      <w:tc>
        <w:tcPr>
          <w:tcW w:w="5233" w:type="dxa"/>
        </w:tcPr>
        <w:p w14:paraId="544B29F7" w14:textId="77777777" w:rsidR="00FB537F" w:rsidRDefault="00FB537F" w:rsidP="005C54AF">
          <w:pPr>
            <w:pStyle w:val="tagcontactsPage-Front"/>
          </w:pPr>
        </w:p>
      </w:tc>
      <w:tc>
        <w:tcPr>
          <w:tcW w:w="5233" w:type="dxa"/>
        </w:tcPr>
        <w:p w14:paraId="6295C7AA" w14:textId="77777777" w:rsidR="00FB537F" w:rsidRDefault="00FB537F" w:rsidP="005C54AF">
          <w:pPr>
            <w:pStyle w:val="Header-CompanyName"/>
          </w:pPr>
        </w:p>
      </w:tc>
    </w:tr>
  </w:tbl>
  <w:p w14:paraId="3DD1B8F7" w14:textId="7901913B" w:rsidR="00FB537F" w:rsidRPr="005C54AF" w:rsidRDefault="00FB537F" w:rsidP="005C54AF">
    <w:pPr>
      <w:pStyle w:val="Header"/>
    </w:pPr>
    <w:r>
      <w:rPr>
        <w:noProof/>
      </w:rPr>
      <mc:AlternateContent>
        <mc:Choice Requires="wps">
          <w:drawing>
            <wp:anchor distT="0" distB="0" distL="114300" distR="114300" simplePos="0" relativeHeight="251659262" behindDoc="1" locked="1" layoutInCell="1" allowOverlap="1" wp14:anchorId="4651DAD5" wp14:editId="668A22FA">
              <wp:simplePos x="0" y="0"/>
              <wp:positionH relativeFrom="page">
                <wp:posOffset>0</wp:posOffset>
              </wp:positionH>
              <wp:positionV relativeFrom="page">
                <wp:posOffset>0</wp:posOffset>
              </wp:positionV>
              <wp:extent cx="7560310" cy="10692130"/>
              <wp:effectExtent l="0" t="0" r="21590" b="13970"/>
              <wp:wrapNone/>
              <wp:docPr id="781304916" name="aac_BackColou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310" cy="10692130"/>
                      </a:xfrm>
                      <a:prstGeom prst="rect">
                        <a:avLst/>
                      </a:prstGeom>
                      <a:solidFill>
                        <a:srgbClr val="FFFFFF"/>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dec="http://schemas.microsoft.com/office/drawing/2017/decorative" xmlns:a="http://schemas.openxmlformats.org/drawingml/2006/main">
          <w:pict>
            <v:rect id="aac_BackColour" style="position:absolute;margin-left:0;margin-top:0;width:595.3pt;height:841.9pt;z-index:-251657218;visibility:visible;mso-wrap-style:square;mso-wrap-distance-left:9pt;mso-wrap-distance-top:0;mso-wrap-distance-right:9pt;mso-wrap-distance-bottom:0;mso-position-horizontal:absolute;mso-position-horizontal-relative:page;mso-position-vertical:absolute;mso-position-vertical-relative:page;v-text-anchor:middle" alt="&quot;&quot;" o:spid="_x0000_s1026" strokecolor="#16101f [484]" strokeweight="1pt" w14:anchorId="440D88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">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49E0" w14:textId="77777777" w:rsidR="009A4521" w:rsidRPr="005C54AF" w:rsidRDefault="009A4521" w:rsidP="005C54AF">
    <w:pPr>
      <w:pStyle w:val="Header"/>
    </w:pPr>
  </w:p>
  <w:p w14:paraId="54ABE08E" w14:textId="77777777" w:rsidR="009A4521" w:rsidRDefault="009A452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94FEA" w14:textId="77777777" w:rsidR="009A4521" w:rsidRDefault="009A4521" w:rsidP="005C54AF">
    <w:pPr>
      <w:pStyle w:val="Header"/>
    </w:pPr>
  </w:p>
  <w:p w14:paraId="313B6A4C" w14:textId="77777777" w:rsidR="009A4521" w:rsidRPr="005C54AF" w:rsidRDefault="009A4521" w:rsidP="005C54AF">
    <w:pPr>
      <w:pStyle w:val="Header"/>
    </w:pPr>
  </w:p>
  <w:p w14:paraId="4F69B87B" w14:textId="77777777" w:rsidR="009A4521" w:rsidRDefault="009A452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95C1D" w14:textId="77777777" w:rsidR="009A4521" w:rsidRPr="005C54AF" w:rsidRDefault="009A4521" w:rsidP="005C54AF">
    <w:pPr>
      <w:pStyle w:val="Header"/>
    </w:pPr>
  </w:p>
  <w:p w14:paraId="5F7F8CFD" w14:textId="77777777" w:rsidR="009A4521" w:rsidRDefault="009A452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AB950" w14:textId="77777777" w:rsidR="00FB537F" w:rsidRPr="005C54AF" w:rsidRDefault="00FB537F" w:rsidP="005C54A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0" w:type="auto"/>
      <w:tblLayout w:type="fixed"/>
      <w:tblLook w:val="04A0" w:firstRow="1" w:lastRow="0" w:firstColumn="1" w:lastColumn="0" w:noHBand="0" w:noVBand="1"/>
    </w:tblPr>
    <w:tblGrid>
      <w:gridCol w:w="5233"/>
      <w:gridCol w:w="5233"/>
    </w:tblGrid>
    <w:tr w:rsidR="00FB537F" w14:paraId="17C92FDC" w14:textId="77777777" w:rsidTr="005C54AF">
      <w:trPr>
        <w:trHeight w:hRule="exact" w:val="356"/>
      </w:trPr>
      <w:tc>
        <w:tcPr>
          <w:tcW w:w="5233" w:type="dxa"/>
        </w:tcPr>
        <w:p w14:paraId="03DDB3DF" w14:textId="77777777" w:rsidR="00FB537F" w:rsidRDefault="00FB537F" w:rsidP="005C54AF">
          <w:pPr>
            <w:pStyle w:val="tagcontactsPage-Back"/>
          </w:pPr>
        </w:p>
      </w:tc>
      <w:tc>
        <w:tcPr>
          <w:tcW w:w="5233" w:type="dxa"/>
        </w:tcPr>
        <w:p w14:paraId="6B4A2DBA" w14:textId="77777777" w:rsidR="00FB537F" w:rsidRDefault="00FB537F" w:rsidP="005C54AF">
          <w:pPr>
            <w:pStyle w:val="Header-CompanyName"/>
          </w:pPr>
        </w:p>
      </w:tc>
    </w:tr>
  </w:tbl>
  <w:p w14:paraId="1C3DC4FE" w14:textId="66AEE491" w:rsidR="00FB537F" w:rsidRPr="005C54AF" w:rsidRDefault="00FB537F" w:rsidP="005C54A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7569" w14:textId="4C4E4E3D" w:rsidR="00FB537F" w:rsidRPr="005C54AF" w:rsidRDefault="00FB537F" w:rsidP="005C54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66E3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DD8699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AA04D6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0E27DF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2843474"/>
    <w:multiLevelType w:val="multilevel"/>
    <w:tmpl w:val="8B9A0E4E"/>
    <w:numStyleLink w:val="aacTableListBullets"/>
  </w:abstractNum>
  <w:abstractNum w:abstractNumId="5" w15:restartNumberingAfterBreak="0">
    <w:nsid w:val="02EA6B42"/>
    <w:multiLevelType w:val="hybridMultilevel"/>
    <w:tmpl w:val="0AB2BCE0"/>
    <w:lvl w:ilvl="0" w:tplc="C9BA655E">
      <w:start w:val="1"/>
      <w:numFmt w:val="bullet"/>
      <w:lvlText w:val=""/>
      <w:lvlJc w:val="left"/>
      <w:pPr>
        <w:ind w:left="720" w:hanging="360"/>
      </w:pPr>
      <w:rPr>
        <w:rFonts w:ascii="Symbol" w:hAnsi="Symbol" w:hint="default"/>
        <w:b w:val="0"/>
        <w:i w:val="0"/>
        <w:color w:val="7F3D97"/>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CE1618"/>
    <w:multiLevelType w:val="multilevel"/>
    <w:tmpl w:val="8B388342"/>
    <w:numStyleLink w:val="aaclstStyleTableQuoteSmall"/>
  </w:abstractNum>
  <w:abstractNum w:abstractNumId="7" w15:restartNumberingAfterBreak="0">
    <w:nsid w:val="05177354"/>
    <w:multiLevelType w:val="multilevel"/>
    <w:tmpl w:val="E6AE650E"/>
    <w:styleLink w:val="aaclstStyleAppendices"/>
    <w:lvl w:ilvl="0">
      <w:start w:val="1"/>
      <w:numFmt w:val="upperLetter"/>
      <w:pStyle w:val="Heading6"/>
      <w:lvlText w:val="%1"/>
      <w:lvlJc w:val="right"/>
      <w:pPr>
        <w:ind w:left="0" w:hanging="360"/>
      </w:pPr>
      <w:rPr>
        <w:rFonts w:ascii="Yu Gothic Medium" w:eastAsia="Yu Gothic Medium" w:hAnsi="Yu Gothic Medium" w:hint="eastAsia"/>
        <w:color w:val="140034"/>
      </w:rPr>
    </w:lvl>
    <w:lvl w:ilvl="1">
      <w:start w:val="1"/>
      <w:numFmt w:val="decimal"/>
      <w:pStyle w:val="Heading7"/>
      <w:lvlText w:val="%1.%2"/>
      <w:lvlJc w:val="right"/>
      <w:pPr>
        <w:ind w:left="0" w:hanging="360"/>
      </w:pPr>
      <w:rPr>
        <w:rFonts w:ascii="Arial Narrow" w:hAnsi="Arial Narrow" w:hint="default"/>
      </w:rPr>
    </w:lvl>
    <w:lvl w:ilvl="2">
      <w:start w:val="1"/>
      <w:numFmt w:val="none"/>
      <w:pStyle w:val="Heading8"/>
      <w:suff w:val="nothing"/>
      <w:lvlText w:val=""/>
      <w:lvlJc w:val="left"/>
      <w:pPr>
        <w:ind w:left="0" w:firstLine="0"/>
      </w:pPr>
      <w:rPr>
        <w:rFonts w:ascii="Yu Gothic Medium" w:eastAsia="Yu Gothic Medium" w:hAnsi="Yu Gothic Medium" w:hint="eastAsia"/>
        <w:sz w:val="28"/>
      </w:rPr>
    </w:lvl>
    <w:lvl w:ilvl="3">
      <w:start w:val="1"/>
      <w:numFmt w:val="none"/>
      <w:pStyle w:val="Heading9"/>
      <w:lvlText w:val=""/>
      <w:lvlJc w:val="left"/>
      <w:pPr>
        <w:ind w:left="0" w:firstLine="0"/>
      </w:pPr>
      <w:rPr>
        <w:rFonts w:hint="default"/>
      </w:rPr>
    </w:lvl>
    <w:lvl w:ilvl="4">
      <w:start w:val="1"/>
      <w:numFmt w:val="none"/>
      <w:pStyle w:val="Heading5AP"/>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06D55B15"/>
    <w:multiLevelType w:val="multilevel"/>
    <w:tmpl w:val="5A967E5C"/>
    <w:styleLink w:val="aaHeadingnonumberList"/>
    <w:lvl w:ilvl="0">
      <w:start w:val="1"/>
      <w:numFmt w:val="none"/>
      <w:pStyle w:val="Heading1nonumber"/>
      <w:suff w:val="nothing"/>
      <w:lvlText w:val="%1"/>
      <w:lvlJc w:val="left"/>
      <w:pPr>
        <w:ind w:left="0" w:firstLine="0"/>
      </w:pPr>
      <w:rPr>
        <w:rFonts w:ascii="Yu Gothic Medium" w:hAnsi="Yu Gothic Medium" w:hint="default"/>
      </w:rPr>
    </w:lvl>
    <w:lvl w:ilvl="1">
      <w:start w:val="1"/>
      <w:numFmt w:val="none"/>
      <w:pStyle w:val="Heading2nonumber"/>
      <w:suff w:val="nothing"/>
      <w:lvlText w:val="%2"/>
      <w:lvlJc w:val="left"/>
      <w:pPr>
        <w:ind w:left="0" w:firstLine="0"/>
      </w:pPr>
      <w:rPr>
        <w:rFonts w:hint="default"/>
      </w:rPr>
    </w:lvl>
    <w:lvl w:ilvl="2">
      <w:start w:val="1"/>
      <w:numFmt w:val="none"/>
      <w:pStyle w:val="Heading3nonumber"/>
      <w:suff w:val="nothing"/>
      <w:lvlText w:val="%3"/>
      <w:lvlJc w:val="left"/>
      <w:pPr>
        <w:ind w:left="0" w:firstLine="0"/>
      </w:pPr>
      <w:rPr>
        <w:rFonts w:hint="default"/>
      </w:rPr>
    </w:lvl>
    <w:lvl w:ilvl="3">
      <w:start w:val="1"/>
      <w:numFmt w:val="none"/>
      <w:pStyle w:val="Heading4nonumber"/>
      <w:suff w:val="nothing"/>
      <w:lvlText w:val=""/>
      <w:lvlJc w:val="left"/>
      <w:pPr>
        <w:ind w:left="0" w:firstLine="0"/>
      </w:pPr>
      <w:rPr>
        <w:rFonts w:hint="default"/>
      </w:rPr>
    </w:lvl>
    <w:lvl w:ilvl="4">
      <w:start w:val="1"/>
      <w:numFmt w:val="none"/>
      <w:pStyle w:val="Heading5nonumber"/>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0D187B0E"/>
    <w:multiLevelType w:val="multilevel"/>
    <w:tmpl w:val="56D2329A"/>
    <w:numStyleLink w:val="aacTableListBulletssmall"/>
  </w:abstractNum>
  <w:abstractNum w:abstractNumId="10" w15:restartNumberingAfterBreak="0">
    <w:nsid w:val="0E65776F"/>
    <w:multiLevelType w:val="hybridMultilevel"/>
    <w:tmpl w:val="45648000"/>
    <w:lvl w:ilvl="0" w:tplc="C9BA655E">
      <w:start w:val="1"/>
      <w:numFmt w:val="bullet"/>
      <w:lvlText w:val=""/>
      <w:lvlJc w:val="left"/>
      <w:pPr>
        <w:ind w:left="720" w:hanging="360"/>
      </w:pPr>
      <w:rPr>
        <w:rFonts w:ascii="Symbol" w:hAnsi="Symbol" w:hint="default"/>
        <w:b w:val="0"/>
        <w:i w:val="0"/>
        <w:color w:val="7F3D97"/>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E942B7"/>
    <w:multiLevelType w:val="multilevel"/>
    <w:tmpl w:val="E6AE650E"/>
    <w:numStyleLink w:val="aaclstStyleAppendices"/>
  </w:abstractNum>
  <w:abstractNum w:abstractNumId="12" w15:restartNumberingAfterBreak="0">
    <w:nsid w:val="132B14F7"/>
    <w:multiLevelType w:val="multilevel"/>
    <w:tmpl w:val="56D2329A"/>
    <w:styleLink w:val="aacTableListBulletssmall"/>
    <w:lvl w:ilvl="0">
      <w:start w:val="1"/>
      <w:numFmt w:val="bullet"/>
      <w:pStyle w:val="Tablelistbulletsmall"/>
      <w:lvlText w:val="–"/>
      <w:lvlJc w:val="left"/>
      <w:pPr>
        <w:ind w:left="320" w:hanging="280"/>
      </w:pPr>
      <w:rPr>
        <w:rFonts w:ascii="Yu Gothic Medium" w:hAnsi="Yu Gothic Medium" w:hint="default"/>
        <w:sz w:val="15"/>
      </w:rPr>
    </w:lvl>
    <w:lvl w:ilvl="1">
      <w:start w:val="1"/>
      <w:numFmt w:val="bullet"/>
      <w:pStyle w:val="Tablelistbullet2small"/>
      <w:lvlText w:val="–"/>
      <w:lvlJc w:val="left"/>
      <w:pPr>
        <w:tabs>
          <w:tab w:val="num" w:pos="320"/>
        </w:tabs>
        <w:ind w:left="560" w:hanging="240"/>
      </w:pPr>
      <w:rPr>
        <w:rFonts w:ascii="Yu Gothic Medium" w:hAnsi="Yu Gothic Medium" w:hint="default"/>
        <w:sz w:val="15"/>
      </w:rPr>
    </w:lvl>
    <w:lvl w:ilvl="2">
      <w:start w:val="1"/>
      <w:numFmt w:val="bullet"/>
      <w:pStyle w:val="Tablelistbullet3small"/>
      <w:lvlText w:val="–"/>
      <w:lvlJc w:val="left"/>
      <w:pPr>
        <w:ind w:left="800" w:hanging="240"/>
      </w:pPr>
      <w:rPr>
        <w:rFonts w:ascii="Yu Gothic Medium" w:hAnsi="Yu Gothic Medium" w:hint="default"/>
        <w:sz w:val="15"/>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68E676F"/>
    <w:multiLevelType w:val="multilevel"/>
    <w:tmpl w:val="AC8C0954"/>
    <w:styleLink w:val="aacTableListNumberssmall"/>
    <w:lvl w:ilvl="0">
      <w:start w:val="1"/>
      <w:numFmt w:val="decimal"/>
      <w:pStyle w:val="Tablelistnumbersmall"/>
      <w:lvlText w:val="%1."/>
      <w:lvlJc w:val="left"/>
      <w:pPr>
        <w:ind w:left="320" w:hanging="280"/>
      </w:pPr>
      <w:rPr>
        <w:rFonts w:ascii="Yu Gothic Medium" w:hAnsi="Yu Gothic Medium" w:hint="default"/>
        <w:sz w:val="15"/>
      </w:rPr>
    </w:lvl>
    <w:lvl w:ilvl="1">
      <w:start w:val="1"/>
      <w:numFmt w:val="lowerLetter"/>
      <w:pStyle w:val="Tablelistnumber2small"/>
      <w:lvlText w:val="%2)"/>
      <w:lvlJc w:val="left"/>
      <w:pPr>
        <w:ind w:left="560" w:hanging="240"/>
      </w:pPr>
      <w:rPr>
        <w:rFonts w:ascii="Yu Gothic Medium" w:hAnsi="Yu Gothic Medium" w:hint="default"/>
        <w:sz w:val="15"/>
      </w:rPr>
    </w:lvl>
    <w:lvl w:ilvl="2">
      <w:start w:val="1"/>
      <w:numFmt w:val="lowerRoman"/>
      <w:pStyle w:val="Tablelistnumber3small"/>
      <w:lvlText w:val="%3)"/>
      <w:lvlJc w:val="left"/>
      <w:pPr>
        <w:ind w:left="800" w:hanging="240"/>
      </w:pPr>
      <w:rPr>
        <w:rFonts w:ascii="Yu Gothic Medium" w:hAnsi="Yu Gothic Medium" w:hint="default"/>
        <w:sz w:val="15"/>
      </w:rPr>
    </w:lvl>
    <w:lvl w:ilvl="3">
      <w:start w:val="1"/>
      <w:numFmt w:val="none"/>
      <w:lvlText w:val=""/>
      <w:lvlJc w:val="left"/>
      <w:pPr>
        <w:ind w:left="1021" w:hanging="340"/>
      </w:pPr>
      <w:rPr>
        <w:rFonts w:hint="default"/>
      </w:rPr>
    </w:lvl>
    <w:lvl w:ilvl="4">
      <w:start w:val="1"/>
      <w:numFmt w:val="none"/>
      <w:lvlText w:val=""/>
      <w:lvlJc w:val="left"/>
      <w:pPr>
        <w:ind w:left="1248" w:hanging="340"/>
      </w:pPr>
      <w:rPr>
        <w:rFonts w:hint="default"/>
      </w:rPr>
    </w:lvl>
    <w:lvl w:ilvl="5">
      <w:start w:val="1"/>
      <w:numFmt w:val="none"/>
      <w:lvlText w:val=""/>
      <w:lvlJc w:val="left"/>
      <w:pPr>
        <w:ind w:left="1475" w:hanging="340"/>
      </w:pPr>
      <w:rPr>
        <w:rFonts w:hint="default"/>
      </w:rPr>
    </w:lvl>
    <w:lvl w:ilvl="6">
      <w:start w:val="1"/>
      <w:numFmt w:val="none"/>
      <w:lvlText w:val=""/>
      <w:lvlJc w:val="left"/>
      <w:pPr>
        <w:ind w:left="1702" w:hanging="340"/>
      </w:pPr>
      <w:rPr>
        <w:rFonts w:hint="default"/>
      </w:rPr>
    </w:lvl>
    <w:lvl w:ilvl="7">
      <w:start w:val="1"/>
      <w:numFmt w:val="none"/>
      <w:lvlText w:val=""/>
      <w:lvlJc w:val="left"/>
      <w:pPr>
        <w:ind w:left="1929" w:hanging="340"/>
      </w:pPr>
      <w:rPr>
        <w:rFonts w:hint="default"/>
      </w:rPr>
    </w:lvl>
    <w:lvl w:ilvl="8">
      <w:start w:val="1"/>
      <w:numFmt w:val="none"/>
      <w:lvlText w:val=""/>
      <w:lvlJc w:val="left"/>
      <w:pPr>
        <w:ind w:left="2156" w:hanging="340"/>
      </w:pPr>
      <w:rPr>
        <w:rFonts w:hint="default"/>
      </w:rPr>
    </w:lvl>
  </w:abstractNum>
  <w:abstractNum w:abstractNumId="14" w15:restartNumberingAfterBreak="0">
    <w:nsid w:val="1877449B"/>
    <w:multiLevelType w:val="multilevel"/>
    <w:tmpl w:val="145205FC"/>
    <w:styleLink w:val="aaReportListDash"/>
    <w:lvl w:ilvl="0">
      <w:start w:val="1"/>
      <w:numFmt w:val="bullet"/>
      <w:lvlText w:val="—"/>
      <w:lvlJc w:val="left"/>
      <w:pPr>
        <w:ind w:left="0" w:hanging="448"/>
      </w:pPr>
      <w:rPr>
        <w:rFonts w:ascii="Arial Narrow" w:hAnsi="Arial Narrow" w:hint="default"/>
      </w:rPr>
    </w:lvl>
    <w:lvl w:ilvl="1">
      <w:start w:val="1"/>
      <w:numFmt w:val="bullet"/>
      <w:lvlText w:val="–"/>
      <w:lvlJc w:val="left"/>
      <w:pPr>
        <w:ind w:left="238" w:hanging="238"/>
      </w:pPr>
      <w:rPr>
        <w:rFonts w:ascii="Arial Narrow" w:hAnsi="Arial Narrow" w:hint="default"/>
      </w:rPr>
    </w:lvl>
    <w:lvl w:ilvl="2">
      <w:start w:val="1"/>
      <w:numFmt w:val="bullet"/>
      <w:lvlText w:val="−"/>
      <w:lvlJc w:val="left"/>
      <w:pPr>
        <w:ind w:left="482" w:hanging="244"/>
      </w:pPr>
      <w:rPr>
        <w:rFonts w:ascii="Arial Narrow" w:hAnsi="Arial Narrow" w:hint="default"/>
        <w:position w:val="-2"/>
      </w:rPr>
    </w:lvl>
    <w:lvl w:ilvl="3">
      <w:start w:val="1"/>
      <w:numFmt w:val="bullet"/>
      <w:lvlText w:val="−"/>
      <w:lvlJc w:val="left"/>
      <w:pPr>
        <w:ind w:left="0" w:hanging="448"/>
      </w:pPr>
      <w:rPr>
        <w:rFonts w:ascii="Calibri" w:hAnsi="Calibri" w:hint="default"/>
      </w:rPr>
    </w:lvl>
    <w:lvl w:ilvl="4">
      <w:start w:val="1"/>
      <w:numFmt w:val="bullet"/>
      <w:lvlText w:val="−"/>
      <w:lvlJc w:val="left"/>
      <w:pPr>
        <w:ind w:left="0" w:hanging="448"/>
      </w:pPr>
      <w:rPr>
        <w:rFonts w:ascii="Calibri" w:hAnsi="Calibri" w:hint="default"/>
      </w:rPr>
    </w:lvl>
    <w:lvl w:ilvl="5">
      <w:start w:val="1"/>
      <w:numFmt w:val="bullet"/>
      <w:lvlText w:val="−"/>
      <w:lvlJc w:val="left"/>
      <w:pPr>
        <w:ind w:left="0" w:hanging="448"/>
      </w:pPr>
      <w:rPr>
        <w:rFonts w:ascii="Calibri" w:hAnsi="Calibri" w:hint="default"/>
      </w:rPr>
    </w:lvl>
    <w:lvl w:ilvl="6">
      <w:start w:val="1"/>
      <w:numFmt w:val="bullet"/>
      <w:lvlText w:val="−"/>
      <w:lvlJc w:val="left"/>
      <w:pPr>
        <w:ind w:left="0" w:hanging="448"/>
      </w:pPr>
      <w:rPr>
        <w:rFonts w:ascii="Calibri" w:hAnsi="Calibri" w:hint="default"/>
      </w:rPr>
    </w:lvl>
    <w:lvl w:ilvl="7">
      <w:start w:val="1"/>
      <w:numFmt w:val="bullet"/>
      <w:lvlText w:val="−"/>
      <w:lvlJc w:val="left"/>
      <w:pPr>
        <w:ind w:left="0" w:hanging="448"/>
      </w:pPr>
      <w:rPr>
        <w:rFonts w:ascii="Calibri" w:hAnsi="Calibri" w:hint="default"/>
      </w:rPr>
    </w:lvl>
    <w:lvl w:ilvl="8">
      <w:start w:val="1"/>
      <w:numFmt w:val="bullet"/>
      <w:lvlText w:val="−"/>
      <w:lvlJc w:val="left"/>
      <w:pPr>
        <w:ind w:left="0" w:hanging="448"/>
      </w:pPr>
      <w:rPr>
        <w:rFonts w:ascii="Calibri" w:hAnsi="Calibri" w:hint="default"/>
      </w:rPr>
    </w:lvl>
  </w:abstractNum>
  <w:abstractNum w:abstractNumId="15" w15:restartNumberingAfterBreak="0">
    <w:nsid w:val="19302C62"/>
    <w:multiLevelType w:val="hybridMultilevel"/>
    <w:tmpl w:val="D9A8C1BA"/>
    <w:lvl w:ilvl="0" w:tplc="741CEEF2">
      <w:start w:val="1"/>
      <w:numFmt w:val="bullet"/>
      <w:lvlText w:val=""/>
      <w:lvlJc w:val="left"/>
      <w:pPr>
        <w:ind w:left="720" w:hanging="360"/>
      </w:pPr>
      <w:rPr>
        <w:rFonts w:ascii="Symbol" w:hAnsi="Symbol" w:hint="default"/>
      </w:rPr>
    </w:lvl>
    <w:lvl w:ilvl="1" w:tplc="3962D580">
      <w:start w:val="1"/>
      <w:numFmt w:val="bullet"/>
      <w:lvlText w:val="o"/>
      <w:lvlJc w:val="left"/>
      <w:pPr>
        <w:ind w:left="1440" w:hanging="360"/>
      </w:pPr>
      <w:rPr>
        <w:rFonts w:ascii="Courier New" w:hAnsi="Courier New" w:hint="default"/>
      </w:rPr>
    </w:lvl>
    <w:lvl w:ilvl="2" w:tplc="496E61C2">
      <w:start w:val="1"/>
      <w:numFmt w:val="bullet"/>
      <w:lvlText w:val=""/>
      <w:lvlJc w:val="left"/>
      <w:pPr>
        <w:ind w:left="2160" w:hanging="360"/>
      </w:pPr>
      <w:rPr>
        <w:rFonts w:ascii="Wingdings" w:hAnsi="Wingdings" w:hint="default"/>
      </w:rPr>
    </w:lvl>
    <w:lvl w:ilvl="3" w:tplc="B240EDC0">
      <w:start w:val="1"/>
      <w:numFmt w:val="bullet"/>
      <w:lvlText w:val=""/>
      <w:lvlJc w:val="left"/>
      <w:pPr>
        <w:ind w:left="2880" w:hanging="360"/>
      </w:pPr>
      <w:rPr>
        <w:rFonts w:ascii="Symbol" w:hAnsi="Symbol" w:hint="default"/>
      </w:rPr>
    </w:lvl>
    <w:lvl w:ilvl="4" w:tplc="A17A5A94">
      <w:start w:val="1"/>
      <w:numFmt w:val="bullet"/>
      <w:lvlText w:val="o"/>
      <w:lvlJc w:val="left"/>
      <w:pPr>
        <w:ind w:left="3600" w:hanging="360"/>
      </w:pPr>
      <w:rPr>
        <w:rFonts w:ascii="Courier New" w:hAnsi="Courier New" w:hint="default"/>
      </w:rPr>
    </w:lvl>
    <w:lvl w:ilvl="5" w:tplc="36FA5DB8">
      <w:start w:val="1"/>
      <w:numFmt w:val="bullet"/>
      <w:lvlText w:val=""/>
      <w:lvlJc w:val="left"/>
      <w:pPr>
        <w:ind w:left="4320" w:hanging="360"/>
      </w:pPr>
      <w:rPr>
        <w:rFonts w:ascii="Wingdings" w:hAnsi="Wingdings" w:hint="default"/>
      </w:rPr>
    </w:lvl>
    <w:lvl w:ilvl="6" w:tplc="E23E259C">
      <w:start w:val="1"/>
      <w:numFmt w:val="bullet"/>
      <w:lvlText w:val=""/>
      <w:lvlJc w:val="left"/>
      <w:pPr>
        <w:ind w:left="5040" w:hanging="360"/>
      </w:pPr>
      <w:rPr>
        <w:rFonts w:ascii="Symbol" w:hAnsi="Symbol" w:hint="default"/>
      </w:rPr>
    </w:lvl>
    <w:lvl w:ilvl="7" w:tplc="5ABC5104">
      <w:start w:val="1"/>
      <w:numFmt w:val="bullet"/>
      <w:lvlText w:val="o"/>
      <w:lvlJc w:val="left"/>
      <w:pPr>
        <w:ind w:left="5760" w:hanging="360"/>
      </w:pPr>
      <w:rPr>
        <w:rFonts w:ascii="Courier New" w:hAnsi="Courier New" w:hint="default"/>
      </w:rPr>
    </w:lvl>
    <w:lvl w:ilvl="8" w:tplc="81FABDF8">
      <w:start w:val="1"/>
      <w:numFmt w:val="bullet"/>
      <w:lvlText w:val=""/>
      <w:lvlJc w:val="left"/>
      <w:pPr>
        <w:ind w:left="6480" w:hanging="360"/>
      </w:pPr>
      <w:rPr>
        <w:rFonts w:ascii="Wingdings" w:hAnsi="Wingdings" w:hint="default"/>
      </w:rPr>
    </w:lvl>
  </w:abstractNum>
  <w:abstractNum w:abstractNumId="16" w15:restartNumberingAfterBreak="0">
    <w:nsid w:val="1A415C8F"/>
    <w:multiLevelType w:val="multilevel"/>
    <w:tmpl w:val="FAA66FEC"/>
    <w:numStyleLink w:val="aaclstStyleHeadingsES"/>
  </w:abstractNum>
  <w:abstractNum w:abstractNumId="17" w15:restartNumberingAfterBreak="0">
    <w:nsid w:val="1C662060"/>
    <w:multiLevelType w:val="multilevel"/>
    <w:tmpl w:val="2EEC7E9A"/>
    <w:styleLink w:val="aaclstStyleHeadingApp"/>
    <w:lvl w:ilvl="0">
      <w:start w:val="1"/>
      <w:numFmt w:val="upperLetter"/>
      <w:lvlText w:val="%1"/>
      <w:lvlJc w:val="right"/>
      <w:pPr>
        <w:ind w:left="0" w:hanging="240"/>
      </w:pPr>
      <w:rPr>
        <w:rFonts w:hint="default"/>
      </w:rPr>
    </w:lvl>
    <w:lvl w:ilvl="1">
      <w:start w:val="1"/>
      <w:numFmt w:val="decimal"/>
      <w:lvlText w:val="%1.%2"/>
      <w:lvlJc w:val="right"/>
      <w:pPr>
        <w:ind w:left="0" w:hanging="24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2073059B"/>
    <w:multiLevelType w:val="multilevel"/>
    <w:tmpl w:val="03FC43F2"/>
    <w:styleLink w:val="aaclstStyleBoxListNumbers"/>
    <w:lvl w:ilvl="0">
      <w:start w:val="1"/>
      <w:numFmt w:val="decimal"/>
      <w:pStyle w:val="BoxListNumber"/>
      <w:lvlText w:val="%1."/>
      <w:lvlJc w:val="left"/>
      <w:pPr>
        <w:ind w:left="312" w:hanging="312"/>
      </w:pPr>
      <w:rPr>
        <w:rFonts w:ascii="Yu Gothic Medium" w:hAnsi="Yu Gothic Medium" w:hint="default"/>
        <w:sz w:val="21"/>
      </w:rPr>
    </w:lvl>
    <w:lvl w:ilvl="1">
      <w:start w:val="1"/>
      <w:numFmt w:val="lowerLetter"/>
      <w:pStyle w:val="BoxListNumber2"/>
      <w:lvlText w:val="%2)"/>
      <w:lvlJc w:val="left"/>
      <w:pPr>
        <w:ind w:left="592" w:hanging="280"/>
      </w:pPr>
      <w:rPr>
        <w:rFonts w:ascii="Yu Gothic Medium" w:hAnsi="Yu Gothic Medium" w:hint="default"/>
        <w:sz w:val="21"/>
      </w:rPr>
    </w:lvl>
    <w:lvl w:ilvl="2">
      <w:start w:val="1"/>
      <w:numFmt w:val="lowerRoman"/>
      <w:pStyle w:val="BoxListNumber3"/>
      <w:lvlText w:val="%3)"/>
      <w:lvlJc w:val="left"/>
      <w:pPr>
        <w:ind w:left="832" w:hanging="240"/>
      </w:pPr>
      <w:rPr>
        <w:rFonts w:ascii="Yu Gothic Medium" w:hAnsi="Yu Gothic Medium" w:hint="default"/>
        <w:sz w:val="21"/>
      </w:rPr>
    </w:lvl>
    <w:lvl w:ilvl="3">
      <w:start w:val="1"/>
      <w:numFmt w:val="decimal"/>
      <w:lvlText w:val="%4."/>
      <w:lvlJc w:val="left"/>
      <w:pPr>
        <w:ind w:left="2880" w:hanging="360"/>
      </w:pPr>
      <w:rPr>
        <w:rFonts w:ascii="Yu Gothic Medium" w:hAnsi="Yu Gothic Medium" w:hint="default"/>
        <w:sz w:val="21"/>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1155C1E"/>
    <w:multiLevelType w:val="hybridMultilevel"/>
    <w:tmpl w:val="8AE26074"/>
    <w:lvl w:ilvl="0" w:tplc="C9BA655E">
      <w:start w:val="1"/>
      <w:numFmt w:val="bullet"/>
      <w:lvlText w:val=""/>
      <w:lvlJc w:val="left"/>
      <w:pPr>
        <w:ind w:left="720" w:hanging="360"/>
      </w:pPr>
      <w:rPr>
        <w:rFonts w:ascii="Symbol" w:hAnsi="Symbol" w:hint="default"/>
        <w:b w:val="0"/>
        <w:i w:val="0"/>
        <w:color w:val="7F3D97"/>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5B4B03"/>
    <w:multiLevelType w:val="multilevel"/>
    <w:tmpl w:val="0E2ADDE0"/>
    <w:numStyleLink w:val="aaclstStyleHeadingNumbered"/>
  </w:abstractNum>
  <w:abstractNum w:abstractNumId="21" w15:restartNumberingAfterBreak="0">
    <w:nsid w:val="243709AB"/>
    <w:multiLevelType w:val="multilevel"/>
    <w:tmpl w:val="AC8C0954"/>
    <w:numStyleLink w:val="aacTableListNumberssmall"/>
  </w:abstractNum>
  <w:abstractNum w:abstractNumId="22" w15:restartNumberingAfterBreak="0">
    <w:nsid w:val="25124F0F"/>
    <w:multiLevelType w:val="multilevel"/>
    <w:tmpl w:val="8ABE3CAA"/>
    <w:styleLink w:val="aacTableListNumbers"/>
    <w:lvl w:ilvl="0">
      <w:start w:val="1"/>
      <w:numFmt w:val="decimal"/>
      <w:pStyle w:val="Tablelistnumber"/>
      <w:lvlText w:val="%1."/>
      <w:lvlJc w:val="left"/>
      <w:pPr>
        <w:ind w:left="360" w:hanging="320"/>
      </w:pPr>
      <w:rPr>
        <w:rFonts w:ascii="Yu Gothic Medium" w:hAnsi="Yu Gothic Medium" w:hint="default"/>
        <w:sz w:val="19"/>
      </w:rPr>
    </w:lvl>
    <w:lvl w:ilvl="1">
      <w:start w:val="1"/>
      <w:numFmt w:val="lowerLetter"/>
      <w:pStyle w:val="Tablelistnumber2"/>
      <w:lvlText w:val="%2)"/>
      <w:lvlJc w:val="left"/>
      <w:pPr>
        <w:ind w:left="760" w:hanging="400"/>
      </w:pPr>
      <w:rPr>
        <w:rFonts w:ascii="Yu Gothic Medium" w:hAnsi="Yu Gothic Medium" w:hint="default"/>
        <w:sz w:val="19"/>
      </w:rPr>
    </w:lvl>
    <w:lvl w:ilvl="2">
      <w:start w:val="1"/>
      <w:numFmt w:val="lowerRoman"/>
      <w:pStyle w:val="Tablelistnumber3"/>
      <w:lvlText w:val="%3)"/>
      <w:lvlJc w:val="left"/>
      <w:pPr>
        <w:ind w:left="980" w:hanging="220"/>
      </w:pPr>
      <w:rPr>
        <w:rFonts w:ascii="Yu Gothic Medium" w:hAnsi="Yu Gothic Medium" w:hint="default"/>
        <w:sz w:val="19"/>
      </w:rPr>
    </w:lvl>
    <w:lvl w:ilvl="3">
      <w:start w:val="1"/>
      <w:numFmt w:val="decimal"/>
      <w:lvlText w:val="(%4)"/>
      <w:lvlJc w:val="left"/>
      <w:pPr>
        <w:ind w:left="960" w:hanging="240"/>
      </w:pPr>
      <w:rPr>
        <w:rFonts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23" w15:restartNumberingAfterBreak="0">
    <w:nsid w:val="264D0593"/>
    <w:multiLevelType w:val="multilevel"/>
    <w:tmpl w:val="CE66BE7A"/>
    <w:styleLink w:val="lstStyleListNumber"/>
    <w:lvl w:ilvl="0">
      <w:start w:val="1"/>
      <w:numFmt w:val="decimal"/>
      <w:lvlText w:val="%1."/>
      <w:lvlJc w:val="left"/>
      <w:pPr>
        <w:ind w:left="420" w:hanging="420"/>
      </w:pPr>
      <w:rPr>
        <w:rFonts w:ascii="Arial Narrow" w:hAnsi="Arial Narrow" w:cs="Arial" w:hint="default"/>
      </w:rPr>
    </w:lvl>
    <w:lvl w:ilvl="1">
      <w:start w:val="1"/>
      <w:numFmt w:val="lowerLetter"/>
      <w:lvlText w:val="%2)"/>
      <w:lvlJc w:val="left"/>
      <w:pPr>
        <w:ind w:left="780" w:hanging="360"/>
      </w:pPr>
      <w:rPr>
        <w:rFonts w:ascii="Arial Narrow" w:hAnsi="Arial Narrow" w:hint="default"/>
      </w:rPr>
    </w:lvl>
    <w:lvl w:ilvl="2">
      <w:start w:val="1"/>
      <w:numFmt w:val="lowerRoman"/>
      <w:lvlText w:val="%3)"/>
      <w:lvlJc w:val="left"/>
      <w:pPr>
        <w:ind w:left="1140" w:hanging="360"/>
      </w:pPr>
      <w:rPr>
        <w:rFonts w:ascii="Arial Narrow" w:hAnsi="Arial Narrow"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24" w15:restartNumberingAfterBreak="0">
    <w:nsid w:val="266815D9"/>
    <w:multiLevelType w:val="multilevel"/>
    <w:tmpl w:val="D5641CEC"/>
    <w:lvl w:ilvl="0">
      <w:numFmt w:val="bullet"/>
      <w:pStyle w:val="Tablebullet"/>
      <w:lvlText w:val=""/>
      <w:lvlJc w:val="left"/>
      <w:pPr>
        <w:ind w:left="360" w:hanging="360"/>
      </w:pPr>
      <w:rPr>
        <w:rFonts w:ascii="Symbol" w:hAnsi="Symbol" w:hint="default"/>
        <w:b w:val="0"/>
        <w:bCs w:val="0"/>
        <w:i w:val="0"/>
        <w:iCs w:val="0"/>
        <w:color w:val="6BA643"/>
        <w:spacing w:val="0"/>
        <w:w w:val="131"/>
        <w:sz w:val="20"/>
        <w:szCs w:val="22"/>
      </w:rPr>
    </w:lvl>
    <w:lvl w:ilvl="1">
      <w:start w:val="1"/>
      <w:numFmt w:val="bullet"/>
      <w:lvlText w:val="―"/>
      <w:lvlJc w:val="left"/>
      <w:pPr>
        <w:ind w:left="780" w:hanging="360"/>
      </w:pPr>
      <w:rPr>
        <w:rFonts w:ascii="Arial Narrow" w:hAnsi="Arial Narrow" w:hint="default"/>
      </w:rPr>
    </w:lvl>
    <w:lvl w:ilvl="2">
      <w:start w:val="1"/>
      <w:numFmt w:val="bullet"/>
      <w:lvlText w:val="−"/>
      <w:lvlJc w:val="left"/>
      <w:pPr>
        <w:ind w:left="1140" w:hanging="360"/>
      </w:pPr>
      <w:rPr>
        <w:rFonts w:ascii="Arial Narrow" w:hAnsi="Arial Narrow"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25" w15:restartNumberingAfterBreak="0">
    <w:nsid w:val="267D48F2"/>
    <w:multiLevelType w:val="multilevel"/>
    <w:tmpl w:val="FAA66FEC"/>
    <w:styleLink w:val="aaclstStyleHeadingsES"/>
    <w:lvl w:ilvl="0">
      <w:start w:val="1"/>
      <w:numFmt w:val="none"/>
      <w:pStyle w:val="Heading1ES"/>
      <w:lvlText w:val=""/>
      <w:lvlJc w:val="left"/>
      <w:pPr>
        <w:ind w:left="0" w:firstLine="0"/>
      </w:pPr>
      <w:rPr>
        <w:rFonts w:ascii="Arial Narrow" w:hAnsi="Arial Narrow" w:hint="default"/>
      </w:rPr>
    </w:lvl>
    <w:lvl w:ilvl="1">
      <w:start w:val="1"/>
      <w:numFmt w:val="none"/>
      <w:pStyle w:val="Heading2ES"/>
      <w:lvlText w:val=""/>
      <w:lvlJc w:val="left"/>
      <w:pPr>
        <w:ind w:left="0" w:firstLine="0"/>
      </w:pPr>
      <w:rPr>
        <w:rFonts w:hint="default"/>
      </w:rPr>
    </w:lvl>
    <w:lvl w:ilvl="2">
      <w:start w:val="1"/>
      <w:numFmt w:val="none"/>
      <w:pStyle w:val="Heading3ES"/>
      <w:lvlText w:val=""/>
      <w:lvlJc w:val="left"/>
      <w:pPr>
        <w:ind w:left="0" w:firstLine="0"/>
      </w:pPr>
      <w:rPr>
        <w:rFonts w:hint="default"/>
      </w:rPr>
    </w:lvl>
    <w:lvl w:ilvl="3">
      <w:start w:val="1"/>
      <w:numFmt w:val="none"/>
      <w:pStyle w:val="Heading4ES"/>
      <w:lvlText w:val=""/>
      <w:lvlJc w:val="left"/>
      <w:pPr>
        <w:ind w:left="0" w:firstLine="0"/>
      </w:pPr>
      <w:rPr>
        <w:rFonts w:hint="default"/>
      </w:rPr>
    </w:lvl>
    <w:lvl w:ilvl="4">
      <w:start w:val="1"/>
      <w:numFmt w:val="none"/>
      <w:pStyle w:val="Heading5ES"/>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269C7A9C"/>
    <w:multiLevelType w:val="hybridMultilevel"/>
    <w:tmpl w:val="F8929D58"/>
    <w:lvl w:ilvl="0" w:tplc="C9BA655E">
      <w:start w:val="1"/>
      <w:numFmt w:val="bullet"/>
      <w:lvlText w:val=""/>
      <w:lvlJc w:val="left"/>
      <w:pPr>
        <w:ind w:left="720" w:hanging="360"/>
      </w:pPr>
      <w:rPr>
        <w:rFonts w:ascii="Symbol" w:hAnsi="Symbol" w:hint="default"/>
        <w:b w:val="0"/>
        <w:i w:val="0"/>
        <w:color w:val="7F3D97"/>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62551D"/>
    <w:multiLevelType w:val="hybridMultilevel"/>
    <w:tmpl w:val="1C9E35C0"/>
    <w:lvl w:ilvl="0" w:tplc="C9BA655E">
      <w:start w:val="1"/>
      <w:numFmt w:val="bullet"/>
      <w:lvlText w:val=""/>
      <w:lvlJc w:val="left"/>
      <w:pPr>
        <w:ind w:left="720" w:hanging="360"/>
      </w:pPr>
      <w:rPr>
        <w:rFonts w:ascii="Symbol" w:hAnsi="Symbol" w:hint="default"/>
        <w:b w:val="0"/>
        <w:i w:val="0"/>
        <w:color w:val="7F3D97"/>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AB2891"/>
    <w:multiLevelType w:val="multilevel"/>
    <w:tmpl w:val="6248E440"/>
    <w:styleLink w:val="TOCList"/>
    <w:lvl w:ilvl="0">
      <w:start w:val="1"/>
      <w:numFmt w:val="none"/>
      <w:suff w:val="nothing"/>
      <w:lvlText w:val="%1"/>
      <w:lvlJc w:val="left"/>
      <w:pPr>
        <w:ind w:left="0" w:firstLine="0"/>
      </w:pPr>
      <w:rPr>
        <w:rFonts w:ascii="Yu Gothic Medium" w:hAnsi="Yu Gothic Medium" w:hint="default"/>
        <w:sz w:val="20"/>
      </w:rPr>
    </w:lvl>
    <w:lvl w:ilvl="1">
      <w:start w:val="1"/>
      <w:numFmt w:val="none"/>
      <w:lvlRestart w:val="0"/>
      <w:suff w:val="nothing"/>
      <w:lvlText w:val="%2"/>
      <w:lvlJc w:val="left"/>
      <w:pPr>
        <w:ind w:left="560" w:hanging="560"/>
      </w:pPr>
      <w:rPr>
        <w:rFonts w:hint="default"/>
      </w:rPr>
    </w:lvl>
    <w:lvl w:ilvl="2">
      <w:start w:val="1"/>
      <w:numFmt w:val="none"/>
      <w:lvlRestart w:val="0"/>
      <w:suff w:val="nothing"/>
      <w:lvlText w:val="%3"/>
      <w:lvlJc w:val="left"/>
      <w:pPr>
        <w:ind w:left="1120" w:hanging="560"/>
      </w:pPr>
      <w:rPr>
        <w:rFonts w:hint="default"/>
      </w:rPr>
    </w:lvl>
    <w:lvl w:ilvl="3">
      <w:start w:val="1"/>
      <w:numFmt w:val="none"/>
      <w:lvlRestart w:val="0"/>
      <w:suff w:val="nothing"/>
      <w:lvlText w:val=""/>
      <w:lvlJc w:val="left"/>
      <w:pPr>
        <w:ind w:left="1680" w:hanging="56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9" w15:restartNumberingAfterBreak="0">
    <w:nsid w:val="384D1CBC"/>
    <w:multiLevelType w:val="multilevel"/>
    <w:tmpl w:val="654C7D7E"/>
    <w:numStyleLink w:val="lstStyleHeadingNumbered"/>
  </w:abstractNum>
  <w:abstractNum w:abstractNumId="30" w15:restartNumberingAfterBreak="0">
    <w:nsid w:val="3927596A"/>
    <w:multiLevelType w:val="multilevel"/>
    <w:tmpl w:val="8ABE3CAA"/>
    <w:numStyleLink w:val="aacTableListNumbers"/>
  </w:abstractNum>
  <w:abstractNum w:abstractNumId="31" w15:restartNumberingAfterBreak="0">
    <w:nsid w:val="3CD62D95"/>
    <w:multiLevelType w:val="multilevel"/>
    <w:tmpl w:val="8B9A0E4E"/>
    <w:styleLink w:val="aacTableListBullets"/>
    <w:lvl w:ilvl="0">
      <w:start w:val="1"/>
      <w:numFmt w:val="bullet"/>
      <w:pStyle w:val="Tablelistbullet"/>
      <w:lvlText w:val="–"/>
      <w:lvlJc w:val="left"/>
      <w:pPr>
        <w:ind w:left="320" w:hanging="280"/>
      </w:pPr>
      <w:rPr>
        <w:rFonts w:ascii="Yu Gothic Medium" w:hAnsi="Yu Gothic Medium" w:hint="default"/>
        <w:sz w:val="19"/>
      </w:rPr>
    </w:lvl>
    <w:lvl w:ilvl="1">
      <w:start w:val="1"/>
      <w:numFmt w:val="bullet"/>
      <w:pStyle w:val="Tablelistbullet2"/>
      <w:lvlText w:val="–"/>
      <w:lvlJc w:val="left"/>
      <w:pPr>
        <w:ind w:left="560" w:hanging="240"/>
      </w:pPr>
      <w:rPr>
        <w:rFonts w:ascii="Yu Gothic Medium" w:hAnsi="Yu Gothic Medium" w:hint="default"/>
        <w:color w:val="000100"/>
        <w:sz w:val="19"/>
      </w:rPr>
    </w:lvl>
    <w:lvl w:ilvl="2">
      <w:start w:val="1"/>
      <w:numFmt w:val="bullet"/>
      <w:pStyle w:val="Tablelistbullet3"/>
      <w:lvlText w:val="–"/>
      <w:lvlJc w:val="left"/>
      <w:pPr>
        <w:ind w:left="800" w:hanging="240"/>
      </w:pPr>
      <w:rPr>
        <w:rFonts w:ascii="Yu Gothic Medium" w:hAnsi="Yu Gothic Medium" w:hint="default"/>
        <w:sz w:val="19"/>
      </w:rPr>
    </w:lvl>
    <w:lvl w:ilvl="3">
      <w:start w:val="1"/>
      <w:numFmt w:val="decimal"/>
      <w:lvlText w:val="(%4)"/>
      <w:lvlJc w:val="left"/>
      <w:pPr>
        <w:ind w:left="960" w:hanging="240"/>
      </w:pPr>
      <w:rPr>
        <w:rFonts w:ascii="Arial Narrow" w:hAnsi="Arial Narrow"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32" w15:restartNumberingAfterBreak="0">
    <w:nsid w:val="44083225"/>
    <w:multiLevelType w:val="multilevel"/>
    <w:tmpl w:val="B288C038"/>
    <w:styleLink w:val="aaclstStyleBoxListBullets"/>
    <w:lvl w:ilvl="0">
      <w:start w:val="1"/>
      <w:numFmt w:val="bullet"/>
      <w:pStyle w:val="BoxListBullet"/>
      <w:lvlText w:val="—"/>
      <w:lvlJc w:val="left"/>
      <w:pPr>
        <w:ind w:left="312" w:hanging="312"/>
      </w:pPr>
      <w:rPr>
        <w:rFonts w:ascii="Yu Gothic Medium" w:hAnsi="Yu Gothic Medium" w:hint="default"/>
        <w:sz w:val="21"/>
      </w:rPr>
    </w:lvl>
    <w:lvl w:ilvl="1">
      <w:start w:val="1"/>
      <w:numFmt w:val="bullet"/>
      <w:pStyle w:val="BoxListBullet2"/>
      <w:lvlText w:val="―"/>
      <w:lvlJc w:val="left"/>
      <w:pPr>
        <w:ind w:left="592" w:hanging="280"/>
      </w:pPr>
      <w:rPr>
        <w:rFonts w:ascii="Yu Gothic Medium" w:hAnsi="Yu Gothic Medium" w:hint="default"/>
        <w:sz w:val="21"/>
      </w:rPr>
    </w:lvl>
    <w:lvl w:ilvl="2">
      <w:start w:val="1"/>
      <w:numFmt w:val="bullet"/>
      <w:pStyle w:val="BoxListBullet3"/>
      <w:lvlText w:val="−"/>
      <w:lvlJc w:val="left"/>
      <w:pPr>
        <w:ind w:left="832" w:hanging="240"/>
      </w:pPr>
      <w:rPr>
        <w:rFonts w:ascii="Yu Gothic Medium" w:hAnsi="Yu Gothic Medium" w:hint="default"/>
        <w:sz w:val="21"/>
      </w:rPr>
    </w:lvl>
    <w:lvl w:ilvl="3">
      <w:start w:val="1"/>
      <w:numFmt w:val="none"/>
      <w:pStyle w:val="BoxQuote"/>
      <w:suff w:val="nothing"/>
      <w:lvlText w:val=""/>
      <w:lvlJc w:val="left"/>
      <w:pPr>
        <w:ind w:left="0" w:firstLine="0"/>
      </w:pPr>
      <w:rPr>
        <w:rFonts w:ascii="Yu Gothic Medium" w:hAnsi="Yu Gothic Medium" w:hint="default"/>
        <w:sz w:val="21"/>
      </w:rPr>
    </w:lvl>
    <w:lvl w:ilvl="4">
      <w:start w:val="1"/>
      <w:numFmt w:val="bullet"/>
      <w:pStyle w:val="BoxQuoteListBullet"/>
      <w:lvlText w:val="–"/>
      <w:lvlJc w:val="left"/>
      <w:pPr>
        <w:ind w:left="312" w:hanging="312"/>
      </w:pPr>
      <w:rPr>
        <w:rFonts w:ascii="Yu Gothic Medium" w:hAnsi="Yu Gothic Medium" w:hint="default"/>
        <w:sz w:val="21"/>
      </w:rPr>
    </w:lvl>
    <w:lvl w:ilvl="5">
      <w:start w:val="1"/>
      <w:numFmt w:val="none"/>
      <w:lvlText w:val=""/>
      <w:lvlJc w:val="left"/>
      <w:pPr>
        <w:ind w:left="1646" w:hanging="446"/>
      </w:pPr>
      <w:rPr>
        <w:rFonts w:hint="default"/>
      </w:rPr>
    </w:lvl>
    <w:lvl w:ilvl="6">
      <w:start w:val="1"/>
      <w:numFmt w:val="none"/>
      <w:lvlText w:val=""/>
      <w:lvlJc w:val="left"/>
      <w:pPr>
        <w:ind w:left="1886" w:hanging="446"/>
      </w:pPr>
      <w:rPr>
        <w:rFonts w:hint="default"/>
      </w:rPr>
    </w:lvl>
    <w:lvl w:ilvl="7">
      <w:start w:val="1"/>
      <w:numFmt w:val="none"/>
      <w:lvlText w:val=""/>
      <w:lvlJc w:val="left"/>
      <w:pPr>
        <w:ind w:left="2126" w:hanging="446"/>
      </w:pPr>
      <w:rPr>
        <w:rFonts w:hint="default"/>
      </w:rPr>
    </w:lvl>
    <w:lvl w:ilvl="8">
      <w:start w:val="1"/>
      <w:numFmt w:val="none"/>
      <w:lvlText w:val=""/>
      <w:lvlJc w:val="left"/>
      <w:pPr>
        <w:ind w:left="2366" w:hanging="446"/>
      </w:pPr>
      <w:rPr>
        <w:rFonts w:hint="default"/>
      </w:rPr>
    </w:lvl>
  </w:abstractNum>
  <w:abstractNum w:abstractNumId="33" w15:restartNumberingAfterBreak="0">
    <w:nsid w:val="45767BA0"/>
    <w:multiLevelType w:val="multilevel"/>
    <w:tmpl w:val="75081F48"/>
    <w:lvl w:ilvl="0">
      <w:start w:val="1"/>
      <w:numFmt w:val="bullet"/>
      <w:pStyle w:val="SideNoteDash"/>
      <w:lvlText w:val="–"/>
      <w:lvlJc w:val="left"/>
      <w:pPr>
        <w:tabs>
          <w:tab w:val="num" w:pos="60"/>
        </w:tabs>
        <w:ind w:left="220" w:hanging="220"/>
      </w:pPr>
      <w:rPr>
        <w:rFonts w:ascii="Arial Narrow" w:hAnsi="Arial Narrow" w:hint="default"/>
      </w:rPr>
    </w:lvl>
    <w:lvl w:ilvl="1">
      <w:start w:val="1"/>
      <w:numFmt w:val="bullet"/>
      <w:pStyle w:val="SideNoteBullet"/>
      <w:lvlText w:val="•"/>
      <w:lvlJc w:val="left"/>
      <w:pPr>
        <w:ind w:left="220" w:hanging="220"/>
      </w:pPr>
      <w:rPr>
        <w:rFonts w:ascii="Arial Narrow" w:hAnsi="Arial Narro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60F67E9"/>
    <w:multiLevelType w:val="multilevel"/>
    <w:tmpl w:val="30CC873A"/>
    <w:numStyleLink w:val="aaclstStyleBullets"/>
  </w:abstractNum>
  <w:abstractNum w:abstractNumId="35" w15:restartNumberingAfterBreak="0">
    <w:nsid w:val="4B6114E9"/>
    <w:multiLevelType w:val="multilevel"/>
    <w:tmpl w:val="30CC873A"/>
    <w:styleLink w:val="aaclstStyleBullets"/>
    <w:lvl w:ilvl="0">
      <w:start w:val="1"/>
      <w:numFmt w:val="bullet"/>
      <w:pStyle w:val="ListBullet"/>
      <w:lvlText w:val="—"/>
      <w:lvlJc w:val="left"/>
      <w:pPr>
        <w:ind w:left="420" w:hanging="420"/>
      </w:pPr>
      <w:rPr>
        <w:rFonts w:ascii="Arial Narrow" w:hAnsi="Arial Narrow" w:hint="default"/>
      </w:rPr>
    </w:lvl>
    <w:lvl w:ilvl="1">
      <w:start w:val="1"/>
      <w:numFmt w:val="bullet"/>
      <w:pStyle w:val="ListBullet2"/>
      <w:lvlText w:val="―"/>
      <w:lvlJc w:val="left"/>
      <w:pPr>
        <w:ind w:left="780" w:hanging="360"/>
      </w:pPr>
      <w:rPr>
        <w:rFonts w:ascii="Arial Narrow" w:hAnsi="Arial Narrow" w:hint="default"/>
      </w:rPr>
    </w:lvl>
    <w:lvl w:ilvl="2">
      <w:start w:val="1"/>
      <w:numFmt w:val="bullet"/>
      <w:pStyle w:val="ListBullet3"/>
      <w:lvlText w:val="−"/>
      <w:lvlJc w:val="left"/>
      <w:pPr>
        <w:ind w:left="1140" w:hanging="360"/>
      </w:pPr>
      <w:rPr>
        <w:rFonts w:ascii="Arial Narrow" w:hAnsi="Arial Narrow"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36" w15:restartNumberingAfterBreak="0">
    <w:nsid w:val="4BED025A"/>
    <w:multiLevelType w:val="hybridMultilevel"/>
    <w:tmpl w:val="11DA305E"/>
    <w:lvl w:ilvl="0" w:tplc="C9BA655E">
      <w:start w:val="1"/>
      <w:numFmt w:val="bullet"/>
      <w:lvlText w:val=""/>
      <w:lvlJc w:val="left"/>
      <w:pPr>
        <w:ind w:left="720" w:hanging="360"/>
      </w:pPr>
      <w:rPr>
        <w:rFonts w:ascii="Symbol" w:hAnsi="Symbol" w:hint="default"/>
        <w:b w:val="0"/>
        <w:i w:val="0"/>
        <w:color w:val="7F3D97"/>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CA81F24"/>
    <w:multiLevelType w:val="hybridMultilevel"/>
    <w:tmpl w:val="58EE0412"/>
    <w:lvl w:ilvl="0" w:tplc="C9BA655E">
      <w:start w:val="1"/>
      <w:numFmt w:val="bullet"/>
      <w:lvlText w:val=""/>
      <w:lvlJc w:val="left"/>
      <w:pPr>
        <w:ind w:left="720" w:hanging="360"/>
      </w:pPr>
      <w:rPr>
        <w:rFonts w:ascii="Symbol" w:hAnsi="Symbol" w:hint="default"/>
        <w:b w:val="0"/>
        <w:i w:val="0"/>
        <w:color w:val="7F3D97"/>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5F1181"/>
    <w:multiLevelType w:val="multilevel"/>
    <w:tmpl w:val="26223CFC"/>
    <w:styleLink w:val="aaclstStyleTableQuote"/>
    <w:lvl w:ilvl="0">
      <w:start w:val="1"/>
      <w:numFmt w:val="none"/>
      <w:pStyle w:val="TableQuote"/>
      <w:suff w:val="nothing"/>
      <w:lvlText w:val="%1"/>
      <w:lvlJc w:val="left"/>
      <w:pPr>
        <w:ind w:left="0" w:firstLine="0"/>
      </w:pPr>
      <w:rPr>
        <w:rFonts w:ascii="Yu Gothic Medium" w:hAnsi="Yu Gothic Medium" w:hint="default"/>
        <w:sz w:val="19"/>
      </w:rPr>
    </w:lvl>
    <w:lvl w:ilvl="1">
      <w:start w:val="1"/>
      <w:numFmt w:val="bullet"/>
      <w:pStyle w:val="TableQuoteBullet"/>
      <w:lvlText w:val="–"/>
      <w:lvlJc w:val="left"/>
      <w:pPr>
        <w:ind w:left="360" w:hanging="320"/>
      </w:pPr>
      <w:rPr>
        <w:rFonts w:ascii="Yu Gothic Medium" w:hAnsi="Yu Gothic Medium" w:hint="default"/>
        <w:sz w:val="19"/>
      </w:rPr>
    </w:lvl>
    <w:lvl w:ilvl="2">
      <w:start w:val="1"/>
      <w:numFmt w:val="none"/>
      <w:suff w:val="nothing"/>
      <w:lvlText w:val=""/>
      <w:lvlJc w:val="left"/>
      <w:pPr>
        <w:ind w:left="0" w:firstLine="0"/>
      </w:pPr>
      <w:rPr>
        <w:rFonts w:ascii="Yu Gothic Medium" w:hAnsi="Yu Gothic Medium" w:hint="eastAsia"/>
        <w:sz w:val="19"/>
      </w:rPr>
    </w:lvl>
    <w:lvl w:ilvl="3">
      <w:start w:val="1"/>
      <w:numFmt w:val="bullet"/>
      <w:lvlText w:val=""/>
      <w:lvlJc w:val="left"/>
      <w:pPr>
        <w:ind w:left="2880" w:hanging="360"/>
      </w:pPr>
      <w:rPr>
        <w:rFonts w:ascii="Yu Gothic Medium" w:hAnsi="Yu Gothic Medium" w:hint="default"/>
        <w:sz w:val="19"/>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0E9377F"/>
    <w:multiLevelType w:val="multilevel"/>
    <w:tmpl w:val="CE66BE7A"/>
    <w:styleLink w:val="aaclstStyleListNumber"/>
    <w:lvl w:ilvl="0">
      <w:start w:val="1"/>
      <w:numFmt w:val="decimal"/>
      <w:pStyle w:val="ListNumber"/>
      <w:lvlText w:val="%1."/>
      <w:lvlJc w:val="left"/>
      <w:pPr>
        <w:ind w:left="420" w:hanging="420"/>
      </w:pPr>
      <w:rPr>
        <w:rFonts w:ascii="Arial Narrow" w:hAnsi="Arial Narrow" w:cs="Arial" w:hint="default"/>
      </w:rPr>
    </w:lvl>
    <w:lvl w:ilvl="1">
      <w:start w:val="1"/>
      <w:numFmt w:val="lowerLetter"/>
      <w:pStyle w:val="ListNumber2"/>
      <w:lvlText w:val="%2)"/>
      <w:lvlJc w:val="left"/>
      <w:pPr>
        <w:ind w:left="780" w:hanging="360"/>
      </w:pPr>
      <w:rPr>
        <w:rFonts w:ascii="Arial Narrow" w:hAnsi="Arial Narrow" w:hint="default"/>
      </w:rPr>
    </w:lvl>
    <w:lvl w:ilvl="2">
      <w:start w:val="1"/>
      <w:numFmt w:val="lowerRoman"/>
      <w:pStyle w:val="ListNumber3"/>
      <w:lvlText w:val="%3)"/>
      <w:lvlJc w:val="left"/>
      <w:pPr>
        <w:ind w:left="1140" w:hanging="360"/>
      </w:pPr>
      <w:rPr>
        <w:rFonts w:ascii="Arial Narrow" w:hAnsi="Arial Narrow"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40" w15:restartNumberingAfterBreak="0">
    <w:nsid w:val="532D23B6"/>
    <w:multiLevelType w:val="multilevel"/>
    <w:tmpl w:val="654C7D7E"/>
    <w:styleLink w:val="lstStyleHeadingNumbered"/>
    <w:lvl w:ilvl="0">
      <w:start w:val="1"/>
      <w:numFmt w:val="decimal"/>
      <w:pStyle w:val="Heading1"/>
      <w:lvlText w:val="%1"/>
      <w:lvlJc w:val="right"/>
      <w:pPr>
        <w:ind w:left="0" w:hanging="360"/>
      </w:pPr>
      <w:rPr>
        <w:rFonts w:ascii="Yu Gothic Medium" w:eastAsia="Yu Gothic Medium" w:hAnsi="Yu Gothic Medium" w:hint="eastAsia"/>
      </w:rPr>
    </w:lvl>
    <w:lvl w:ilvl="1">
      <w:start w:val="1"/>
      <w:numFmt w:val="decimal"/>
      <w:pStyle w:val="Heading2"/>
      <w:lvlText w:val="%1.%2"/>
      <w:lvlJc w:val="right"/>
      <w:pPr>
        <w:ind w:left="0" w:hanging="360"/>
      </w:pPr>
      <w:rPr>
        <w:rFonts w:hint="default"/>
      </w:rPr>
    </w:lvl>
    <w:lvl w:ilvl="2">
      <w:start w:val="1"/>
      <w:numFmt w:val="none"/>
      <w:pStyle w:val="Heading3"/>
      <w:suff w:val="nothing"/>
      <w:lvlText w:val=""/>
      <w:lvlJc w:val="left"/>
      <w:pPr>
        <w:ind w:left="0" w:firstLine="0"/>
      </w:pPr>
      <w:rPr>
        <w:rFonts w:ascii="Yu Gothic Medium" w:eastAsia="Yu Gothic Medium" w:hAnsi="Yu Gothic Medium" w:hint="eastAsia"/>
        <w:sz w:val="28"/>
      </w:rPr>
    </w:lvl>
    <w:lvl w:ilvl="3">
      <w:start w:val="1"/>
      <w:numFmt w:val="none"/>
      <w:lvlRestart w:val="0"/>
      <w:pStyle w:val="Heading4"/>
      <w:lvlText w:val=""/>
      <w:lvlJc w:val="left"/>
      <w:pPr>
        <w:ind w:left="0" w:firstLine="0"/>
      </w:pPr>
      <w:rPr>
        <w:rFonts w:hint="default"/>
      </w:rPr>
    </w:lvl>
    <w:lvl w:ilvl="4">
      <w:start w:val="1"/>
      <w:numFmt w:val="none"/>
      <w:lvlRestart w:val="0"/>
      <w:pStyle w:val="Heading5"/>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1" w15:restartNumberingAfterBreak="0">
    <w:nsid w:val="535E057B"/>
    <w:multiLevelType w:val="multilevel"/>
    <w:tmpl w:val="0E2ADDE0"/>
    <w:styleLink w:val="aaclstStyleHeadingNumbered"/>
    <w:lvl w:ilvl="0">
      <w:start w:val="1"/>
      <w:numFmt w:val="upperLetter"/>
      <w:pStyle w:val="Heading1AP"/>
      <w:lvlText w:val="%1."/>
      <w:lvlJc w:val="right"/>
      <w:pPr>
        <w:ind w:left="0" w:hanging="360"/>
      </w:pPr>
      <w:rPr>
        <w:rFonts w:hint="default"/>
        <w:color w:val="140034"/>
      </w:rPr>
    </w:lvl>
    <w:lvl w:ilvl="1">
      <w:start w:val="1"/>
      <w:numFmt w:val="decimal"/>
      <w:pStyle w:val="Heading2AP"/>
      <w:lvlText w:val="%1.%2"/>
      <w:lvlJc w:val="right"/>
      <w:pPr>
        <w:ind w:left="0" w:hanging="360"/>
      </w:pPr>
      <w:rPr>
        <w:rFonts w:hint="default"/>
      </w:rPr>
    </w:lvl>
    <w:lvl w:ilvl="2">
      <w:start w:val="1"/>
      <w:numFmt w:val="decimal"/>
      <w:pStyle w:val="Heading3AP"/>
      <w:lvlText w:val="%1.%2.%3"/>
      <w:lvlJc w:val="left"/>
      <w:pPr>
        <w:tabs>
          <w:tab w:val="num" w:pos="1000"/>
        </w:tabs>
        <w:ind w:left="1000" w:hanging="1000"/>
      </w:pPr>
      <w:rPr>
        <w:rFonts w:hint="default"/>
        <w:sz w:val="28"/>
      </w:rPr>
    </w:lvl>
    <w:lvl w:ilvl="3">
      <w:start w:val="1"/>
      <w:numFmt w:val="none"/>
      <w:pStyle w:val="Heading4AP"/>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2" w15:restartNumberingAfterBreak="0">
    <w:nsid w:val="642F1928"/>
    <w:multiLevelType w:val="hybridMultilevel"/>
    <w:tmpl w:val="B5F86B04"/>
    <w:lvl w:ilvl="0" w:tplc="0DDCFD34">
      <w:start w:val="1"/>
      <w:numFmt w:val="bullet"/>
      <w:pStyle w:val="QuoteListBullet"/>
      <w:lvlText w:val="–"/>
      <w:lvlJc w:val="left"/>
      <w:pPr>
        <w:ind w:left="360" w:hanging="360"/>
      </w:pPr>
      <w:rPr>
        <w:rFonts w:ascii="Arial Narrow" w:hAnsi="Arial Narrow" w:hint="default"/>
        <w:sz w:val="18"/>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43" w15:restartNumberingAfterBreak="0">
    <w:nsid w:val="699F57EA"/>
    <w:multiLevelType w:val="multilevel"/>
    <w:tmpl w:val="CE66BE7A"/>
    <w:numStyleLink w:val="aaclstStyleListNumber"/>
  </w:abstractNum>
  <w:abstractNum w:abstractNumId="44" w15:restartNumberingAfterBreak="0">
    <w:nsid w:val="7B401A3A"/>
    <w:multiLevelType w:val="multilevel"/>
    <w:tmpl w:val="8B388342"/>
    <w:styleLink w:val="aaclstStyleTableQuoteSmall"/>
    <w:lvl w:ilvl="0">
      <w:start w:val="1"/>
      <w:numFmt w:val="none"/>
      <w:pStyle w:val="TableQuotesmall"/>
      <w:lvlText w:val="%1"/>
      <w:lvlJc w:val="left"/>
      <w:pPr>
        <w:ind w:left="40" w:firstLine="0"/>
      </w:pPr>
      <w:rPr>
        <w:rFonts w:ascii="Yu Gothic Medium" w:hAnsi="Yu Gothic Medium" w:hint="default"/>
        <w:sz w:val="15"/>
      </w:rPr>
    </w:lvl>
    <w:lvl w:ilvl="1">
      <w:start w:val="1"/>
      <w:numFmt w:val="bullet"/>
      <w:pStyle w:val="TableQuoteBulletsmall"/>
      <w:lvlText w:val="–"/>
      <w:lvlJc w:val="left"/>
      <w:pPr>
        <w:ind w:left="360" w:hanging="320"/>
      </w:pPr>
      <w:rPr>
        <w:rFonts w:ascii="Yu Gothic Medium" w:hAnsi="Yu Gothic Medium" w:hint="default"/>
        <w:sz w:val="15"/>
      </w:rPr>
    </w:lvl>
    <w:lvl w:ilvl="2">
      <w:start w:val="1"/>
      <w:numFmt w:val="none"/>
      <w:lvlText w:val=""/>
      <w:lvlJc w:val="left"/>
      <w:pPr>
        <w:ind w:left="2160" w:hanging="360"/>
      </w:pPr>
      <w:rPr>
        <w:rFonts w:ascii="Yu Gothic Medium" w:hAnsi="Yu Gothic Medium" w:hint="eastAsia"/>
        <w:sz w:val="15"/>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3428549">
    <w:abstractNumId w:val="3"/>
  </w:num>
  <w:num w:numId="2" w16cid:durableId="147982349">
    <w:abstractNumId w:val="2"/>
  </w:num>
  <w:num w:numId="3" w16cid:durableId="909660958">
    <w:abstractNumId w:val="1"/>
  </w:num>
  <w:num w:numId="4" w16cid:durableId="654146945">
    <w:abstractNumId w:val="0"/>
  </w:num>
  <w:num w:numId="5" w16cid:durableId="1574391871">
    <w:abstractNumId w:val="35"/>
  </w:num>
  <w:num w:numId="6" w16cid:durableId="1542399526">
    <w:abstractNumId w:val="39"/>
  </w:num>
  <w:num w:numId="7" w16cid:durableId="1480154032">
    <w:abstractNumId w:val="41"/>
  </w:num>
  <w:num w:numId="8" w16cid:durableId="724570413">
    <w:abstractNumId w:val="43"/>
  </w:num>
  <w:num w:numId="9" w16cid:durableId="118650225">
    <w:abstractNumId w:val="34"/>
  </w:num>
  <w:num w:numId="10" w16cid:durableId="1535457088">
    <w:abstractNumId w:val="25"/>
  </w:num>
  <w:num w:numId="11" w16cid:durableId="1275403751">
    <w:abstractNumId w:val="7"/>
  </w:num>
  <w:num w:numId="12" w16cid:durableId="188106127">
    <w:abstractNumId w:val="23"/>
  </w:num>
  <w:num w:numId="13" w16cid:durableId="1617328713">
    <w:abstractNumId w:val="40"/>
  </w:num>
  <w:num w:numId="14" w16cid:durableId="245042219">
    <w:abstractNumId w:val="28"/>
  </w:num>
  <w:num w:numId="15" w16cid:durableId="1981111602">
    <w:abstractNumId w:val="32"/>
  </w:num>
  <w:num w:numId="16" w16cid:durableId="1719011723">
    <w:abstractNumId w:val="31"/>
  </w:num>
  <w:num w:numId="17" w16cid:durableId="2058237989">
    <w:abstractNumId w:val="12"/>
  </w:num>
  <w:num w:numId="18" w16cid:durableId="1408725090">
    <w:abstractNumId w:val="22"/>
  </w:num>
  <w:num w:numId="19" w16cid:durableId="1984499789">
    <w:abstractNumId w:val="13"/>
  </w:num>
  <w:num w:numId="20" w16cid:durableId="1397053038">
    <w:abstractNumId w:val="18"/>
  </w:num>
  <w:num w:numId="21" w16cid:durableId="276838121">
    <w:abstractNumId w:val="33"/>
  </w:num>
  <w:num w:numId="22" w16cid:durableId="454182914">
    <w:abstractNumId w:val="8"/>
  </w:num>
  <w:num w:numId="23" w16cid:durableId="1724329236">
    <w:abstractNumId w:val="17"/>
  </w:num>
  <w:num w:numId="24" w16cid:durableId="871186591">
    <w:abstractNumId w:val="14"/>
  </w:num>
  <w:num w:numId="25" w16cid:durableId="291521162">
    <w:abstractNumId w:val="42"/>
  </w:num>
  <w:num w:numId="26" w16cid:durableId="137960840">
    <w:abstractNumId w:val="4"/>
  </w:num>
  <w:num w:numId="27" w16cid:durableId="1617761124">
    <w:abstractNumId w:val="30"/>
  </w:num>
  <w:num w:numId="28" w16cid:durableId="485129866">
    <w:abstractNumId w:val="9"/>
  </w:num>
  <w:num w:numId="29" w16cid:durableId="704216658">
    <w:abstractNumId w:val="21"/>
  </w:num>
  <w:num w:numId="30" w16cid:durableId="214124953">
    <w:abstractNumId w:val="38"/>
  </w:num>
  <w:num w:numId="31" w16cid:durableId="1348173469">
    <w:abstractNumId w:val="44"/>
  </w:num>
  <w:num w:numId="32" w16cid:durableId="1876891384">
    <w:abstractNumId w:val="6"/>
  </w:num>
  <w:num w:numId="33" w16cid:durableId="1926063242">
    <w:abstractNumId w:val="16"/>
  </w:num>
  <w:num w:numId="34" w16cid:durableId="161774296">
    <w:abstractNumId w:val="20"/>
  </w:num>
  <w:num w:numId="35" w16cid:durableId="1211923600">
    <w:abstractNumId w:val="29"/>
    <w:lvlOverride w:ilvl="0">
      <w:lvl w:ilvl="0">
        <w:start w:val="1"/>
        <w:numFmt w:val="decimal"/>
        <w:pStyle w:val="Heading1"/>
        <w:lvlText w:val="%1."/>
        <w:lvlJc w:val="left"/>
        <w:pPr>
          <w:ind w:left="360" w:hanging="360"/>
        </w:pPr>
      </w:lvl>
    </w:lvlOverride>
    <w:lvlOverride w:ilvl="1">
      <w:lvl w:ilvl="1">
        <w:start w:val="1"/>
        <w:numFmt w:val="decimal"/>
        <w:pStyle w:val="Heading2"/>
        <w:lvlText w:val="%1.%2."/>
        <w:lvlJc w:val="left"/>
        <w:pPr>
          <w:ind w:left="432" w:hanging="432"/>
        </w:pPr>
      </w:lvl>
    </w:lvlOverride>
    <w:lvlOverride w:ilvl="2">
      <w:lvl w:ilvl="2">
        <w:start w:val="1"/>
        <w:numFmt w:val="decimal"/>
        <w:pStyle w:val="Heading3"/>
        <w:lvlText w:val="%1.%2.%3."/>
        <w:lvlJc w:val="left"/>
        <w:pPr>
          <w:ind w:left="1224" w:hanging="504"/>
        </w:pPr>
      </w:lvl>
    </w:lvlOverride>
    <w:lvlOverride w:ilvl="3">
      <w:lvl w:ilvl="3">
        <w:start w:val="1"/>
        <w:numFmt w:val="decimal"/>
        <w:pStyle w:val="Heading4"/>
        <w:lvlText w:val="%1.%2.%3.%4."/>
        <w:lvlJc w:val="left"/>
        <w:pPr>
          <w:ind w:left="1728" w:hanging="648"/>
        </w:pPr>
      </w:lvl>
    </w:lvlOverride>
    <w:lvlOverride w:ilvl="4">
      <w:lvl w:ilvl="4">
        <w:start w:val="1"/>
        <w:numFmt w:val="decimal"/>
        <w:pStyle w:val="Heading5"/>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6" w16cid:durableId="2033215141">
    <w:abstractNumId w:val="11"/>
  </w:num>
  <w:num w:numId="37" w16cid:durableId="1092356073">
    <w:abstractNumId w:val="24"/>
  </w:num>
  <w:num w:numId="38" w16cid:durableId="1473059891">
    <w:abstractNumId w:val="36"/>
  </w:num>
  <w:num w:numId="39" w16cid:durableId="1404060613">
    <w:abstractNumId w:val="10"/>
  </w:num>
  <w:num w:numId="40" w16cid:durableId="1815177458">
    <w:abstractNumId w:val="37"/>
  </w:num>
  <w:num w:numId="41" w16cid:durableId="194856101">
    <w:abstractNumId w:val="19"/>
  </w:num>
  <w:num w:numId="42" w16cid:durableId="1757823137">
    <w:abstractNumId w:val="26"/>
  </w:num>
  <w:num w:numId="43" w16cid:durableId="1984040220">
    <w:abstractNumId w:val="27"/>
  </w:num>
  <w:num w:numId="44" w16cid:durableId="10036606">
    <w:abstractNumId w:val="5"/>
  </w:num>
  <w:num w:numId="45" w16cid:durableId="379323728">
    <w:abstractNumId w:val="15"/>
  </w:num>
  <w:num w:numId="46" w16cid:durableId="1712269820">
    <w:abstractNumId w:val="29"/>
    <w:lvlOverride w:ilvl="0">
      <w:lvl w:ilvl="0">
        <w:start w:val="1"/>
        <w:numFmt w:val="decimal"/>
        <w:pStyle w:val="Heading1"/>
        <w:lvlText w:val="%1."/>
        <w:lvlJc w:val="left"/>
        <w:pPr>
          <w:ind w:left="360" w:hanging="360"/>
        </w:pPr>
      </w:lvl>
    </w:lvlOverride>
    <w:lvlOverride w:ilvl="1">
      <w:lvl w:ilvl="1">
        <w:start w:val="1"/>
        <w:numFmt w:val="decimal"/>
        <w:pStyle w:val="Heading2"/>
        <w:lvlText w:val="%1.%2."/>
        <w:lvlJc w:val="left"/>
        <w:pPr>
          <w:ind w:left="432" w:hanging="432"/>
        </w:pPr>
      </w:lvl>
    </w:lvlOverride>
    <w:lvlOverride w:ilvl="2">
      <w:lvl w:ilvl="2">
        <w:start w:val="1"/>
        <w:numFmt w:val="decimal"/>
        <w:pStyle w:val="Heading3"/>
        <w:lvlText w:val="%1.%2.%3."/>
        <w:lvlJc w:val="left"/>
        <w:pPr>
          <w:ind w:left="1224" w:hanging="504"/>
        </w:pPr>
      </w:lvl>
    </w:lvlOverride>
    <w:lvlOverride w:ilvl="3">
      <w:lvl w:ilvl="3">
        <w:start w:val="1"/>
        <w:numFmt w:val="decimal"/>
        <w:pStyle w:val="Heading4"/>
        <w:lvlText w:val="%1.%2.%3.%4."/>
        <w:lvlJc w:val="left"/>
        <w:pPr>
          <w:ind w:left="1728" w:hanging="648"/>
        </w:pPr>
      </w:lvl>
    </w:lvlOverride>
    <w:lvlOverride w:ilvl="4">
      <w:lvl w:ilvl="4">
        <w:start w:val="1"/>
        <w:numFmt w:val="decimal"/>
        <w:pStyle w:val="Heading5"/>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7" w16cid:durableId="1727489021">
    <w:abstractNumId w:val="29"/>
    <w:lvlOverride w:ilvl="0">
      <w:lvl w:ilvl="0">
        <w:start w:val="1"/>
        <w:numFmt w:val="decimal"/>
        <w:pStyle w:val="Heading1"/>
        <w:lvlText w:val="%1."/>
        <w:lvlJc w:val="left"/>
        <w:pPr>
          <w:ind w:left="360" w:hanging="360"/>
        </w:pPr>
      </w:lvl>
    </w:lvlOverride>
    <w:lvlOverride w:ilvl="1">
      <w:lvl w:ilvl="1">
        <w:start w:val="1"/>
        <w:numFmt w:val="decimal"/>
        <w:pStyle w:val="Heading2"/>
        <w:lvlText w:val="%1.%2."/>
        <w:lvlJc w:val="left"/>
        <w:pPr>
          <w:ind w:left="432" w:hanging="432"/>
        </w:pPr>
      </w:lvl>
    </w:lvlOverride>
    <w:lvlOverride w:ilvl="2">
      <w:lvl w:ilvl="2">
        <w:start w:val="1"/>
        <w:numFmt w:val="decimal"/>
        <w:pStyle w:val="Heading3"/>
        <w:lvlText w:val="%1.%2.%3."/>
        <w:lvlJc w:val="left"/>
        <w:pPr>
          <w:ind w:left="1224" w:hanging="504"/>
        </w:pPr>
      </w:lvl>
    </w:lvlOverride>
    <w:lvlOverride w:ilvl="3">
      <w:lvl w:ilvl="3">
        <w:start w:val="1"/>
        <w:numFmt w:val="decimal"/>
        <w:pStyle w:val="Heading4"/>
        <w:lvlText w:val="%1.%2.%3.%4."/>
        <w:lvlJc w:val="left"/>
        <w:pPr>
          <w:ind w:left="1728" w:hanging="648"/>
        </w:pPr>
      </w:lvl>
    </w:lvlOverride>
    <w:lvlOverride w:ilvl="4">
      <w:lvl w:ilvl="4">
        <w:start w:val="1"/>
        <w:numFmt w:val="decimal"/>
        <w:pStyle w:val="Heading5"/>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8" w16cid:durableId="2102558305">
    <w:abstractNumId w:val="29"/>
    <w:lvlOverride w:ilvl="0">
      <w:lvl w:ilvl="0">
        <w:start w:val="1"/>
        <w:numFmt w:val="decimal"/>
        <w:pStyle w:val="Heading1"/>
        <w:lvlText w:val="%1."/>
        <w:lvlJc w:val="left"/>
        <w:pPr>
          <w:ind w:left="360" w:hanging="360"/>
        </w:pPr>
      </w:lvl>
    </w:lvlOverride>
    <w:lvlOverride w:ilvl="1">
      <w:lvl w:ilvl="1">
        <w:start w:val="1"/>
        <w:numFmt w:val="decimal"/>
        <w:pStyle w:val="Heading2"/>
        <w:lvlText w:val="%1.%2."/>
        <w:lvlJc w:val="left"/>
        <w:pPr>
          <w:ind w:left="432" w:hanging="432"/>
        </w:pPr>
      </w:lvl>
    </w:lvlOverride>
    <w:lvlOverride w:ilvl="2">
      <w:lvl w:ilvl="2">
        <w:start w:val="1"/>
        <w:numFmt w:val="decimal"/>
        <w:pStyle w:val="Heading3"/>
        <w:lvlText w:val="%1.%2.%3."/>
        <w:lvlJc w:val="left"/>
        <w:pPr>
          <w:ind w:left="1224" w:hanging="504"/>
        </w:pPr>
      </w:lvl>
    </w:lvlOverride>
    <w:lvlOverride w:ilvl="3">
      <w:lvl w:ilvl="3">
        <w:start w:val="1"/>
        <w:numFmt w:val="decimal"/>
        <w:pStyle w:val="Heading4"/>
        <w:lvlText w:val="%1.%2.%3.%4."/>
        <w:lvlJc w:val="left"/>
        <w:pPr>
          <w:ind w:left="1728" w:hanging="648"/>
        </w:pPr>
      </w:lvl>
    </w:lvlOverride>
    <w:lvlOverride w:ilvl="4">
      <w:lvl w:ilvl="4">
        <w:start w:val="1"/>
        <w:numFmt w:val="decimal"/>
        <w:pStyle w:val="Heading5"/>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9" w16cid:durableId="457724152">
    <w:abstractNumId w:val="29"/>
    <w:lvlOverride w:ilvl="0">
      <w:lvl w:ilvl="0">
        <w:start w:val="1"/>
        <w:numFmt w:val="decimal"/>
        <w:pStyle w:val="Heading1"/>
        <w:lvlText w:val="%1."/>
        <w:lvlJc w:val="left"/>
        <w:pPr>
          <w:ind w:left="360" w:hanging="360"/>
        </w:pPr>
      </w:lvl>
    </w:lvlOverride>
    <w:lvlOverride w:ilvl="1">
      <w:lvl w:ilvl="1">
        <w:start w:val="1"/>
        <w:numFmt w:val="decimal"/>
        <w:pStyle w:val="Heading2"/>
        <w:lvlText w:val="%1.%2."/>
        <w:lvlJc w:val="left"/>
        <w:pPr>
          <w:ind w:left="432" w:hanging="432"/>
        </w:pPr>
      </w:lvl>
    </w:lvlOverride>
    <w:lvlOverride w:ilvl="2">
      <w:lvl w:ilvl="2">
        <w:start w:val="1"/>
        <w:numFmt w:val="decimal"/>
        <w:pStyle w:val="Heading3"/>
        <w:lvlText w:val="%1.%2.%3."/>
        <w:lvlJc w:val="left"/>
        <w:pPr>
          <w:ind w:left="1224" w:hanging="504"/>
        </w:pPr>
      </w:lvl>
    </w:lvlOverride>
    <w:lvlOverride w:ilvl="3">
      <w:lvl w:ilvl="3">
        <w:start w:val="1"/>
        <w:numFmt w:val="decimal"/>
        <w:pStyle w:val="Heading4"/>
        <w:lvlText w:val="%1.%2.%3.%4."/>
        <w:lvlJc w:val="left"/>
        <w:pPr>
          <w:ind w:left="1728" w:hanging="648"/>
        </w:pPr>
      </w:lvl>
    </w:lvlOverride>
    <w:lvlOverride w:ilvl="4">
      <w:lvl w:ilvl="4">
        <w:start w:val="1"/>
        <w:numFmt w:val="decimal"/>
        <w:pStyle w:val="Heading5"/>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0" w16cid:durableId="1505897761">
    <w:abstractNumId w:val="29"/>
    <w:lvlOverride w:ilvl="0">
      <w:lvl w:ilvl="0">
        <w:start w:val="1"/>
        <w:numFmt w:val="decimal"/>
        <w:pStyle w:val="Heading1"/>
        <w:lvlText w:val="%1."/>
        <w:lvlJc w:val="left"/>
        <w:pPr>
          <w:ind w:left="360" w:hanging="360"/>
        </w:pPr>
      </w:lvl>
    </w:lvlOverride>
    <w:lvlOverride w:ilvl="1">
      <w:lvl w:ilvl="1">
        <w:start w:val="1"/>
        <w:numFmt w:val="decimal"/>
        <w:pStyle w:val="Heading2"/>
        <w:lvlText w:val="%1.%2."/>
        <w:lvlJc w:val="left"/>
        <w:pPr>
          <w:ind w:left="432" w:hanging="432"/>
        </w:pPr>
      </w:lvl>
    </w:lvlOverride>
    <w:lvlOverride w:ilvl="2">
      <w:lvl w:ilvl="2">
        <w:start w:val="1"/>
        <w:numFmt w:val="decimal"/>
        <w:pStyle w:val="Heading3"/>
        <w:lvlText w:val="%1.%2.%3."/>
        <w:lvlJc w:val="left"/>
        <w:pPr>
          <w:ind w:left="1224" w:hanging="504"/>
        </w:pPr>
      </w:lvl>
    </w:lvlOverride>
    <w:lvlOverride w:ilvl="3">
      <w:lvl w:ilvl="3">
        <w:start w:val="1"/>
        <w:numFmt w:val="decimal"/>
        <w:pStyle w:val="Heading4"/>
        <w:lvlText w:val="%1.%2.%3.%4."/>
        <w:lvlJc w:val="left"/>
        <w:pPr>
          <w:ind w:left="1728" w:hanging="648"/>
        </w:pPr>
      </w:lvl>
    </w:lvlOverride>
    <w:lvlOverride w:ilvl="4">
      <w:lvl w:ilvl="4">
        <w:start w:val="1"/>
        <w:numFmt w:val="decimal"/>
        <w:pStyle w:val="Heading5"/>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1" w16cid:durableId="283780214">
    <w:abstractNumId w:val="29"/>
    <w:lvlOverride w:ilvl="0">
      <w:lvl w:ilvl="0">
        <w:start w:val="1"/>
        <w:numFmt w:val="decimal"/>
        <w:pStyle w:val="Heading1"/>
        <w:lvlText w:val="%1."/>
        <w:lvlJc w:val="left"/>
        <w:pPr>
          <w:ind w:left="360" w:hanging="360"/>
        </w:pPr>
      </w:lvl>
    </w:lvlOverride>
    <w:lvlOverride w:ilvl="1">
      <w:lvl w:ilvl="1">
        <w:start w:val="1"/>
        <w:numFmt w:val="decimal"/>
        <w:pStyle w:val="Heading2"/>
        <w:lvlText w:val="%1.%2."/>
        <w:lvlJc w:val="left"/>
        <w:pPr>
          <w:ind w:left="432" w:hanging="432"/>
        </w:pPr>
      </w:lvl>
    </w:lvlOverride>
    <w:lvlOverride w:ilvl="2">
      <w:lvl w:ilvl="2">
        <w:start w:val="1"/>
        <w:numFmt w:val="decimal"/>
        <w:pStyle w:val="Heading3"/>
        <w:lvlText w:val="%1.%2.%3."/>
        <w:lvlJc w:val="left"/>
        <w:pPr>
          <w:ind w:left="1224" w:hanging="504"/>
        </w:pPr>
      </w:lvl>
    </w:lvlOverride>
    <w:lvlOverride w:ilvl="3">
      <w:lvl w:ilvl="3">
        <w:start w:val="1"/>
        <w:numFmt w:val="decimal"/>
        <w:pStyle w:val="Heading4"/>
        <w:lvlText w:val="%1.%2.%3.%4."/>
        <w:lvlJc w:val="left"/>
        <w:pPr>
          <w:ind w:left="1728" w:hanging="648"/>
        </w:pPr>
      </w:lvl>
    </w:lvlOverride>
    <w:lvlOverride w:ilvl="4">
      <w:lvl w:ilvl="4">
        <w:start w:val="1"/>
        <w:numFmt w:val="decimal"/>
        <w:pStyle w:val="Heading5"/>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2" w16cid:durableId="240725778">
    <w:abstractNumId w:val="24"/>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e Mancini">
    <w15:presenceInfo w15:providerId="AD" w15:userId="S::jane.mancini@humanability.com.au::1f5369b5-5c38-4a2c-bf2b-31a364cb2d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4AF"/>
    <w:rsid w:val="00004480"/>
    <w:rsid w:val="00006A48"/>
    <w:rsid w:val="000073D2"/>
    <w:rsid w:val="00007B50"/>
    <w:rsid w:val="00011422"/>
    <w:rsid w:val="00011F72"/>
    <w:rsid w:val="00012326"/>
    <w:rsid w:val="00014175"/>
    <w:rsid w:val="00016EA6"/>
    <w:rsid w:val="0002132B"/>
    <w:rsid w:val="000213D8"/>
    <w:rsid w:val="000237C7"/>
    <w:rsid w:val="00023AA5"/>
    <w:rsid w:val="00025A87"/>
    <w:rsid w:val="00026FF3"/>
    <w:rsid w:val="0002750A"/>
    <w:rsid w:val="000279DC"/>
    <w:rsid w:val="00030304"/>
    <w:rsid w:val="00031D64"/>
    <w:rsid w:val="00032FE6"/>
    <w:rsid w:val="000345C7"/>
    <w:rsid w:val="0003468D"/>
    <w:rsid w:val="00036FAA"/>
    <w:rsid w:val="00040C3D"/>
    <w:rsid w:val="00041BA1"/>
    <w:rsid w:val="00041F57"/>
    <w:rsid w:val="000421E8"/>
    <w:rsid w:val="000460E5"/>
    <w:rsid w:val="00046190"/>
    <w:rsid w:val="000461DA"/>
    <w:rsid w:val="00050A98"/>
    <w:rsid w:val="00052E49"/>
    <w:rsid w:val="000534E5"/>
    <w:rsid w:val="00053542"/>
    <w:rsid w:val="00057123"/>
    <w:rsid w:val="000572B6"/>
    <w:rsid w:val="00057A2D"/>
    <w:rsid w:val="00057F45"/>
    <w:rsid w:val="00057F95"/>
    <w:rsid w:val="000604D5"/>
    <w:rsid w:val="00060D1F"/>
    <w:rsid w:val="000674D5"/>
    <w:rsid w:val="0006755E"/>
    <w:rsid w:val="00067923"/>
    <w:rsid w:val="00067F76"/>
    <w:rsid w:val="00071ECE"/>
    <w:rsid w:val="00074A63"/>
    <w:rsid w:val="00081555"/>
    <w:rsid w:val="00083AC0"/>
    <w:rsid w:val="00085F6B"/>
    <w:rsid w:val="00086941"/>
    <w:rsid w:val="00086B27"/>
    <w:rsid w:val="00092765"/>
    <w:rsid w:val="0009328D"/>
    <w:rsid w:val="00094D3A"/>
    <w:rsid w:val="000A418F"/>
    <w:rsid w:val="000A4CFF"/>
    <w:rsid w:val="000A5665"/>
    <w:rsid w:val="000A5A1F"/>
    <w:rsid w:val="000B1D10"/>
    <w:rsid w:val="000B28FA"/>
    <w:rsid w:val="000B3362"/>
    <w:rsid w:val="000B3CCA"/>
    <w:rsid w:val="000B53DE"/>
    <w:rsid w:val="000B6883"/>
    <w:rsid w:val="000B78D6"/>
    <w:rsid w:val="000C01F5"/>
    <w:rsid w:val="000C0F1E"/>
    <w:rsid w:val="000C1162"/>
    <w:rsid w:val="000C2024"/>
    <w:rsid w:val="000C54ED"/>
    <w:rsid w:val="000C5613"/>
    <w:rsid w:val="000C79CF"/>
    <w:rsid w:val="000D2C04"/>
    <w:rsid w:val="000D3F05"/>
    <w:rsid w:val="000D49D6"/>
    <w:rsid w:val="000D4DE0"/>
    <w:rsid w:val="000D6F48"/>
    <w:rsid w:val="000D72DC"/>
    <w:rsid w:val="000D7C57"/>
    <w:rsid w:val="000E3C9F"/>
    <w:rsid w:val="000E6A6B"/>
    <w:rsid w:val="000E7DE0"/>
    <w:rsid w:val="000F0CA1"/>
    <w:rsid w:val="000F0EAA"/>
    <w:rsid w:val="000F1599"/>
    <w:rsid w:val="000F3E7F"/>
    <w:rsid w:val="000F4692"/>
    <w:rsid w:val="000F5996"/>
    <w:rsid w:val="000F5A47"/>
    <w:rsid w:val="000F67A4"/>
    <w:rsid w:val="000F6C04"/>
    <w:rsid w:val="000F76C4"/>
    <w:rsid w:val="001000C7"/>
    <w:rsid w:val="00102134"/>
    <w:rsid w:val="00102E22"/>
    <w:rsid w:val="00103020"/>
    <w:rsid w:val="0010530F"/>
    <w:rsid w:val="001053EB"/>
    <w:rsid w:val="00107961"/>
    <w:rsid w:val="00111F89"/>
    <w:rsid w:val="00112096"/>
    <w:rsid w:val="00112AF4"/>
    <w:rsid w:val="00113196"/>
    <w:rsid w:val="00115DE3"/>
    <w:rsid w:val="00116A0E"/>
    <w:rsid w:val="00120062"/>
    <w:rsid w:val="001204F8"/>
    <w:rsid w:val="001209F0"/>
    <w:rsid w:val="00121980"/>
    <w:rsid w:val="00121A6D"/>
    <w:rsid w:val="00121B0F"/>
    <w:rsid w:val="00123050"/>
    <w:rsid w:val="001256D4"/>
    <w:rsid w:val="00131173"/>
    <w:rsid w:val="00134A32"/>
    <w:rsid w:val="001368B0"/>
    <w:rsid w:val="00137BB6"/>
    <w:rsid w:val="00140C7E"/>
    <w:rsid w:val="0014328D"/>
    <w:rsid w:val="001469A3"/>
    <w:rsid w:val="00150F84"/>
    <w:rsid w:val="00150FA9"/>
    <w:rsid w:val="001520D3"/>
    <w:rsid w:val="00152C11"/>
    <w:rsid w:val="00152DDD"/>
    <w:rsid w:val="00157417"/>
    <w:rsid w:val="001602ED"/>
    <w:rsid w:val="00160C17"/>
    <w:rsid w:val="0016110D"/>
    <w:rsid w:val="00161DB2"/>
    <w:rsid w:val="00162A1E"/>
    <w:rsid w:val="0016324A"/>
    <w:rsid w:val="001646CC"/>
    <w:rsid w:val="00167C06"/>
    <w:rsid w:val="00167D08"/>
    <w:rsid w:val="001709BC"/>
    <w:rsid w:val="0017129B"/>
    <w:rsid w:val="001731E6"/>
    <w:rsid w:val="00174323"/>
    <w:rsid w:val="00177BC9"/>
    <w:rsid w:val="001801B5"/>
    <w:rsid w:val="00185B63"/>
    <w:rsid w:val="00187F45"/>
    <w:rsid w:val="00191957"/>
    <w:rsid w:val="00191BF4"/>
    <w:rsid w:val="001925C9"/>
    <w:rsid w:val="00192DFE"/>
    <w:rsid w:val="00192F7B"/>
    <w:rsid w:val="0019538A"/>
    <w:rsid w:val="001A123C"/>
    <w:rsid w:val="001A7349"/>
    <w:rsid w:val="001B19F4"/>
    <w:rsid w:val="001B1E74"/>
    <w:rsid w:val="001B279A"/>
    <w:rsid w:val="001B2A35"/>
    <w:rsid w:val="001B3254"/>
    <w:rsid w:val="001B69FB"/>
    <w:rsid w:val="001C04E4"/>
    <w:rsid w:val="001C0B47"/>
    <w:rsid w:val="001C19A0"/>
    <w:rsid w:val="001C2F5F"/>
    <w:rsid w:val="001C3FD6"/>
    <w:rsid w:val="001C4899"/>
    <w:rsid w:val="001C6912"/>
    <w:rsid w:val="001C7DD5"/>
    <w:rsid w:val="001D2CFD"/>
    <w:rsid w:val="001D42B2"/>
    <w:rsid w:val="001D581A"/>
    <w:rsid w:val="001D6636"/>
    <w:rsid w:val="001E3128"/>
    <w:rsid w:val="001E36CF"/>
    <w:rsid w:val="001E4608"/>
    <w:rsid w:val="001E46CC"/>
    <w:rsid w:val="001E48CF"/>
    <w:rsid w:val="001E543E"/>
    <w:rsid w:val="001E6182"/>
    <w:rsid w:val="001E6797"/>
    <w:rsid w:val="001E7AB7"/>
    <w:rsid w:val="001F0C71"/>
    <w:rsid w:val="001F15E7"/>
    <w:rsid w:val="001F197C"/>
    <w:rsid w:val="001F20CA"/>
    <w:rsid w:val="001F284A"/>
    <w:rsid w:val="001F5A81"/>
    <w:rsid w:val="001F5A9C"/>
    <w:rsid w:val="001F69E5"/>
    <w:rsid w:val="001F6F1F"/>
    <w:rsid w:val="00200F9A"/>
    <w:rsid w:val="00201429"/>
    <w:rsid w:val="0020185D"/>
    <w:rsid w:val="00205755"/>
    <w:rsid w:val="002071B9"/>
    <w:rsid w:val="002071E5"/>
    <w:rsid w:val="0020736C"/>
    <w:rsid w:val="00207ACF"/>
    <w:rsid w:val="00211F42"/>
    <w:rsid w:val="0021392E"/>
    <w:rsid w:val="002155A6"/>
    <w:rsid w:val="002179F8"/>
    <w:rsid w:val="00221E70"/>
    <w:rsid w:val="00224FBA"/>
    <w:rsid w:val="002256B2"/>
    <w:rsid w:val="002257DB"/>
    <w:rsid w:val="00225FDD"/>
    <w:rsid w:val="00226372"/>
    <w:rsid w:val="00227670"/>
    <w:rsid w:val="00227DC8"/>
    <w:rsid w:val="002302E7"/>
    <w:rsid w:val="0023120D"/>
    <w:rsid w:val="00232569"/>
    <w:rsid w:val="0023326E"/>
    <w:rsid w:val="00236579"/>
    <w:rsid w:val="00237C84"/>
    <w:rsid w:val="00240E0D"/>
    <w:rsid w:val="00241E1B"/>
    <w:rsid w:val="00242AD8"/>
    <w:rsid w:val="00243742"/>
    <w:rsid w:val="002437E8"/>
    <w:rsid w:val="00245E41"/>
    <w:rsid w:val="00246EF6"/>
    <w:rsid w:val="00253749"/>
    <w:rsid w:val="002540C4"/>
    <w:rsid w:val="002543E1"/>
    <w:rsid w:val="002563C8"/>
    <w:rsid w:val="002627BC"/>
    <w:rsid w:val="00262C42"/>
    <w:rsid w:val="00264937"/>
    <w:rsid w:val="00264FBF"/>
    <w:rsid w:val="0026510A"/>
    <w:rsid w:val="00266DBF"/>
    <w:rsid w:val="0026767A"/>
    <w:rsid w:val="00272A88"/>
    <w:rsid w:val="002751E3"/>
    <w:rsid w:val="00276249"/>
    <w:rsid w:val="002771C0"/>
    <w:rsid w:val="002777F6"/>
    <w:rsid w:val="0028086C"/>
    <w:rsid w:val="00281E97"/>
    <w:rsid w:val="002831B4"/>
    <w:rsid w:val="00283B4B"/>
    <w:rsid w:val="002844BE"/>
    <w:rsid w:val="00284938"/>
    <w:rsid w:val="00284C7E"/>
    <w:rsid w:val="00284D72"/>
    <w:rsid w:val="00287C49"/>
    <w:rsid w:val="002910E4"/>
    <w:rsid w:val="002913A6"/>
    <w:rsid w:val="00291C71"/>
    <w:rsid w:val="00293795"/>
    <w:rsid w:val="00293A5C"/>
    <w:rsid w:val="002943DA"/>
    <w:rsid w:val="00294767"/>
    <w:rsid w:val="00295166"/>
    <w:rsid w:val="0029649A"/>
    <w:rsid w:val="00296BE7"/>
    <w:rsid w:val="00297B3F"/>
    <w:rsid w:val="00297EC4"/>
    <w:rsid w:val="002A06E8"/>
    <w:rsid w:val="002A2545"/>
    <w:rsid w:val="002A2D05"/>
    <w:rsid w:val="002A344E"/>
    <w:rsid w:val="002A5B57"/>
    <w:rsid w:val="002A6939"/>
    <w:rsid w:val="002A7391"/>
    <w:rsid w:val="002B1FF9"/>
    <w:rsid w:val="002B4772"/>
    <w:rsid w:val="002B5472"/>
    <w:rsid w:val="002B700E"/>
    <w:rsid w:val="002B78C9"/>
    <w:rsid w:val="002C20D0"/>
    <w:rsid w:val="002C3576"/>
    <w:rsid w:val="002C5383"/>
    <w:rsid w:val="002C65A0"/>
    <w:rsid w:val="002C6B68"/>
    <w:rsid w:val="002C7274"/>
    <w:rsid w:val="002C7CE6"/>
    <w:rsid w:val="002D2C75"/>
    <w:rsid w:val="002D458A"/>
    <w:rsid w:val="002D4AEE"/>
    <w:rsid w:val="002D59D6"/>
    <w:rsid w:val="002D7D78"/>
    <w:rsid w:val="002E0610"/>
    <w:rsid w:val="002E2EDB"/>
    <w:rsid w:val="002E34DB"/>
    <w:rsid w:val="002E39A0"/>
    <w:rsid w:val="002E4574"/>
    <w:rsid w:val="002E55CE"/>
    <w:rsid w:val="002E6391"/>
    <w:rsid w:val="002E68D2"/>
    <w:rsid w:val="002E7279"/>
    <w:rsid w:val="002E7969"/>
    <w:rsid w:val="002F2A75"/>
    <w:rsid w:val="002F2CD4"/>
    <w:rsid w:val="002F3427"/>
    <w:rsid w:val="002F36C6"/>
    <w:rsid w:val="002F3987"/>
    <w:rsid w:val="002F4A93"/>
    <w:rsid w:val="002F4D82"/>
    <w:rsid w:val="00300F6F"/>
    <w:rsid w:val="003010B9"/>
    <w:rsid w:val="00301FBF"/>
    <w:rsid w:val="0030250C"/>
    <w:rsid w:val="00303C43"/>
    <w:rsid w:val="00306BE1"/>
    <w:rsid w:val="003071A9"/>
    <w:rsid w:val="00310118"/>
    <w:rsid w:val="00315CD5"/>
    <w:rsid w:val="00322CFF"/>
    <w:rsid w:val="0032392A"/>
    <w:rsid w:val="003240ED"/>
    <w:rsid w:val="00324C12"/>
    <w:rsid w:val="003257B4"/>
    <w:rsid w:val="00326730"/>
    <w:rsid w:val="003275B6"/>
    <w:rsid w:val="00333580"/>
    <w:rsid w:val="00333E4C"/>
    <w:rsid w:val="00336AEE"/>
    <w:rsid w:val="00340374"/>
    <w:rsid w:val="00341017"/>
    <w:rsid w:val="003410DC"/>
    <w:rsid w:val="00343202"/>
    <w:rsid w:val="003467CB"/>
    <w:rsid w:val="003514F4"/>
    <w:rsid w:val="00352A40"/>
    <w:rsid w:val="00352F1F"/>
    <w:rsid w:val="00356469"/>
    <w:rsid w:val="003574F0"/>
    <w:rsid w:val="00360A6B"/>
    <w:rsid w:val="00361875"/>
    <w:rsid w:val="00363715"/>
    <w:rsid w:val="003649DE"/>
    <w:rsid w:val="00364C37"/>
    <w:rsid w:val="003656A2"/>
    <w:rsid w:val="00367281"/>
    <w:rsid w:val="003674C3"/>
    <w:rsid w:val="00370008"/>
    <w:rsid w:val="00370392"/>
    <w:rsid w:val="00371E30"/>
    <w:rsid w:val="003729EE"/>
    <w:rsid w:val="00373EAF"/>
    <w:rsid w:val="003753C3"/>
    <w:rsid w:val="00377552"/>
    <w:rsid w:val="00387363"/>
    <w:rsid w:val="00387403"/>
    <w:rsid w:val="00390722"/>
    <w:rsid w:val="00391D8A"/>
    <w:rsid w:val="00392368"/>
    <w:rsid w:val="003927F7"/>
    <w:rsid w:val="00393F90"/>
    <w:rsid w:val="00394848"/>
    <w:rsid w:val="003A1E39"/>
    <w:rsid w:val="003A2379"/>
    <w:rsid w:val="003A2EE4"/>
    <w:rsid w:val="003A3569"/>
    <w:rsid w:val="003A7376"/>
    <w:rsid w:val="003B05F3"/>
    <w:rsid w:val="003B0618"/>
    <w:rsid w:val="003B0C43"/>
    <w:rsid w:val="003B13F0"/>
    <w:rsid w:val="003B45D1"/>
    <w:rsid w:val="003B581B"/>
    <w:rsid w:val="003B5D0B"/>
    <w:rsid w:val="003B7702"/>
    <w:rsid w:val="003C088B"/>
    <w:rsid w:val="003C17D0"/>
    <w:rsid w:val="003C451B"/>
    <w:rsid w:val="003C67DD"/>
    <w:rsid w:val="003C6A2F"/>
    <w:rsid w:val="003D18CF"/>
    <w:rsid w:val="003D2B0E"/>
    <w:rsid w:val="003D2BF3"/>
    <w:rsid w:val="003D2CF2"/>
    <w:rsid w:val="003D4AFD"/>
    <w:rsid w:val="003D5322"/>
    <w:rsid w:val="003D7881"/>
    <w:rsid w:val="003E3E9F"/>
    <w:rsid w:val="003E40FF"/>
    <w:rsid w:val="003E4B1E"/>
    <w:rsid w:val="003F382D"/>
    <w:rsid w:val="003F416D"/>
    <w:rsid w:val="003F56F2"/>
    <w:rsid w:val="003F70C7"/>
    <w:rsid w:val="00402B5E"/>
    <w:rsid w:val="00404CF0"/>
    <w:rsid w:val="004051FB"/>
    <w:rsid w:val="0040609B"/>
    <w:rsid w:val="00407EA9"/>
    <w:rsid w:val="0041034A"/>
    <w:rsid w:val="0041283F"/>
    <w:rsid w:val="00413EDE"/>
    <w:rsid w:val="00420C69"/>
    <w:rsid w:val="00425D7E"/>
    <w:rsid w:val="00433007"/>
    <w:rsid w:val="00433D12"/>
    <w:rsid w:val="004341CB"/>
    <w:rsid w:val="00437438"/>
    <w:rsid w:val="00437BD6"/>
    <w:rsid w:val="00440EBB"/>
    <w:rsid w:val="00445229"/>
    <w:rsid w:val="00447665"/>
    <w:rsid w:val="00450496"/>
    <w:rsid w:val="00450F4F"/>
    <w:rsid w:val="00451623"/>
    <w:rsid w:val="00451E08"/>
    <w:rsid w:val="00454E8E"/>
    <w:rsid w:val="004550C0"/>
    <w:rsid w:val="004550D8"/>
    <w:rsid w:val="004552DF"/>
    <w:rsid w:val="004556A2"/>
    <w:rsid w:val="0045584A"/>
    <w:rsid w:val="004558DD"/>
    <w:rsid w:val="004560FE"/>
    <w:rsid w:val="0046074D"/>
    <w:rsid w:val="00461440"/>
    <w:rsid w:val="004625F2"/>
    <w:rsid w:val="00463ECC"/>
    <w:rsid w:val="004653A9"/>
    <w:rsid w:val="00465767"/>
    <w:rsid w:val="00465AE9"/>
    <w:rsid w:val="00466D97"/>
    <w:rsid w:val="004705CB"/>
    <w:rsid w:val="004727F8"/>
    <w:rsid w:val="00473C45"/>
    <w:rsid w:val="004755D0"/>
    <w:rsid w:val="004767E9"/>
    <w:rsid w:val="00477DD8"/>
    <w:rsid w:val="004814E0"/>
    <w:rsid w:val="004818CD"/>
    <w:rsid w:val="00481B05"/>
    <w:rsid w:val="004834FE"/>
    <w:rsid w:val="00484846"/>
    <w:rsid w:val="00484DF1"/>
    <w:rsid w:val="0048517A"/>
    <w:rsid w:val="00485F11"/>
    <w:rsid w:val="004924E8"/>
    <w:rsid w:val="00492935"/>
    <w:rsid w:val="00494953"/>
    <w:rsid w:val="00496AFB"/>
    <w:rsid w:val="00496B65"/>
    <w:rsid w:val="0049773B"/>
    <w:rsid w:val="004A0242"/>
    <w:rsid w:val="004A04E2"/>
    <w:rsid w:val="004A1AEF"/>
    <w:rsid w:val="004A3A03"/>
    <w:rsid w:val="004A43B8"/>
    <w:rsid w:val="004A4AAF"/>
    <w:rsid w:val="004A4BC3"/>
    <w:rsid w:val="004A5A83"/>
    <w:rsid w:val="004A5E87"/>
    <w:rsid w:val="004A6CB3"/>
    <w:rsid w:val="004A7506"/>
    <w:rsid w:val="004A7922"/>
    <w:rsid w:val="004A7A51"/>
    <w:rsid w:val="004B087F"/>
    <w:rsid w:val="004B0F15"/>
    <w:rsid w:val="004B0FB8"/>
    <w:rsid w:val="004B13D4"/>
    <w:rsid w:val="004B2B08"/>
    <w:rsid w:val="004B361E"/>
    <w:rsid w:val="004B3B70"/>
    <w:rsid w:val="004B3B84"/>
    <w:rsid w:val="004B3C03"/>
    <w:rsid w:val="004B495D"/>
    <w:rsid w:val="004B6242"/>
    <w:rsid w:val="004B68FB"/>
    <w:rsid w:val="004C0A5E"/>
    <w:rsid w:val="004C10F0"/>
    <w:rsid w:val="004C2821"/>
    <w:rsid w:val="004C4D71"/>
    <w:rsid w:val="004C4DDA"/>
    <w:rsid w:val="004D0CF2"/>
    <w:rsid w:val="004D3929"/>
    <w:rsid w:val="004D4E93"/>
    <w:rsid w:val="004D5F53"/>
    <w:rsid w:val="004D6322"/>
    <w:rsid w:val="004D73DE"/>
    <w:rsid w:val="004D76E3"/>
    <w:rsid w:val="004E0931"/>
    <w:rsid w:val="004E192A"/>
    <w:rsid w:val="004E2505"/>
    <w:rsid w:val="004E479D"/>
    <w:rsid w:val="004E7428"/>
    <w:rsid w:val="004F1B28"/>
    <w:rsid w:val="004F1D77"/>
    <w:rsid w:val="004F255D"/>
    <w:rsid w:val="004F5749"/>
    <w:rsid w:val="004F621C"/>
    <w:rsid w:val="00501F07"/>
    <w:rsid w:val="005032C8"/>
    <w:rsid w:val="005036D6"/>
    <w:rsid w:val="005044F3"/>
    <w:rsid w:val="00506E5F"/>
    <w:rsid w:val="005118AA"/>
    <w:rsid w:val="0051261F"/>
    <w:rsid w:val="00514E2D"/>
    <w:rsid w:val="0052024D"/>
    <w:rsid w:val="00520670"/>
    <w:rsid w:val="005234F5"/>
    <w:rsid w:val="00523E54"/>
    <w:rsid w:val="0052525A"/>
    <w:rsid w:val="00525571"/>
    <w:rsid w:val="005255AB"/>
    <w:rsid w:val="00525C23"/>
    <w:rsid w:val="00527194"/>
    <w:rsid w:val="00527414"/>
    <w:rsid w:val="00530E22"/>
    <w:rsid w:val="00533DB6"/>
    <w:rsid w:val="00533E1D"/>
    <w:rsid w:val="005377FB"/>
    <w:rsid w:val="0054415F"/>
    <w:rsid w:val="005447E7"/>
    <w:rsid w:val="00544C25"/>
    <w:rsid w:val="005458EB"/>
    <w:rsid w:val="00554110"/>
    <w:rsid w:val="0055575F"/>
    <w:rsid w:val="00556893"/>
    <w:rsid w:val="00557FA4"/>
    <w:rsid w:val="00562050"/>
    <w:rsid w:val="00564218"/>
    <w:rsid w:val="0056550B"/>
    <w:rsid w:val="005656DA"/>
    <w:rsid w:val="00565797"/>
    <w:rsid w:val="005675B1"/>
    <w:rsid w:val="00572859"/>
    <w:rsid w:val="00573AD7"/>
    <w:rsid w:val="00573FD6"/>
    <w:rsid w:val="00577F6D"/>
    <w:rsid w:val="0058042F"/>
    <w:rsid w:val="005818B0"/>
    <w:rsid w:val="00582F7A"/>
    <w:rsid w:val="00583C60"/>
    <w:rsid w:val="005840C1"/>
    <w:rsid w:val="0058426B"/>
    <w:rsid w:val="00584471"/>
    <w:rsid w:val="005864CC"/>
    <w:rsid w:val="00590449"/>
    <w:rsid w:val="00590E2B"/>
    <w:rsid w:val="00590F1C"/>
    <w:rsid w:val="0059135B"/>
    <w:rsid w:val="00591A9A"/>
    <w:rsid w:val="005927D1"/>
    <w:rsid w:val="005928DA"/>
    <w:rsid w:val="00592AA4"/>
    <w:rsid w:val="005934E7"/>
    <w:rsid w:val="0059443D"/>
    <w:rsid w:val="0059608F"/>
    <w:rsid w:val="00597E7B"/>
    <w:rsid w:val="005A0654"/>
    <w:rsid w:val="005A0C95"/>
    <w:rsid w:val="005A1843"/>
    <w:rsid w:val="005A335C"/>
    <w:rsid w:val="005A493D"/>
    <w:rsid w:val="005A6BC6"/>
    <w:rsid w:val="005B0EEA"/>
    <w:rsid w:val="005B2D90"/>
    <w:rsid w:val="005B3E6A"/>
    <w:rsid w:val="005B5BC4"/>
    <w:rsid w:val="005B5C08"/>
    <w:rsid w:val="005B5FF2"/>
    <w:rsid w:val="005B6E9A"/>
    <w:rsid w:val="005C0661"/>
    <w:rsid w:val="005C54AF"/>
    <w:rsid w:val="005C785A"/>
    <w:rsid w:val="005D074F"/>
    <w:rsid w:val="005D1F1F"/>
    <w:rsid w:val="005D3013"/>
    <w:rsid w:val="005D34C7"/>
    <w:rsid w:val="005D3585"/>
    <w:rsid w:val="005D5B0A"/>
    <w:rsid w:val="005D5E32"/>
    <w:rsid w:val="005D7123"/>
    <w:rsid w:val="005E17C1"/>
    <w:rsid w:val="005E1AD7"/>
    <w:rsid w:val="005E2542"/>
    <w:rsid w:val="005E2987"/>
    <w:rsid w:val="005E3A86"/>
    <w:rsid w:val="005E3D9D"/>
    <w:rsid w:val="005E3FE8"/>
    <w:rsid w:val="005E698A"/>
    <w:rsid w:val="005E6C44"/>
    <w:rsid w:val="005F0790"/>
    <w:rsid w:val="005F128B"/>
    <w:rsid w:val="005F1E5D"/>
    <w:rsid w:val="005F1EB5"/>
    <w:rsid w:val="005F2724"/>
    <w:rsid w:val="005F352F"/>
    <w:rsid w:val="005F3641"/>
    <w:rsid w:val="005F3D13"/>
    <w:rsid w:val="005F5B4E"/>
    <w:rsid w:val="005F5D10"/>
    <w:rsid w:val="005F5F8D"/>
    <w:rsid w:val="005F644B"/>
    <w:rsid w:val="005F79CE"/>
    <w:rsid w:val="006015C0"/>
    <w:rsid w:val="00605398"/>
    <w:rsid w:val="00605A05"/>
    <w:rsid w:val="00606AB8"/>
    <w:rsid w:val="00607813"/>
    <w:rsid w:val="00610663"/>
    <w:rsid w:val="00611F94"/>
    <w:rsid w:val="006122A0"/>
    <w:rsid w:val="006129C9"/>
    <w:rsid w:val="0061780F"/>
    <w:rsid w:val="00622CB7"/>
    <w:rsid w:val="006232AD"/>
    <w:rsid w:val="00624EEC"/>
    <w:rsid w:val="00626C83"/>
    <w:rsid w:val="00626CAA"/>
    <w:rsid w:val="00627979"/>
    <w:rsid w:val="00627E72"/>
    <w:rsid w:val="00630102"/>
    <w:rsid w:val="00631246"/>
    <w:rsid w:val="00634BE0"/>
    <w:rsid w:val="00634E7B"/>
    <w:rsid w:val="00635E40"/>
    <w:rsid w:val="006373FA"/>
    <w:rsid w:val="00637DF3"/>
    <w:rsid w:val="00640C76"/>
    <w:rsid w:val="0064369B"/>
    <w:rsid w:val="006468AE"/>
    <w:rsid w:val="00647798"/>
    <w:rsid w:val="00650BCE"/>
    <w:rsid w:val="00650FE7"/>
    <w:rsid w:val="00651C87"/>
    <w:rsid w:val="00651E39"/>
    <w:rsid w:val="006527A1"/>
    <w:rsid w:val="00652E33"/>
    <w:rsid w:val="00653468"/>
    <w:rsid w:val="00654E02"/>
    <w:rsid w:val="00655A75"/>
    <w:rsid w:val="00655F53"/>
    <w:rsid w:val="0065744E"/>
    <w:rsid w:val="00660CD3"/>
    <w:rsid w:val="0066179C"/>
    <w:rsid w:val="006627E0"/>
    <w:rsid w:val="006629A7"/>
    <w:rsid w:val="00667127"/>
    <w:rsid w:val="00671E5A"/>
    <w:rsid w:val="00672462"/>
    <w:rsid w:val="00673412"/>
    <w:rsid w:val="0067556C"/>
    <w:rsid w:val="00675C79"/>
    <w:rsid w:val="00675D1C"/>
    <w:rsid w:val="006803CA"/>
    <w:rsid w:val="00681B22"/>
    <w:rsid w:val="0068257A"/>
    <w:rsid w:val="00685950"/>
    <w:rsid w:val="00685C34"/>
    <w:rsid w:val="00687CD8"/>
    <w:rsid w:val="00690A24"/>
    <w:rsid w:val="00690C06"/>
    <w:rsid w:val="00690C33"/>
    <w:rsid w:val="0069179F"/>
    <w:rsid w:val="006919D8"/>
    <w:rsid w:val="00692A62"/>
    <w:rsid w:val="00692B99"/>
    <w:rsid w:val="006932C6"/>
    <w:rsid w:val="00695209"/>
    <w:rsid w:val="006952F1"/>
    <w:rsid w:val="00695E8A"/>
    <w:rsid w:val="0069780C"/>
    <w:rsid w:val="006A0747"/>
    <w:rsid w:val="006A20FC"/>
    <w:rsid w:val="006A227B"/>
    <w:rsid w:val="006A2956"/>
    <w:rsid w:val="006A2C9A"/>
    <w:rsid w:val="006A4C31"/>
    <w:rsid w:val="006A574F"/>
    <w:rsid w:val="006B2623"/>
    <w:rsid w:val="006B3250"/>
    <w:rsid w:val="006B468F"/>
    <w:rsid w:val="006B5D6F"/>
    <w:rsid w:val="006B7778"/>
    <w:rsid w:val="006C0261"/>
    <w:rsid w:val="006C258B"/>
    <w:rsid w:val="006C26A8"/>
    <w:rsid w:val="006C321C"/>
    <w:rsid w:val="006C32A1"/>
    <w:rsid w:val="006C4E66"/>
    <w:rsid w:val="006C61B9"/>
    <w:rsid w:val="006C6C63"/>
    <w:rsid w:val="006C76BF"/>
    <w:rsid w:val="006D0FC8"/>
    <w:rsid w:val="006D17B5"/>
    <w:rsid w:val="006D43E6"/>
    <w:rsid w:val="006D48A0"/>
    <w:rsid w:val="006D5B13"/>
    <w:rsid w:val="006D5DE4"/>
    <w:rsid w:val="006D64A6"/>
    <w:rsid w:val="006D6DE7"/>
    <w:rsid w:val="006E2DCD"/>
    <w:rsid w:val="006E3595"/>
    <w:rsid w:val="006E428D"/>
    <w:rsid w:val="006E457D"/>
    <w:rsid w:val="006E53BB"/>
    <w:rsid w:val="006E6E3A"/>
    <w:rsid w:val="006E74EB"/>
    <w:rsid w:val="006E7BA2"/>
    <w:rsid w:val="006F09E4"/>
    <w:rsid w:val="006F1503"/>
    <w:rsid w:val="006F188B"/>
    <w:rsid w:val="006F1B2D"/>
    <w:rsid w:val="006F2B22"/>
    <w:rsid w:val="006F45B9"/>
    <w:rsid w:val="006F469E"/>
    <w:rsid w:val="006F58B0"/>
    <w:rsid w:val="006F6E7C"/>
    <w:rsid w:val="00700903"/>
    <w:rsid w:val="00704A75"/>
    <w:rsid w:val="00704BEA"/>
    <w:rsid w:val="00704D11"/>
    <w:rsid w:val="00704D5C"/>
    <w:rsid w:val="007053B0"/>
    <w:rsid w:val="00705F23"/>
    <w:rsid w:val="00713543"/>
    <w:rsid w:val="00715973"/>
    <w:rsid w:val="00717C21"/>
    <w:rsid w:val="00717D29"/>
    <w:rsid w:val="0072373A"/>
    <w:rsid w:val="007258DF"/>
    <w:rsid w:val="007271DE"/>
    <w:rsid w:val="00731030"/>
    <w:rsid w:val="007317A3"/>
    <w:rsid w:val="00732BB8"/>
    <w:rsid w:val="00734520"/>
    <w:rsid w:val="00735EB2"/>
    <w:rsid w:val="00736FF3"/>
    <w:rsid w:val="00740413"/>
    <w:rsid w:val="00740769"/>
    <w:rsid w:val="00740BCE"/>
    <w:rsid w:val="00741A7B"/>
    <w:rsid w:val="0074224D"/>
    <w:rsid w:val="00742894"/>
    <w:rsid w:val="007446E6"/>
    <w:rsid w:val="0074523D"/>
    <w:rsid w:val="007454FB"/>
    <w:rsid w:val="00745C07"/>
    <w:rsid w:val="0074647A"/>
    <w:rsid w:val="00747BAA"/>
    <w:rsid w:val="00747EF1"/>
    <w:rsid w:val="00750896"/>
    <w:rsid w:val="00750D3D"/>
    <w:rsid w:val="007544C9"/>
    <w:rsid w:val="00754AFA"/>
    <w:rsid w:val="00760454"/>
    <w:rsid w:val="00760E42"/>
    <w:rsid w:val="0076301F"/>
    <w:rsid w:val="007638B8"/>
    <w:rsid w:val="00764A9D"/>
    <w:rsid w:val="00764AED"/>
    <w:rsid w:val="00766D5E"/>
    <w:rsid w:val="00767FA6"/>
    <w:rsid w:val="00771DE0"/>
    <w:rsid w:val="00773645"/>
    <w:rsid w:val="007737DD"/>
    <w:rsid w:val="00774632"/>
    <w:rsid w:val="00775FB6"/>
    <w:rsid w:val="00777E05"/>
    <w:rsid w:val="0078105D"/>
    <w:rsid w:val="00781203"/>
    <w:rsid w:val="00781304"/>
    <w:rsid w:val="00782356"/>
    <w:rsid w:val="00782AA7"/>
    <w:rsid w:val="007834D3"/>
    <w:rsid w:val="007855C9"/>
    <w:rsid w:val="00786D98"/>
    <w:rsid w:val="007877E2"/>
    <w:rsid w:val="00791ECE"/>
    <w:rsid w:val="007923D8"/>
    <w:rsid w:val="007938D9"/>
    <w:rsid w:val="00794502"/>
    <w:rsid w:val="00794E0B"/>
    <w:rsid w:val="00795D0E"/>
    <w:rsid w:val="007968DC"/>
    <w:rsid w:val="0079763E"/>
    <w:rsid w:val="007A0228"/>
    <w:rsid w:val="007A1923"/>
    <w:rsid w:val="007A2953"/>
    <w:rsid w:val="007A445E"/>
    <w:rsid w:val="007A6953"/>
    <w:rsid w:val="007A6A6E"/>
    <w:rsid w:val="007A77EC"/>
    <w:rsid w:val="007B4B86"/>
    <w:rsid w:val="007B6013"/>
    <w:rsid w:val="007B711A"/>
    <w:rsid w:val="007C0D8B"/>
    <w:rsid w:val="007C0E0A"/>
    <w:rsid w:val="007C17F4"/>
    <w:rsid w:val="007C1A6A"/>
    <w:rsid w:val="007C1EEE"/>
    <w:rsid w:val="007C27C6"/>
    <w:rsid w:val="007C295B"/>
    <w:rsid w:val="007C3AA9"/>
    <w:rsid w:val="007C3BC7"/>
    <w:rsid w:val="007C43A3"/>
    <w:rsid w:val="007C49C6"/>
    <w:rsid w:val="007C4C93"/>
    <w:rsid w:val="007C4FF2"/>
    <w:rsid w:val="007C5350"/>
    <w:rsid w:val="007C6810"/>
    <w:rsid w:val="007D1B1F"/>
    <w:rsid w:val="007D2B76"/>
    <w:rsid w:val="007D2D9A"/>
    <w:rsid w:val="007D3028"/>
    <w:rsid w:val="007D3956"/>
    <w:rsid w:val="007D50B1"/>
    <w:rsid w:val="007D7744"/>
    <w:rsid w:val="007E23A9"/>
    <w:rsid w:val="007E4474"/>
    <w:rsid w:val="007E495B"/>
    <w:rsid w:val="007E79DE"/>
    <w:rsid w:val="007F0A2C"/>
    <w:rsid w:val="007F12BA"/>
    <w:rsid w:val="007F14E3"/>
    <w:rsid w:val="007F1E9E"/>
    <w:rsid w:val="007F2070"/>
    <w:rsid w:val="0080158B"/>
    <w:rsid w:val="00801D89"/>
    <w:rsid w:val="00802CE0"/>
    <w:rsid w:val="00810D11"/>
    <w:rsid w:val="00811FAB"/>
    <w:rsid w:val="0081212F"/>
    <w:rsid w:val="008134C9"/>
    <w:rsid w:val="00816170"/>
    <w:rsid w:val="00816A36"/>
    <w:rsid w:val="008205DA"/>
    <w:rsid w:val="0082109B"/>
    <w:rsid w:val="008272B3"/>
    <w:rsid w:val="00827F03"/>
    <w:rsid w:val="0083073C"/>
    <w:rsid w:val="00831246"/>
    <w:rsid w:val="00834951"/>
    <w:rsid w:val="00835A48"/>
    <w:rsid w:val="00835C63"/>
    <w:rsid w:val="00836EDC"/>
    <w:rsid w:val="00844576"/>
    <w:rsid w:val="00845402"/>
    <w:rsid w:val="00845669"/>
    <w:rsid w:val="00845B10"/>
    <w:rsid w:val="00845B89"/>
    <w:rsid w:val="00846295"/>
    <w:rsid w:val="0084679E"/>
    <w:rsid w:val="00847293"/>
    <w:rsid w:val="0085006A"/>
    <w:rsid w:val="00851066"/>
    <w:rsid w:val="0085254A"/>
    <w:rsid w:val="00852A5B"/>
    <w:rsid w:val="008533FD"/>
    <w:rsid w:val="0085361D"/>
    <w:rsid w:val="00853C78"/>
    <w:rsid w:val="00855641"/>
    <w:rsid w:val="008563AA"/>
    <w:rsid w:val="00856DDF"/>
    <w:rsid w:val="0086084B"/>
    <w:rsid w:val="00860C53"/>
    <w:rsid w:val="0086118E"/>
    <w:rsid w:val="0086177C"/>
    <w:rsid w:val="008630F0"/>
    <w:rsid w:val="008665F3"/>
    <w:rsid w:val="00867754"/>
    <w:rsid w:val="00867B0F"/>
    <w:rsid w:val="0087461C"/>
    <w:rsid w:val="00874649"/>
    <w:rsid w:val="0087512F"/>
    <w:rsid w:val="00876D94"/>
    <w:rsid w:val="00880724"/>
    <w:rsid w:val="008814C1"/>
    <w:rsid w:val="00882351"/>
    <w:rsid w:val="00883084"/>
    <w:rsid w:val="008835A5"/>
    <w:rsid w:val="00884FAB"/>
    <w:rsid w:val="008864F6"/>
    <w:rsid w:val="00886BC5"/>
    <w:rsid w:val="00886DC9"/>
    <w:rsid w:val="008872E6"/>
    <w:rsid w:val="0089270E"/>
    <w:rsid w:val="00893DCC"/>
    <w:rsid w:val="0089758E"/>
    <w:rsid w:val="008A0678"/>
    <w:rsid w:val="008A080B"/>
    <w:rsid w:val="008A3AF6"/>
    <w:rsid w:val="008A4BEE"/>
    <w:rsid w:val="008A741C"/>
    <w:rsid w:val="008A7E12"/>
    <w:rsid w:val="008B1086"/>
    <w:rsid w:val="008B1F31"/>
    <w:rsid w:val="008B38AF"/>
    <w:rsid w:val="008B4083"/>
    <w:rsid w:val="008B6CDE"/>
    <w:rsid w:val="008B747B"/>
    <w:rsid w:val="008C05D1"/>
    <w:rsid w:val="008C0894"/>
    <w:rsid w:val="008C4DA1"/>
    <w:rsid w:val="008D22EA"/>
    <w:rsid w:val="008D2BA5"/>
    <w:rsid w:val="008D2EA7"/>
    <w:rsid w:val="008E0CF1"/>
    <w:rsid w:val="008E2EA6"/>
    <w:rsid w:val="008E3710"/>
    <w:rsid w:val="008E405F"/>
    <w:rsid w:val="008E6211"/>
    <w:rsid w:val="008E7B5D"/>
    <w:rsid w:val="008E7C60"/>
    <w:rsid w:val="008F1355"/>
    <w:rsid w:val="008F20C5"/>
    <w:rsid w:val="008F4AE5"/>
    <w:rsid w:val="009005AA"/>
    <w:rsid w:val="009005B7"/>
    <w:rsid w:val="009011A3"/>
    <w:rsid w:val="009064E1"/>
    <w:rsid w:val="00907FF8"/>
    <w:rsid w:val="00912BBD"/>
    <w:rsid w:val="009138AF"/>
    <w:rsid w:val="009168EA"/>
    <w:rsid w:val="0092021A"/>
    <w:rsid w:val="00923427"/>
    <w:rsid w:val="00923ACB"/>
    <w:rsid w:val="00926CA2"/>
    <w:rsid w:val="009274CD"/>
    <w:rsid w:val="00932592"/>
    <w:rsid w:val="00932C73"/>
    <w:rsid w:val="00932FEB"/>
    <w:rsid w:val="0093351A"/>
    <w:rsid w:val="0093363B"/>
    <w:rsid w:val="009341D8"/>
    <w:rsid w:val="00934CE3"/>
    <w:rsid w:val="00934DCA"/>
    <w:rsid w:val="009354BA"/>
    <w:rsid w:val="0093598C"/>
    <w:rsid w:val="00935C9F"/>
    <w:rsid w:val="009364FF"/>
    <w:rsid w:val="009379FA"/>
    <w:rsid w:val="00937A09"/>
    <w:rsid w:val="00940ED8"/>
    <w:rsid w:val="00941249"/>
    <w:rsid w:val="00941DDC"/>
    <w:rsid w:val="00943597"/>
    <w:rsid w:val="00945D33"/>
    <w:rsid w:val="009472E3"/>
    <w:rsid w:val="009511F9"/>
    <w:rsid w:val="00952566"/>
    <w:rsid w:val="00952FA9"/>
    <w:rsid w:val="009536BD"/>
    <w:rsid w:val="00953E0E"/>
    <w:rsid w:val="009550AD"/>
    <w:rsid w:val="009574E2"/>
    <w:rsid w:val="0096040A"/>
    <w:rsid w:val="0096188B"/>
    <w:rsid w:val="00962D8E"/>
    <w:rsid w:val="009637A8"/>
    <w:rsid w:val="00963D07"/>
    <w:rsid w:val="009663FC"/>
    <w:rsid w:val="00966E15"/>
    <w:rsid w:val="009703B0"/>
    <w:rsid w:val="00970A67"/>
    <w:rsid w:val="009717D7"/>
    <w:rsid w:val="009723D3"/>
    <w:rsid w:val="0097323C"/>
    <w:rsid w:val="00973F41"/>
    <w:rsid w:val="00974BD1"/>
    <w:rsid w:val="00975B03"/>
    <w:rsid w:val="00975D4F"/>
    <w:rsid w:val="009767CC"/>
    <w:rsid w:val="00976DFD"/>
    <w:rsid w:val="00977D73"/>
    <w:rsid w:val="00980E2D"/>
    <w:rsid w:val="009822AF"/>
    <w:rsid w:val="00983CAA"/>
    <w:rsid w:val="0098439A"/>
    <w:rsid w:val="0098708F"/>
    <w:rsid w:val="00991EAF"/>
    <w:rsid w:val="009943B9"/>
    <w:rsid w:val="00994F17"/>
    <w:rsid w:val="00995B5C"/>
    <w:rsid w:val="00995D70"/>
    <w:rsid w:val="00995DF7"/>
    <w:rsid w:val="009971AF"/>
    <w:rsid w:val="009A01AE"/>
    <w:rsid w:val="009A10C1"/>
    <w:rsid w:val="009A1214"/>
    <w:rsid w:val="009A18CA"/>
    <w:rsid w:val="009A33EA"/>
    <w:rsid w:val="009A3405"/>
    <w:rsid w:val="009A4521"/>
    <w:rsid w:val="009A52E2"/>
    <w:rsid w:val="009A5874"/>
    <w:rsid w:val="009A5A48"/>
    <w:rsid w:val="009A6956"/>
    <w:rsid w:val="009A6BDF"/>
    <w:rsid w:val="009A6C24"/>
    <w:rsid w:val="009A6C73"/>
    <w:rsid w:val="009A7921"/>
    <w:rsid w:val="009B2591"/>
    <w:rsid w:val="009B7B9F"/>
    <w:rsid w:val="009C3068"/>
    <w:rsid w:val="009C4473"/>
    <w:rsid w:val="009C492E"/>
    <w:rsid w:val="009C50AB"/>
    <w:rsid w:val="009D2091"/>
    <w:rsid w:val="009D31B5"/>
    <w:rsid w:val="009D4C58"/>
    <w:rsid w:val="009D5733"/>
    <w:rsid w:val="009D6A84"/>
    <w:rsid w:val="009E05BD"/>
    <w:rsid w:val="009E11FA"/>
    <w:rsid w:val="009E13AD"/>
    <w:rsid w:val="009E2C39"/>
    <w:rsid w:val="009E3722"/>
    <w:rsid w:val="009E3EB3"/>
    <w:rsid w:val="009E7C5E"/>
    <w:rsid w:val="009F1727"/>
    <w:rsid w:val="009F2FDB"/>
    <w:rsid w:val="009F5298"/>
    <w:rsid w:val="009F646C"/>
    <w:rsid w:val="009F742A"/>
    <w:rsid w:val="00A0044F"/>
    <w:rsid w:val="00A00C23"/>
    <w:rsid w:val="00A02950"/>
    <w:rsid w:val="00A02B46"/>
    <w:rsid w:val="00A050D9"/>
    <w:rsid w:val="00A058DC"/>
    <w:rsid w:val="00A05AFC"/>
    <w:rsid w:val="00A10B30"/>
    <w:rsid w:val="00A11829"/>
    <w:rsid w:val="00A11A6B"/>
    <w:rsid w:val="00A128A4"/>
    <w:rsid w:val="00A14290"/>
    <w:rsid w:val="00A14C3B"/>
    <w:rsid w:val="00A177C2"/>
    <w:rsid w:val="00A20026"/>
    <w:rsid w:val="00A2242C"/>
    <w:rsid w:val="00A2278F"/>
    <w:rsid w:val="00A231F5"/>
    <w:rsid w:val="00A23A22"/>
    <w:rsid w:val="00A23D5F"/>
    <w:rsid w:val="00A24AEA"/>
    <w:rsid w:val="00A24D9C"/>
    <w:rsid w:val="00A250FB"/>
    <w:rsid w:val="00A26438"/>
    <w:rsid w:val="00A270AF"/>
    <w:rsid w:val="00A27AFA"/>
    <w:rsid w:val="00A30807"/>
    <w:rsid w:val="00A32D3C"/>
    <w:rsid w:val="00A3392A"/>
    <w:rsid w:val="00A33A78"/>
    <w:rsid w:val="00A3449E"/>
    <w:rsid w:val="00A348FA"/>
    <w:rsid w:val="00A353E7"/>
    <w:rsid w:val="00A369E4"/>
    <w:rsid w:val="00A37DD5"/>
    <w:rsid w:val="00A401BD"/>
    <w:rsid w:val="00A40703"/>
    <w:rsid w:val="00A41A20"/>
    <w:rsid w:val="00A42218"/>
    <w:rsid w:val="00A434C1"/>
    <w:rsid w:val="00A4422F"/>
    <w:rsid w:val="00A45E4D"/>
    <w:rsid w:val="00A47743"/>
    <w:rsid w:val="00A503AB"/>
    <w:rsid w:val="00A505C1"/>
    <w:rsid w:val="00A53217"/>
    <w:rsid w:val="00A532FF"/>
    <w:rsid w:val="00A54613"/>
    <w:rsid w:val="00A557D9"/>
    <w:rsid w:val="00A56A9D"/>
    <w:rsid w:val="00A57B5E"/>
    <w:rsid w:val="00A57F50"/>
    <w:rsid w:val="00A612C6"/>
    <w:rsid w:val="00A631E8"/>
    <w:rsid w:val="00A63BB5"/>
    <w:rsid w:val="00A67235"/>
    <w:rsid w:val="00A67C8D"/>
    <w:rsid w:val="00A7085E"/>
    <w:rsid w:val="00A729FF"/>
    <w:rsid w:val="00A72BA8"/>
    <w:rsid w:val="00A73E42"/>
    <w:rsid w:val="00A77673"/>
    <w:rsid w:val="00A80879"/>
    <w:rsid w:val="00A82B87"/>
    <w:rsid w:val="00A82EFF"/>
    <w:rsid w:val="00A83B42"/>
    <w:rsid w:val="00A843B7"/>
    <w:rsid w:val="00A843F0"/>
    <w:rsid w:val="00A85EB6"/>
    <w:rsid w:val="00A86812"/>
    <w:rsid w:val="00A870A7"/>
    <w:rsid w:val="00A905D4"/>
    <w:rsid w:val="00A90E1E"/>
    <w:rsid w:val="00A9106C"/>
    <w:rsid w:val="00A95E46"/>
    <w:rsid w:val="00A9755F"/>
    <w:rsid w:val="00A978F3"/>
    <w:rsid w:val="00A97AC7"/>
    <w:rsid w:val="00A97AD2"/>
    <w:rsid w:val="00A97DB8"/>
    <w:rsid w:val="00AA14FC"/>
    <w:rsid w:val="00AA5C65"/>
    <w:rsid w:val="00AA7467"/>
    <w:rsid w:val="00AA798C"/>
    <w:rsid w:val="00AB118E"/>
    <w:rsid w:val="00AB387D"/>
    <w:rsid w:val="00AB44A7"/>
    <w:rsid w:val="00AB780E"/>
    <w:rsid w:val="00AC700F"/>
    <w:rsid w:val="00AD0C70"/>
    <w:rsid w:val="00AD1794"/>
    <w:rsid w:val="00AD2665"/>
    <w:rsid w:val="00AD266F"/>
    <w:rsid w:val="00AD29DE"/>
    <w:rsid w:val="00AD2AE4"/>
    <w:rsid w:val="00AD2CA3"/>
    <w:rsid w:val="00AD3CC5"/>
    <w:rsid w:val="00AD4A3A"/>
    <w:rsid w:val="00AD631B"/>
    <w:rsid w:val="00AE029A"/>
    <w:rsid w:val="00AE3F4D"/>
    <w:rsid w:val="00AE5772"/>
    <w:rsid w:val="00AE6C68"/>
    <w:rsid w:val="00AE70B0"/>
    <w:rsid w:val="00AE7523"/>
    <w:rsid w:val="00AF0330"/>
    <w:rsid w:val="00AF1670"/>
    <w:rsid w:val="00AF196E"/>
    <w:rsid w:val="00AF1BEB"/>
    <w:rsid w:val="00AF281A"/>
    <w:rsid w:val="00AF3C4F"/>
    <w:rsid w:val="00AF685E"/>
    <w:rsid w:val="00AF6884"/>
    <w:rsid w:val="00AF6EA8"/>
    <w:rsid w:val="00AF701A"/>
    <w:rsid w:val="00AF725B"/>
    <w:rsid w:val="00AF75C7"/>
    <w:rsid w:val="00B0039C"/>
    <w:rsid w:val="00B0126B"/>
    <w:rsid w:val="00B01C0C"/>
    <w:rsid w:val="00B01C22"/>
    <w:rsid w:val="00B01D8E"/>
    <w:rsid w:val="00B02388"/>
    <w:rsid w:val="00B03BFE"/>
    <w:rsid w:val="00B0485C"/>
    <w:rsid w:val="00B055CA"/>
    <w:rsid w:val="00B05601"/>
    <w:rsid w:val="00B05C41"/>
    <w:rsid w:val="00B06AA0"/>
    <w:rsid w:val="00B07A09"/>
    <w:rsid w:val="00B11517"/>
    <w:rsid w:val="00B121FE"/>
    <w:rsid w:val="00B15913"/>
    <w:rsid w:val="00B167DE"/>
    <w:rsid w:val="00B2293F"/>
    <w:rsid w:val="00B259F6"/>
    <w:rsid w:val="00B26D4F"/>
    <w:rsid w:val="00B279C0"/>
    <w:rsid w:val="00B30316"/>
    <w:rsid w:val="00B3052B"/>
    <w:rsid w:val="00B30CDA"/>
    <w:rsid w:val="00B31072"/>
    <w:rsid w:val="00B3160E"/>
    <w:rsid w:val="00B328EF"/>
    <w:rsid w:val="00B353EA"/>
    <w:rsid w:val="00B35EDE"/>
    <w:rsid w:val="00B37A31"/>
    <w:rsid w:val="00B4010F"/>
    <w:rsid w:val="00B40883"/>
    <w:rsid w:val="00B410DC"/>
    <w:rsid w:val="00B42AA2"/>
    <w:rsid w:val="00B43407"/>
    <w:rsid w:val="00B4437B"/>
    <w:rsid w:val="00B4453F"/>
    <w:rsid w:val="00B44A58"/>
    <w:rsid w:val="00B44DDB"/>
    <w:rsid w:val="00B4599E"/>
    <w:rsid w:val="00B45A54"/>
    <w:rsid w:val="00B470A1"/>
    <w:rsid w:val="00B470E7"/>
    <w:rsid w:val="00B500B5"/>
    <w:rsid w:val="00B5047E"/>
    <w:rsid w:val="00B55223"/>
    <w:rsid w:val="00B5554F"/>
    <w:rsid w:val="00B55552"/>
    <w:rsid w:val="00B55E0C"/>
    <w:rsid w:val="00B5733D"/>
    <w:rsid w:val="00B612DC"/>
    <w:rsid w:val="00B61412"/>
    <w:rsid w:val="00B63AFB"/>
    <w:rsid w:val="00B63F70"/>
    <w:rsid w:val="00B64254"/>
    <w:rsid w:val="00B648AF"/>
    <w:rsid w:val="00B649EB"/>
    <w:rsid w:val="00B654EB"/>
    <w:rsid w:val="00B67D84"/>
    <w:rsid w:val="00B67F99"/>
    <w:rsid w:val="00B7276D"/>
    <w:rsid w:val="00B740C5"/>
    <w:rsid w:val="00B745E5"/>
    <w:rsid w:val="00B75572"/>
    <w:rsid w:val="00B75D86"/>
    <w:rsid w:val="00B77B10"/>
    <w:rsid w:val="00B80191"/>
    <w:rsid w:val="00B8019C"/>
    <w:rsid w:val="00B81675"/>
    <w:rsid w:val="00B82A78"/>
    <w:rsid w:val="00B82B0B"/>
    <w:rsid w:val="00B847FB"/>
    <w:rsid w:val="00B85406"/>
    <w:rsid w:val="00B8664D"/>
    <w:rsid w:val="00B9126B"/>
    <w:rsid w:val="00B9265D"/>
    <w:rsid w:val="00B94B59"/>
    <w:rsid w:val="00B966FE"/>
    <w:rsid w:val="00BA0533"/>
    <w:rsid w:val="00BA219F"/>
    <w:rsid w:val="00BA7799"/>
    <w:rsid w:val="00BA7B59"/>
    <w:rsid w:val="00BB2184"/>
    <w:rsid w:val="00BB72AE"/>
    <w:rsid w:val="00BB77D4"/>
    <w:rsid w:val="00BB7B03"/>
    <w:rsid w:val="00BC2927"/>
    <w:rsid w:val="00BC3457"/>
    <w:rsid w:val="00BC46FF"/>
    <w:rsid w:val="00BC6311"/>
    <w:rsid w:val="00BC68D6"/>
    <w:rsid w:val="00BD0792"/>
    <w:rsid w:val="00BD3589"/>
    <w:rsid w:val="00BD436F"/>
    <w:rsid w:val="00BD4F69"/>
    <w:rsid w:val="00BD70A3"/>
    <w:rsid w:val="00BD7852"/>
    <w:rsid w:val="00BE2C68"/>
    <w:rsid w:val="00BE307E"/>
    <w:rsid w:val="00BE5C57"/>
    <w:rsid w:val="00BE5D20"/>
    <w:rsid w:val="00BE5F8E"/>
    <w:rsid w:val="00BE60AA"/>
    <w:rsid w:val="00BE62A8"/>
    <w:rsid w:val="00BE7CC2"/>
    <w:rsid w:val="00BF0F97"/>
    <w:rsid w:val="00BF1AEA"/>
    <w:rsid w:val="00BF3222"/>
    <w:rsid w:val="00BF47F7"/>
    <w:rsid w:val="00BF5DDC"/>
    <w:rsid w:val="00C023DC"/>
    <w:rsid w:val="00C03888"/>
    <w:rsid w:val="00C04AD3"/>
    <w:rsid w:val="00C05218"/>
    <w:rsid w:val="00C0529E"/>
    <w:rsid w:val="00C06046"/>
    <w:rsid w:val="00C0632B"/>
    <w:rsid w:val="00C06465"/>
    <w:rsid w:val="00C1196E"/>
    <w:rsid w:val="00C13277"/>
    <w:rsid w:val="00C149D7"/>
    <w:rsid w:val="00C14C57"/>
    <w:rsid w:val="00C16E30"/>
    <w:rsid w:val="00C16FE5"/>
    <w:rsid w:val="00C173E3"/>
    <w:rsid w:val="00C17A7C"/>
    <w:rsid w:val="00C20234"/>
    <w:rsid w:val="00C248E4"/>
    <w:rsid w:val="00C2582F"/>
    <w:rsid w:val="00C262C8"/>
    <w:rsid w:val="00C2782E"/>
    <w:rsid w:val="00C27FE0"/>
    <w:rsid w:val="00C30813"/>
    <w:rsid w:val="00C31051"/>
    <w:rsid w:val="00C31DC9"/>
    <w:rsid w:val="00C3316B"/>
    <w:rsid w:val="00C35D1B"/>
    <w:rsid w:val="00C36A3E"/>
    <w:rsid w:val="00C36E42"/>
    <w:rsid w:val="00C410BA"/>
    <w:rsid w:val="00C4123A"/>
    <w:rsid w:val="00C42D40"/>
    <w:rsid w:val="00C43716"/>
    <w:rsid w:val="00C43861"/>
    <w:rsid w:val="00C46186"/>
    <w:rsid w:val="00C46753"/>
    <w:rsid w:val="00C50FD7"/>
    <w:rsid w:val="00C55FBD"/>
    <w:rsid w:val="00C5634D"/>
    <w:rsid w:val="00C5754C"/>
    <w:rsid w:val="00C57661"/>
    <w:rsid w:val="00C57A98"/>
    <w:rsid w:val="00C62B89"/>
    <w:rsid w:val="00C6561E"/>
    <w:rsid w:val="00C66C02"/>
    <w:rsid w:val="00C6731C"/>
    <w:rsid w:val="00C701CD"/>
    <w:rsid w:val="00C7281C"/>
    <w:rsid w:val="00C7433D"/>
    <w:rsid w:val="00C74C35"/>
    <w:rsid w:val="00C7645E"/>
    <w:rsid w:val="00C76DF2"/>
    <w:rsid w:val="00C773A3"/>
    <w:rsid w:val="00C7747F"/>
    <w:rsid w:val="00C77AD4"/>
    <w:rsid w:val="00C77BFD"/>
    <w:rsid w:val="00C77F92"/>
    <w:rsid w:val="00C80AE5"/>
    <w:rsid w:val="00C80B6B"/>
    <w:rsid w:val="00C82109"/>
    <w:rsid w:val="00C83D91"/>
    <w:rsid w:val="00C8610E"/>
    <w:rsid w:val="00C86A3E"/>
    <w:rsid w:val="00C878F0"/>
    <w:rsid w:val="00C91191"/>
    <w:rsid w:val="00C92A49"/>
    <w:rsid w:val="00C94333"/>
    <w:rsid w:val="00C96437"/>
    <w:rsid w:val="00C97C45"/>
    <w:rsid w:val="00CA02D7"/>
    <w:rsid w:val="00CA0EB3"/>
    <w:rsid w:val="00CA2241"/>
    <w:rsid w:val="00CA2A36"/>
    <w:rsid w:val="00CA2D81"/>
    <w:rsid w:val="00CA4806"/>
    <w:rsid w:val="00CA4C4B"/>
    <w:rsid w:val="00CA669D"/>
    <w:rsid w:val="00CB119B"/>
    <w:rsid w:val="00CB4DC2"/>
    <w:rsid w:val="00CB69D5"/>
    <w:rsid w:val="00CB7EFF"/>
    <w:rsid w:val="00CC036D"/>
    <w:rsid w:val="00CC131B"/>
    <w:rsid w:val="00CC2A43"/>
    <w:rsid w:val="00CC35D6"/>
    <w:rsid w:val="00CC4900"/>
    <w:rsid w:val="00CC6473"/>
    <w:rsid w:val="00CD02A2"/>
    <w:rsid w:val="00CD1F99"/>
    <w:rsid w:val="00CD28EF"/>
    <w:rsid w:val="00CD5804"/>
    <w:rsid w:val="00CD5ABC"/>
    <w:rsid w:val="00CE0EA1"/>
    <w:rsid w:val="00CE1F69"/>
    <w:rsid w:val="00CE2A5B"/>
    <w:rsid w:val="00CE2F9F"/>
    <w:rsid w:val="00CE3281"/>
    <w:rsid w:val="00CE57A6"/>
    <w:rsid w:val="00CE5B06"/>
    <w:rsid w:val="00CE6644"/>
    <w:rsid w:val="00CE73AD"/>
    <w:rsid w:val="00CF09E3"/>
    <w:rsid w:val="00CF0AFE"/>
    <w:rsid w:val="00CF1800"/>
    <w:rsid w:val="00CF25D4"/>
    <w:rsid w:val="00CF27C9"/>
    <w:rsid w:val="00CF2C67"/>
    <w:rsid w:val="00CF2CEE"/>
    <w:rsid w:val="00CF4083"/>
    <w:rsid w:val="00CF483F"/>
    <w:rsid w:val="00CF5824"/>
    <w:rsid w:val="00CF713B"/>
    <w:rsid w:val="00CF7A27"/>
    <w:rsid w:val="00D00106"/>
    <w:rsid w:val="00D00DCC"/>
    <w:rsid w:val="00D00F9D"/>
    <w:rsid w:val="00D01484"/>
    <w:rsid w:val="00D01A8C"/>
    <w:rsid w:val="00D0444D"/>
    <w:rsid w:val="00D109D9"/>
    <w:rsid w:val="00D11C83"/>
    <w:rsid w:val="00D11EED"/>
    <w:rsid w:val="00D1234E"/>
    <w:rsid w:val="00D13E52"/>
    <w:rsid w:val="00D200AE"/>
    <w:rsid w:val="00D203CE"/>
    <w:rsid w:val="00D20A85"/>
    <w:rsid w:val="00D20FA7"/>
    <w:rsid w:val="00D22580"/>
    <w:rsid w:val="00D233C4"/>
    <w:rsid w:val="00D25865"/>
    <w:rsid w:val="00D2760B"/>
    <w:rsid w:val="00D31897"/>
    <w:rsid w:val="00D336B9"/>
    <w:rsid w:val="00D34C5E"/>
    <w:rsid w:val="00D4086A"/>
    <w:rsid w:val="00D42C70"/>
    <w:rsid w:val="00D44105"/>
    <w:rsid w:val="00D444D1"/>
    <w:rsid w:val="00D45E07"/>
    <w:rsid w:val="00D460B8"/>
    <w:rsid w:val="00D46A8E"/>
    <w:rsid w:val="00D47749"/>
    <w:rsid w:val="00D478E0"/>
    <w:rsid w:val="00D47F2E"/>
    <w:rsid w:val="00D50566"/>
    <w:rsid w:val="00D50652"/>
    <w:rsid w:val="00D53F4F"/>
    <w:rsid w:val="00D542C0"/>
    <w:rsid w:val="00D5491E"/>
    <w:rsid w:val="00D54C1D"/>
    <w:rsid w:val="00D562BA"/>
    <w:rsid w:val="00D56A5B"/>
    <w:rsid w:val="00D67C13"/>
    <w:rsid w:val="00D72524"/>
    <w:rsid w:val="00D72AD2"/>
    <w:rsid w:val="00D7706F"/>
    <w:rsid w:val="00D80C4E"/>
    <w:rsid w:val="00D82C5A"/>
    <w:rsid w:val="00D848A8"/>
    <w:rsid w:val="00D85866"/>
    <w:rsid w:val="00D859B0"/>
    <w:rsid w:val="00D87538"/>
    <w:rsid w:val="00D921CF"/>
    <w:rsid w:val="00D9221F"/>
    <w:rsid w:val="00D936B1"/>
    <w:rsid w:val="00D937CC"/>
    <w:rsid w:val="00DA2AF4"/>
    <w:rsid w:val="00DA2D22"/>
    <w:rsid w:val="00DA2FE9"/>
    <w:rsid w:val="00DA360E"/>
    <w:rsid w:val="00DA3D13"/>
    <w:rsid w:val="00DA428D"/>
    <w:rsid w:val="00DA441C"/>
    <w:rsid w:val="00DA5C40"/>
    <w:rsid w:val="00DA6869"/>
    <w:rsid w:val="00DA7D36"/>
    <w:rsid w:val="00DB1222"/>
    <w:rsid w:val="00DB3235"/>
    <w:rsid w:val="00DB4009"/>
    <w:rsid w:val="00DB79B0"/>
    <w:rsid w:val="00DB7C68"/>
    <w:rsid w:val="00DB7E70"/>
    <w:rsid w:val="00DC0359"/>
    <w:rsid w:val="00DC1CE2"/>
    <w:rsid w:val="00DC21B9"/>
    <w:rsid w:val="00DC2932"/>
    <w:rsid w:val="00DC2E87"/>
    <w:rsid w:val="00DC33C9"/>
    <w:rsid w:val="00DC3654"/>
    <w:rsid w:val="00DC472A"/>
    <w:rsid w:val="00DC5711"/>
    <w:rsid w:val="00DC7F75"/>
    <w:rsid w:val="00DD0007"/>
    <w:rsid w:val="00DD3BDF"/>
    <w:rsid w:val="00DE0927"/>
    <w:rsid w:val="00DE2DF3"/>
    <w:rsid w:val="00DE30F6"/>
    <w:rsid w:val="00DE3840"/>
    <w:rsid w:val="00DE7AEA"/>
    <w:rsid w:val="00DE7E0E"/>
    <w:rsid w:val="00DF1849"/>
    <w:rsid w:val="00DF3ADE"/>
    <w:rsid w:val="00DF3BD9"/>
    <w:rsid w:val="00DF5CDC"/>
    <w:rsid w:val="00E00FD5"/>
    <w:rsid w:val="00E017EE"/>
    <w:rsid w:val="00E043D9"/>
    <w:rsid w:val="00E048EC"/>
    <w:rsid w:val="00E04E8E"/>
    <w:rsid w:val="00E078BD"/>
    <w:rsid w:val="00E14B6B"/>
    <w:rsid w:val="00E16F89"/>
    <w:rsid w:val="00E16FBC"/>
    <w:rsid w:val="00E17D42"/>
    <w:rsid w:val="00E20033"/>
    <w:rsid w:val="00E20726"/>
    <w:rsid w:val="00E2240C"/>
    <w:rsid w:val="00E24AB7"/>
    <w:rsid w:val="00E25357"/>
    <w:rsid w:val="00E26868"/>
    <w:rsid w:val="00E3106D"/>
    <w:rsid w:val="00E331FB"/>
    <w:rsid w:val="00E33BD0"/>
    <w:rsid w:val="00E34677"/>
    <w:rsid w:val="00E35A91"/>
    <w:rsid w:val="00E36AF3"/>
    <w:rsid w:val="00E4042C"/>
    <w:rsid w:val="00E404F7"/>
    <w:rsid w:val="00E41318"/>
    <w:rsid w:val="00E41729"/>
    <w:rsid w:val="00E41DEA"/>
    <w:rsid w:val="00E45C3D"/>
    <w:rsid w:val="00E46F9E"/>
    <w:rsid w:val="00E47102"/>
    <w:rsid w:val="00E4714B"/>
    <w:rsid w:val="00E47DF6"/>
    <w:rsid w:val="00E52BCA"/>
    <w:rsid w:val="00E539C0"/>
    <w:rsid w:val="00E5473A"/>
    <w:rsid w:val="00E56BF5"/>
    <w:rsid w:val="00E6206D"/>
    <w:rsid w:val="00E622A2"/>
    <w:rsid w:val="00E65503"/>
    <w:rsid w:val="00E67021"/>
    <w:rsid w:val="00E6745F"/>
    <w:rsid w:val="00E70E07"/>
    <w:rsid w:val="00E70E3D"/>
    <w:rsid w:val="00E713B1"/>
    <w:rsid w:val="00E7243D"/>
    <w:rsid w:val="00E72B94"/>
    <w:rsid w:val="00E740D7"/>
    <w:rsid w:val="00E7433C"/>
    <w:rsid w:val="00E74DE7"/>
    <w:rsid w:val="00E7632A"/>
    <w:rsid w:val="00E82041"/>
    <w:rsid w:val="00E84EB1"/>
    <w:rsid w:val="00E85531"/>
    <w:rsid w:val="00E85979"/>
    <w:rsid w:val="00E873F8"/>
    <w:rsid w:val="00E87BFC"/>
    <w:rsid w:val="00E904C6"/>
    <w:rsid w:val="00E90C08"/>
    <w:rsid w:val="00E90EFF"/>
    <w:rsid w:val="00E91B56"/>
    <w:rsid w:val="00E92E05"/>
    <w:rsid w:val="00E93CCC"/>
    <w:rsid w:val="00E93DCA"/>
    <w:rsid w:val="00E94213"/>
    <w:rsid w:val="00E946EC"/>
    <w:rsid w:val="00E94E54"/>
    <w:rsid w:val="00E955CF"/>
    <w:rsid w:val="00E956D8"/>
    <w:rsid w:val="00EA0495"/>
    <w:rsid w:val="00EA1F22"/>
    <w:rsid w:val="00EA1F23"/>
    <w:rsid w:val="00EA2E7F"/>
    <w:rsid w:val="00EB04CE"/>
    <w:rsid w:val="00EB05A5"/>
    <w:rsid w:val="00EB25DE"/>
    <w:rsid w:val="00EB3A30"/>
    <w:rsid w:val="00EB5A4A"/>
    <w:rsid w:val="00EB6027"/>
    <w:rsid w:val="00EB6A37"/>
    <w:rsid w:val="00EB6D7D"/>
    <w:rsid w:val="00EC0738"/>
    <w:rsid w:val="00EC0B80"/>
    <w:rsid w:val="00EC178F"/>
    <w:rsid w:val="00EC182C"/>
    <w:rsid w:val="00EC1C89"/>
    <w:rsid w:val="00EC2D75"/>
    <w:rsid w:val="00EC2E0B"/>
    <w:rsid w:val="00EC2FD5"/>
    <w:rsid w:val="00EC3BA9"/>
    <w:rsid w:val="00EC3D45"/>
    <w:rsid w:val="00EC6303"/>
    <w:rsid w:val="00EC68BA"/>
    <w:rsid w:val="00EC6B73"/>
    <w:rsid w:val="00EC7106"/>
    <w:rsid w:val="00EC7308"/>
    <w:rsid w:val="00ED151B"/>
    <w:rsid w:val="00ED389C"/>
    <w:rsid w:val="00ED4988"/>
    <w:rsid w:val="00ED5E58"/>
    <w:rsid w:val="00ED6971"/>
    <w:rsid w:val="00EE02AB"/>
    <w:rsid w:val="00EE131D"/>
    <w:rsid w:val="00EE2B2B"/>
    <w:rsid w:val="00EE2BAC"/>
    <w:rsid w:val="00EE37FB"/>
    <w:rsid w:val="00EE3889"/>
    <w:rsid w:val="00EE40FB"/>
    <w:rsid w:val="00EE5237"/>
    <w:rsid w:val="00EE6003"/>
    <w:rsid w:val="00EE68E4"/>
    <w:rsid w:val="00EF1166"/>
    <w:rsid w:val="00EF1192"/>
    <w:rsid w:val="00EF13B1"/>
    <w:rsid w:val="00EF322D"/>
    <w:rsid w:val="00EF3458"/>
    <w:rsid w:val="00EF39EA"/>
    <w:rsid w:val="00EF41C0"/>
    <w:rsid w:val="00EF5E7F"/>
    <w:rsid w:val="00EF60DD"/>
    <w:rsid w:val="00EF7B31"/>
    <w:rsid w:val="00F00631"/>
    <w:rsid w:val="00F029F7"/>
    <w:rsid w:val="00F02CE3"/>
    <w:rsid w:val="00F051DC"/>
    <w:rsid w:val="00F0558A"/>
    <w:rsid w:val="00F058F6"/>
    <w:rsid w:val="00F05F83"/>
    <w:rsid w:val="00F10967"/>
    <w:rsid w:val="00F12548"/>
    <w:rsid w:val="00F12B3D"/>
    <w:rsid w:val="00F13638"/>
    <w:rsid w:val="00F146DC"/>
    <w:rsid w:val="00F15093"/>
    <w:rsid w:val="00F1536E"/>
    <w:rsid w:val="00F159C3"/>
    <w:rsid w:val="00F22DD2"/>
    <w:rsid w:val="00F23496"/>
    <w:rsid w:val="00F247EA"/>
    <w:rsid w:val="00F31568"/>
    <w:rsid w:val="00F3326C"/>
    <w:rsid w:val="00F343C2"/>
    <w:rsid w:val="00F3743A"/>
    <w:rsid w:val="00F4298E"/>
    <w:rsid w:val="00F4413D"/>
    <w:rsid w:val="00F458C6"/>
    <w:rsid w:val="00F50CF0"/>
    <w:rsid w:val="00F517BF"/>
    <w:rsid w:val="00F53ABC"/>
    <w:rsid w:val="00F60509"/>
    <w:rsid w:val="00F60519"/>
    <w:rsid w:val="00F607C4"/>
    <w:rsid w:val="00F6097C"/>
    <w:rsid w:val="00F60E23"/>
    <w:rsid w:val="00F63686"/>
    <w:rsid w:val="00F63BAE"/>
    <w:rsid w:val="00F702CE"/>
    <w:rsid w:val="00F71745"/>
    <w:rsid w:val="00F7243B"/>
    <w:rsid w:val="00F72C6D"/>
    <w:rsid w:val="00F74018"/>
    <w:rsid w:val="00F74CB3"/>
    <w:rsid w:val="00F773AC"/>
    <w:rsid w:val="00F80631"/>
    <w:rsid w:val="00F83140"/>
    <w:rsid w:val="00F83E79"/>
    <w:rsid w:val="00F859F1"/>
    <w:rsid w:val="00F85C51"/>
    <w:rsid w:val="00F90DE1"/>
    <w:rsid w:val="00F91669"/>
    <w:rsid w:val="00F970FA"/>
    <w:rsid w:val="00F97DDC"/>
    <w:rsid w:val="00FA214E"/>
    <w:rsid w:val="00FA2EC7"/>
    <w:rsid w:val="00FA3041"/>
    <w:rsid w:val="00FA3852"/>
    <w:rsid w:val="00FA4E3A"/>
    <w:rsid w:val="00FA5831"/>
    <w:rsid w:val="00FA5938"/>
    <w:rsid w:val="00FB1382"/>
    <w:rsid w:val="00FB1C05"/>
    <w:rsid w:val="00FB30F1"/>
    <w:rsid w:val="00FB341D"/>
    <w:rsid w:val="00FB537F"/>
    <w:rsid w:val="00FB76AF"/>
    <w:rsid w:val="00FC2947"/>
    <w:rsid w:val="00FC2E69"/>
    <w:rsid w:val="00FC363A"/>
    <w:rsid w:val="00FC3EE6"/>
    <w:rsid w:val="00FC4558"/>
    <w:rsid w:val="00FC4F75"/>
    <w:rsid w:val="00FC6E16"/>
    <w:rsid w:val="00FD023F"/>
    <w:rsid w:val="00FD10DC"/>
    <w:rsid w:val="00FD1796"/>
    <w:rsid w:val="00FD5A7F"/>
    <w:rsid w:val="00FD6AD2"/>
    <w:rsid w:val="00FE06AD"/>
    <w:rsid w:val="00FE467E"/>
    <w:rsid w:val="00FE4C0F"/>
    <w:rsid w:val="00FE4E38"/>
    <w:rsid w:val="00FE5366"/>
    <w:rsid w:val="00FE590A"/>
    <w:rsid w:val="00FE61D6"/>
    <w:rsid w:val="00FE67AB"/>
    <w:rsid w:val="00FE76A5"/>
    <w:rsid w:val="00FF0A09"/>
    <w:rsid w:val="00FF376D"/>
    <w:rsid w:val="00FF6BC3"/>
    <w:rsid w:val="00FF7B74"/>
    <w:rsid w:val="3C8E8C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BA22E"/>
  <w15:chartTrackingRefBased/>
  <w15:docId w15:val="{09EFFE14-B081-41BF-AACE-8FEE3C064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AFE"/>
    <w:pPr>
      <w:spacing w:before="90" w:after="130" w:line="280" w:lineRule="atLeast"/>
    </w:pPr>
    <w:rPr>
      <w:rFonts w:ascii="Arial Narrow" w:hAnsi="Arial Narrow" w:cs="Arial"/>
    </w:rPr>
  </w:style>
  <w:style w:type="paragraph" w:styleId="Heading1">
    <w:name w:val="heading 1"/>
    <w:basedOn w:val="Heading1nonumber"/>
    <w:next w:val="Introduction"/>
    <w:link w:val="Heading1Char"/>
    <w:uiPriority w:val="9"/>
    <w:qFormat/>
    <w:rsid w:val="00DE7AEA"/>
    <w:pPr>
      <w:keepLines/>
      <w:numPr>
        <w:numId w:val="35"/>
      </w:numPr>
      <w:outlineLvl w:val="0"/>
    </w:pPr>
    <w:rPr>
      <w:rFonts w:eastAsiaTheme="majorEastAsia"/>
      <w:szCs w:val="32"/>
    </w:rPr>
  </w:style>
  <w:style w:type="paragraph" w:styleId="Heading2">
    <w:name w:val="heading 2"/>
    <w:basedOn w:val="Heading2nonumber"/>
    <w:next w:val="BodyText"/>
    <w:link w:val="Heading2Char"/>
    <w:uiPriority w:val="9"/>
    <w:unhideWhenUsed/>
    <w:qFormat/>
    <w:rsid w:val="00DE7AEA"/>
    <w:pPr>
      <w:keepLines/>
      <w:numPr>
        <w:numId w:val="35"/>
      </w:numPr>
      <w:pBdr>
        <w:between w:val="single" w:sz="4" w:space="1" w:color="6C3E99"/>
      </w:pBdr>
      <w:outlineLvl w:val="1"/>
    </w:pPr>
    <w:rPr>
      <w:rFonts w:eastAsiaTheme="majorEastAsia"/>
      <w:szCs w:val="26"/>
    </w:rPr>
  </w:style>
  <w:style w:type="paragraph" w:styleId="Heading3">
    <w:name w:val="heading 3"/>
    <w:basedOn w:val="Heading3nonumber"/>
    <w:next w:val="BodyText"/>
    <w:link w:val="Heading3Char"/>
    <w:uiPriority w:val="9"/>
    <w:unhideWhenUsed/>
    <w:qFormat/>
    <w:rsid w:val="00DE7AEA"/>
    <w:pPr>
      <w:keepLines/>
      <w:numPr>
        <w:numId w:val="35"/>
      </w:numPr>
      <w:pBdr>
        <w:between w:val="single" w:sz="4" w:space="1" w:color="000100"/>
      </w:pBdr>
      <w:outlineLvl w:val="2"/>
    </w:pPr>
    <w:rPr>
      <w:rFonts w:eastAsiaTheme="majorEastAsia"/>
      <w:szCs w:val="24"/>
    </w:rPr>
  </w:style>
  <w:style w:type="paragraph" w:styleId="Heading4">
    <w:name w:val="heading 4"/>
    <w:basedOn w:val="Heading4nonumber"/>
    <w:next w:val="BodyText"/>
    <w:link w:val="Heading4Char"/>
    <w:uiPriority w:val="9"/>
    <w:unhideWhenUsed/>
    <w:qFormat/>
    <w:rsid w:val="00DE7AEA"/>
    <w:pPr>
      <w:keepLines/>
      <w:numPr>
        <w:numId w:val="35"/>
      </w:numPr>
      <w:outlineLvl w:val="3"/>
    </w:pPr>
    <w:rPr>
      <w:rFonts w:eastAsiaTheme="majorEastAsia"/>
      <w:iCs/>
    </w:rPr>
  </w:style>
  <w:style w:type="paragraph" w:styleId="Heading5">
    <w:name w:val="heading 5"/>
    <w:basedOn w:val="Heading5nonumber"/>
    <w:next w:val="BodyText"/>
    <w:link w:val="Heading5Char"/>
    <w:uiPriority w:val="9"/>
    <w:unhideWhenUsed/>
    <w:qFormat/>
    <w:rsid w:val="00DE7AEA"/>
    <w:pPr>
      <w:numPr>
        <w:numId w:val="35"/>
      </w:numPr>
      <w:outlineLvl w:val="4"/>
    </w:pPr>
  </w:style>
  <w:style w:type="paragraph" w:styleId="Heading6">
    <w:name w:val="heading 6"/>
    <w:basedOn w:val="Heading1nonumber"/>
    <w:next w:val="Introduction"/>
    <w:link w:val="Heading6Char"/>
    <w:uiPriority w:val="9"/>
    <w:unhideWhenUsed/>
    <w:qFormat/>
    <w:rsid w:val="008D2BA5"/>
    <w:pPr>
      <w:keepLines/>
      <w:numPr>
        <w:numId w:val="36"/>
      </w:numPr>
      <w:outlineLvl w:val="5"/>
    </w:pPr>
    <w:rPr>
      <w:rFonts w:eastAsiaTheme="majorEastAsia"/>
    </w:rPr>
  </w:style>
  <w:style w:type="paragraph" w:styleId="Heading7">
    <w:name w:val="heading 7"/>
    <w:basedOn w:val="Heading2nonumber"/>
    <w:next w:val="BodyText"/>
    <w:link w:val="Heading7Char"/>
    <w:uiPriority w:val="9"/>
    <w:unhideWhenUsed/>
    <w:qFormat/>
    <w:rsid w:val="008D2BA5"/>
    <w:pPr>
      <w:keepLines/>
      <w:numPr>
        <w:numId w:val="36"/>
      </w:numPr>
      <w:contextualSpacing/>
      <w:outlineLvl w:val="6"/>
    </w:pPr>
    <w:rPr>
      <w:rFonts w:eastAsiaTheme="majorEastAsia"/>
      <w:iCs/>
      <w:color w:val="6C3F99"/>
    </w:rPr>
  </w:style>
  <w:style w:type="paragraph" w:styleId="Heading8">
    <w:name w:val="heading 8"/>
    <w:basedOn w:val="Heading3nonumber"/>
    <w:next w:val="BodyText"/>
    <w:link w:val="Heading8Char"/>
    <w:uiPriority w:val="9"/>
    <w:qFormat/>
    <w:rsid w:val="008D2BA5"/>
    <w:pPr>
      <w:keepLines/>
      <w:numPr>
        <w:numId w:val="36"/>
      </w:numPr>
      <w:pBdr>
        <w:between w:val="single" w:sz="4" w:space="1" w:color="6C3E99"/>
      </w:pBdr>
      <w:contextualSpacing/>
      <w:outlineLvl w:val="7"/>
    </w:pPr>
    <w:rPr>
      <w:rFonts w:eastAsiaTheme="majorEastAsia"/>
      <w:szCs w:val="21"/>
    </w:rPr>
  </w:style>
  <w:style w:type="paragraph" w:styleId="Heading9">
    <w:name w:val="heading 9"/>
    <w:basedOn w:val="Heading4nonumber"/>
    <w:next w:val="BodyText"/>
    <w:link w:val="Heading9Char"/>
    <w:uiPriority w:val="9"/>
    <w:qFormat/>
    <w:rsid w:val="008D2BA5"/>
    <w:pPr>
      <w:keepLines/>
      <w:numPr>
        <w:numId w:val="36"/>
      </w:numPr>
      <w:pBdr>
        <w:between w:val="single" w:sz="4" w:space="1" w:color="auto"/>
      </w:pBdr>
      <w:outlineLvl w:val="8"/>
    </w:pPr>
    <w:rPr>
      <w:rFonts w:eastAsiaTheme="majorEastAsia"/>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DC2"/>
    <w:rPr>
      <w:rFonts w:ascii="Yu Gothic Medium" w:eastAsiaTheme="majorEastAsia" w:hAnsi="Yu Gothic Medium" w:cs="Arial"/>
      <w:color w:val="140034"/>
      <w:sz w:val="56"/>
      <w:szCs w:val="32"/>
    </w:rPr>
  </w:style>
  <w:style w:type="character" w:customStyle="1" w:styleId="Heading2Char">
    <w:name w:val="Heading 2 Char"/>
    <w:basedOn w:val="DefaultParagraphFont"/>
    <w:link w:val="Heading2"/>
    <w:uiPriority w:val="9"/>
    <w:rsid w:val="00591A9A"/>
    <w:rPr>
      <w:rFonts w:ascii="Yu Gothic Medium" w:eastAsiaTheme="majorEastAsia" w:hAnsi="Yu Gothic Medium" w:cs="Arial"/>
      <w:color w:val="6C3E99"/>
      <w:sz w:val="36"/>
      <w:szCs w:val="26"/>
    </w:rPr>
  </w:style>
  <w:style w:type="character" w:customStyle="1" w:styleId="Heading3Char">
    <w:name w:val="Heading 3 Char"/>
    <w:basedOn w:val="DefaultParagraphFont"/>
    <w:link w:val="Heading3"/>
    <w:uiPriority w:val="9"/>
    <w:rsid w:val="0085006A"/>
    <w:rPr>
      <w:rFonts w:ascii="Yu Gothic Medium" w:eastAsiaTheme="majorEastAsia" w:hAnsi="Yu Gothic Medium" w:cs="Arial"/>
      <w:b/>
      <w:sz w:val="32"/>
      <w:szCs w:val="24"/>
    </w:rPr>
  </w:style>
  <w:style w:type="character" w:customStyle="1" w:styleId="Heading4Char">
    <w:name w:val="Heading 4 Char"/>
    <w:basedOn w:val="DefaultParagraphFont"/>
    <w:link w:val="Heading4"/>
    <w:uiPriority w:val="9"/>
    <w:rsid w:val="00E41DEA"/>
    <w:rPr>
      <w:rFonts w:ascii="Yu Gothic" w:eastAsiaTheme="majorEastAsia" w:hAnsi="Yu Gothic" w:cs="Arial"/>
      <w:b/>
      <w:iCs/>
      <w:sz w:val="24"/>
    </w:rPr>
  </w:style>
  <w:style w:type="character" w:customStyle="1" w:styleId="Heading5Char">
    <w:name w:val="Heading 5 Char"/>
    <w:basedOn w:val="DefaultParagraphFont"/>
    <w:link w:val="Heading5"/>
    <w:uiPriority w:val="9"/>
    <w:rsid w:val="001731E6"/>
    <w:rPr>
      <w:rFonts w:ascii="Yu Gothic" w:eastAsia="Yu Gothic" w:hAnsi="Yu Gothic" w:cs="Arial"/>
      <w:b/>
      <w:i/>
      <w:color w:val="000100"/>
      <w:sz w:val="24"/>
    </w:rPr>
  </w:style>
  <w:style w:type="character" w:customStyle="1" w:styleId="Heading6Char">
    <w:name w:val="Heading 6 Char"/>
    <w:basedOn w:val="DefaultParagraphFont"/>
    <w:link w:val="Heading6"/>
    <w:uiPriority w:val="9"/>
    <w:rsid w:val="00A82B87"/>
    <w:rPr>
      <w:rFonts w:ascii="Yu Gothic Medium" w:eastAsiaTheme="majorEastAsia" w:hAnsi="Yu Gothic Medium" w:cs="Arial"/>
      <w:color w:val="140034"/>
      <w:sz w:val="56"/>
    </w:rPr>
  </w:style>
  <w:style w:type="character" w:customStyle="1" w:styleId="Heading7Char">
    <w:name w:val="Heading 7 Char"/>
    <w:basedOn w:val="DefaultParagraphFont"/>
    <w:link w:val="Heading7"/>
    <w:uiPriority w:val="9"/>
    <w:rsid w:val="009717D7"/>
    <w:rPr>
      <w:rFonts w:ascii="Yu Gothic Medium" w:eastAsiaTheme="majorEastAsia" w:hAnsi="Yu Gothic Medium" w:cs="Arial"/>
      <w:iCs/>
      <w:color w:val="6C3F99"/>
      <w:sz w:val="36"/>
    </w:rPr>
  </w:style>
  <w:style w:type="character" w:customStyle="1" w:styleId="Heading8Char">
    <w:name w:val="Heading 8 Char"/>
    <w:basedOn w:val="DefaultParagraphFont"/>
    <w:link w:val="Heading8"/>
    <w:uiPriority w:val="9"/>
    <w:rsid w:val="009717D7"/>
    <w:rPr>
      <w:rFonts w:ascii="Yu Gothic Medium" w:eastAsiaTheme="majorEastAsia" w:hAnsi="Yu Gothic Medium" w:cs="Arial"/>
      <w:b/>
      <w:sz w:val="32"/>
      <w:szCs w:val="21"/>
    </w:rPr>
  </w:style>
  <w:style w:type="character" w:customStyle="1" w:styleId="Heading9Char">
    <w:name w:val="Heading 9 Char"/>
    <w:basedOn w:val="DefaultParagraphFont"/>
    <w:link w:val="Heading9"/>
    <w:uiPriority w:val="9"/>
    <w:rsid w:val="00D921CF"/>
    <w:rPr>
      <w:rFonts w:ascii="Yu Gothic" w:eastAsiaTheme="majorEastAsia" w:hAnsi="Yu Gothic" w:cs="Arial"/>
      <w:b/>
      <w:iCs/>
      <w:sz w:val="24"/>
      <w:szCs w:val="21"/>
    </w:rPr>
  </w:style>
  <w:style w:type="paragraph" w:styleId="BalloonText">
    <w:name w:val="Balloon Text"/>
    <w:basedOn w:val="Normal"/>
    <w:link w:val="BalloonTextChar"/>
    <w:uiPriority w:val="99"/>
    <w:semiHidden/>
    <w:unhideWhenUsed/>
    <w:rsid w:val="009637A8"/>
    <w:pPr>
      <w:spacing w:after="0"/>
    </w:pPr>
    <w:rPr>
      <w:sz w:val="18"/>
      <w:szCs w:val="18"/>
    </w:rPr>
  </w:style>
  <w:style w:type="character" w:customStyle="1" w:styleId="BalloonTextChar">
    <w:name w:val="Balloon Text Char"/>
    <w:basedOn w:val="DefaultParagraphFont"/>
    <w:link w:val="BalloonText"/>
    <w:uiPriority w:val="99"/>
    <w:semiHidden/>
    <w:rsid w:val="009637A8"/>
    <w:rPr>
      <w:rFonts w:ascii="Arial" w:hAnsi="Arial" w:cs="Arial"/>
      <w:sz w:val="18"/>
      <w:szCs w:val="18"/>
    </w:rPr>
  </w:style>
  <w:style w:type="paragraph" w:styleId="Bibliography">
    <w:name w:val="Bibliography"/>
    <w:basedOn w:val="Normal"/>
    <w:next w:val="Normal"/>
    <w:uiPriority w:val="37"/>
    <w:semiHidden/>
    <w:unhideWhenUsed/>
    <w:rsid w:val="009637A8"/>
    <w:pPr>
      <w:spacing w:after="160" w:line="259" w:lineRule="auto"/>
    </w:pPr>
  </w:style>
  <w:style w:type="paragraph" w:styleId="BlockText">
    <w:name w:val="Block Text"/>
    <w:basedOn w:val="Normal"/>
    <w:uiPriority w:val="99"/>
    <w:semiHidden/>
    <w:unhideWhenUsed/>
    <w:rsid w:val="009637A8"/>
    <w:pPr>
      <w:pBdr>
        <w:top w:val="single" w:sz="2" w:space="10" w:color="9D85BE" w:themeColor="accent1"/>
        <w:left w:val="single" w:sz="2" w:space="10" w:color="9D85BE" w:themeColor="accent1"/>
        <w:bottom w:val="single" w:sz="2" w:space="10" w:color="9D85BE" w:themeColor="accent1"/>
        <w:right w:val="single" w:sz="2" w:space="10" w:color="9D85BE" w:themeColor="accent1"/>
      </w:pBdr>
      <w:spacing w:after="160" w:line="259" w:lineRule="auto"/>
      <w:ind w:left="1152" w:right="1152"/>
    </w:pPr>
    <w:rPr>
      <w:rFonts w:eastAsiaTheme="minorEastAsia"/>
      <w:i/>
      <w:iCs/>
      <w:color w:val="9D85BE" w:themeColor="accent1"/>
    </w:rPr>
  </w:style>
  <w:style w:type="paragraph" w:styleId="BodyText">
    <w:name w:val="Body Text"/>
    <w:aliases w:val="Body Text Char1,Body Text Char Char,Body Text Char2,Body Text Char2 Char Char1 Char,Body Text Char1 Char Char Char Char,Body Text Char2 Char Char1 Char Char Char Char Char,Body Text Char11 Char,Body Text Char Char1 Char,Body Text Char Char1,b"/>
    <w:basedOn w:val="Normal"/>
    <w:link w:val="BodyTextChar"/>
    <w:uiPriority w:val="99"/>
    <w:qFormat/>
    <w:rsid w:val="00DF3BD9"/>
  </w:style>
  <w:style w:type="character" w:customStyle="1" w:styleId="BodyTextChar">
    <w:name w:val="Body Text Char"/>
    <w:aliases w:val="Body Text Char1 Char,Body Text Char Char Char,Body Text Char2 Char,Body Text Char2 Char Char1 Char Char,Body Text Char1 Char Char Char Char Char,Body Text Char2 Char Char1 Char Char Char Char Char Char,Body Text Char11 Char Char,b Char"/>
    <w:basedOn w:val="DefaultParagraphFont"/>
    <w:link w:val="BodyText"/>
    <w:uiPriority w:val="99"/>
    <w:rsid w:val="00DF3BD9"/>
    <w:rPr>
      <w:rFonts w:ascii="Arial Narrow" w:hAnsi="Arial Narrow" w:cs="Arial"/>
    </w:rPr>
  </w:style>
  <w:style w:type="paragraph" w:styleId="BodyText2">
    <w:name w:val="Body Text 2"/>
    <w:basedOn w:val="BodyText"/>
    <w:link w:val="BodyText2Char"/>
    <w:uiPriority w:val="99"/>
    <w:unhideWhenUsed/>
    <w:rsid w:val="00731030"/>
    <w:pPr>
      <w:spacing w:line="180" w:lineRule="auto"/>
    </w:pPr>
    <w:rPr>
      <w:rFonts w:ascii="Yu Gothic Medium" w:eastAsia="Yu Gothic Medium" w:hAnsi="Yu Gothic Medium"/>
      <w:spacing w:val="-14"/>
      <w:sz w:val="21"/>
    </w:rPr>
  </w:style>
  <w:style w:type="character" w:customStyle="1" w:styleId="BodyText2Char">
    <w:name w:val="Body Text 2 Char"/>
    <w:basedOn w:val="DefaultParagraphFont"/>
    <w:link w:val="BodyText2"/>
    <w:uiPriority w:val="99"/>
    <w:rsid w:val="00731030"/>
    <w:rPr>
      <w:rFonts w:ascii="Yu Gothic Medium" w:eastAsia="Yu Gothic Medium" w:hAnsi="Yu Gothic Medium" w:cs="Arial"/>
      <w:spacing w:val="-14"/>
      <w:sz w:val="21"/>
    </w:rPr>
  </w:style>
  <w:style w:type="paragraph" w:styleId="BodyText3">
    <w:name w:val="Body Text 3"/>
    <w:basedOn w:val="Normal"/>
    <w:link w:val="BodyText3Char"/>
    <w:uiPriority w:val="99"/>
    <w:unhideWhenUsed/>
    <w:rsid w:val="00437438"/>
    <w:pPr>
      <w:spacing w:before="0" w:after="0" w:line="320" w:lineRule="atLeast"/>
    </w:pPr>
    <w:rPr>
      <w:rFonts w:ascii="Yu Gothic Medium" w:hAnsi="Yu Gothic Medium"/>
      <w:sz w:val="18"/>
      <w:szCs w:val="16"/>
    </w:rPr>
  </w:style>
  <w:style w:type="character" w:customStyle="1" w:styleId="BodyText3Char">
    <w:name w:val="Body Text 3 Char"/>
    <w:basedOn w:val="DefaultParagraphFont"/>
    <w:link w:val="BodyText3"/>
    <w:uiPriority w:val="99"/>
    <w:rsid w:val="00437438"/>
    <w:rPr>
      <w:rFonts w:ascii="Yu Gothic Medium" w:hAnsi="Yu Gothic Medium" w:cs="Arial"/>
      <w:sz w:val="18"/>
      <w:szCs w:val="16"/>
    </w:rPr>
  </w:style>
  <w:style w:type="paragraph" w:styleId="BodyTextFirstIndent">
    <w:name w:val="Body Text First Indent"/>
    <w:basedOn w:val="BodyText"/>
    <w:link w:val="BodyTextFirstIndentChar"/>
    <w:uiPriority w:val="99"/>
    <w:semiHidden/>
    <w:unhideWhenUsed/>
    <w:rsid w:val="009637A8"/>
    <w:pPr>
      <w:spacing w:after="160"/>
      <w:ind w:firstLine="360"/>
    </w:pPr>
  </w:style>
  <w:style w:type="character" w:customStyle="1" w:styleId="BodyTextFirstIndentChar">
    <w:name w:val="Body Text First Indent Char"/>
    <w:basedOn w:val="BodyTextChar"/>
    <w:link w:val="BodyTextFirstIndent"/>
    <w:uiPriority w:val="99"/>
    <w:semiHidden/>
    <w:rsid w:val="009637A8"/>
    <w:rPr>
      <w:rFonts w:ascii="Arial" w:hAnsi="Arial" w:cs="Arial"/>
    </w:rPr>
  </w:style>
  <w:style w:type="paragraph" w:styleId="BodyTextIndent">
    <w:name w:val="Body Text Indent"/>
    <w:basedOn w:val="Normal"/>
    <w:link w:val="BodyTextIndentChar"/>
    <w:uiPriority w:val="99"/>
    <w:semiHidden/>
    <w:unhideWhenUsed/>
    <w:rsid w:val="009637A8"/>
    <w:pPr>
      <w:spacing w:line="259" w:lineRule="auto"/>
      <w:ind w:left="283"/>
    </w:pPr>
  </w:style>
  <w:style w:type="character" w:customStyle="1" w:styleId="BodyTextIndentChar">
    <w:name w:val="Body Text Indent Char"/>
    <w:basedOn w:val="DefaultParagraphFont"/>
    <w:link w:val="BodyTextIndent"/>
    <w:uiPriority w:val="99"/>
    <w:semiHidden/>
    <w:rsid w:val="009637A8"/>
    <w:rPr>
      <w:rFonts w:ascii="Arial" w:hAnsi="Arial" w:cs="Arial"/>
    </w:rPr>
  </w:style>
  <w:style w:type="paragraph" w:styleId="BodyTextFirstIndent2">
    <w:name w:val="Body Text First Indent 2"/>
    <w:basedOn w:val="BodyTextIndent"/>
    <w:link w:val="BodyTextFirstIndent2Char"/>
    <w:uiPriority w:val="99"/>
    <w:semiHidden/>
    <w:unhideWhenUsed/>
    <w:rsid w:val="009637A8"/>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9637A8"/>
    <w:rPr>
      <w:rFonts w:ascii="Arial" w:hAnsi="Arial" w:cs="Arial"/>
    </w:rPr>
  </w:style>
  <w:style w:type="paragraph" w:styleId="BodyTextIndent2">
    <w:name w:val="Body Text Indent 2"/>
    <w:basedOn w:val="Normal"/>
    <w:link w:val="BodyTextIndent2Char"/>
    <w:uiPriority w:val="99"/>
    <w:semiHidden/>
    <w:unhideWhenUsed/>
    <w:rsid w:val="009637A8"/>
    <w:pPr>
      <w:spacing w:line="480" w:lineRule="auto"/>
      <w:ind w:left="283"/>
    </w:pPr>
  </w:style>
  <w:style w:type="character" w:customStyle="1" w:styleId="BodyTextIndent2Char">
    <w:name w:val="Body Text Indent 2 Char"/>
    <w:basedOn w:val="DefaultParagraphFont"/>
    <w:link w:val="BodyTextIndent2"/>
    <w:uiPriority w:val="99"/>
    <w:semiHidden/>
    <w:rsid w:val="009637A8"/>
    <w:rPr>
      <w:rFonts w:ascii="Arial" w:hAnsi="Arial" w:cs="Arial"/>
    </w:rPr>
  </w:style>
  <w:style w:type="paragraph" w:styleId="BodyTextIndent3">
    <w:name w:val="Body Text Indent 3"/>
    <w:basedOn w:val="Normal"/>
    <w:link w:val="BodyTextIndent3Char"/>
    <w:uiPriority w:val="99"/>
    <w:semiHidden/>
    <w:unhideWhenUsed/>
    <w:rsid w:val="009637A8"/>
    <w:pPr>
      <w:spacing w:line="259" w:lineRule="auto"/>
      <w:ind w:left="283"/>
    </w:pPr>
    <w:rPr>
      <w:sz w:val="16"/>
      <w:szCs w:val="16"/>
    </w:rPr>
  </w:style>
  <w:style w:type="character" w:customStyle="1" w:styleId="BodyTextIndent3Char">
    <w:name w:val="Body Text Indent 3 Char"/>
    <w:basedOn w:val="DefaultParagraphFont"/>
    <w:link w:val="BodyTextIndent3"/>
    <w:uiPriority w:val="99"/>
    <w:semiHidden/>
    <w:rsid w:val="009637A8"/>
    <w:rPr>
      <w:rFonts w:ascii="Arial" w:hAnsi="Arial" w:cs="Arial"/>
      <w:sz w:val="16"/>
      <w:szCs w:val="16"/>
    </w:rPr>
  </w:style>
  <w:style w:type="character" w:styleId="BookTitle">
    <w:name w:val="Book Title"/>
    <w:basedOn w:val="DefaultParagraphFont"/>
    <w:uiPriority w:val="33"/>
    <w:qFormat/>
    <w:rsid w:val="009637A8"/>
    <w:rPr>
      <w:b/>
      <w:bCs/>
      <w:i/>
      <w:iCs/>
      <w:spacing w:val="5"/>
    </w:rPr>
  </w:style>
  <w:style w:type="paragraph" w:styleId="Caption">
    <w:name w:val="caption"/>
    <w:basedOn w:val="Normal-nospace"/>
    <w:next w:val="BodyText"/>
    <w:uiPriority w:val="35"/>
    <w:unhideWhenUsed/>
    <w:qFormat/>
    <w:rsid w:val="000F0CA1"/>
    <w:pPr>
      <w:keepNext/>
      <w:spacing w:before="240" w:after="80" w:line="216" w:lineRule="auto"/>
      <w:ind w:left="1179" w:hanging="1179"/>
    </w:pPr>
    <w:rPr>
      <w:rFonts w:ascii="Yu Gothic Medium" w:eastAsia="Yu Gothic Medium" w:hAnsi="Yu Gothic Medium"/>
      <w:iCs/>
      <w:spacing w:val="-10"/>
      <w:sz w:val="21"/>
      <w:szCs w:val="18"/>
    </w:rPr>
  </w:style>
  <w:style w:type="paragraph" w:styleId="Closing">
    <w:name w:val="Closing"/>
    <w:basedOn w:val="Normal"/>
    <w:link w:val="ClosingChar"/>
    <w:uiPriority w:val="99"/>
    <w:semiHidden/>
    <w:unhideWhenUsed/>
    <w:rsid w:val="009637A8"/>
    <w:pPr>
      <w:spacing w:after="0"/>
      <w:ind w:left="4252"/>
    </w:pPr>
  </w:style>
  <w:style w:type="character" w:customStyle="1" w:styleId="ClosingChar">
    <w:name w:val="Closing Char"/>
    <w:basedOn w:val="DefaultParagraphFont"/>
    <w:link w:val="Closing"/>
    <w:uiPriority w:val="99"/>
    <w:semiHidden/>
    <w:rsid w:val="009637A8"/>
    <w:rPr>
      <w:rFonts w:ascii="Arial" w:hAnsi="Arial" w:cs="Arial"/>
    </w:rPr>
  </w:style>
  <w:style w:type="table" w:styleId="ColourfulGrid">
    <w:name w:val="Colorful Grid"/>
    <w:basedOn w:val="TableNormal"/>
    <w:uiPriority w:val="73"/>
    <w:semiHidden/>
    <w:unhideWhenUsed/>
    <w:rsid w:val="009637A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9637A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6F2" w:themeFill="accent1" w:themeFillTint="33"/>
    </w:tcPr>
    <w:tblStylePr w:type="firstRow">
      <w:rPr>
        <w:b/>
        <w:bCs/>
      </w:rPr>
      <w:tblPr/>
      <w:tcPr>
        <w:shd w:val="clear" w:color="auto" w:fill="D7CEE5" w:themeFill="accent1" w:themeFillTint="66"/>
      </w:tcPr>
    </w:tblStylePr>
    <w:tblStylePr w:type="lastRow">
      <w:rPr>
        <w:b/>
        <w:bCs/>
        <w:color w:val="000000" w:themeColor="text1"/>
      </w:rPr>
      <w:tblPr/>
      <w:tcPr>
        <w:shd w:val="clear" w:color="auto" w:fill="D7CEE5" w:themeFill="accent1" w:themeFillTint="66"/>
      </w:tcPr>
    </w:tblStylePr>
    <w:tblStylePr w:type="firstCol">
      <w:rPr>
        <w:color w:val="FFFFFF" w:themeColor="background1"/>
      </w:rPr>
      <w:tblPr/>
      <w:tcPr>
        <w:shd w:val="clear" w:color="auto" w:fill="72549D" w:themeFill="accent1" w:themeFillShade="BF"/>
      </w:tcPr>
    </w:tblStylePr>
    <w:tblStylePr w:type="lastCol">
      <w:rPr>
        <w:color w:val="FFFFFF" w:themeColor="background1"/>
      </w:rPr>
      <w:tblPr/>
      <w:tcPr>
        <w:shd w:val="clear" w:color="auto" w:fill="72549D" w:themeFill="accent1" w:themeFillShade="BF"/>
      </w:tcPr>
    </w:tblStylePr>
    <w:tblStylePr w:type="band1Vert">
      <w:tblPr/>
      <w:tcPr>
        <w:shd w:val="clear" w:color="auto" w:fill="CEC2DE" w:themeFill="accent1" w:themeFillTint="7F"/>
      </w:tcPr>
    </w:tblStylePr>
    <w:tblStylePr w:type="band1Horz">
      <w:tblPr/>
      <w:tcPr>
        <w:shd w:val="clear" w:color="auto" w:fill="CEC2DE" w:themeFill="accent1" w:themeFillTint="7F"/>
      </w:tcPr>
    </w:tblStylePr>
  </w:style>
  <w:style w:type="table" w:styleId="ColourfulGridAccent2">
    <w:name w:val="Colorful Grid Accent 2"/>
    <w:basedOn w:val="TableNormal"/>
    <w:uiPriority w:val="73"/>
    <w:semiHidden/>
    <w:unhideWhenUsed/>
    <w:rsid w:val="009637A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5E5" w:themeFill="accent2" w:themeFillTint="33"/>
    </w:tcPr>
    <w:tblStylePr w:type="firstRow">
      <w:rPr>
        <w:b/>
        <w:bCs/>
      </w:rPr>
      <w:tblPr/>
      <w:tcPr>
        <w:shd w:val="clear" w:color="auto" w:fill="CBCBCB" w:themeFill="accent2" w:themeFillTint="66"/>
      </w:tcPr>
    </w:tblStylePr>
    <w:tblStylePr w:type="lastRow">
      <w:rPr>
        <w:b/>
        <w:bCs/>
        <w:color w:val="000000" w:themeColor="text1"/>
      </w:rPr>
      <w:tblPr/>
      <w:tcPr>
        <w:shd w:val="clear" w:color="auto" w:fill="CBCBCB" w:themeFill="accent2" w:themeFillTint="66"/>
      </w:tcPr>
    </w:tblStylePr>
    <w:tblStylePr w:type="firstCol">
      <w:rPr>
        <w:color w:val="FFFFFF" w:themeColor="background1"/>
      </w:rPr>
      <w:tblPr/>
      <w:tcPr>
        <w:shd w:val="clear" w:color="auto" w:fill="5D5D5D" w:themeFill="accent2" w:themeFillShade="BF"/>
      </w:tcPr>
    </w:tblStylePr>
    <w:tblStylePr w:type="lastCol">
      <w:rPr>
        <w:color w:val="FFFFFF" w:themeColor="background1"/>
      </w:rPr>
      <w:tblPr/>
      <w:tcPr>
        <w:shd w:val="clear" w:color="auto" w:fill="5D5D5D" w:themeFill="accent2" w:themeFillShade="BF"/>
      </w:tcPr>
    </w:tblStylePr>
    <w:tblStylePr w:type="band1Vert">
      <w:tblPr/>
      <w:tcPr>
        <w:shd w:val="clear" w:color="auto" w:fill="BEBEBE" w:themeFill="accent2" w:themeFillTint="7F"/>
      </w:tcPr>
    </w:tblStylePr>
    <w:tblStylePr w:type="band1Horz">
      <w:tblPr/>
      <w:tcPr>
        <w:shd w:val="clear" w:color="auto" w:fill="BEBEBE" w:themeFill="accent2" w:themeFillTint="7F"/>
      </w:tcPr>
    </w:tblStylePr>
  </w:style>
  <w:style w:type="table" w:styleId="ColourfulGridAccent3">
    <w:name w:val="Colorful Grid Accent 3"/>
    <w:basedOn w:val="TableNormal"/>
    <w:uiPriority w:val="73"/>
    <w:semiHidden/>
    <w:unhideWhenUsed/>
    <w:rsid w:val="009637A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F4F4" w:themeFill="accent3" w:themeFillTint="33"/>
    </w:tcPr>
    <w:tblStylePr w:type="firstRow">
      <w:rPr>
        <w:b/>
        <w:bCs/>
      </w:rPr>
      <w:tblPr/>
      <w:tcPr>
        <w:shd w:val="clear" w:color="auto" w:fill="E9E9E9" w:themeFill="accent3" w:themeFillTint="66"/>
      </w:tcPr>
    </w:tblStylePr>
    <w:tblStylePr w:type="lastRow">
      <w:rPr>
        <w:b/>
        <w:bCs/>
        <w:color w:val="000000" w:themeColor="text1"/>
      </w:rPr>
      <w:tblPr/>
      <w:tcPr>
        <w:shd w:val="clear" w:color="auto" w:fill="E9E9E9" w:themeFill="accent3" w:themeFillTint="66"/>
      </w:tcPr>
    </w:tblStylePr>
    <w:tblStylePr w:type="firstCol">
      <w:rPr>
        <w:color w:val="FFFFFF" w:themeColor="background1"/>
      </w:rPr>
      <w:tblPr/>
      <w:tcPr>
        <w:shd w:val="clear" w:color="auto" w:fill="959595" w:themeFill="accent3" w:themeFillShade="BF"/>
      </w:tcPr>
    </w:tblStylePr>
    <w:tblStylePr w:type="lastCol">
      <w:rPr>
        <w:color w:val="FFFFFF" w:themeColor="background1"/>
      </w:rPr>
      <w:tblPr/>
      <w:tcPr>
        <w:shd w:val="clear" w:color="auto" w:fill="959595" w:themeFill="accent3" w:themeFillShade="BF"/>
      </w:tcPr>
    </w:tblStylePr>
    <w:tblStylePr w:type="band1Vert">
      <w:tblPr/>
      <w:tcPr>
        <w:shd w:val="clear" w:color="auto" w:fill="E3E3E3" w:themeFill="accent3" w:themeFillTint="7F"/>
      </w:tcPr>
    </w:tblStylePr>
    <w:tblStylePr w:type="band1Horz">
      <w:tblPr/>
      <w:tcPr>
        <w:shd w:val="clear" w:color="auto" w:fill="E3E3E3" w:themeFill="accent3" w:themeFillTint="7F"/>
      </w:tcPr>
    </w:tblStylePr>
  </w:style>
  <w:style w:type="table" w:styleId="ColourfulGridAccent4">
    <w:name w:val="Colorful Grid Accent 4"/>
    <w:basedOn w:val="TableNormal"/>
    <w:uiPriority w:val="73"/>
    <w:semiHidden/>
    <w:unhideWhenUsed/>
    <w:rsid w:val="009637A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8E7FF" w:themeFill="accent4" w:themeFillTint="33"/>
    </w:tcPr>
    <w:tblStylePr w:type="firstRow">
      <w:rPr>
        <w:b/>
        <w:bCs/>
      </w:rPr>
      <w:tblPr/>
      <w:tcPr>
        <w:shd w:val="clear" w:color="auto" w:fill="72D0FF" w:themeFill="accent4" w:themeFillTint="66"/>
      </w:tcPr>
    </w:tblStylePr>
    <w:tblStylePr w:type="lastRow">
      <w:rPr>
        <w:b/>
        <w:bCs/>
        <w:color w:val="000000" w:themeColor="text1"/>
      </w:rPr>
      <w:tblPr/>
      <w:tcPr>
        <w:shd w:val="clear" w:color="auto" w:fill="72D0FF" w:themeFill="accent4" w:themeFillTint="66"/>
      </w:tcPr>
    </w:tblStylePr>
    <w:tblStylePr w:type="firstCol">
      <w:rPr>
        <w:color w:val="FFFFFF" w:themeColor="background1"/>
      </w:rPr>
      <w:tblPr/>
      <w:tcPr>
        <w:shd w:val="clear" w:color="auto" w:fill="004F77" w:themeFill="accent4" w:themeFillShade="BF"/>
      </w:tcPr>
    </w:tblStylePr>
    <w:tblStylePr w:type="lastCol">
      <w:rPr>
        <w:color w:val="FFFFFF" w:themeColor="background1"/>
      </w:rPr>
      <w:tblPr/>
      <w:tcPr>
        <w:shd w:val="clear" w:color="auto" w:fill="004F77" w:themeFill="accent4" w:themeFillShade="BF"/>
      </w:tcPr>
    </w:tblStylePr>
    <w:tblStylePr w:type="band1Vert">
      <w:tblPr/>
      <w:tcPr>
        <w:shd w:val="clear" w:color="auto" w:fill="50C4FF" w:themeFill="accent4" w:themeFillTint="7F"/>
      </w:tcPr>
    </w:tblStylePr>
    <w:tblStylePr w:type="band1Horz">
      <w:tblPr/>
      <w:tcPr>
        <w:shd w:val="clear" w:color="auto" w:fill="50C4FF" w:themeFill="accent4" w:themeFillTint="7F"/>
      </w:tcPr>
    </w:tblStylePr>
  </w:style>
  <w:style w:type="table" w:styleId="ColourfulGridAccent5">
    <w:name w:val="Colorful Grid Accent 5"/>
    <w:basedOn w:val="TableNormal"/>
    <w:uiPriority w:val="73"/>
    <w:semiHidden/>
    <w:unhideWhenUsed/>
    <w:rsid w:val="009637A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1F6" w:themeFill="accent5" w:themeFillTint="33"/>
    </w:tcPr>
    <w:tblStylePr w:type="firstRow">
      <w:rPr>
        <w:b/>
        <w:bCs/>
      </w:rPr>
      <w:tblPr/>
      <w:tcPr>
        <w:shd w:val="clear" w:color="auto" w:fill="CAE4EE" w:themeFill="accent5" w:themeFillTint="66"/>
      </w:tcPr>
    </w:tblStylePr>
    <w:tblStylePr w:type="lastRow">
      <w:rPr>
        <w:b/>
        <w:bCs/>
        <w:color w:val="000000" w:themeColor="text1"/>
      </w:rPr>
      <w:tblPr/>
      <w:tcPr>
        <w:shd w:val="clear" w:color="auto" w:fill="CAE4EE" w:themeFill="accent5" w:themeFillTint="66"/>
      </w:tcPr>
    </w:tblStylePr>
    <w:tblStylePr w:type="firstCol">
      <w:rPr>
        <w:color w:val="FFFFFF" w:themeColor="background1"/>
      </w:rPr>
      <w:tblPr/>
      <w:tcPr>
        <w:shd w:val="clear" w:color="auto" w:fill="3C9BC0" w:themeFill="accent5" w:themeFillShade="BF"/>
      </w:tcPr>
    </w:tblStylePr>
    <w:tblStylePr w:type="lastCol">
      <w:rPr>
        <w:color w:val="FFFFFF" w:themeColor="background1"/>
      </w:rPr>
      <w:tblPr/>
      <w:tcPr>
        <w:shd w:val="clear" w:color="auto" w:fill="3C9BC0" w:themeFill="accent5" w:themeFillShade="BF"/>
      </w:tcPr>
    </w:tblStylePr>
    <w:tblStylePr w:type="band1Vert">
      <w:tblPr/>
      <w:tcPr>
        <w:shd w:val="clear" w:color="auto" w:fill="BDDDEA" w:themeFill="accent5" w:themeFillTint="7F"/>
      </w:tcPr>
    </w:tblStylePr>
    <w:tblStylePr w:type="band1Horz">
      <w:tblPr/>
      <w:tcPr>
        <w:shd w:val="clear" w:color="auto" w:fill="BDDDEA" w:themeFill="accent5" w:themeFillTint="7F"/>
      </w:tcPr>
    </w:tblStylePr>
  </w:style>
  <w:style w:type="table" w:styleId="ColourfulGridAccent6">
    <w:name w:val="Colorful Grid Accent 6"/>
    <w:basedOn w:val="TableNormal"/>
    <w:uiPriority w:val="73"/>
    <w:semiHidden/>
    <w:unhideWhenUsed/>
    <w:rsid w:val="009637A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EBDA" w:themeFill="accent6" w:themeFillTint="33"/>
    </w:tcPr>
    <w:tblStylePr w:type="firstRow">
      <w:rPr>
        <w:b/>
        <w:bCs/>
      </w:rPr>
      <w:tblPr/>
      <w:tcPr>
        <w:shd w:val="clear" w:color="auto" w:fill="ACD8B5" w:themeFill="accent6" w:themeFillTint="66"/>
      </w:tcPr>
    </w:tblStylePr>
    <w:tblStylePr w:type="lastRow">
      <w:rPr>
        <w:b/>
        <w:bCs/>
        <w:color w:val="000000" w:themeColor="text1"/>
      </w:rPr>
      <w:tblPr/>
      <w:tcPr>
        <w:shd w:val="clear" w:color="auto" w:fill="ACD8B5" w:themeFill="accent6" w:themeFillTint="66"/>
      </w:tcPr>
    </w:tblStylePr>
    <w:tblStylePr w:type="firstCol">
      <w:rPr>
        <w:color w:val="FFFFFF" w:themeColor="background1"/>
      </w:rPr>
      <w:tblPr/>
      <w:tcPr>
        <w:shd w:val="clear" w:color="auto" w:fill="31693D" w:themeFill="accent6" w:themeFillShade="BF"/>
      </w:tcPr>
    </w:tblStylePr>
    <w:tblStylePr w:type="lastCol">
      <w:rPr>
        <w:color w:val="FFFFFF" w:themeColor="background1"/>
      </w:rPr>
      <w:tblPr/>
      <w:tcPr>
        <w:shd w:val="clear" w:color="auto" w:fill="31693D" w:themeFill="accent6" w:themeFillShade="BF"/>
      </w:tcPr>
    </w:tblStylePr>
    <w:tblStylePr w:type="band1Vert">
      <w:tblPr/>
      <w:tcPr>
        <w:shd w:val="clear" w:color="auto" w:fill="98CFA3" w:themeFill="accent6" w:themeFillTint="7F"/>
      </w:tcPr>
    </w:tblStylePr>
    <w:tblStylePr w:type="band1Horz">
      <w:tblPr/>
      <w:tcPr>
        <w:shd w:val="clear" w:color="auto" w:fill="98CFA3" w:themeFill="accent6" w:themeFillTint="7F"/>
      </w:tcPr>
    </w:tblStylePr>
  </w:style>
  <w:style w:type="table" w:styleId="ColourfulList">
    <w:name w:val="Colorful List"/>
    <w:basedOn w:val="TableNormal"/>
    <w:uiPriority w:val="72"/>
    <w:semiHidden/>
    <w:unhideWhenUsed/>
    <w:rsid w:val="009637A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46464" w:themeFill="accent2" w:themeFillShade="CC"/>
      </w:tcPr>
    </w:tblStylePr>
    <w:tblStylePr w:type="lastRow">
      <w:rPr>
        <w:b/>
        <w:bCs/>
        <w:color w:val="64646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9637A8"/>
    <w:pPr>
      <w:spacing w:after="0" w:line="240" w:lineRule="auto"/>
    </w:pPr>
    <w:rPr>
      <w:color w:val="000000" w:themeColor="text1"/>
    </w:rPr>
    <w:tblPr>
      <w:tblStyleRowBandSize w:val="1"/>
      <w:tblStyleColBandSize w:val="1"/>
    </w:tblPr>
    <w:tcPr>
      <w:shd w:val="clear" w:color="auto" w:fill="F5F3F8" w:themeFill="accent1" w:themeFillTint="19"/>
    </w:tcPr>
    <w:tblStylePr w:type="firstRow">
      <w:rPr>
        <w:b/>
        <w:bCs/>
        <w:color w:val="FFFFFF" w:themeColor="background1"/>
      </w:rPr>
      <w:tblPr/>
      <w:tcPr>
        <w:tcBorders>
          <w:bottom w:val="single" w:sz="12" w:space="0" w:color="FFFFFF" w:themeColor="background1"/>
        </w:tcBorders>
        <w:shd w:val="clear" w:color="auto" w:fill="646464" w:themeFill="accent2" w:themeFillShade="CC"/>
      </w:tcPr>
    </w:tblStylePr>
    <w:tblStylePr w:type="lastRow">
      <w:rPr>
        <w:b/>
        <w:bCs/>
        <w:color w:val="64646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1" w:themeFillTint="3F"/>
      </w:tcPr>
    </w:tblStylePr>
    <w:tblStylePr w:type="band1Horz">
      <w:tblPr/>
      <w:tcPr>
        <w:shd w:val="clear" w:color="auto" w:fill="EBE6F2" w:themeFill="accent1" w:themeFillTint="33"/>
      </w:tcPr>
    </w:tblStylePr>
  </w:style>
  <w:style w:type="table" w:styleId="ColourfulListAccent2">
    <w:name w:val="Colorful List Accent 2"/>
    <w:basedOn w:val="TableNormal"/>
    <w:uiPriority w:val="72"/>
    <w:semiHidden/>
    <w:unhideWhenUsed/>
    <w:rsid w:val="009637A8"/>
    <w:pPr>
      <w:spacing w:after="0" w:line="240" w:lineRule="auto"/>
    </w:pPr>
    <w:rPr>
      <w:color w:val="000000" w:themeColor="text1"/>
    </w:rPr>
    <w:tblPr>
      <w:tblStyleRowBandSize w:val="1"/>
      <w:tblStyleColBandSize w:val="1"/>
    </w:tblPr>
    <w:tcPr>
      <w:shd w:val="clear" w:color="auto" w:fill="F2F2F2" w:themeFill="accent2" w:themeFillTint="19"/>
    </w:tcPr>
    <w:tblStylePr w:type="firstRow">
      <w:rPr>
        <w:b/>
        <w:bCs/>
        <w:color w:val="FFFFFF" w:themeColor="background1"/>
      </w:rPr>
      <w:tblPr/>
      <w:tcPr>
        <w:tcBorders>
          <w:bottom w:val="single" w:sz="12" w:space="0" w:color="FFFFFF" w:themeColor="background1"/>
        </w:tcBorders>
        <w:shd w:val="clear" w:color="auto" w:fill="646464" w:themeFill="accent2" w:themeFillShade="CC"/>
      </w:tcPr>
    </w:tblStylePr>
    <w:tblStylePr w:type="lastRow">
      <w:rPr>
        <w:b/>
        <w:bCs/>
        <w:color w:val="64646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DEDE" w:themeFill="accent2" w:themeFillTint="3F"/>
      </w:tcPr>
    </w:tblStylePr>
    <w:tblStylePr w:type="band1Horz">
      <w:tblPr/>
      <w:tcPr>
        <w:shd w:val="clear" w:color="auto" w:fill="E5E5E5" w:themeFill="accent2" w:themeFillTint="33"/>
      </w:tcPr>
    </w:tblStylePr>
  </w:style>
  <w:style w:type="table" w:styleId="ColourfulListAccent3">
    <w:name w:val="Colorful List Accent 3"/>
    <w:basedOn w:val="TableNormal"/>
    <w:uiPriority w:val="72"/>
    <w:semiHidden/>
    <w:unhideWhenUsed/>
    <w:rsid w:val="009637A8"/>
    <w:pPr>
      <w:spacing w:after="0" w:line="240" w:lineRule="auto"/>
    </w:pPr>
    <w:rPr>
      <w:color w:val="000000" w:themeColor="text1"/>
    </w:rPr>
    <w:tblPr>
      <w:tblStyleRowBandSize w:val="1"/>
      <w:tblStyleColBandSize w:val="1"/>
    </w:tblPr>
    <w:tcPr>
      <w:shd w:val="clear" w:color="auto" w:fill="F9F9F9" w:themeFill="accent3" w:themeFillTint="19"/>
    </w:tcPr>
    <w:tblStylePr w:type="firstRow">
      <w:rPr>
        <w:b/>
        <w:bCs/>
        <w:color w:val="FFFFFF" w:themeColor="background1"/>
      </w:rPr>
      <w:tblPr/>
      <w:tcPr>
        <w:tcBorders>
          <w:bottom w:val="single" w:sz="12" w:space="0" w:color="FFFFFF" w:themeColor="background1"/>
        </w:tcBorders>
        <w:shd w:val="clear" w:color="auto" w:fill="00547F" w:themeFill="accent4" w:themeFillShade="CC"/>
      </w:tcPr>
    </w:tblStylePr>
    <w:tblStylePr w:type="lastRow">
      <w:rPr>
        <w:b/>
        <w:bCs/>
        <w:color w:val="00547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F1F1" w:themeFill="accent3" w:themeFillTint="3F"/>
      </w:tcPr>
    </w:tblStylePr>
    <w:tblStylePr w:type="band1Horz">
      <w:tblPr/>
      <w:tcPr>
        <w:shd w:val="clear" w:color="auto" w:fill="F4F4F4" w:themeFill="accent3" w:themeFillTint="33"/>
      </w:tcPr>
    </w:tblStylePr>
  </w:style>
  <w:style w:type="table" w:styleId="ColourfulListAccent4">
    <w:name w:val="Colorful List Accent 4"/>
    <w:basedOn w:val="TableNormal"/>
    <w:uiPriority w:val="72"/>
    <w:semiHidden/>
    <w:unhideWhenUsed/>
    <w:rsid w:val="009637A8"/>
    <w:pPr>
      <w:spacing w:after="0" w:line="240" w:lineRule="auto"/>
    </w:pPr>
    <w:rPr>
      <w:color w:val="000000" w:themeColor="text1"/>
    </w:rPr>
    <w:tblPr>
      <w:tblStyleRowBandSize w:val="1"/>
      <w:tblStyleColBandSize w:val="1"/>
    </w:tblPr>
    <w:tcPr>
      <w:shd w:val="clear" w:color="auto" w:fill="DCF3FF" w:themeFill="accent4" w:themeFillTint="19"/>
    </w:tcPr>
    <w:tblStylePr w:type="firstRow">
      <w:rPr>
        <w:b/>
        <w:bCs/>
        <w:color w:val="FFFFFF" w:themeColor="background1"/>
      </w:rPr>
      <w:tblPr/>
      <w:tcPr>
        <w:tcBorders>
          <w:bottom w:val="single" w:sz="12" w:space="0" w:color="FFFFFF" w:themeColor="background1"/>
        </w:tcBorders>
        <w:shd w:val="clear" w:color="auto" w:fill="A0A0A0" w:themeFill="accent3" w:themeFillShade="CC"/>
      </w:tcPr>
    </w:tblStylePr>
    <w:tblStylePr w:type="lastRow">
      <w:rPr>
        <w:b/>
        <w:bCs/>
        <w:color w:val="A0A0A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E2FF" w:themeFill="accent4" w:themeFillTint="3F"/>
      </w:tcPr>
    </w:tblStylePr>
    <w:tblStylePr w:type="band1Horz">
      <w:tblPr/>
      <w:tcPr>
        <w:shd w:val="clear" w:color="auto" w:fill="B8E7FF" w:themeFill="accent4" w:themeFillTint="33"/>
      </w:tcPr>
    </w:tblStylePr>
  </w:style>
  <w:style w:type="table" w:styleId="ColourfulListAccent5">
    <w:name w:val="Colorful List Accent 5"/>
    <w:basedOn w:val="TableNormal"/>
    <w:uiPriority w:val="72"/>
    <w:semiHidden/>
    <w:unhideWhenUsed/>
    <w:rsid w:val="009637A8"/>
    <w:pPr>
      <w:spacing w:after="0" w:line="240" w:lineRule="auto"/>
    </w:pPr>
    <w:rPr>
      <w:color w:val="000000" w:themeColor="text1"/>
    </w:rPr>
    <w:tblPr>
      <w:tblStyleRowBandSize w:val="1"/>
      <w:tblStyleColBandSize w:val="1"/>
    </w:tblPr>
    <w:tcPr>
      <w:shd w:val="clear" w:color="auto" w:fill="F2F8FB" w:themeFill="accent5" w:themeFillTint="19"/>
    </w:tcPr>
    <w:tblStylePr w:type="firstRow">
      <w:rPr>
        <w:b/>
        <w:bCs/>
        <w:color w:val="FFFFFF" w:themeColor="background1"/>
      </w:rPr>
      <w:tblPr/>
      <w:tcPr>
        <w:tcBorders>
          <w:bottom w:val="single" w:sz="12" w:space="0" w:color="FFFFFF" w:themeColor="background1"/>
        </w:tcBorders>
        <w:shd w:val="clear" w:color="auto" w:fill="347041" w:themeFill="accent6" w:themeFillShade="CC"/>
      </w:tcPr>
    </w:tblStylePr>
    <w:tblStylePr w:type="lastRow">
      <w:rPr>
        <w:b/>
        <w:bCs/>
        <w:color w:val="34704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EF4" w:themeFill="accent5" w:themeFillTint="3F"/>
      </w:tcPr>
    </w:tblStylePr>
    <w:tblStylePr w:type="band1Horz">
      <w:tblPr/>
      <w:tcPr>
        <w:shd w:val="clear" w:color="auto" w:fill="E4F1F6" w:themeFill="accent5" w:themeFillTint="33"/>
      </w:tcPr>
    </w:tblStylePr>
  </w:style>
  <w:style w:type="table" w:styleId="ColourfulListAccent6">
    <w:name w:val="Colorful List Accent 6"/>
    <w:basedOn w:val="TableNormal"/>
    <w:uiPriority w:val="72"/>
    <w:semiHidden/>
    <w:unhideWhenUsed/>
    <w:rsid w:val="009637A8"/>
    <w:pPr>
      <w:spacing w:after="0" w:line="240" w:lineRule="auto"/>
    </w:pPr>
    <w:rPr>
      <w:color w:val="000000" w:themeColor="text1"/>
    </w:rPr>
    <w:tblPr>
      <w:tblStyleRowBandSize w:val="1"/>
      <w:tblStyleColBandSize w:val="1"/>
    </w:tblPr>
    <w:tcPr>
      <w:shd w:val="clear" w:color="auto" w:fill="EAF5EC" w:themeFill="accent6" w:themeFillTint="19"/>
    </w:tcPr>
    <w:tblStylePr w:type="firstRow">
      <w:rPr>
        <w:b/>
        <w:bCs/>
        <w:color w:val="FFFFFF" w:themeColor="background1"/>
      </w:rPr>
      <w:tblPr/>
      <w:tcPr>
        <w:tcBorders>
          <w:bottom w:val="single" w:sz="12" w:space="0" w:color="FFFFFF" w:themeColor="background1"/>
        </w:tcBorders>
        <w:shd w:val="clear" w:color="auto" w:fill="47A2C6" w:themeFill="accent5" w:themeFillShade="CC"/>
      </w:tcPr>
    </w:tblStylePr>
    <w:tblStylePr w:type="lastRow">
      <w:rPr>
        <w:b/>
        <w:bCs/>
        <w:color w:val="47A2C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E7D1" w:themeFill="accent6" w:themeFillTint="3F"/>
      </w:tcPr>
    </w:tblStylePr>
    <w:tblStylePr w:type="band1Horz">
      <w:tblPr/>
      <w:tcPr>
        <w:shd w:val="clear" w:color="auto" w:fill="D5EBDA" w:themeFill="accent6" w:themeFillTint="33"/>
      </w:tcPr>
    </w:tblStylePr>
  </w:style>
  <w:style w:type="table" w:styleId="ColourfulShading">
    <w:name w:val="Colorful Shading"/>
    <w:basedOn w:val="TableNormal"/>
    <w:uiPriority w:val="71"/>
    <w:semiHidden/>
    <w:unhideWhenUsed/>
    <w:rsid w:val="009637A8"/>
    <w:pPr>
      <w:spacing w:after="0" w:line="240" w:lineRule="auto"/>
    </w:pPr>
    <w:rPr>
      <w:color w:val="000000" w:themeColor="text1"/>
    </w:rPr>
    <w:tblPr>
      <w:tblStyleRowBandSize w:val="1"/>
      <w:tblStyleColBandSize w:val="1"/>
      <w:tblBorders>
        <w:top w:val="single" w:sz="24" w:space="0" w:color="7D7D7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7D7D7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9637A8"/>
    <w:pPr>
      <w:spacing w:after="0" w:line="240" w:lineRule="auto"/>
    </w:pPr>
    <w:rPr>
      <w:color w:val="000000" w:themeColor="text1"/>
    </w:rPr>
    <w:tblPr>
      <w:tblStyleRowBandSize w:val="1"/>
      <w:tblStyleColBandSize w:val="1"/>
      <w:tblBorders>
        <w:top w:val="single" w:sz="24" w:space="0" w:color="7D7D7D" w:themeColor="accent2"/>
        <w:left w:val="single" w:sz="4" w:space="0" w:color="9D85BE" w:themeColor="accent1"/>
        <w:bottom w:val="single" w:sz="4" w:space="0" w:color="9D85BE" w:themeColor="accent1"/>
        <w:right w:val="single" w:sz="4" w:space="0" w:color="9D85BE" w:themeColor="accent1"/>
        <w:insideH w:val="single" w:sz="4" w:space="0" w:color="FFFFFF" w:themeColor="background1"/>
        <w:insideV w:val="single" w:sz="4" w:space="0" w:color="FFFFFF" w:themeColor="background1"/>
      </w:tblBorders>
    </w:tblPr>
    <w:tcPr>
      <w:shd w:val="clear" w:color="auto" w:fill="F5F3F8" w:themeFill="accent1" w:themeFillTint="19"/>
    </w:tcPr>
    <w:tblStylePr w:type="firstRow">
      <w:rPr>
        <w:b/>
        <w:bCs/>
      </w:rPr>
      <w:tblPr/>
      <w:tcPr>
        <w:tcBorders>
          <w:top w:val="nil"/>
          <w:left w:val="nil"/>
          <w:bottom w:val="single" w:sz="24" w:space="0" w:color="7D7D7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437E" w:themeFill="accent1" w:themeFillShade="99"/>
      </w:tcPr>
    </w:tblStylePr>
    <w:tblStylePr w:type="firstCol">
      <w:rPr>
        <w:color w:val="FFFFFF" w:themeColor="background1"/>
      </w:rPr>
      <w:tblPr/>
      <w:tcPr>
        <w:tcBorders>
          <w:top w:val="nil"/>
          <w:left w:val="nil"/>
          <w:bottom w:val="nil"/>
          <w:right w:val="nil"/>
          <w:insideH w:val="single" w:sz="4" w:space="0" w:color="5C437E" w:themeColor="accent1" w:themeShade="99"/>
          <w:insideV w:val="nil"/>
        </w:tcBorders>
        <w:shd w:val="clear" w:color="auto" w:fill="5C437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C437E" w:themeFill="accent1" w:themeFillShade="99"/>
      </w:tcPr>
    </w:tblStylePr>
    <w:tblStylePr w:type="band1Vert">
      <w:tblPr/>
      <w:tcPr>
        <w:shd w:val="clear" w:color="auto" w:fill="D7CEE5" w:themeFill="accent1" w:themeFillTint="66"/>
      </w:tcPr>
    </w:tblStylePr>
    <w:tblStylePr w:type="band1Horz">
      <w:tblPr/>
      <w:tcPr>
        <w:shd w:val="clear" w:color="auto" w:fill="CEC2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9637A8"/>
    <w:pPr>
      <w:spacing w:after="0" w:line="240" w:lineRule="auto"/>
    </w:pPr>
    <w:rPr>
      <w:color w:val="000000" w:themeColor="text1"/>
    </w:rPr>
    <w:tblPr>
      <w:tblStyleRowBandSize w:val="1"/>
      <w:tblStyleColBandSize w:val="1"/>
      <w:tblBorders>
        <w:top w:val="single" w:sz="24" w:space="0" w:color="7D7D7D" w:themeColor="accent2"/>
        <w:left w:val="single" w:sz="4" w:space="0" w:color="7D7D7D" w:themeColor="accent2"/>
        <w:bottom w:val="single" w:sz="4" w:space="0" w:color="7D7D7D" w:themeColor="accent2"/>
        <w:right w:val="single" w:sz="4" w:space="0" w:color="7D7D7D" w:themeColor="accent2"/>
        <w:insideH w:val="single" w:sz="4" w:space="0" w:color="FFFFFF" w:themeColor="background1"/>
        <w:insideV w:val="single" w:sz="4" w:space="0" w:color="FFFFFF" w:themeColor="background1"/>
      </w:tblBorders>
    </w:tblPr>
    <w:tcPr>
      <w:shd w:val="clear" w:color="auto" w:fill="F2F2F2" w:themeFill="accent2" w:themeFillTint="19"/>
    </w:tcPr>
    <w:tblStylePr w:type="firstRow">
      <w:rPr>
        <w:b/>
        <w:bCs/>
      </w:rPr>
      <w:tblPr/>
      <w:tcPr>
        <w:tcBorders>
          <w:top w:val="nil"/>
          <w:left w:val="nil"/>
          <w:bottom w:val="single" w:sz="24" w:space="0" w:color="7D7D7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4B4B" w:themeFill="accent2" w:themeFillShade="99"/>
      </w:tcPr>
    </w:tblStylePr>
    <w:tblStylePr w:type="firstCol">
      <w:rPr>
        <w:color w:val="FFFFFF" w:themeColor="background1"/>
      </w:rPr>
      <w:tblPr/>
      <w:tcPr>
        <w:tcBorders>
          <w:top w:val="nil"/>
          <w:left w:val="nil"/>
          <w:bottom w:val="nil"/>
          <w:right w:val="nil"/>
          <w:insideH w:val="single" w:sz="4" w:space="0" w:color="4B4B4B" w:themeColor="accent2" w:themeShade="99"/>
          <w:insideV w:val="nil"/>
        </w:tcBorders>
        <w:shd w:val="clear" w:color="auto" w:fill="4B4B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B4B4B" w:themeFill="accent2" w:themeFillShade="99"/>
      </w:tcPr>
    </w:tblStylePr>
    <w:tblStylePr w:type="band1Vert">
      <w:tblPr/>
      <w:tcPr>
        <w:shd w:val="clear" w:color="auto" w:fill="CBCBCB" w:themeFill="accent2" w:themeFillTint="66"/>
      </w:tcPr>
    </w:tblStylePr>
    <w:tblStylePr w:type="band1Horz">
      <w:tblPr/>
      <w:tcPr>
        <w:shd w:val="clear" w:color="auto" w:fill="BEBEBE"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9637A8"/>
    <w:pPr>
      <w:spacing w:after="0" w:line="240" w:lineRule="auto"/>
    </w:pPr>
    <w:rPr>
      <w:color w:val="000000" w:themeColor="text1"/>
    </w:rPr>
    <w:tblPr>
      <w:tblStyleRowBandSize w:val="1"/>
      <w:tblStyleColBandSize w:val="1"/>
      <w:tblBorders>
        <w:top w:val="single" w:sz="24" w:space="0" w:color="006A9F" w:themeColor="accent4"/>
        <w:left w:val="single" w:sz="4" w:space="0" w:color="C8C8C8" w:themeColor="accent3"/>
        <w:bottom w:val="single" w:sz="4" w:space="0" w:color="C8C8C8" w:themeColor="accent3"/>
        <w:right w:val="single" w:sz="4" w:space="0" w:color="C8C8C8" w:themeColor="accent3"/>
        <w:insideH w:val="single" w:sz="4" w:space="0" w:color="FFFFFF" w:themeColor="background1"/>
        <w:insideV w:val="single" w:sz="4" w:space="0" w:color="FFFFFF" w:themeColor="background1"/>
      </w:tblBorders>
    </w:tblPr>
    <w:tcPr>
      <w:shd w:val="clear" w:color="auto" w:fill="F9F9F9" w:themeFill="accent3" w:themeFillTint="19"/>
    </w:tcPr>
    <w:tblStylePr w:type="firstRow">
      <w:rPr>
        <w:b/>
        <w:bCs/>
      </w:rPr>
      <w:tblPr/>
      <w:tcPr>
        <w:tcBorders>
          <w:top w:val="nil"/>
          <w:left w:val="nil"/>
          <w:bottom w:val="single" w:sz="24" w:space="0" w:color="006A9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7878" w:themeFill="accent3" w:themeFillShade="99"/>
      </w:tcPr>
    </w:tblStylePr>
    <w:tblStylePr w:type="firstCol">
      <w:rPr>
        <w:color w:val="FFFFFF" w:themeColor="background1"/>
      </w:rPr>
      <w:tblPr/>
      <w:tcPr>
        <w:tcBorders>
          <w:top w:val="nil"/>
          <w:left w:val="nil"/>
          <w:bottom w:val="nil"/>
          <w:right w:val="nil"/>
          <w:insideH w:val="single" w:sz="4" w:space="0" w:color="787878" w:themeColor="accent3" w:themeShade="99"/>
          <w:insideV w:val="nil"/>
        </w:tcBorders>
        <w:shd w:val="clear" w:color="auto" w:fill="78787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87878" w:themeFill="accent3" w:themeFillShade="99"/>
      </w:tcPr>
    </w:tblStylePr>
    <w:tblStylePr w:type="band1Vert">
      <w:tblPr/>
      <w:tcPr>
        <w:shd w:val="clear" w:color="auto" w:fill="E9E9E9" w:themeFill="accent3" w:themeFillTint="66"/>
      </w:tcPr>
    </w:tblStylePr>
    <w:tblStylePr w:type="band1Horz">
      <w:tblPr/>
      <w:tcPr>
        <w:shd w:val="clear" w:color="auto" w:fill="E3E3E3" w:themeFill="accent3" w:themeFillTint="7F"/>
      </w:tcPr>
    </w:tblStylePr>
  </w:style>
  <w:style w:type="table" w:styleId="ColourfulShadingAccent4">
    <w:name w:val="Colorful Shading Accent 4"/>
    <w:basedOn w:val="TableNormal"/>
    <w:uiPriority w:val="71"/>
    <w:semiHidden/>
    <w:unhideWhenUsed/>
    <w:rsid w:val="009637A8"/>
    <w:pPr>
      <w:spacing w:after="0" w:line="240" w:lineRule="auto"/>
    </w:pPr>
    <w:rPr>
      <w:color w:val="000000" w:themeColor="text1"/>
    </w:rPr>
    <w:tblPr>
      <w:tblStyleRowBandSize w:val="1"/>
      <w:tblStyleColBandSize w:val="1"/>
      <w:tblBorders>
        <w:top w:val="single" w:sz="24" w:space="0" w:color="C8C8C8" w:themeColor="accent3"/>
        <w:left w:val="single" w:sz="4" w:space="0" w:color="006A9F" w:themeColor="accent4"/>
        <w:bottom w:val="single" w:sz="4" w:space="0" w:color="006A9F" w:themeColor="accent4"/>
        <w:right w:val="single" w:sz="4" w:space="0" w:color="006A9F" w:themeColor="accent4"/>
        <w:insideH w:val="single" w:sz="4" w:space="0" w:color="FFFFFF" w:themeColor="background1"/>
        <w:insideV w:val="single" w:sz="4" w:space="0" w:color="FFFFFF" w:themeColor="background1"/>
      </w:tblBorders>
    </w:tblPr>
    <w:tcPr>
      <w:shd w:val="clear" w:color="auto" w:fill="DCF3FF" w:themeFill="accent4" w:themeFillTint="19"/>
    </w:tcPr>
    <w:tblStylePr w:type="firstRow">
      <w:rPr>
        <w:b/>
        <w:bCs/>
      </w:rPr>
      <w:tblPr/>
      <w:tcPr>
        <w:tcBorders>
          <w:top w:val="nil"/>
          <w:left w:val="nil"/>
          <w:bottom w:val="single" w:sz="24" w:space="0" w:color="C8C8C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F5F" w:themeFill="accent4" w:themeFillShade="99"/>
      </w:tcPr>
    </w:tblStylePr>
    <w:tblStylePr w:type="firstCol">
      <w:rPr>
        <w:color w:val="FFFFFF" w:themeColor="background1"/>
      </w:rPr>
      <w:tblPr/>
      <w:tcPr>
        <w:tcBorders>
          <w:top w:val="nil"/>
          <w:left w:val="nil"/>
          <w:bottom w:val="nil"/>
          <w:right w:val="nil"/>
          <w:insideH w:val="single" w:sz="4" w:space="0" w:color="003F5F" w:themeColor="accent4" w:themeShade="99"/>
          <w:insideV w:val="nil"/>
        </w:tcBorders>
        <w:shd w:val="clear" w:color="auto" w:fill="003F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3F5F" w:themeFill="accent4" w:themeFillShade="99"/>
      </w:tcPr>
    </w:tblStylePr>
    <w:tblStylePr w:type="band1Vert">
      <w:tblPr/>
      <w:tcPr>
        <w:shd w:val="clear" w:color="auto" w:fill="72D0FF" w:themeFill="accent4" w:themeFillTint="66"/>
      </w:tcPr>
    </w:tblStylePr>
    <w:tblStylePr w:type="band1Horz">
      <w:tblPr/>
      <w:tcPr>
        <w:shd w:val="clear" w:color="auto" w:fill="50C4FF"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9637A8"/>
    <w:pPr>
      <w:spacing w:after="0" w:line="240" w:lineRule="auto"/>
    </w:pPr>
    <w:rPr>
      <w:color w:val="000000" w:themeColor="text1"/>
    </w:rPr>
    <w:tblPr>
      <w:tblStyleRowBandSize w:val="1"/>
      <w:tblStyleColBandSize w:val="1"/>
      <w:tblBorders>
        <w:top w:val="single" w:sz="24" w:space="0" w:color="428D52" w:themeColor="accent6"/>
        <w:left w:val="single" w:sz="4" w:space="0" w:color="7BBDD6" w:themeColor="accent5"/>
        <w:bottom w:val="single" w:sz="4" w:space="0" w:color="7BBDD6" w:themeColor="accent5"/>
        <w:right w:val="single" w:sz="4" w:space="0" w:color="7BBDD6" w:themeColor="accent5"/>
        <w:insideH w:val="single" w:sz="4" w:space="0" w:color="FFFFFF" w:themeColor="background1"/>
        <w:insideV w:val="single" w:sz="4" w:space="0" w:color="FFFFFF" w:themeColor="background1"/>
      </w:tblBorders>
    </w:tblPr>
    <w:tcPr>
      <w:shd w:val="clear" w:color="auto" w:fill="F2F8FB" w:themeFill="accent5" w:themeFillTint="19"/>
    </w:tcPr>
    <w:tblStylePr w:type="firstRow">
      <w:rPr>
        <w:b/>
        <w:bCs/>
      </w:rPr>
      <w:tblPr/>
      <w:tcPr>
        <w:tcBorders>
          <w:top w:val="nil"/>
          <w:left w:val="nil"/>
          <w:bottom w:val="single" w:sz="24" w:space="0" w:color="428D5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7C9A" w:themeFill="accent5" w:themeFillShade="99"/>
      </w:tcPr>
    </w:tblStylePr>
    <w:tblStylePr w:type="firstCol">
      <w:rPr>
        <w:color w:val="FFFFFF" w:themeColor="background1"/>
      </w:rPr>
      <w:tblPr/>
      <w:tcPr>
        <w:tcBorders>
          <w:top w:val="nil"/>
          <w:left w:val="nil"/>
          <w:bottom w:val="nil"/>
          <w:right w:val="nil"/>
          <w:insideH w:val="single" w:sz="4" w:space="0" w:color="307C9A" w:themeColor="accent5" w:themeShade="99"/>
          <w:insideV w:val="nil"/>
        </w:tcBorders>
        <w:shd w:val="clear" w:color="auto" w:fill="307C9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07C9A" w:themeFill="accent5" w:themeFillShade="99"/>
      </w:tcPr>
    </w:tblStylePr>
    <w:tblStylePr w:type="band1Vert">
      <w:tblPr/>
      <w:tcPr>
        <w:shd w:val="clear" w:color="auto" w:fill="CAE4EE" w:themeFill="accent5" w:themeFillTint="66"/>
      </w:tcPr>
    </w:tblStylePr>
    <w:tblStylePr w:type="band1Horz">
      <w:tblPr/>
      <w:tcPr>
        <w:shd w:val="clear" w:color="auto" w:fill="BDDDEA"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9637A8"/>
    <w:pPr>
      <w:spacing w:after="0" w:line="240" w:lineRule="auto"/>
    </w:pPr>
    <w:rPr>
      <w:color w:val="000000" w:themeColor="text1"/>
    </w:rPr>
    <w:tblPr>
      <w:tblStyleRowBandSize w:val="1"/>
      <w:tblStyleColBandSize w:val="1"/>
      <w:tblBorders>
        <w:top w:val="single" w:sz="24" w:space="0" w:color="7BBDD6" w:themeColor="accent5"/>
        <w:left w:val="single" w:sz="4" w:space="0" w:color="428D52" w:themeColor="accent6"/>
        <w:bottom w:val="single" w:sz="4" w:space="0" w:color="428D52" w:themeColor="accent6"/>
        <w:right w:val="single" w:sz="4" w:space="0" w:color="428D52" w:themeColor="accent6"/>
        <w:insideH w:val="single" w:sz="4" w:space="0" w:color="FFFFFF" w:themeColor="background1"/>
        <w:insideV w:val="single" w:sz="4" w:space="0" w:color="FFFFFF" w:themeColor="background1"/>
      </w:tblBorders>
    </w:tblPr>
    <w:tcPr>
      <w:shd w:val="clear" w:color="auto" w:fill="EAF5EC" w:themeFill="accent6" w:themeFillTint="19"/>
    </w:tcPr>
    <w:tblStylePr w:type="firstRow">
      <w:rPr>
        <w:b/>
        <w:bCs/>
      </w:rPr>
      <w:tblPr/>
      <w:tcPr>
        <w:tcBorders>
          <w:top w:val="nil"/>
          <w:left w:val="nil"/>
          <w:bottom w:val="single" w:sz="24" w:space="0" w:color="7BBDD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5431" w:themeFill="accent6" w:themeFillShade="99"/>
      </w:tcPr>
    </w:tblStylePr>
    <w:tblStylePr w:type="firstCol">
      <w:rPr>
        <w:color w:val="FFFFFF" w:themeColor="background1"/>
      </w:rPr>
      <w:tblPr/>
      <w:tcPr>
        <w:tcBorders>
          <w:top w:val="nil"/>
          <w:left w:val="nil"/>
          <w:bottom w:val="nil"/>
          <w:right w:val="nil"/>
          <w:insideH w:val="single" w:sz="4" w:space="0" w:color="275431" w:themeColor="accent6" w:themeShade="99"/>
          <w:insideV w:val="nil"/>
        </w:tcBorders>
        <w:shd w:val="clear" w:color="auto" w:fill="27543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75431" w:themeFill="accent6" w:themeFillShade="99"/>
      </w:tcPr>
    </w:tblStylePr>
    <w:tblStylePr w:type="band1Vert">
      <w:tblPr/>
      <w:tcPr>
        <w:shd w:val="clear" w:color="auto" w:fill="ACD8B5" w:themeFill="accent6" w:themeFillTint="66"/>
      </w:tcPr>
    </w:tblStylePr>
    <w:tblStylePr w:type="band1Horz">
      <w:tblPr/>
      <w:tcPr>
        <w:shd w:val="clear" w:color="auto" w:fill="98CFA3"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637A8"/>
    <w:rPr>
      <w:sz w:val="16"/>
      <w:szCs w:val="16"/>
    </w:rPr>
  </w:style>
  <w:style w:type="paragraph" w:styleId="CommentText">
    <w:name w:val="annotation text"/>
    <w:basedOn w:val="Normal"/>
    <w:link w:val="CommentTextChar"/>
    <w:uiPriority w:val="99"/>
    <w:unhideWhenUsed/>
    <w:rsid w:val="009637A8"/>
    <w:pPr>
      <w:spacing w:after="160"/>
    </w:pPr>
    <w:rPr>
      <w:sz w:val="20"/>
      <w:szCs w:val="20"/>
    </w:rPr>
  </w:style>
  <w:style w:type="character" w:customStyle="1" w:styleId="CommentTextChar">
    <w:name w:val="Comment Text Char"/>
    <w:basedOn w:val="DefaultParagraphFont"/>
    <w:link w:val="CommentText"/>
    <w:uiPriority w:val="99"/>
    <w:rsid w:val="009637A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637A8"/>
    <w:rPr>
      <w:b/>
      <w:bCs/>
    </w:rPr>
  </w:style>
  <w:style w:type="character" w:customStyle="1" w:styleId="CommentSubjectChar">
    <w:name w:val="Comment Subject Char"/>
    <w:basedOn w:val="CommentTextChar"/>
    <w:link w:val="CommentSubject"/>
    <w:uiPriority w:val="99"/>
    <w:semiHidden/>
    <w:rsid w:val="009637A8"/>
    <w:rPr>
      <w:rFonts w:ascii="Arial" w:hAnsi="Arial" w:cs="Arial"/>
      <w:b/>
      <w:bCs/>
      <w:sz w:val="20"/>
      <w:szCs w:val="20"/>
    </w:rPr>
  </w:style>
  <w:style w:type="table" w:styleId="DarkList">
    <w:name w:val="Dark List"/>
    <w:basedOn w:val="TableNormal"/>
    <w:uiPriority w:val="70"/>
    <w:semiHidden/>
    <w:unhideWhenUsed/>
    <w:rsid w:val="009637A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637A8"/>
    <w:pPr>
      <w:spacing w:after="0" w:line="240" w:lineRule="auto"/>
    </w:pPr>
    <w:rPr>
      <w:color w:val="FFFFFF" w:themeColor="background1"/>
    </w:rPr>
    <w:tblPr>
      <w:tblStyleRowBandSize w:val="1"/>
      <w:tblStyleColBandSize w:val="1"/>
    </w:tblPr>
    <w:tcPr>
      <w:shd w:val="clear" w:color="auto" w:fill="9D85B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C386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2549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2549D" w:themeFill="accent1" w:themeFillShade="BF"/>
      </w:tcPr>
    </w:tblStylePr>
    <w:tblStylePr w:type="band1Vert">
      <w:tblPr/>
      <w:tcPr>
        <w:tcBorders>
          <w:top w:val="nil"/>
          <w:left w:val="nil"/>
          <w:bottom w:val="nil"/>
          <w:right w:val="nil"/>
          <w:insideH w:val="nil"/>
          <w:insideV w:val="nil"/>
        </w:tcBorders>
        <w:shd w:val="clear" w:color="auto" w:fill="72549D" w:themeFill="accent1" w:themeFillShade="BF"/>
      </w:tcPr>
    </w:tblStylePr>
    <w:tblStylePr w:type="band1Horz">
      <w:tblPr/>
      <w:tcPr>
        <w:tcBorders>
          <w:top w:val="nil"/>
          <w:left w:val="nil"/>
          <w:bottom w:val="nil"/>
          <w:right w:val="nil"/>
          <w:insideH w:val="nil"/>
          <w:insideV w:val="nil"/>
        </w:tcBorders>
        <w:shd w:val="clear" w:color="auto" w:fill="72549D" w:themeFill="accent1" w:themeFillShade="BF"/>
      </w:tcPr>
    </w:tblStylePr>
  </w:style>
  <w:style w:type="table" w:styleId="DarkList-Accent2">
    <w:name w:val="Dark List Accent 2"/>
    <w:basedOn w:val="TableNormal"/>
    <w:uiPriority w:val="70"/>
    <w:semiHidden/>
    <w:unhideWhenUsed/>
    <w:rsid w:val="009637A8"/>
    <w:pPr>
      <w:spacing w:after="0" w:line="240" w:lineRule="auto"/>
    </w:pPr>
    <w:rPr>
      <w:color w:val="FFFFFF" w:themeColor="background1"/>
    </w:rPr>
    <w:tblPr>
      <w:tblStyleRowBandSize w:val="1"/>
      <w:tblStyleColBandSize w:val="1"/>
    </w:tblPr>
    <w:tcPr>
      <w:shd w:val="clear" w:color="auto" w:fill="7D7D7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3E3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D5D5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D5D5D" w:themeFill="accent2" w:themeFillShade="BF"/>
      </w:tcPr>
    </w:tblStylePr>
    <w:tblStylePr w:type="band1Vert">
      <w:tblPr/>
      <w:tcPr>
        <w:tcBorders>
          <w:top w:val="nil"/>
          <w:left w:val="nil"/>
          <w:bottom w:val="nil"/>
          <w:right w:val="nil"/>
          <w:insideH w:val="nil"/>
          <w:insideV w:val="nil"/>
        </w:tcBorders>
        <w:shd w:val="clear" w:color="auto" w:fill="5D5D5D" w:themeFill="accent2" w:themeFillShade="BF"/>
      </w:tcPr>
    </w:tblStylePr>
    <w:tblStylePr w:type="band1Horz">
      <w:tblPr/>
      <w:tcPr>
        <w:tcBorders>
          <w:top w:val="nil"/>
          <w:left w:val="nil"/>
          <w:bottom w:val="nil"/>
          <w:right w:val="nil"/>
          <w:insideH w:val="nil"/>
          <w:insideV w:val="nil"/>
        </w:tcBorders>
        <w:shd w:val="clear" w:color="auto" w:fill="5D5D5D" w:themeFill="accent2" w:themeFillShade="BF"/>
      </w:tcPr>
    </w:tblStylePr>
  </w:style>
  <w:style w:type="table" w:styleId="DarkList-Accent3">
    <w:name w:val="Dark List Accent 3"/>
    <w:basedOn w:val="TableNormal"/>
    <w:uiPriority w:val="70"/>
    <w:semiHidden/>
    <w:unhideWhenUsed/>
    <w:rsid w:val="009637A8"/>
    <w:pPr>
      <w:spacing w:after="0" w:line="240" w:lineRule="auto"/>
    </w:pPr>
    <w:rPr>
      <w:color w:val="FFFFFF" w:themeColor="background1"/>
    </w:rPr>
    <w:tblPr>
      <w:tblStyleRowBandSize w:val="1"/>
      <w:tblStyleColBandSize w:val="1"/>
    </w:tblPr>
    <w:tcPr>
      <w:shd w:val="clear" w:color="auto" w:fill="C8C8C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636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5959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59595" w:themeFill="accent3" w:themeFillShade="BF"/>
      </w:tcPr>
    </w:tblStylePr>
    <w:tblStylePr w:type="band1Vert">
      <w:tblPr/>
      <w:tcPr>
        <w:tcBorders>
          <w:top w:val="nil"/>
          <w:left w:val="nil"/>
          <w:bottom w:val="nil"/>
          <w:right w:val="nil"/>
          <w:insideH w:val="nil"/>
          <w:insideV w:val="nil"/>
        </w:tcBorders>
        <w:shd w:val="clear" w:color="auto" w:fill="959595" w:themeFill="accent3" w:themeFillShade="BF"/>
      </w:tcPr>
    </w:tblStylePr>
    <w:tblStylePr w:type="band1Horz">
      <w:tblPr/>
      <w:tcPr>
        <w:tcBorders>
          <w:top w:val="nil"/>
          <w:left w:val="nil"/>
          <w:bottom w:val="nil"/>
          <w:right w:val="nil"/>
          <w:insideH w:val="nil"/>
          <w:insideV w:val="nil"/>
        </w:tcBorders>
        <w:shd w:val="clear" w:color="auto" w:fill="959595" w:themeFill="accent3" w:themeFillShade="BF"/>
      </w:tcPr>
    </w:tblStylePr>
  </w:style>
  <w:style w:type="table" w:styleId="DarkList-Accent4">
    <w:name w:val="Dark List Accent 4"/>
    <w:basedOn w:val="TableNormal"/>
    <w:uiPriority w:val="70"/>
    <w:semiHidden/>
    <w:unhideWhenUsed/>
    <w:rsid w:val="009637A8"/>
    <w:pPr>
      <w:spacing w:after="0" w:line="240" w:lineRule="auto"/>
    </w:pPr>
    <w:rPr>
      <w:color w:val="FFFFFF" w:themeColor="background1"/>
    </w:rPr>
    <w:tblPr>
      <w:tblStyleRowBandSize w:val="1"/>
      <w:tblStyleColBandSize w:val="1"/>
    </w:tblPr>
    <w:tcPr>
      <w:shd w:val="clear" w:color="auto" w:fill="006A9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44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4F7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4F77" w:themeFill="accent4" w:themeFillShade="BF"/>
      </w:tcPr>
    </w:tblStylePr>
    <w:tblStylePr w:type="band1Vert">
      <w:tblPr/>
      <w:tcPr>
        <w:tcBorders>
          <w:top w:val="nil"/>
          <w:left w:val="nil"/>
          <w:bottom w:val="nil"/>
          <w:right w:val="nil"/>
          <w:insideH w:val="nil"/>
          <w:insideV w:val="nil"/>
        </w:tcBorders>
        <w:shd w:val="clear" w:color="auto" w:fill="004F77" w:themeFill="accent4" w:themeFillShade="BF"/>
      </w:tcPr>
    </w:tblStylePr>
    <w:tblStylePr w:type="band1Horz">
      <w:tblPr/>
      <w:tcPr>
        <w:tcBorders>
          <w:top w:val="nil"/>
          <w:left w:val="nil"/>
          <w:bottom w:val="nil"/>
          <w:right w:val="nil"/>
          <w:insideH w:val="nil"/>
          <w:insideV w:val="nil"/>
        </w:tcBorders>
        <w:shd w:val="clear" w:color="auto" w:fill="004F77" w:themeFill="accent4" w:themeFillShade="BF"/>
      </w:tcPr>
    </w:tblStylePr>
  </w:style>
  <w:style w:type="table" w:styleId="DarkList-Accent5">
    <w:name w:val="Dark List Accent 5"/>
    <w:basedOn w:val="TableNormal"/>
    <w:uiPriority w:val="70"/>
    <w:semiHidden/>
    <w:unhideWhenUsed/>
    <w:rsid w:val="009637A8"/>
    <w:pPr>
      <w:spacing w:after="0" w:line="240" w:lineRule="auto"/>
    </w:pPr>
    <w:rPr>
      <w:color w:val="FFFFFF" w:themeColor="background1"/>
    </w:rPr>
    <w:tblPr>
      <w:tblStyleRowBandSize w:val="1"/>
      <w:tblStyleColBandSize w:val="1"/>
    </w:tblPr>
    <w:tcPr>
      <w:shd w:val="clear" w:color="auto" w:fill="7BBDD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677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C9BC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C9BC0" w:themeFill="accent5" w:themeFillShade="BF"/>
      </w:tcPr>
    </w:tblStylePr>
    <w:tblStylePr w:type="band1Vert">
      <w:tblPr/>
      <w:tcPr>
        <w:tcBorders>
          <w:top w:val="nil"/>
          <w:left w:val="nil"/>
          <w:bottom w:val="nil"/>
          <w:right w:val="nil"/>
          <w:insideH w:val="nil"/>
          <w:insideV w:val="nil"/>
        </w:tcBorders>
        <w:shd w:val="clear" w:color="auto" w:fill="3C9BC0" w:themeFill="accent5" w:themeFillShade="BF"/>
      </w:tcPr>
    </w:tblStylePr>
    <w:tblStylePr w:type="band1Horz">
      <w:tblPr/>
      <w:tcPr>
        <w:tcBorders>
          <w:top w:val="nil"/>
          <w:left w:val="nil"/>
          <w:bottom w:val="nil"/>
          <w:right w:val="nil"/>
          <w:insideH w:val="nil"/>
          <w:insideV w:val="nil"/>
        </w:tcBorders>
        <w:shd w:val="clear" w:color="auto" w:fill="3C9BC0" w:themeFill="accent5" w:themeFillShade="BF"/>
      </w:tcPr>
    </w:tblStylePr>
  </w:style>
  <w:style w:type="table" w:styleId="DarkList-Accent6">
    <w:name w:val="Dark List Accent 6"/>
    <w:basedOn w:val="TableNormal"/>
    <w:uiPriority w:val="70"/>
    <w:semiHidden/>
    <w:unhideWhenUsed/>
    <w:rsid w:val="009637A8"/>
    <w:pPr>
      <w:spacing w:after="0" w:line="240" w:lineRule="auto"/>
    </w:pPr>
    <w:rPr>
      <w:color w:val="FFFFFF" w:themeColor="background1"/>
    </w:rPr>
    <w:tblPr>
      <w:tblStyleRowBandSize w:val="1"/>
      <w:tblStyleColBandSize w:val="1"/>
    </w:tblPr>
    <w:tcPr>
      <w:shd w:val="clear" w:color="auto" w:fill="428D5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462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1693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1693D" w:themeFill="accent6" w:themeFillShade="BF"/>
      </w:tcPr>
    </w:tblStylePr>
    <w:tblStylePr w:type="band1Vert">
      <w:tblPr/>
      <w:tcPr>
        <w:tcBorders>
          <w:top w:val="nil"/>
          <w:left w:val="nil"/>
          <w:bottom w:val="nil"/>
          <w:right w:val="nil"/>
          <w:insideH w:val="nil"/>
          <w:insideV w:val="nil"/>
        </w:tcBorders>
        <w:shd w:val="clear" w:color="auto" w:fill="31693D" w:themeFill="accent6" w:themeFillShade="BF"/>
      </w:tcPr>
    </w:tblStylePr>
    <w:tblStylePr w:type="band1Horz">
      <w:tblPr/>
      <w:tcPr>
        <w:tcBorders>
          <w:top w:val="nil"/>
          <w:left w:val="nil"/>
          <w:bottom w:val="nil"/>
          <w:right w:val="nil"/>
          <w:insideH w:val="nil"/>
          <w:insideV w:val="nil"/>
        </w:tcBorders>
        <w:shd w:val="clear" w:color="auto" w:fill="31693D" w:themeFill="accent6" w:themeFillShade="BF"/>
      </w:tcPr>
    </w:tblStylePr>
  </w:style>
  <w:style w:type="paragraph" w:styleId="Date">
    <w:name w:val="Date"/>
    <w:basedOn w:val="Normal"/>
    <w:next w:val="Normal"/>
    <w:link w:val="DateChar"/>
    <w:uiPriority w:val="99"/>
    <w:semiHidden/>
    <w:unhideWhenUsed/>
    <w:rsid w:val="009637A8"/>
    <w:pPr>
      <w:spacing w:after="160" w:line="259" w:lineRule="auto"/>
    </w:pPr>
  </w:style>
  <w:style w:type="character" w:customStyle="1" w:styleId="DateChar">
    <w:name w:val="Date Char"/>
    <w:basedOn w:val="DefaultParagraphFont"/>
    <w:link w:val="Date"/>
    <w:uiPriority w:val="99"/>
    <w:semiHidden/>
    <w:rsid w:val="009637A8"/>
    <w:rPr>
      <w:rFonts w:ascii="Arial" w:hAnsi="Arial" w:cs="Arial"/>
    </w:rPr>
  </w:style>
  <w:style w:type="paragraph" w:styleId="DocumentMap">
    <w:name w:val="Document Map"/>
    <w:basedOn w:val="Normal"/>
    <w:link w:val="DocumentMapChar"/>
    <w:uiPriority w:val="99"/>
    <w:semiHidden/>
    <w:unhideWhenUsed/>
    <w:rsid w:val="009637A8"/>
    <w:pPr>
      <w:spacing w:after="0"/>
    </w:pPr>
    <w:rPr>
      <w:sz w:val="16"/>
      <w:szCs w:val="16"/>
    </w:rPr>
  </w:style>
  <w:style w:type="character" w:customStyle="1" w:styleId="DocumentMapChar">
    <w:name w:val="Document Map Char"/>
    <w:basedOn w:val="DefaultParagraphFont"/>
    <w:link w:val="DocumentMap"/>
    <w:uiPriority w:val="99"/>
    <w:semiHidden/>
    <w:rsid w:val="009637A8"/>
    <w:rPr>
      <w:rFonts w:ascii="Arial" w:hAnsi="Arial" w:cs="Arial"/>
      <w:sz w:val="16"/>
      <w:szCs w:val="16"/>
    </w:rPr>
  </w:style>
  <w:style w:type="paragraph" w:styleId="EmailSignature">
    <w:name w:val="E-mail Signature"/>
    <w:basedOn w:val="Normal"/>
    <w:link w:val="EmailSignatureChar"/>
    <w:uiPriority w:val="99"/>
    <w:semiHidden/>
    <w:unhideWhenUsed/>
    <w:rsid w:val="009637A8"/>
    <w:pPr>
      <w:spacing w:after="0"/>
    </w:pPr>
  </w:style>
  <w:style w:type="character" w:customStyle="1" w:styleId="EmailSignatureChar">
    <w:name w:val="Email Signature Char"/>
    <w:basedOn w:val="DefaultParagraphFont"/>
    <w:link w:val="EmailSignature"/>
    <w:uiPriority w:val="99"/>
    <w:semiHidden/>
    <w:rsid w:val="009637A8"/>
    <w:rPr>
      <w:rFonts w:ascii="Arial" w:hAnsi="Arial" w:cs="Arial"/>
    </w:rPr>
  </w:style>
  <w:style w:type="character" w:styleId="Emphasis">
    <w:name w:val="Emphasis"/>
    <w:basedOn w:val="DefaultParagraphFont"/>
    <w:uiPriority w:val="20"/>
    <w:qFormat/>
    <w:rsid w:val="009637A8"/>
    <w:rPr>
      <w:i/>
      <w:iCs/>
    </w:rPr>
  </w:style>
  <w:style w:type="character" w:styleId="EndnoteReference">
    <w:name w:val="endnote reference"/>
    <w:basedOn w:val="DefaultParagraphFont"/>
    <w:uiPriority w:val="99"/>
    <w:semiHidden/>
    <w:unhideWhenUsed/>
    <w:rsid w:val="009637A8"/>
    <w:rPr>
      <w:vertAlign w:val="superscript"/>
    </w:rPr>
  </w:style>
  <w:style w:type="paragraph" w:styleId="EndnoteText">
    <w:name w:val="endnote text"/>
    <w:basedOn w:val="Normal"/>
    <w:link w:val="EndnoteTextChar"/>
    <w:uiPriority w:val="99"/>
    <w:semiHidden/>
    <w:unhideWhenUsed/>
    <w:rsid w:val="009637A8"/>
    <w:pPr>
      <w:spacing w:after="0"/>
    </w:pPr>
    <w:rPr>
      <w:sz w:val="20"/>
      <w:szCs w:val="20"/>
    </w:rPr>
  </w:style>
  <w:style w:type="character" w:customStyle="1" w:styleId="EndnoteTextChar">
    <w:name w:val="Endnote Text Char"/>
    <w:basedOn w:val="DefaultParagraphFont"/>
    <w:link w:val="EndnoteText"/>
    <w:uiPriority w:val="99"/>
    <w:semiHidden/>
    <w:rsid w:val="009637A8"/>
    <w:rPr>
      <w:rFonts w:ascii="Arial" w:hAnsi="Arial" w:cs="Arial"/>
      <w:sz w:val="20"/>
      <w:szCs w:val="20"/>
    </w:rPr>
  </w:style>
  <w:style w:type="paragraph" w:styleId="EnvelopeAddress">
    <w:name w:val="envelope address"/>
    <w:basedOn w:val="Normal"/>
    <w:uiPriority w:val="99"/>
    <w:semiHidden/>
    <w:unhideWhenUsed/>
    <w:rsid w:val="009637A8"/>
    <w:pPr>
      <w:framePr w:w="7920" w:h="1980" w:hRule="exact" w:hSpace="180" w:wrap="auto" w:hAnchor="page" w:xAlign="center" w:yAlign="bottom"/>
      <w:spacing w:after="0"/>
      <w:ind w:left="2880"/>
    </w:pPr>
    <w:rPr>
      <w:rFonts w:eastAsiaTheme="majorEastAsia"/>
      <w:sz w:val="24"/>
      <w:szCs w:val="24"/>
    </w:rPr>
  </w:style>
  <w:style w:type="paragraph" w:styleId="EnvelopeReturn">
    <w:name w:val="envelope return"/>
    <w:basedOn w:val="Normal"/>
    <w:uiPriority w:val="99"/>
    <w:semiHidden/>
    <w:unhideWhenUsed/>
    <w:rsid w:val="009637A8"/>
    <w:pPr>
      <w:spacing w:after="0"/>
    </w:pPr>
    <w:rPr>
      <w:rFonts w:eastAsiaTheme="majorEastAsia"/>
      <w:sz w:val="20"/>
      <w:szCs w:val="20"/>
    </w:rPr>
  </w:style>
  <w:style w:type="character" w:styleId="FollowedHyperlink">
    <w:name w:val="FollowedHyperlink"/>
    <w:basedOn w:val="DefaultParagraphFont"/>
    <w:uiPriority w:val="99"/>
    <w:semiHidden/>
    <w:unhideWhenUsed/>
    <w:rsid w:val="009637A8"/>
    <w:rPr>
      <w:color w:val="9FD18B" w:themeColor="followedHyperlink"/>
      <w:u w:val="single"/>
    </w:rPr>
  </w:style>
  <w:style w:type="paragraph" w:styleId="Footer">
    <w:name w:val="footer"/>
    <w:basedOn w:val="Normal-nospace"/>
    <w:link w:val="FooterChar"/>
    <w:uiPriority w:val="99"/>
    <w:unhideWhenUsed/>
    <w:rsid w:val="00B649EB"/>
    <w:pPr>
      <w:tabs>
        <w:tab w:val="center" w:pos="4513"/>
        <w:tab w:val="right" w:pos="9026"/>
      </w:tabs>
      <w:spacing w:line="240" w:lineRule="auto"/>
    </w:pPr>
    <w:rPr>
      <w:rFonts w:ascii="Yu Gothic Medium" w:hAnsi="Yu Gothic Medium"/>
      <w:sz w:val="15"/>
    </w:rPr>
  </w:style>
  <w:style w:type="character" w:customStyle="1" w:styleId="FooterChar">
    <w:name w:val="Footer Char"/>
    <w:basedOn w:val="DefaultParagraphFont"/>
    <w:link w:val="Footer"/>
    <w:uiPriority w:val="99"/>
    <w:rsid w:val="00B649EB"/>
    <w:rPr>
      <w:rFonts w:ascii="Yu Gothic Medium" w:hAnsi="Yu Gothic Medium" w:cs="Arial"/>
      <w:sz w:val="15"/>
    </w:rPr>
  </w:style>
  <w:style w:type="character" w:styleId="FootnoteReference">
    <w:name w:val="footnote reference"/>
    <w:basedOn w:val="DefaultParagraphFont"/>
    <w:uiPriority w:val="99"/>
    <w:semiHidden/>
    <w:unhideWhenUsed/>
    <w:rsid w:val="009637A8"/>
    <w:rPr>
      <w:vertAlign w:val="superscript"/>
    </w:rPr>
  </w:style>
  <w:style w:type="paragraph" w:styleId="FootnoteText">
    <w:name w:val="footnote text"/>
    <w:basedOn w:val="Normal-nospace"/>
    <w:link w:val="FootnoteTextChar"/>
    <w:uiPriority w:val="99"/>
    <w:semiHidden/>
    <w:unhideWhenUsed/>
    <w:rsid w:val="001E7AB7"/>
    <w:pPr>
      <w:spacing w:after="30" w:line="240" w:lineRule="auto"/>
    </w:pPr>
    <w:rPr>
      <w:sz w:val="18"/>
      <w:szCs w:val="20"/>
    </w:rPr>
  </w:style>
  <w:style w:type="character" w:customStyle="1" w:styleId="FootnoteTextChar">
    <w:name w:val="Footnote Text Char"/>
    <w:basedOn w:val="DefaultParagraphFont"/>
    <w:link w:val="FootnoteText"/>
    <w:uiPriority w:val="99"/>
    <w:semiHidden/>
    <w:rsid w:val="001E7AB7"/>
    <w:rPr>
      <w:rFonts w:ascii="Arial Narrow" w:hAnsi="Arial Narrow" w:cs="Arial"/>
      <w:color w:val="000100"/>
      <w:sz w:val="18"/>
      <w:szCs w:val="20"/>
    </w:rPr>
  </w:style>
  <w:style w:type="table" w:styleId="GridTable1Light">
    <w:name w:val="Grid Table 1 Light"/>
    <w:basedOn w:val="TableNormal"/>
    <w:uiPriority w:val="46"/>
    <w:rsid w:val="009637A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637A8"/>
    <w:pPr>
      <w:spacing w:after="0" w:line="240" w:lineRule="auto"/>
    </w:pPr>
    <w:tblPr>
      <w:tblStyleRowBandSize w:val="1"/>
      <w:tblStyleColBandSize w:val="1"/>
      <w:tblBorders>
        <w:top w:val="single" w:sz="4" w:space="0" w:color="D7CEE5" w:themeColor="accent1" w:themeTint="66"/>
        <w:left w:val="single" w:sz="4" w:space="0" w:color="D7CEE5" w:themeColor="accent1" w:themeTint="66"/>
        <w:bottom w:val="single" w:sz="4" w:space="0" w:color="D7CEE5" w:themeColor="accent1" w:themeTint="66"/>
        <w:right w:val="single" w:sz="4" w:space="0" w:color="D7CEE5" w:themeColor="accent1" w:themeTint="66"/>
        <w:insideH w:val="single" w:sz="4" w:space="0" w:color="D7CEE5" w:themeColor="accent1" w:themeTint="66"/>
        <w:insideV w:val="single" w:sz="4" w:space="0" w:color="D7CEE5" w:themeColor="accent1" w:themeTint="66"/>
      </w:tblBorders>
    </w:tblPr>
    <w:tblStylePr w:type="firstRow">
      <w:rPr>
        <w:b/>
        <w:bCs/>
      </w:rPr>
      <w:tblPr/>
      <w:tcPr>
        <w:tcBorders>
          <w:bottom w:val="single" w:sz="12" w:space="0" w:color="C4B5D8" w:themeColor="accent1" w:themeTint="99"/>
        </w:tcBorders>
      </w:tcPr>
    </w:tblStylePr>
    <w:tblStylePr w:type="lastRow">
      <w:rPr>
        <w:b/>
        <w:bCs/>
      </w:rPr>
      <w:tblPr/>
      <w:tcPr>
        <w:tcBorders>
          <w:top w:val="double" w:sz="2" w:space="0" w:color="C4B5D8"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637A8"/>
    <w:pPr>
      <w:spacing w:after="0" w:line="240" w:lineRule="auto"/>
    </w:pPr>
    <w:tblPr>
      <w:tblStyleRowBandSize w:val="1"/>
      <w:tblStyleColBandSize w:val="1"/>
      <w:tblBorders>
        <w:top w:val="single" w:sz="4" w:space="0" w:color="CBCBCB" w:themeColor="accent2" w:themeTint="66"/>
        <w:left w:val="single" w:sz="4" w:space="0" w:color="CBCBCB" w:themeColor="accent2" w:themeTint="66"/>
        <w:bottom w:val="single" w:sz="4" w:space="0" w:color="CBCBCB" w:themeColor="accent2" w:themeTint="66"/>
        <w:right w:val="single" w:sz="4" w:space="0" w:color="CBCBCB" w:themeColor="accent2" w:themeTint="66"/>
        <w:insideH w:val="single" w:sz="4" w:space="0" w:color="CBCBCB" w:themeColor="accent2" w:themeTint="66"/>
        <w:insideV w:val="single" w:sz="4" w:space="0" w:color="CBCBCB" w:themeColor="accent2" w:themeTint="66"/>
      </w:tblBorders>
    </w:tblPr>
    <w:tblStylePr w:type="firstRow">
      <w:rPr>
        <w:b/>
        <w:bCs/>
      </w:rPr>
      <w:tblPr/>
      <w:tcPr>
        <w:tcBorders>
          <w:bottom w:val="single" w:sz="12" w:space="0" w:color="B1B1B1" w:themeColor="accent2" w:themeTint="99"/>
        </w:tcBorders>
      </w:tcPr>
    </w:tblStylePr>
    <w:tblStylePr w:type="lastRow">
      <w:rPr>
        <w:b/>
        <w:bCs/>
      </w:rPr>
      <w:tblPr/>
      <w:tcPr>
        <w:tcBorders>
          <w:top w:val="double" w:sz="2" w:space="0" w:color="B1B1B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637A8"/>
    <w:pPr>
      <w:spacing w:after="0" w:line="240" w:lineRule="auto"/>
    </w:pPr>
    <w:tblPr>
      <w:tblStyleRowBandSize w:val="1"/>
      <w:tblStyleColBandSize w:val="1"/>
      <w:tblBorders>
        <w:top w:val="single" w:sz="4" w:space="0" w:color="E9E9E9" w:themeColor="accent3" w:themeTint="66"/>
        <w:left w:val="single" w:sz="4" w:space="0" w:color="E9E9E9" w:themeColor="accent3" w:themeTint="66"/>
        <w:bottom w:val="single" w:sz="4" w:space="0" w:color="E9E9E9" w:themeColor="accent3" w:themeTint="66"/>
        <w:right w:val="single" w:sz="4" w:space="0" w:color="E9E9E9" w:themeColor="accent3" w:themeTint="66"/>
        <w:insideH w:val="single" w:sz="4" w:space="0" w:color="E9E9E9" w:themeColor="accent3" w:themeTint="66"/>
        <w:insideV w:val="single" w:sz="4" w:space="0" w:color="E9E9E9" w:themeColor="accent3" w:themeTint="66"/>
      </w:tblBorders>
    </w:tblPr>
    <w:tblStylePr w:type="firstRow">
      <w:rPr>
        <w:b/>
        <w:bCs/>
      </w:rPr>
      <w:tblPr/>
      <w:tcPr>
        <w:tcBorders>
          <w:bottom w:val="single" w:sz="12" w:space="0" w:color="DEDEDE" w:themeColor="accent3" w:themeTint="99"/>
        </w:tcBorders>
      </w:tcPr>
    </w:tblStylePr>
    <w:tblStylePr w:type="lastRow">
      <w:rPr>
        <w:b/>
        <w:bCs/>
      </w:rPr>
      <w:tblPr/>
      <w:tcPr>
        <w:tcBorders>
          <w:top w:val="double" w:sz="2" w:space="0" w:color="DEDED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637A8"/>
    <w:pPr>
      <w:spacing w:after="0" w:line="240" w:lineRule="auto"/>
    </w:pPr>
    <w:tblPr>
      <w:tblStyleRowBandSize w:val="1"/>
      <w:tblStyleColBandSize w:val="1"/>
      <w:tblBorders>
        <w:top w:val="single" w:sz="4" w:space="0" w:color="72D0FF" w:themeColor="accent4" w:themeTint="66"/>
        <w:left w:val="single" w:sz="4" w:space="0" w:color="72D0FF" w:themeColor="accent4" w:themeTint="66"/>
        <w:bottom w:val="single" w:sz="4" w:space="0" w:color="72D0FF" w:themeColor="accent4" w:themeTint="66"/>
        <w:right w:val="single" w:sz="4" w:space="0" w:color="72D0FF" w:themeColor="accent4" w:themeTint="66"/>
        <w:insideH w:val="single" w:sz="4" w:space="0" w:color="72D0FF" w:themeColor="accent4" w:themeTint="66"/>
        <w:insideV w:val="single" w:sz="4" w:space="0" w:color="72D0FF" w:themeColor="accent4" w:themeTint="66"/>
      </w:tblBorders>
    </w:tblPr>
    <w:tblStylePr w:type="firstRow">
      <w:rPr>
        <w:b/>
        <w:bCs/>
      </w:rPr>
      <w:tblPr/>
      <w:tcPr>
        <w:tcBorders>
          <w:bottom w:val="single" w:sz="12" w:space="0" w:color="2CB8FF" w:themeColor="accent4" w:themeTint="99"/>
        </w:tcBorders>
      </w:tcPr>
    </w:tblStylePr>
    <w:tblStylePr w:type="lastRow">
      <w:rPr>
        <w:b/>
        <w:bCs/>
      </w:rPr>
      <w:tblPr/>
      <w:tcPr>
        <w:tcBorders>
          <w:top w:val="double" w:sz="2" w:space="0" w:color="2CB8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637A8"/>
    <w:pPr>
      <w:spacing w:after="0" w:line="240" w:lineRule="auto"/>
    </w:pPr>
    <w:tblPr>
      <w:tblStyleRowBandSize w:val="1"/>
      <w:tblStyleColBandSize w:val="1"/>
      <w:tblBorders>
        <w:top w:val="single" w:sz="4" w:space="0" w:color="CAE4EE" w:themeColor="accent5" w:themeTint="66"/>
        <w:left w:val="single" w:sz="4" w:space="0" w:color="CAE4EE" w:themeColor="accent5" w:themeTint="66"/>
        <w:bottom w:val="single" w:sz="4" w:space="0" w:color="CAE4EE" w:themeColor="accent5" w:themeTint="66"/>
        <w:right w:val="single" w:sz="4" w:space="0" w:color="CAE4EE" w:themeColor="accent5" w:themeTint="66"/>
        <w:insideH w:val="single" w:sz="4" w:space="0" w:color="CAE4EE" w:themeColor="accent5" w:themeTint="66"/>
        <w:insideV w:val="single" w:sz="4" w:space="0" w:color="CAE4EE" w:themeColor="accent5" w:themeTint="66"/>
      </w:tblBorders>
    </w:tblPr>
    <w:tblStylePr w:type="firstRow">
      <w:rPr>
        <w:b/>
        <w:bCs/>
      </w:rPr>
      <w:tblPr/>
      <w:tcPr>
        <w:tcBorders>
          <w:bottom w:val="single" w:sz="12" w:space="0" w:color="AFD7E6" w:themeColor="accent5" w:themeTint="99"/>
        </w:tcBorders>
      </w:tcPr>
    </w:tblStylePr>
    <w:tblStylePr w:type="lastRow">
      <w:rPr>
        <w:b/>
        <w:bCs/>
      </w:rPr>
      <w:tblPr/>
      <w:tcPr>
        <w:tcBorders>
          <w:top w:val="double" w:sz="2" w:space="0" w:color="AFD7E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637A8"/>
    <w:pPr>
      <w:spacing w:after="0" w:line="240" w:lineRule="auto"/>
    </w:pPr>
    <w:tblPr>
      <w:tblStyleRowBandSize w:val="1"/>
      <w:tblStyleColBandSize w:val="1"/>
      <w:tblBorders>
        <w:top w:val="single" w:sz="4" w:space="0" w:color="ACD8B5" w:themeColor="accent6" w:themeTint="66"/>
        <w:left w:val="single" w:sz="4" w:space="0" w:color="ACD8B5" w:themeColor="accent6" w:themeTint="66"/>
        <w:bottom w:val="single" w:sz="4" w:space="0" w:color="ACD8B5" w:themeColor="accent6" w:themeTint="66"/>
        <w:right w:val="single" w:sz="4" w:space="0" w:color="ACD8B5" w:themeColor="accent6" w:themeTint="66"/>
        <w:insideH w:val="single" w:sz="4" w:space="0" w:color="ACD8B5" w:themeColor="accent6" w:themeTint="66"/>
        <w:insideV w:val="single" w:sz="4" w:space="0" w:color="ACD8B5" w:themeColor="accent6" w:themeTint="66"/>
      </w:tblBorders>
    </w:tblPr>
    <w:tblStylePr w:type="firstRow">
      <w:rPr>
        <w:b/>
        <w:bCs/>
      </w:rPr>
      <w:tblPr/>
      <w:tcPr>
        <w:tcBorders>
          <w:bottom w:val="single" w:sz="12" w:space="0" w:color="83C590" w:themeColor="accent6" w:themeTint="99"/>
        </w:tcBorders>
      </w:tcPr>
    </w:tblStylePr>
    <w:tblStylePr w:type="lastRow">
      <w:rPr>
        <w:b/>
        <w:bCs/>
      </w:rPr>
      <w:tblPr/>
      <w:tcPr>
        <w:tcBorders>
          <w:top w:val="double" w:sz="2" w:space="0" w:color="83C590"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9637A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9637A8"/>
    <w:pPr>
      <w:spacing w:after="0" w:line="240" w:lineRule="auto"/>
    </w:pPr>
    <w:tblPr>
      <w:tblStyleRowBandSize w:val="1"/>
      <w:tblStyleColBandSize w:val="1"/>
      <w:tblBorders>
        <w:top w:val="single" w:sz="2" w:space="0" w:color="C4B5D8" w:themeColor="accent1" w:themeTint="99"/>
        <w:bottom w:val="single" w:sz="2" w:space="0" w:color="C4B5D8" w:themeColor="accent1" w:themeTint="99"/>
        <w:insideH w:val="single" w:sz="2" w:space="0" w:color="C4B5D8" w:themeColor="accent1" w:themeTint="99"/>
        <w:insideV w:val="single" w:sz="2" w:space="0" w:color="C4B5D8" w:themeColor="accent1" w:themeTint="99"/>
      </w:tblBorders>
    </w:tblPr>
    <w:tblStylePr w:type="firstRow">
      <w:rPr>
        <w:b/>
        <w:bCs/>
      </w:rPr>
      <w:tblPr/>
      <w:tcPr>
        <w:tcBorders>
          <w:top w:val="nil"/>
          <w:bottom w:val="single" w:sz="12" w:space="0" w:color="C4B5D8" w:themeColor="accent1" w:themeTint="99"/>
          <w:insideH w:val="nil"/>
          <w:insideV w:val="nil"/>
        </w:tcBorders>
        <w:shd w:val="clear" w:color="auto" w:fill="FFFFFF" w:themeFill="background1"/>
      </w:tcPr>
    </w:tblStylePr>
    <w:tblStylePr w:type="lastRow">
      <w:rPr>
        <w:b/>
        <w:bCs/>
      </w:rPr>
      <w:tblPr/>
      <w:tcPr>
        <w:tcBorders>
          <w:top w:val="double" w:sz="2" w:space="0" w:color="C4B5D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GridTable2-Accent2">
    <w:name w:val="Grid Table 2 Accent 2"/>
    <w:basedOn w:val="TableNormal"/>
    <w:uiPriority w:val="47"/>
    <w:rsid w:val="009637A8"/>
    <w:pPr>
      <w:spacing w:after="0" w:line="240" w:lineRule="auto"/>
    </w:pPr>
    <w:tblPr>
      <w:tblStyleRowBandSize w:val="1"/>
      <w:tblStyleColBandSize w:val="1"/>
      <w:tblBorders>
        <w:top w:val="single" w:sz="2" w:space="0" w:color="B1B1B1" w:themeColor="accent2" w:themeTint="99"/>
        <w:bottom w:val="single" w:sz="2" w:space="0" w:color="B1B1B1" w:themeColor="accent2" w:themeTint="99"/>
        <w:insideH w:val="single" w:sz="2" w:space="0" w:color="B1B1B1" w:themeColor="accent2" w:themeTint="99"/>
        <w:insideV w:val="single" w:sz="2" w:space="0" w:color="B1B1B1" w:themeColor="accent2" w:themeTint="99"/>
      </w:tblBorders>
    </w:tblPr>
    <w:tblStylePr w:type="firstRow">
      <w:rPr>
        <w:b/>
        <w:bCs/>
      </w:rPr>
      <w:tblPr/>
      <w:tcPr>
        <w:tcBorders>
          <w:top w:val="nil"/>
          <w:bottom w:val="single" w:sz="12" w:space="0" w:color="B1B1B1" w:themeColor="accent2" w:themeTint="99"/>
          <w:insideH w:val="nil"/>
          <w:insideV w:val="nil"/>
        </w:tcBorders>
        <w:shd w:val="clear" w:color="auto" w:fill="FFFFFF" w:themeFill="background1"/>
      </w:tcPr>
    </w:tblStylePr>
    <w:tblStylePr w:type="lastRow">
      <w:rPr>
        <w:b/>
        <w:bCs/>
      </w:rPr>
      <w:tblPr/>
      <w:tcPr>
        <w:tcBorders>
          <w:top w:val="double" w:sz="2" w:space="0" w:color="B1B1B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GridTable2-Accent3">
    <w:name w:val="Grid Table 2 Accent 3"/>
    <w:basedOn w:val="TableNormal"/>
    <w:uiPriority w:val="47"/>
    <w:rsid w:val="009637A8"/>
    <w:pPr>
      <w:spacing w:after="0" w:line="240" w:lineRule="auto"/>
    </w:pPr>
    <w:tblPr>
      <w:tblStyleRowBandSize w:val="1"/>
      <w:tblStyleColBandSize w:val="1"/>
      <w:tblBorders>
        <w:top w:val="single" w:sz="2" w:space="0" w:color="DEDEDE" w:themeColor="accent3" w:themeTint="99"/>
        <w:bottom w:val="single" w:sz="2" w:space="0" w:color="DEDEDE" w:themeColor="accent3" w:themeTint="99"/>
        <w:insideH w:val="single" w:sz="2" w:space="0" w:color="DEDEDE" w:themeColor="accent3" w:themeTint="99"/>
        <w:insideV w:val="single" w:sz="2" w:space="0" w:color="DEDEDE" w:themeColor="accent3" w:themeTint="99"/>
      </w:tblBorders>
    </w:tblPr>
    <w:tblStylePr w:type="firstRow">
      <w:rPr>
        <w:b/>
        <w:bCs/>
      </w:rPr>
      <w:tblPr/>
      <w:tcPr>
        <w:tcBorders>
          <w:top w:val="nil"/>
          <w:bottom w:val="single" w:sz="12" w:space="0" w:color="DEDEDE" w:themeColor="accent3" w:themeTint="99"/>
          <w:insideH w:val="nil"/>
          <w:insideV w:val="nil"/>
        </w:tcBorders>
        <w:shd w:val="clear" w:color="auto" w:fill="FFFFFF" w:themeFill="background1"/>
      </w:tcPr>
    </w:tblStylePr>
    <w:tblStylePr w:type="lastRow">
      <w:rPr>
        <w:b/>
        <w:bCs/>
      </w:rPr>
      <w:tblPr/>
      <w:tcPr>
        <w:tcBorders>
          <w:top w:val="double" w:sz="2" w:space="0" w:color="DEDED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GridTable2-Accent4">
    <w:name w:val="Grid Table 2 Accent 4"/>
    <w:basedOn w:val="TableNormal"/>
    <w:uiPriority w:val="47"/>
    <w:rsid w:val="009637A8"/>
    <w:pPr>
      <w:spacing w:after="0" w:line="240" w:lineRule="auto"/>
    </w:pPr>
    <w:tblPr>
      <w:tblStyleRowBandSize w:val="1"/>
      <w:tblStyleColBandSize w:val="1"/>
      <w:tblBorders>
        <w:top w:val="single" w:sz="2" w:space="0" w:color="2CB8FF" w:themeColor="accent4" w:themeTint="99"/>
        <w:bottom w:val="single" w:sz="2" w:space="0" w:color="2CB8FF" w:themeColor="accent4" w:themeTint="99"/>
        <w:insideH w:val="single" w:sz="2" w:space="0" w:color="2CB8FF" w:themeColor="accent4" w:themeTint="99"/>
        <w:insideV w:val="single" w:sz="2" w:space="0" w:color="2CB8FF" w:themeColor="accent4" w:themeTint="99"/>
      </w:tblBorders>
    </w:tblPr>
    <w:tblStylePr w:type="firstRow">
      <w:rPr>
        <w:b/>
        <w:bCs/>
      </w:rPr>
      <w:tblPr/>
      <w:tcPr>
        <w:tcBorders>
          <w:top w:val="nil"/>
          <w:bottom w:val="single" w:sz="12" w:space="0" w:color="2CB8FF" w:themeColor="accent4" w:themeTint="99"/>
          <w:insideH w:val="nil"/>
          <w:insideV w:val="nil"/>
        </w:tcBorders>
        <w:shd w:val="clear" w:color="auto" w:fill="FFFFFF" w:themeFill="background1"/>
      </w:tcPr>
    </w:tblStylePr>
    <w:tblStylePr w:type="lastRow">
      <w:rPr>
        <w:b/>
        <w:bCs/>
      </w:rPr>
      <w:tblPr/>
      <w:tcPr>
        <w:tcBorders>
          <w:top w:val="double" w:sz="2" w:space="0" w:color="2CB8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GridTable2-Accent5">
    <w:name w:val="Grid Table 2 Accent 5"/>
    <w:basedOn w:val="TableNormal"/>
    <w:uiPriority w:val="47"/>
    <w:rsid w:val="009637A8"/>
    <w:pPr>
      <w:spacing w:after="0" w:line="240" w:lineRule="auto"/>
    </w:pPr>
    <w:tblPr>
      <w:tblStyleRowBandSize w:val="1"/>
      <w:tblStyleColBandSize w:val="1"/>
      <w:tblBorders>
        <w:top w:val="single" w:sz="2" w:space="0" w:color="AFD7E6" w:themeColor="accent5" w:themeTint="99"/>
        <w:bottom w:val="single" w:sz="2" w:space="0" w:color="AFD7E6" w:themeColor="accent5" w:themeTint="99"/>
        <w:insideH w:val="single" w:sz="2" w:space="0" w:color="AFD7E6" w:themeColor="accent5" w:themeTint="99"/>
        <w:insideV w:val="single" w:sz="2" w:space="0" w:color="AFD7E6" w:themeColor="accent5" w:themeTint="99"/>
      </w:tblBorders>
    </w:tblPr>
    <w:tblStylePr w:type="firstRow">
      <w:rPr>
        <w:b/>
        <w:bCs/>
      </w:rPr>
      <w:tblPr/>
      <w:tcPr>
        <w:tcBorders>
          <w:top w:val="nil"/>
          <w:bottom w:val="single" w:sz="12" w:space="0" w:color="AFD7E6" w:themeColor="accent5" w:themeTint="99"/>
          <w:insideH w:val="nil"/>
          <w:insideV w:val="nil"/>
        </w:tcBorders>
        <w:shd w:val="clear" w:color="auto" w:fill="FFFFFF" w:themeFill="background1"/>
      </w:tcPr>
    </w:tblStylePr>
    <w:tblStylePr w:type="lastRow">
      <w:rPr>
        <w:b/>
        <w:bCs/>
      </w:rPr>
      <w:tblPr/>
      <w:tcPr>
        <w:tcBorders>
          <w:top w:val="double" w:sz="2" w:space="0" w:color="AFD7E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GridTable2-Accent6">
    <w:name w:val="Grid Table 2 Accent 6"/>
    <w:basedOn w:val="TableNormal"/>
    <w:uiPriority w:val="47"/>
    <w:rsid w:val="009637A8"/>
    <w:pPr>
      <w:spacing w:after="0" w:line="240" w:lineRule="auto"/>
    </w:pPr>
    <w:tblPr>
      <w:tblStyleRowBandSize w:val="1"/>
      <w:tblStyleColBandSize w:val="1"/>
      <w:tblBorders>
        <w:top w:val="single" w:sz="2" w:space="0" w:color="83C590" w:themeColor="accent6" w:themeTint="99"/>
        <w:bottom w:val="single" w:sz="2" w:space="0" w:color="83C590" w:themeColor="accent6" w:themeTint="99"/>
        <w:insideH w:val="single" w:sz="2" w:space="0" w:color="83C590" w:themeColor="accent6" w:themeTint="99"/>
        <w:insideV w:val="single" w:sz="2" w:space="0" w:color="83C590" w:themeColor="accent6" w:themeTint="99"/>
      </w:tblBorders>
    </w:tblPr>
    <w:tblStylePr w:type="firstRow">
      <w:rPr>
        <w:b/>
        <w:bCs/>
      </w:rPr>
      <w:tblPr/>
      <w:tcPr>
        <w:tcBorders>
          <w:top w:val="nil"/>
          <w:bottom w:val="single" w:sz="12" w:space="0" w:color="83C590" w:themeColor="accent6" w:themeTint="99"/>
          <w:insideH w:val="nil"/>
          <w:insideV w:val="nil"/>
        </w:tcBorders>
        <w:shd w:val="clear" w:color="auto" w:fill="FFFFFF" w:themeFill="background1"/>
      </w:tcPr>
    </w:tblStylePr>
    <w:tblStylePr w:type="lastRow">
      <w:rPr>
        <w:b/>
        <w:bCs/>
      </w:rPr>
      <w:tblPr/>
      <w:tcPr>
        <w:tcBorders>
          <w:top w:val="double" w:sz="2" w:space="0" w:color="83C59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GridTable3">
    <w:name w:val="Grid Table 3"/>
    <w:basedOn w:val="TableNormal"/>
    <w:uiPriority w:val="48"/>
    <w:rsid w:val="009637A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637A8"/>
    <w:pPr>
      <w:spacing w:after="0" w:line="240" w:lineRule="auto"/>
    </w:pPr>
    <w:tblPr>
      <w:tblStyleRowBandSize w:val="1"/>
      <w:tblStyleColBandSize w:val="1"/>
      <w:tblBorders>
        <w:top w:val="single" w:sz="4" w:space="0" w:color="C4B5D8" w:themeColor="accent1" w:themeTint="99"/>
        <w:left w:val="single" w:sz="4" w:space="0" w:color="C4B5D8" w:themeColor="accent1" w:themeTint="99"/>
        <w:bottom w:val="single" w:sz="4" w:space="0" w:color="C4B5D8" w:themeColor="accent1" w:themeTint="99"/>
        <w:right w:val="single" w:sz="4" w:space="0" w:color="C4B5D8" w:themeColor="accent1" w:themeTint="99"/>
        <w:insideH w:val="single" w:sz="4" w:space="0" w:color="C4B5D8" w:themeColor="accent1" w:themeTint="99"/>
        <w:insideV w:val="single" w:sz="4" w:space="0" w:color="C4B5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1" w:themeFillTint="33"/>
      </w:tcPr>
    </w:tblStylePr>
    <w:tblStylePr w:type="band1Horz">
      <w:tblPr/>
      <w:tcPr>
        <w:shd w:val="clear" w:color="auto" w:fill="EBE6F2" w:themeFill="accent1" w:themeFillTint="33"/>
      </w:tcPr>
    </w:tblStylePr>
    <w:tblStylePr w:type="neCell">
      <w:tblPr/>
      <w:tcPr>
        <w:tcBorders>
          <w:bottom w:val="single" w:sz="4" w:space="0" w:color="C4B5D8" w:themeColor="accent1" w:themeTint="99"/>
        </w:tcBorders>
      </w:tcPr>
    </w:tblStylePr>
    <w:tblStylePr w:type="nwCell">
      <w:tblPr/>
      <w:tcPr>
        <w:tcBorders>
          <w:bottom w:val="single" w:sz="4" w:space="0" w:color="C4B5D8" w:themeColor="accent1" w:themeTint="99"/>
        </w:tcBorders>
      </w:tcPr>
    </w:tblStylePr>
    <w:tblStylePr w:type="seCell">
      <w:tblPr/>
      <w:tcPr>
        <w:tcBorders>
          <w:top w:val="single" w:sz="4" w:space="0" w:color="C4B5D8" w:themeColor="accent1" w:themeTint="99"/>
        </w:tcBorders>
      </w:tcPr>
    </w:tblStylePr>
    <w:tblStylePr w:type="swCell">
      <w:tblPr/>
      <w:tcPr>
        <w:tcBorders>
          <w:top w:val="single" w:sz="4" w:space="0" w:color="C4B5D8" w:themeColor="accent1" w:themeTint="99"/>
        </w:tcBorders>
      </w:tcPr>
    </w:tblStylePr>
  </w:style>
  <w:style w:type="table" w:styleId="GridTable3-Accent2">
    <w:name w:val="Grid Table 3 Accent 2"/>
    <w:basedOn w:val="TableNormal"/>
    <w:uiPriority w:val="48"/>
    <w:rsid w:val="009637A8"/>
    <w:pPr>
      <w:spacing w:after="0" w:line="240" w:lineRule="auto"/>
    </w:pPr>
    <w:tblPr>
      <w:tblStyleRowBandSize w:val="1"/>
      <w:tblStyleColBandSize w:val="1"/>
      <w:tblBorders>
        <w:top w:val="single" w:sz="4" w:space="0" w:color="B1B1B1" w:themeColor="accent2" w:themeTint="99"/>
        <w:left w:val="single" w:sz="4" w:space="0" w:color="B1B1B1" w:themeColor="accent2" w:themeTint="99"/>
        <w:bottom w:val="single" w:sz="4" w:space="0" w:color="B1B1B1" w:themeColor="accent2" w:themeTint="99"/>
        <w:right w:val="single" w:sz="4" w:space="0" w:color="B1B1B1" w:themeColor="accent2" w:themeTint="99"/>
        <w:insideH w:val="single" w:sz="4" w:space="0" w:color="B1B1B1" w:themeColor="accent2" w:themeTint="99"/>
        <w:insideV w:val="single" w:sz="4" w:space="0" w:color="B1B1B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2" w:themeFillTint="33"/>
      </w:tcPr>
    </w:tblStylePr>
    <w:tblStylePr w:type="band1Horz">
      <w:tblPr/>
      <w:tcPr>
        <w:shd w:val="clear" w:color="auto" w:fill="E5E5E5" w:themeFill="accent2" w:themeFillTint="33"/>
      </w:tcPr>
    </w:tblStylePr>
    <w:tblStylePr w:type="neCell">
      <w:tblPr/>
      <w:tcPr>
        <w:tcBorders>
          <w:bottom w:val="single" w:sz="4" w:space="0" w:color="B1B1B1" w:themeColor="accent2" w:themeTint="99"/>
        </w:tcBorders>
      </w:tcPr>
    </w:tblStylePr>
    <w:tblStylePr w:type="nwCell">
      <w:tblPr/>
      <w:tcPr>
        <w:tcBorders>
          <w:bottom w:val="single" w:sz="4" w:space="0" w:color="B1B1B1" w:themeColor="accent2" w:themeTint="99"/>
        </w:tcBorders>
      </w:tcPr>
    </w:tblStylePr>
    <w:tblStylePr w:type="seCell">
      <w:tblPr/>
      <w:tcPr>
        <w:tcBorders>
          <w:top w:val="single" w:sz="4" w:space="0" w:color="B1B1B1" w:themeColor="accent2" w:themeTint="99"/>
        </w:tcBorders>
      </w:tcPr>
    </w:tblStylePr>
    <w:tblStylePr w:type="swCell">
      <w:tblPr/>
      <w:tcPr>
        <w:tcBorders>
          <w:top w:val="single" w:sz="4" w:space="0" w:color="B1B1B1" w:themeColor="accent2" w:themeTint="99"/>
        </w:tcBorders>
      </w:tcPr>
    </w:tblStylePr>
  </w:style>
  <w:style w:type="table" w:styleId="GridTable3-Accent3">
    <w:name w:val="Grid Table 3 Accent 3"/>
    <w:basedOn w:val="TableNormal"/>
    <w:uiPriority w:val="48"/>
    <w:rsid w:val="009637A8"/>
    <w:pPr>
      <w:spacing w:after="0" w:line="240" w:lineRule="auto"/>
    </w:pPr>
    <w:tblPr>
      <w:tblStyleRowBandSize w:val="1"/>
      <w:tblStyleColBandSize w:val="1"/>
      <w:tblBorders>
        <w:top w:val="single" w:sz="4" w:space="0" w:color="DEDEDE" w:themeColor="accent3" w:themeTint="99"/>
        <w:left w:val="single" w:sz="4" w:space="0" w:color="DEDEDE" w:themeColor="accent3" w:themeTint="99"/>
        <w:bottom w:val="single" w:sz="4" w:space="0" w:color="DEDEDE" w:themeColor="accent3" w:themeTint="99"/>
        <w:right w:val="single" w:sz="4" w:space="0" w:color="DEDEDE" w:themeColor="accent3" w:themeTint="99"/>
        <w:insideH w:val="single" w:sz="4" w:space="0" w:color="DEDEDE" w:themeColor="accent3" w:themeTint="99"/>
        <w:insideV w:val="single" w:sz="4" w:space="0" w:color="DEDED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4F4" w:themeFill="accent3" w:themeFillTint="33"/>
      </w:tcPr>
    </w:tblStylePr>
    <w:tblStylePr w:type="band1Horz">
      <w:tblPr/>
      <w:tcPr>
        <w:shd w:val="clear" w:color="auto" w:fill="F4F4F4" w:themeFill="accent3" w:themeFillTint="33"/>
      </w:tcPr>
    </w:tblStylePr>
    <w:tblStylePr w:type="neCell">
      <w:tblPr/>
      <w:tcPr>
        <w:tcBorders>
          <w:bottom w:val="single" w:sz="4" w:space="0" w:color="DEDEDE" w:themeColor="accent3" w:themeTint="99"/>
        </w:tcBorders>
      </w:tcPr>
    </w:tblStylePr>
    <w:tblStylePr w:type="nwCell">
      <w:tblPr/>
      <w:tcPr>
        <w:tcBorders>
          <w:bottom w:val="single" w:sz="4" w:space="0" w:color="DEDEDE" w:themeColor="accent3" w:themeTint="99"/>
        </w:tcBorders>
      </w:tcPr>
    </w:tblStylePr>
    <w:tblStylePr w:type="seCell">
      <w:tblPr/>
      <w:tcPr>
        <w:tcBorders>
          <w:top w:val="single" w:sz="4" w:space="0" w:color="DEDEDE" w:themeColor="accent3" w:themeTint="99"/>
        </w:tcBorders>
      </w:tcPr>
    </w:tblStylePr>
    <w:tblStylePr w:type="swCell">
      <w:tblPr/>
      <w:tcPr>
        <w:tcBorders>
          <w:top w:val="single" w:sz="4" w:space="0" w:color="DEDEDE" w:themeColor="accent3" w:themeTint="99"/>
        </w:tcBorders>
      </w:tcPr>
    </w:tblStylePr>
  </w:style>
  <w:style w:type="table" w:styleId="GridTable3-Accent4">
    <w:name w:val="Grid Table 3 Accent 4"/>
    <w:basedOn w:val="TableNormal"/>
    <w:uiPriority w:val="48"/>
    <w:rsid w:val="009637A8"/>
    <w:pPr>
      <w:spacing w:after="0" w:line="240" w:lineRule="auto"/>
    </w:pPr>
    <w:tblPr>
      <w:tblStyleRowBandSize w:val="1"/>
      <w:tblStyleColBandSize w:val="1"/>
      <w:tblBorders>
        <w:top w:val="single" w:sz="4" w:space="0" w:color="2CB8FF" w:themeColor="accent4" w:themeTint="99"/>
        <w:left w:val="single" w:sz="4" w:space="0" w:color="2CB8FF" w:themeColor="accent4" w:themeTint="99"/>
        <w:bottom w:val="single" w:sz="4" w:space="0" w:color="2CB8FF" w:themeColor="accent4" w:themeTint="99"/>
        <w:right w:val="single" w:sz="4" w:space="0" w:color="2CB8FF" w:themeColor="accent4" w:themeTint="99"/>
        <w:insideH w:val="single" w:sz="4" w:space="0" w:color="2CB8FF" w:themeColor="accent4" w:themeTint="99"/>
        <w:insideV w:val="single" w:sz="4" w:space="0" w:color="2CB8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7FF" w:themeFill="accent4" w:themeFillTint="33"/>
      </w:tcPr>
    </w:tblStylePr>
    <w:tblStylePr w:type="band1Horz">
      <w:tblPr/>
      <w:tcPr>
        <w:shd w:val="clear" w:color="auto" w:fill="B8E7FF" w:themeFill="accent4" w:themeFillTint="33"/>
      </w:tcPr>
    </w:tblStylePr>
    <w:tblStylePr w:type="neCell">
      <w:tblPr/>
      <w:tcPr>
        <w:tcBorders>
          <w:bottom w:val="single" w:sz="4" w:space="0" w:color="2CB8FF" w:themeColor="accent4" w:themeTint="99"/>
        </w:tcBorders>
      </w:tcPr>
    </w:tblStylePr>
    <w:tblStylePr w:type="nwCell">
      <w:tblPr/>
      <w:tcPr>
        <w:tcBorders>
          <w:bottom w:val="single" w:sz="4" w:space="0" w:color="2CB8FF" w:themeColor="accent4" w:themeTint="99"/>
        </w:tcBorders>
      </w:tcPr>
    </w:tblStylePr>
    <w:tblStylePr w:type="seCell">
      <w:tblPr/>
      <w:tcPr>
        <w:tcBorders>
          <w:top w:val="single" w:sz="4" w:space="0" w:color="2CB8FF" w:themeColor="accent4" w:themeTint="99"/>
        </w:tcBorders>
      </w:tcPr>
    </w:tblStylePr>
    <w:tblStylePr w:type="swCell">
      <w:tblPr/>
      <w:tcPr>
        <w:tcBorders>
          <w:top w:val="single" w:sz="4" w:space="0" w:color="2CB8FF" w:themeColor="accent4" w:themeTint="99"/>
        </w:tcBorders>
      </w:tcPr>
    </w:tblStylePr>
  </w:style>
  <w:style w:type="table" w:styleId="GridTable3-Accent5">
    <w:name w:val="Grid Table 3 Accent 5"/>
    <w:basedOn w:val="TableNormal"/>
    <w:uiPriority w:val="48"/>
    <w:rsid w:val="009637A8"/>
    <w:pPr>
      <w:spacing w:after="0" w:line="240" w:lineRule="auto"/>
    </w:pPr>
    <w:tblPr>
      <w:tblStyleRowBandSize w:val="1"/>
      <w:tblStyleColBandSize w:val="1"/>
      <w:tblBorders>
        <w:top w:val="single" w:sz="4" w:space="0" w:color="AFD7E6" w:themeColor="accent5" w:themeTint="99"/>
        <w:left w:val="single" w:sz="4" w:space="0" w:color="AFD7E6" w:themeColor="accent5" w:themeTint="99"/>
        <w:bottom w:val="single" w:sz="4" w:space="0" w:color="AFD7E6" w:themeColor="accent5" w:themeTint="99"/>
        <w:right w:val="single" w:sz="4" w:space="0" w:color="AFD7E6" w:themeColor="accent5" w:themeTint="99"/>
        <w:insideH w:val="single" w:sz="4" w:space="0" w:color="AFD7E6" w:themeColor="accent5" w:themeTint="99"/>
        <w:insideV w:val="single" w:sz="4" w:space="0" w:color="AFD7E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1F6" w:themeFill="accent5" w:themeFillTint="33"/>
      </w:tcPr>
    </w:tblStylePr>
    <w:tblStylePr w:type="band1Horz">
      <w:tblPr/>
      <w:tcPr>
        <w:shd w:val="clear" w:color="auto" w:fill="E4F1F6" w:themeFill="accent5" w:themeFillTint="33"/>
      </w:tcPr>
    </w:tblStylePr>
    <w:tblStylePr w:type="neCell">
      <w:tblPr/>
      <w:tcPr>
        <w:tcBorders>
          <w:bottom w:val="single" w:sz="4" w:space="0" w:color="AFD7E6" w:themeColor="accent5" w:themeTint="99"/>
        </w:tcBorders>
      </w:tcPr>
    </w:tblStylePr>
    <w:tblStylePr w:type="nwCell">
      <w:tblPr/>
      <w:tcPr>
        <w:tcBorders>
          <w:bottom w:val="single" w:sz="4" w:space="0" w:color="AFD7E6" w:themeColor="accent5" w:themeTint="99"/>
        </w:tcBorders>
      </w:tcPr>
    </w:tblStylePr>
    <w:tblStylePr w:type="seCell">
      <w:tblPr/>
      <w:tcPr>
        <w:tcBorders>
          <w:top w:val="single" w:sz="4" w:space="0" w:color="AFD7E6" w:themeColor="accent5" w:themeTint="99"/>
        </w:tcBorders>
      </w:tcPr>
    </w:tblStylePr>
    <w:tblStylePr w:type="swCell">
      <w:tblPr/>
      <w:tcPr>
        <w:tcBorders>
          <w:top w:val="single" w:sz="4" w:space="0" w:color="AFD7E6" w:themeColor="accent5" w:themeTint="99"/>
        </w:tcBorders>
      </w:tcPr>
    </w:tblStylePr>
  </w:style>
  <w:style w:type="table" w:styleId="GridTable3-Accent6">
    <w:name w:val="Grid Table 3 Accent 6"/>
    <w:basedOn w:val="TableNormal"/>
    <w:uiPriority w:val="48"/>
    <w:rsid w:val="009637A8"/>
    <w:pPr>
      <w:spacing w:after="0" w:line="240" w:lineRule="auto"/>
    </w:pPr>
    <w:tblPr>
      <w:tblStyleRowBandSize w:val="1"/>
      <w:tblStyleColBandSize w:val="1"/>
      <w:tblBorders>
        <w:top w:val="single" w:sz="4" w:space="0" w:color="83C590" w:themeColor="accent6" w:themeTint="99"/>
        <w:left w:val="single" w:sz="4" w:space="0" w:color="83C590" w:themeColor="accent6" w:themeTint="99"/>
        <w:bottom w:val="single" w:sz="4" w:space="0" w:color="83C590" w:themeColor="accent6" w:themeTint="99"/>
        <w:right w:val="single" w:sz="4" w:space="0" w:color="83C590" w:themeColor="accent6" w:themeTint="99"/>
        <w:insideH w:val="single" w:sz="4" w:space="0" w:color="83C590" w:themeColor="accent6" w:themeTint="99"/>
        <w:insideV w:val="single" w:sz="4" w:space="0" w:color="83C59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BDA" w:themeFill="accent6" w:themeFillTint="33"/>
      </w:tcPr>
    </w:tblStylePr>
    <w:tblStylePr w:type="band1Horz">
      <w:tblPr/>
      <w:tcPr>
        <w:shd w:val="clear" w:color="auto" w:fill="D5EBDA" w:themeFill="accent6" w:themeFillTint="33"/>
      </w:tcPr>
    </w:tblStylePr>
    <w:tblStylePr w:type="neCell">
      <w:tblPr/>
      <w:tcPr>
        <w:tcBorders>
          <w:bottom w:val="single" w:sz="4" w:space="0" w:color="83C590" w:themeColor="accent6" w:themeTint="99"/>
        </w:tcBorders>
      </w:tcPr>
    </w:tblStylePr>
    <w:tblStylePr w:type="nwCell">
      <w:tblPr/>
      <w:tcPr>
        <w:tcBorders>
          <w:bottom w:val="single" w:sz="4" w:space="0" w:color="83C590" w:themeColor="accent6" w:themeTint="99"/>
        </w:tcBorders>
      </w:tcPr>
    </w:tblStylePr>
    <w:tblStylePr w:type="seCell">
      <w:tblPr/>
      <w:tcPr>
        <w:tcBorders>
          <w:top w:val="single" w:sz="4" w:space="0" w:color="83C590" w:themeColor="accent6" w:themeTint="99"/>
        </w:tcBorders>
      </w:tcPr>
    </w:tblStylePr>
    <w:tblStylePr w:type="swCell">
      <w:tblPr/>
      <w:tcPr>
        <w:tcBorders>
          <w:top w:val="single" w:sz="4" w:space="0" w:color="83C590" w:themeColor="accent6" w:themeTint="99"/>
        </w:tcBorders>
      </w:tcPr>
    </w:tblStylePr>
  </w:style>
  <w:style w:type="table" w:styleId="GridTable4">
    <w:name w:val="Grid Table 4"/>
    <w:basedOn w:val="TableNormal"/>
    <w:uiPriority w:val="49"/>
    <w:rsid w:val="009637A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637A8"/>
    <w:pPr>
      <w:spacing w:after="0" w:line="240" w:lineRule="auto"/>
    </w:pPr>
    <w:tblPr>
      <w:tblStyleRowBandSize w:val="1"/>
      <w:tblStyleColBandSize w:val="1"/>
      <w:tblBorders>
        <w:top w:val="single" w:sz="4" w:space="0" w:color="C4B5D8" w:themeColor="accent1" w:themeTint="99"/>
        <w:left w:val="single" w:sz="4" w:space="0" w:color="C4B5D8" w:themeColor="accent1" w:themeTint="99"/>
        <w:bottom w:val="single" w:sz="4" w:space="0" w:color="C4B5D8" w:themeColor="accent1" w:themeTint="99"/>
        <w:right w:val="single" w:sz="4" w:space="0" w:color="C4B5D8" w:themeColor="accent1" w:themeTint="99"/>
        <w:insideH w:val="single" w:sz="4" w:space="0" w:color="C4B5D8" w:themeColor="accent1" w:themeTint="99"/>
        <w:insideV w:val="single" w:sz="4" w:space="0" w:color="C4B5D8" w:themeColor="accent1" w:themeTint="99"/>
      </w:tblBorders>
    </w:tblPr>
    <w:tblStylePr w:type="firstRow">
      <w:rPr>
        <w:b/>
        <w:bCs/>
        <w:color w:val="FFFFFF" w:themeColor="background1"/>
      </w:rPr>
      <w:tblPr/>
      <w:tcPr>
        <w:tcBorders>
          <w:top w:val="single" w:sz="4" w:space="0" w:color="9D85BE" w:themeColor="accent1"/>
          <w:left w:val="single" w:sz="4" w:space="0" w:color="9D85BE" w:themeColor="accent1"/>
          <w:bottom w:val="single" w:sz="4" w:space="0" w:color="9D85BE" w:themeColor="accent1"/>
          <w:right w:val="single" w:sz="4" w:space="0" w:color="9D85BE" w:themeColor="accent1"/>
          <w:insideH w:val="nil"/>
          <w:insideV w:val="nil"/>
        </w:tcBorders>
        <w:shd w:val="clear" w:color="auto" w:fill="9D85BE" w:themeFill="accent1"/>
      </w:tcPr>
    </w:tblStylePr>
    <w:tblStylePr w:type="lastRow">
      <w:rPr>
        <w:b/>
        <w:bCs/>
      </w:rPr>
      <w:tblPr/>
      <w:tcPr>
        <w:tcBorders>
          <w:top w:val="double" w:sz="4" w:space="0" w:color="9D85BE" w:themeColor="accent1"/>
        </w:tcBorders>
      </w:tc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GridTable4-Accent2">
    <w:name w:val="Grid Table 4 Accent 2"/>
    <w:basedOn w:val="TableNormal"/>
    <w:uiPriority w:val="49"/>
    <w:rsid w:val="009637A8"/>
    <w:pPr>
      <w:spacing w:after="0" w:line="240" w:lineRule="auto"/>
    </w:pPr>
    <w:tblPr>
      <w:tblStyleRowBandSize w:val="1"/>
      <w:tblStyleColBandSize w:val="1"/>
      <w:tblBorders>
        <w:top w:val="single" w:sz="4" w:space="0" w:color="B1B1B1" w:themeColor="accent2" w:themeTint="99"/>
        <w:left w:val="single" w:sz="4" w:space="0" w:color="B1B1B1" w:themeColor="accent2" w:themeTint="99"/>
        <w:bottom w:val="single" w:sz="4" w:space="0" w:color="B1B1B1" w:themeColor="accent2" w:themeTint="99"/>
        <w:right w:val="single" w:sz="4" w:space="0" w:color="B1B1B1" w:themeColor="accent2" w:themeTint="99"/>
        <w:insideH w:val="single" w:sz="4" w:space="0" w:color="B1B1B1" w:themeColor="accent2" w:themeTint="99"/>
        <w:insideV w:val="single" w:sz="4" w:space="0" w:color="B1B1B1" w:themeColor="accent2" w:themeTint="99"/>
      </w:tblBorders>
    </w:tblPr>
    <w:tblStylePr w:type="firstRow">
      <w:rPr>
        <w:b/>
        <w:bCs/>
        <w:color w:val="FFFFFF" w:themeColor="background1"/>
      </w:rPr>
      <w:tblPr/>
      <w:tcPr>
        <w:tcBorders>
          <w:top w:val="single" w:sz="4" w:space="0" w:color="7D7D7D" w:themeColor="accent2"/>
          <w:left w:val="single" w:sz="4" w:space="0" w:color="7D7D7D" w:themeColor="accent2"/>
          <w:bottom w:val="single" w:sz="4" w:space="0" w:color="7D7D7D" w:themeColor="accent2"/>
          <w:right w:val="single" w:sz="4" w:space="0" w:color="7D7D7D" w:themeColor="accent2"/>
          <w:insideH w:val="nil"/>
          <w:insideV w:val="nil"/>
        </w:tcBorders>
        <w:shd w:val="clear" w:color="auto" w:fill="7D7D7D" w:themeFill="accent2"/>
      </w:tcPr>
    </w:tblStylePr>
    <w:tblStylePr w:type="lastRow">
      <w:rPr>
        <w:b/>
        <w:bCs/>
      </w:rPr>
      <w:tblPr/>
      <w:tcPr>
        <w:tcBorders>
          <w:top w:val="double" w:sz="4" w:space="0" w:color="7D7D7D" w:themeColor="accent2"/>
        </w:tcBorders>
      </w:tc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GridTable4-Accent3">
    <w:name w:val="Grid Table 4 Accent 3"/>
    <w:basedOn w:val="TableNormal"/>
    <w:uiPriority w:val="49"/>
    <w:rsid w:val="009637A8"/>
    <w:pPr>
      <w:spacing w:after="0" w:line="240" w:lineRule="auto"/>
    </w:pPr>
    <w:tblPr>
      <w:tblStyleRowBandSize w:val="1"/>
      <w:tblStyleColBandSize w:val="1"/>
      <w:tblBorders>
        <w:top w:val="single" w:sz="4" w:space="0" w:color="DEDEDE" w:themeColor="accent3" w:themeTint="99"/>
        <w:left w:val="single" w:sz="4" w:space="0" w:color="DEDEDE" w:themeColor="accent3" w:themeTint="99"/>
        <w:bottom w:val="single" w:sz="4" w:space="0" w:color="DEDEDE" w:themeColor="accent3" w:themeTint="99"/>
        <w:right w:val="single" w:sz="4" w:space="0" w:color="DEDEDE" w:themeColor="accent3" w:themeTint="99"/>
        <w:insideH w:val="single" w:sz="4" w:space="0" w:color="DEDEDE" w:themeColor="accent3" w:themeTint="99"/>
        <w:insideV w:val="single" w:sz="4" w:space="0" w:color="DEDEDE" w:themeColor="accent3" w:themeTint="99"/>
      </w:tblBorders>
    </w:tblPr>
    <w:tblStylePr w:type="firstRow">
      <w:rPr>
        <w:b/>
        <w:bCs/>
        <w:color w:val="FFFFFF" w:themeColor="background1"/>
      </w:rPr>
      <w:tblPr/>
      <w:tcPr>
        <w:tcBorders>
          <w:top w:val="single" w:sz="4" w:space="0" w:color="C8C8C8" w:themeColor="accent3"/>
          <w:left w:val="single" w:sz="4" w:space="0" w:color="C8C8C8" w:themeColor="accent3"/>
          <w:bottom w:val="single" w:sz="4" w:space="0" w:color="C8C8C8" w:themeColor="accent3"/>
          <w:right w:val="single" w:sz="4" w:space="0" w:color="C8C8C8" w:themeColor="accent3"/>
          <w:insideH w:val="nil"/>
          <w:insideV w:val="nil"/>
        </w:tcBorders>
        <w:shd w:val="clear" w:color="auto" w:fill="C8C8C8" w:themeFill="accent3"/>
      </w:tcPr>
    </w:tblStylePr>
    <w:tblStylePr w:type="lastRow">
      <w:rPr>
        <w:b/>
        <w:bCs/>
      </w:rPr>
      <w:tblPr/>
      <w:tcPr>
        <w:tcBorders>
          <w:top w:val="double" w:sz="4" w:space="0" w:color="C8C8C8" w:themeColor="accent3"/>
        </w:tcBorders>
      </w:tc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GridTable4-Accent4">
    <w:name w:val="Grid Table 4 Accent 4"/>
    <w:basedOn w:val="TableNormal"/>
    <w:uiPriority w:val="49"/>
    <w:rsid w:val="009637A8"/>
    <w:pPr>
      <w:spacing w:after="0" w:line="240" w:lineRule="auto"/>
    </w:pPr>
    <w:tblPr>
      <w:tblStyleRowBandSize w:val="1"/>
      <w:tblStyleColBandSize w:val="1"/>
      <w:tblBorders>
        <w:top w:val="single" w:sz="4" w:space="0" w:color="2CB8FF" w:themeColor="accent4" w:themeTint="99"/>
        <w:left w:val="single" w:sz="4" w:space="0" w:color="2CB8FF" w:themeColor="accent4" w:themeTint="99"/>
        <w:bottom w:val="single" w:sz="4" w:space="0" w:color="2CB8FF" w:themeColor="accent4" w:themeTint="99"/>
        <w:right w:val="single" w:sz="4" w:space="0" w:color="2CB8FF" w:themeColor="accent4" w:themeTint="99"/>
        <w:insideH w:val="single" w:sz="4" w:space="0" w:color="2CB8FF" w:themeColor="accent4" w:themeTint="99"/>
        <w:insideV w:val="single" w:sz="4" w:space="0" w:color="2CB8FF" w:themeColor="accent4" w:themeTint="99"/>
      </w:tblBorders>
    </w:tblPr>
    <w:tblStylePr w:type="firstRow">
      <w:rPr>
        <w:b/>
        <w:bCs/>
        <w:color w:val="FFFFFF" w:themeColor="background1"/>
      </w:rPr>
      <w:tblPr/>
      <w:tcPr>
        <w:tcBorders>
          <w:top w:val="single" w:sz="4" w:space="0" w:color="006A9F" w:themeColor="accent4"/>
          <w:left w:val="single" w:sz="4" w:space="0" w:color="006A9F" w:themeColor="accent4"/>
          <w:bottom w:val="single" w:sz="4" w:space="0" w:color="006A9F" w:themeColor="accent4"/>
          <w:right w:val="single" w:sz="4" w:space="0" w:color="006A9F" w:themeColor="accent4"/>
          <w:insideH w:val="nil"/>
          <w:insideV w:val="nil"/>
        </w:tcBorders>
        <w:shd w:val="clear" w:color="auto" w:fill="006A9F" w:themeFill="accent4"/>
      </w:tcPr>
    </w:tblStylePr>
    <w:tblStylePr w:type="lastRow">
      <w:rPr>
        <w:b/>
        <w:bCs/>
      </w:rPr>
      <w:tblPr/>
      <w:tcPr>
        <w:tcBorders>
          <w:top w:val="double" w:sz="4" w:space="0" w:color="006A9F" w:themeColor="accent4"/>
        </w:tcBorders>
      </w:tc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GridTable4-Accent5">
    <w:name w:val="Grid Table 4 Accent 5"/>
    <w:basedOn w:val="TableNormal"/>
    <w:uiPriority w:val="49"/>
    <w:rsid w:val="009637A8"/>
    <w:pPr>
      <w:spacing w:after="0" w:line="240" w:lineRule="auto"/>
    </w:pPr>
    <w:tblPr>
      <w:tblStyleRowBandSize w:val="1"/>
      <w:tblStyleColBandSize w:val="1"/>
      <w:tblBorders>
        <w:top w:val="single" w:sz="4" w:space="0" w:color="AFD7E6" w:themeColor="accent5" w:themeTint="99"/>
        <w:left w:val="single" w:sz="4" w:space="0" w:color="AFD7E6" w:themeColor="accent5" w:themeTint="99"/>
        <w:bottom w:val="single" w:sz="4" w:space="0" w:color="AFD7E6" w:themeColor="accent5" w:themeTint="99"/>
        <w:right w:val="single" w:sz="4" w:space="0" w:color="AFD7E6" w:themeColor="accent5" w:themeTint="99"/>
        <w:insideH w:val="single" w:sz="4" w:space="0" w:color="AFD7E6" w:themeColor="accent5" w:themeTint="99"/>
        <w:insideV w:val="single" w:sz="4" w:space="0" w:color="AFD7E6" w:themeColor="accent5" w:themeTint="99"/>
      </w:tblBorders>
    </w:tblPr>
    <w:tblStylePr w:type="firstRow">
      <w:rPr>
        <w:b/>
        <w:bCs/>
        <w:color w:val="FFFFFF" w:themeColor="background1"/>
      </w:rPr>
      <w:tblPr/>
      <w:tcPr>
        <w:tcBorders>
          <w:top w:val="single" w:sz="4" w:space="0" w:color="7BBDD6" w:themeColor="accent5"/>
          <w:left w:val="single" w:sz="4" w:space="0" w:color="7BBDD6" w:themeColor="accent5"/>
          <w:bottom w:val="single" w:sz="4" w:space="0" w:color="7BBDD6" w:themeColor="accent5"/>
          <w:right w:val="single" w:sz="4" w:space="0" w:color="7BBDD6" w:themeColor="accent5"/>
          <w:insideH w:val="nil"/>
          <w:insideV w:val="nil"/>
        </w:tcBorders>
        <w:shd w:val="clear" w:color="auto" w:fill="7BBDD6" w:themeFill="accent5"/>
      </w:tcPr>
    </w:tblStylePr>
    <w:tblStylePr w:type="lastRow">
      <w:rPr>
        <w:b/>
        <w:bCs/>
      </w:rPr>
      <w:tblPr/>
      <w:tcPr>
        <w:tcBorders>
          <w:top w:val="double" w:sz="4" w:space="0" w:color="7BBDD6" w:themeColor="accent5"/>
        </w:tcBorders>
      </w:tc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GridTable4-Accent6">
    <w:name w:val="Grid Table 4 Accent 6"/>
    <w:basedOn w:val="TableNormal"/>
    <w:uiPriority w:val="49"/>
    <w:rsid w:val="009637A8"/>
    <w:pPr>
      <w:spacing w:after="0" w:line="240" w:lineRule="auto"/>
    </w:pPr>
    <w:tblPr>
      <w:tblStyleRowBandSize w:val="1"/>
      <w:tblStyleColBandSize w:val="1"/>
      <w:tblBorders>
        <w:top w:val="single" w:sz="4" w:space="0" w:color="83C590" w:themeColor="accent6" w:themeTint="99"/>
        <w:left w:val="single" w:sz="4" w:space="0" w:color="83C590" w:themeColor="accent6" w:themeTint="99"/>
        <w:bottom w:val="single" w:sz="4" w:space="0" w:color="83C590" w:themeColor="accent6" w:themeTint="99"/>
        <w:right w:val="single" w:sz="4" w:space="0" w:color="83C590" w:themeColor="accent6" w:themeTint="99"/>
        <w:insideH w:val="single" w:sz="4" w:space="0" w:color="83C590" w:themeColor="accent6" w:themeTint="99"/>
        <w:insideV w:val="single" w:sz="4" w:space="0" w:color="83C590" w:themeColor="accent6" w:themeTint="99"/>
      </w:tblBorders>
    </w:tblPr>
    <w:tblStylePr w:type="firstRow">
      <w:rPr>
        <w:b/>
        <w:bCs/>
        <w:color w:val="FFFFFF" w:themeColor="background1"/>
      </w:rPr>
      <w:tblPr/>
      <w:tcPr>
        <w:tcBorders>
          <w:top w:val="single" w:sz="4" w:space="0" w:color="428D52" w:themeColor="accent6"/>
          <w:left w:val="single" w:sz="4" w:space="0" w:color="428D52" w:themeColor="accent6"/>
          <w:bottom w:val="single" w:sz="4" w:space="0" w:color="428D52" w:themeColor="accent6"/>
          <w:right w:val="single" w:sz="4" w:space="0" w:color="428D52" w:themeColor="accent6"/>
          <w:insideH w:val="nil"/>
          <w:insideV w:val="nil"/>
        </w:tcBorders>
        <w:shd w:val="clear" w:color="auto" w:fill="428D52" w:themeFill="accent6"/>
      </w:tcPr>
    </w:tblStylePr>
    <w:tblStylePr w:type="lastRow">
      <w:rPr>
        <w:b/>
        <w:bCs/>
      </w:rPr>
      <w:tblPr/>
      <w:tcPr>
        <w:tcBorders>
          <w:top w:val="double" w:sz="4" w:space="0" w:color="428D52" w:themeColor="accent6"/>
        </w:tcBorders>
      </w:tc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GridTable5Dark">
    <w:name w:val="Grid Table 5 Dark"/>
    <w:basedOn w:val="TableNormal"/>
    <w:uiPriority w:val="50"/>
    <w:rsid w:val="009637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9637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85B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85B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85B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85BE" w:themeFill="accent1"/>
      </w:tcPr>
    </w:tblStylePr>
    <w:tblStylePr w:type="band1Vert">
      <w:tblPr/>
      <w:tcPr>
        <w:shd w:val="clear" w:color="auto" w:fill="D7CEE5" w:themeFill="accent1" w:themeFillTint="66"/>
      </w:tcPr>
    </w:tblStylePr>
    <w:tblStylePr w:type="band1Horz">
      <w:tblPr/>
      <w:tcPr>
        <w:shd w:val="clear" w:color="auto" w:fill="D7CEE5" w:themeFill="accent1" w:themeFillTint="66"/>
      </w:tcPr>
    </w:tblStylePr>
  </w:style>
  <w:style w:type="table" w:styleId="GridTable5Dark-Accent2">
    <w:name w:val="Grid Table 5 Dark Accent 2"/>
    <w:basedOn w:val="TableNormal"/>
    <w:uiPriority w:val="50"/>
    <w:rsid w:val="009637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D7D7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D7D7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D7D7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D7D7D" w:themeFill="accent2"/>
      </w:tcPr>
    </w:tblStylePr>
    <w:tblStylePr w:type="band1Vert">
      <w:tblPr/>
      <w:tcPr>
        <w:shd w:val="clear" w:color="auto" w:fill="CBCBCB" w:themeFill="accent2" w:themeFillTint="66"/>
      </w:tcPr>
    </w:tblStylePr>
    <w:tblStylePr w:type="band1Horz">
      <w:tblPr/>
      <w:tcPr>
        <w:shd w:val="clear" w:color="auto" w:fill="CBCBCB" w:themeFill="accent2" w:themeFillTint="66"/>
      </w:tcPr>
    </w:tblStylePr>
  </w:style>
  <w:style w:type="table" w:styleId="GridTable5Dark-Accent3">
    <w:name w:val="Grid Table 5 Dark Accent 3"/>
    <w:basedOn w:val="TableNormal"/>
    <w:uiPriority w:val="50"/>
    <w:rsid w:val="009637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4F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C8C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C8C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C8C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C8C8" w:themeFill="accent3"/>
      </w:tcPr>
    </w:tblStylePr>
    <w:tblStylePr w:type="band1Vert">
      <w:tblPr/>
      <w:tcPr>
        <w:shd w:val="clear" w:color="auto" w:fill="E9E9E9" w:themeFill="accent3" w:themeFillTint="66"/>
      </w:tcPr>
    </w:tblStylePr>
    <w:tblStylePr w:type="band1Horz">
      <w:tblPr/>
      <w:tcPr>
        <w:shd w:val="clear" w:color="auto" w:fill="E9E9E9" w:themeFill="accent3" w:themeFillTint="66"/>
      </w:tcPr>
    </w:tblStylePr>
  </w:style>
  <w:style w:type="table" w:styleId="GridTable5Dark-Accent4">
    <w:name w:val="Grid Table 5 Dark Accent 4"/>
    <w:basedOn w:val="TableNormal"/>
    <w:uiPriority w:val="50"/>
    <w:rsid w:val="009637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E7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A9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A9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A9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A9F" w:themeFill="accent4"/>
      </w:tcPr>
    </w:tblStylePr>
    <w:tblStylePr w:type="band1Vert">
      <w:tblPr/>
      <w:tcPr>
        <w:shd w:val="clear" w:color="auto" w:fill="72D0FF" w:themeFill="accent4" w:themeFillTint="66"/>
      </w:tcPr>
    </w:tblStylePr>
    <w:tblStylePr w:type="band1Horz">
      <w:tblPr/>
      <w:tcPr>
        <w:shd w:val="clear" w:color="auto" w:fill="72D0FF" w:themeFill="accent4" w:themeFillTint="66"/>
      </w:tcPr>
    </w:tblStylePr>
  </w:style>
  <w:style w:type="table" w:styleId="GridTable5Dark-Accent5">
    <w:name w:val="Grid Table 5 Dark Accent 5"/>
    <w:basedOn w:val="TableNormal"/>
    <w:uiPriority w:val="50"/>
    <w:rsid w:val="009637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1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BBDD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BBDD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BBDD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BBDD6" w:themeFill="accent5"/>
      </w:tcPr>
    </w:tblStylePr>
    <w:tblStylePr w:type="band1Vert">
      <w:tblPr/>
      <w:tcPr>
        <w:shd w:val="clear" w:color="auto" w:fill="CAE4EE" w:themeFill="accent5" w:themeFillTint="66"/>
      </w:tcPr>
    </w:tblStylePr>
    <w:tblStylePr w:type="band1Horz">
      <w:tblPr/>
      <w:tcPr>
        <w:shd w:val="clear" w:color="auto" w:fill="CAE4EE" w:themeFill="accent5" w:themeFillTint="66"/>
      </w:tcPr>
    </w:tblStylePr>
  </w:style>
  <w:style w:type="table" w:styleId="GridTable5Dark-Accent6">
    <w:name w:val="Grid Table 5 Dark Accent 6"/>
    <w:basedOn w:val="TableNormal"/>
    <w:uiPriority w:val="50"/>
    <w:rsid w:val="009637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EBD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28D5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28D5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28D5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28D52" w:themeFill="accent6"/>
      </w:tcPr>
    </w:tblStylePr>
    <w:tblStylePr w:type="band1Vert">
      <w:tblPr/>
      <w:tcPr>
        <w:shd w:val="clear" w:color="auto" w:fill="ACD8B5" w:themeFill="accent6" w:themeFillTint="66"/>
      </w:tcPr>
    </w:tblStylePr>
    <w:tblStylePr w:type="band1Horz">
      <w:tblPr/>
      <w:tcPr>
        <w:shd w:val="clear" w:color="auto" w:fill="ACD8B5" w:themeFill="accent6" w:themeFillTint="66"/>
      </w:tcPr>
    </w:tblStylePr>
  </w:style>
  <w:style w:type="table" w:styleId="GridTable6Colourful">
    <w:name w:val="Grid Table 6 Colorful"/>
    <w:basedOn w:val="TableNormal"/>
    <w:uiPriority w:val="51"/>
    <w:rsid w:val="009637A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9637A8"/>
    <w:pPr>
      <w:spacing w:after="0" w:line="240" w:lineRule="auto"/>
    </w:pPr>
    <w:rPr>
      <w:color w:val="72549D" w:themeColor="accent1" w:themeShade="BF"/>
    </w:rPr>
    <w:tblPr>
      <w:tblStyleRowBandSize w:val="1"/>
      <w:tblStyleColBandSize w:val="1"/>
      <w:tblBorders>
        <w:top w:val="single" w:sz="4" w:space="0" w:color="C4B5D8" w:themeColor="accent1" w:themeTint="99"/>
        <w:left w:val="single" w:sz="4" w:space="0" w:color="C4B5D8" w:themeColor="accent1" w:themeTint="99"/>
        <w:bottom w:val="single" w:sz="4" w:space="0" w:color="C4B5D8" w:themeColor="accent1" w:themeTint="99"/>
        <w:right w:val="single" w:sz="4" w:space="0" w:color="C4B5D8" w:themeColor="accent1" w:themeTint="99"/>
        <w:insideH w:val="single" w:sz="4" w:space="0" w:color="C4B5D8" w:themeColor="accent1" w:themeTint="99"/>
        <w:insideV w:val="single" w:sz="4" w:space="0" w:color="C4B5D8" w:themeColor="accent1" w:themeTint="99"/>
      </w:tblBorders>
    </w:tblPr>
    <w:tblStylePr w:type="firstRow">
      <w:rPr>
        <w:b/>
        <w:bCs/>
      </w:rPr>
      <w:tblPr/>
      <w:tcPr>
        <w:tcBorders>
          <w:bottom w:val="single" w:sz="12" w:space="0" w:color="C4B5D8" w:themeColor="accent1" w:themeTint="99"/>
        </w:tcBorders>
      </w:tcPr>
    </w:tblStylePr>
    <w:tblStylePr w:type="lastRow">
      <w:rPr>
        <w:b/>
        <w:bCs/>
      </w:rPr>
      <w:tblPr/>
      <w:tcPr>
        <w:tcBorders>
          <w:top w:val="double" w:sz="4" w:space="0" w:color="C4B5D8" w:themeColor="accent1" w:themeTint="99"/>
        </w:tcBorders>
      </w:tc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GridTable6ColourfulAccent2">
    <w:name w:val="Grid Table 6 Colorful Accent 2"/>
    <w:basedOn w:val="TableNormal"/>
    <w:uiPriority w:val="51"/>
    <w:rsid w:val="009637A8"/>
    <w:pPr>
      <w:spacing w:after="0" w:line="240" w:lineRule="auto"/>
    </w:pPr>
    <w:rPr>
      <w:color w:val="5D5D5D" w:themeColor="accent2" w:themeShade="BF"/>
    </w:rPr>
    <w:tblPr>
      <w:tblStyleRowBandSize w:val="1"/>
      <w:tblStyleColBandSize w:val="1"/>
      <w:tblBorders>
        <w:top w:val="single" w:sz="4" w:space="0" w:color="B1B1B1" w:themeColor="accent2" w:themeTint="99"/>
        <w:left w:val="single" w:sz="4" w:space="0" w:color="B1B1B1" w:themeColor="accent2" w:themeTint="99"/>
        <w:bottom w:val="single" w:sz="4" w:space="0" w:color="B1B1B1" w:themeColor="accent2" w:themeTint="99"/>
        <w:right w:val="single" w:sz="4" w:space="0" w:color="B1B1B1" w:themeColor="accent2" w:themeTint="99"/>
        <w:insideH w:val="single" w:sz="4" w:space="0" w:color="B1B1B1" w:themeColor="accent2" w:themeTint="99"/>
        <w:insideV w:val="single" w:sz="4" w:space="0" w:color="B1B1B1" w:themeColor="accent2" w:themeTint="99"/>
      </w:tblBorders>
    </w:tblPr>
    <w:tblStylePr w:type="firstRow">
      <w:rPr>
        <w:b/>
        <w:bCs/>
      </w:rPr>
      <w:tblPr/>
      <w:tcPr>
        <w:tcBorders>
          <w:bottom w:val="single" w:sz="12" w:space="0" w:color="B1B1B1" w:themeColor="accent2" w:themeTint="99"/>
        </w:tcBorders>
      </w:tcPr>
    </w:tblStylePr>
    <w:tblStylePr w:type="lastRow">
      <w:rPr>
        <w:b/>
        <w:bCs/>
      </w:rPr>
      <w:tblPr/>
      <w:tcPr>
        <w:tcBorders>
          <w:top w:val="double" w:sz="4" w:space="0" w:color="B1B1B1" w:themeColor="accent2" w:themeTint="99"/>
        </w:tcBorders>
      </w:tc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GridTable6ColourfulAccent3">
    <w:name w:val="Grid Table 6 Colorful Accent 3"/>
    <w:basedOn w:val="TableNormal"/>
    <w:uiPriority w:val="51"/>
    <w:rsid w:val="009637A8"/>
    <w:pPr>
      <w:spacing w:after="0" w:line="240" w:lineRule="auto"/>
    </w:pPr>
    <w:rPr>
      <w:color w:val="959595" w:themeColor="accent3" w:themeShade="BF"/>
    </w:rPr>
    <w:tblPr>
      <w:tblStyleRowBandSize w:val="1"/>
      <w:tblStyleColBandSize w:val="1"/>
      <w:tblBorders>
        <w:top w:val="single" w:sz="4" w:space="0" w:color="DEDEDE" w:themeColor="accent3" w:themeTint="99"/>
        <w:left w:val="single" w:sz="4" w:space="0" w:color="DEDEDE" w:themeColor="accent3" w:themeTint="99"/>
        <w:bottom w:val="single" w:sz="4" w:space="0" w:color="DEDEDE" w:themeColor="accent3" w:themeTint="99"/>
        <w:right w:val="single" w:sz="4" w:space="0" w:color="DEDEDE" w:themeColor="accent3" w:themeTint="99"/>
        <w:insideH w:val="single" w:sz="4" w:space="0" w:color="DEDEDE" w:themeColor="accent3" w:themeTint="99"/>
        <w:insideV w:val="single" w:sz="4" w:space="0" w:color="DEDEDE" w:themeColor="accent3" w:themeTint="99"/>
      </w:tblBorders>
    </w:tblPr>
    <w:tblStylePr w:type="firstRow">
      <w:rPr>
        <w:b/>
        <w:bCs/>
      </w:rPr>
      <w:tblPr/>
      <w:tcPr>
        <w:tcBorders>
          <w:bottom w:val="single" w:sz="12" w:space="0" w:color="DEDEDE" w:themeColor="accent3" w:themeTint="99"/>
        </w:tcBorders>
      </w:tcPr>
    </w:tblStylePr>
    <w:tblStylePr w:type="lastRow">
      <w:rPr>
        <w:b/>
        <w:bCs/>
      </w:rPr>
      <w:tblPr/>
      <w:tcPr>
        <w:tcBorders>
          <w:top w:val="double" w:sz="4" w:space="0" w:color="DEDEDE" w:themeColor="accent3" w:themeTint="99"/>
        </w:tcBorders>
      </w:tc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GridTable6ColourfulAccent4">
    <w:name w:val="Grid Table 6 Colorful Accent 4"/>
    <w:basedOn w:val="TableNormal"/>
    <w:uiPriority w:val="51"/>
    <w:rsid w:val="009637A8"/>
    <w:pPr>
      <w:spacing w:after="0" w:line="240" w:lineRule="auto"/>
    </w:pPr>
    <w:rPr>
      <w:color w:val="004F77" w:themeColor="accent4" w:themeShade="BF"/>
    </w:rPr>
    <w:tblPr>
      <w:tblStyleRowBandSize w:val="1"/>
      <w:tblStyleColBandSize w:val="1"/>
      <w:tblBorders>
        <w:top w:val="single" w:sz="4" w:space="0" w:color="2CB8FF" w:themeColor="accent4" w:themeTint="99"/>
        <w:left w:val="single" w:sz="4" w:space="0" w:color="2CB8FF" w:themeColor="accent4" w:themeTint="99"/>
        <w:bottom w:val="single" w:sz="4" w:space="0" w:color="2CB8FF" w:themeColor="accent4" w:themeTint="99"/>
        <w:right w:val="single" w:sz="4" w:space="0" w:color="2CB8FF" w:themeColor="accent4" w:themeTint="99"/>
        <w:insideH w:val="single" w:sz="4" w:space="0" w:color="2CB8FF" w:themeColor="accent4" w:themeTint="99"/>
        <w:insideV w:val="single" w:sz="4" w:space="0" w:color="2CB8FF" w:themeColor="accent4" w:themeTint="99"/>
      </w:tblBorders>
    </w:tblPr>
    <w:tblStylePr w:type="firstRow">
      <w:rPr>
        <w:b/>
        <w:bCs/>
      </w:rPr>
      <w:tblPr/>
      <w:tcPr>
        <w:tcBorders>
          <w:bottom w:val="single" w:sz="12" w:space="0" w:color="2CB8FF" w:themeColor="accent4" w:themeTint="99"/>
        </w:tcBorders>
      </w:tcPr>
    </w:tblStylePr>
    <w:tblStylePr w:type="lastRow">
      <w:rPr>
        <w:b/>
        <w:bCs/>
      </w:rPr>
      <w:tblPr/>
      <w:tcPr>
        <w:tcBorders>
          <w:top w:val="double" w:sz="4" w:space="0" w:color="2CB8FF" w:themeColor="accent4" w:themeTint="99"/>
        </w:tcBorders>
      </w:tc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GridTable6ColourfulAccent5">
    <w:name w:val="Grid Table 6 Colorful Accent 5"/>
    <w:basedOn w:val="TableNormal"/>
    <w:uiPriority w:val="51"/>
    <w:rsid w:val="009637A8"/>
    <w:pPr>
      <w:spacing w:after="0" w:line="240" w:lineRule="auto"/>
    </w:pPr>
    <w:rPr>
      <w:color w:val="3C9BC0" w:themeColor="accent5" w:themeShade="BF"/>
    </w:rPr>
    <w:tblPr>
      <w:tblStyleRowBandSize w:val="1"/>
      <w:tblStyleColBandSize w:val="1"/>
      <w:tblBorders>
        <w:top w:val="single" w:sz="4" w:space="0" w:color="AFD7E6" w:themeColor="accent5" w:themeTint="99"/>
        <w:left w:val="single" w:sz="4" w:space="0" w:color="AFD7E6" w:themeColor="accent5" w:themeTint="99"/>
        <w:bottom w:val="single" w:sz="4" w:space="0" w:color="AFD7E6" w:themeColor="accent5" w:themeTint="99"/>
        <w:right w:val="single" w:sz="4" w:space="0" w:color="AFD7E6" w:themeColor="accent5" w:themeTint="99"/>
        <w:insideH w:val="single" w:sz="4" w:space="0" w:color="AFD7E6" w:themeColor="accent5" w:themeTint="99"/>
        <w:insideV w:val="single" w:sz="4" w:space="0" w:color="AFD7E6" w:themeColor="accent5" w:themeTint="99"/>
      </w:tblBorders>
    </w:tblPr>
    <w:tblStylePr w:type="firstRow">
      <w:rPr>
        <w:b/>
        <w:bCs/>
      </w:rPr>
      <w:tblPr/>
      <w:tcPr>
        <w:tcBorders>
          <w:bottom w:val="single" w:sz="12" w:space="0" w:color="AFD7E6" w:themeColor="accent5" w:themeTint="99"/>
        </w:tcBorders>
      </w:tcPr>
    </w:tblStylePr>
    <w:tblStylePr w:type="lastRow">
      <w:rPr>
        <w:b/>
        <w:bCs/>
      </w:rPr>
      <w:tblPr/>
      <w:tcPr>
        <w:tcBorders>
          <w:top w:val="double" w:sz="4" w:space="0" w:color="AFD7E6" w:themeColor="accent5" w:themeTint="99"/>
        </w:tcBorders>
      </w:tc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GridTable6ColourfulAccent6">
    <w:name w:val="Grid Table 6 Colorful Accent 6"/>
    <w:basedOn w:val="TableNormal"/>
    <w:uiPriority w:val="51"/>
    <w:rsid w:val="009637A8"/>
    <w:pPr>
      <w:spacing w:after="0" w:line="240" w:lineRule="auto"/>
    </w:pPr>
    <w:rPr>
      <w:color w:val="31693D" w:themeColor="accent6" w:themeShade="BF"/>
    </w:rPr>
    <w:tblPr>
      <w:tblStyleRowBandSize w:val="1"/>
      <w:tblStyleColBandSize w:val="1"/>
      <w:tblBorders>
        <w:top w:val="single" w:sz="4" w:space="0" w:color="83C590" w:themeColor="accent6" w:themeTint="99"/>
        <w:left w:val="single" w:sz="4" w:space="0" w:color="83C590" w:themeColor="accent6" w:themeTint="99"/>
        <w:bottom w:val="single" w:sz="4" w:space="0" w:color="83C590" w:themeColor="accent6" w:themeTint="99"/>
        <w:right w:val="single" w:sz="4" w:space="0" w:color="83C590" w:themeColor="accent6" w:themeTint="99"/>
        <w:insideH w:val="single" w:sz="4" w:space="0" w:color="83C590" w:themeColor="accent6" w:themeTint="99"/>
        <w:insideV w:val="single" w:sz="4" w:space="0" w:color="83C590" w:themeColor="accent6" w:themeTint="99"/>
      </w:tblBorders>
    </w:tblPr>
    <w:tblStylePr w:type="firstRow">
      <w:rPr>
        <w:b/>
        <w:bCs/>
      </w:rPr>
      <w:tblPr/>
      <w:tcPr>
        <w:tcBorders>
          <w:bottom w:val="single" w:sz="12" w:space="0" w:color="83C590" w:themeColor="accent6" w:themeTint="99"/>
        </w:tcBorders>
      </w:tcPr>
    </w:tblStylePr>
    <w:tblStylePr w:type="lastRow">
      <w:rPr>
        <w:b/>
        <w:bCs/>
      </w:rPr>
      <w:tblPr/>
      <w:tcPr>
        <w:tcBorders>
          <w:top w:val="double" w:sz="4" w:space="0" w:color="83C590" w:themeColor="accent6" w:themeTint="99"/>
        </w:tcBorders>
      </w:tc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GridTable7Colourful">
    <w:name w:val="Grid Table 7 Colorful"/>
    <w:basedOn w:val="TableNormal"/>
    <w:uiPriority w:val="52"/>
    <w:rsid w:val="009637A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9637A8"/>
    <w:pPr>
      <w:spacing w:after="0" w:line="240" w:lineRule="auto"/>
    </w:pPr>
    <w:rPr>
      <w:color w:val="72549D" w:themeColor="accent1" w:themeShade="BF"/>
    </w:rPr>
    <w:tblPr>
      <w:tblStyleRowBandSize w:val="1"/>
      <w:tblStyleColBandSize w:val="1"/>
      <w:tblBorders>
        <w:top w:val="single" w:sz="4" w:space="0" w:color="C4B5D8" w:themeColor="accent1" w:themeTint="99"/>
        <w:left w:val="single" w:sz="4" w:space="0" w:color="C4B5D8" w:themeColor="accent1" w:themeTint="99"/>
        <w:bottom w:val="single" w:sz="4" w:space="0" w:color="C4B5D8" w:themeColor="accent1" w:themeTint="99"/>
        <w:right w:val="single" w:sz="4" w:space="0" w:color="C4B5D8" w:themeColor="accent1" w:themeTint="99"/>
        <w:insideH w:val="single" w:sz="4" w:space="0" w:color="C4B5D8" w:themeColor="accent1" w:themeTint="99"/>
        <w:insideV w:val="single" w:sz="4" w:space="0" w:color="C4B5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1" w:themeFillTint="33"/>
      </w:tcPr>
    </w:tblStylePr>
    <w:tblStylePr w:type="band1Horz">
      <w:tblPr/>
      <w:tcPr>
        <w:shd w:val="clear" w:color="auto" w:fill="EBE6F2" w:themeFill="accent1" w:themeFillTint="33"/>
      </w:tcPr>
    </w:tblStylePr>
    <w:tblStylePr w:type="neCell">
      <w:tblPr/>
      <w:tcPr>
        <w:tcBorders>
          <w:bottom w:val="single" w:sz="4" w:space="0" w:color="C4B5D8" w:themeColor="accent1" w:themeTint="99"/>
        </w:tcBorders>
      </w:tcPr>
    </w:tblStylePr>
    <w:tblStylePr w:type="nwCell">
      <w:tblPr/>
      <w:tcPr>
        <w:tcBorders>
          <w:bottom w:val="single" w:sz="4" w:space="0" w:color="C4B5D8" w:themeColor="accent1" w:themeTint="99"/>
        </w:tcBorders>
      </w:tcPr>
    </w:tblStylePr>
    <w:tblStylePr w:type="seCell">
      <w:tblPr/>
      <w:tcPr>
        <w:tcBorders>
          <w:top w:val="single" w:sz="4" w:space="0" w:color="C4B5D8" w:themeColor="accent1" w:themeTint="99"/>
        </w:tcBorders>
      </w:tcPr>
    </w:tblStylePr>
    <w:tblStylePr w:type="swCell">
      <w:tblPr/>
      <w:tcPr>
        <w:tcBorders>
          <w:top w:val="single" w:sz="4" w:space="0" w:color="C4B5D8" w:themeColor="accent1" w:themeTint="99"/>
        </w:tcBorders>
      </w:tcPr>
    </w:tblStylePr>
  </w:style>
  <w:style w:type="table" w:styleId="GridTable7ColourfulAccent2">
    <w:name w:val="Grid Table 7 Colorful Accent 2"/>
    <w:basedOn w:val="TableNormal"/>
    <w:uiPriority w:val="52"/>
    <w:rsid w:val="009637A8"/>
    <w:pPr>
      <w:spacing w:after="0" w:line="240" w:lineRule="auto"/>
    </w:pPr>
    <w:rPr>
      <w:color w:val="5D5D5D" w:themeColor="accent2" w:themeShade="BF"/>
    </w:rPr>
    <w:tblPr>
      <w:tblStyleRowBandSize w:val="1"/>
      <w:tblStyleColBandSize w:val="1"/>
      <w:tblBorders>
        <w:top w:val="single" w:sz="4" w:space="0" w:color="B1B1B1" w:themeColor="accent2" w:themeTint="99"/>
        <w:left w:val="single" w:sz="4" w:space="0" w:color="B1B1B1" w:themeColor="accent2" w:themeTint="99"/>
        <w:bottom w:val="single" w:sz="4" w:space="0" w:color="B1B1B1" w:themeColor="accent2" w:themeTint="99"/>
        <w:right w:val="single" w:sz="4" w:space="0" w:color="B1B1B1" w:themeColor="accent2" w:themeTint="99"/>
        <w:insideH w:val="single" w:sz="4" w:space="0" w:color="B1B1B1" w:themeColor="accent2" w:themeTint="99"/>
        <w:insideV w:val="single" w:sz="4" w:space="0" w:color="B1B1B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2" w:themeFillTint="33"/>
      </w:tcPr>
    </w:tblStylePr>
    <w:tblStylePr w:type="band1Horz">
      <w:tblPr/>
      <w:tcPr>
        <w:shd w:val="clear" w:color="auto" w:fill="E5E5E5" w:themeFill="accent2" w:themeFillTint="33"/>
      </w:tcPr>
    </w:tblStylePr>
    <w:tblStylePr w:type="neCell">
      <w:tblPr/>
      <w:tcPr>
        <w:tcBorders>
          <w:bottom w:val="single" w:sz="4" w:space="0" w:color="B1B1B1" w:themeColor="accent2" w:themeTint="99"/>
        </w:tcBorders>
      </w:tcPr>
    </w:tblStylePr>
    <w:tblStylePr w:type="nwCell">
      <w:tblPr/>
      <w:tcPr>
        <w:tcBorders>
          <w:bottom w:val="single" w:sz="4" w:space="0" w:color="B1B1B1" w:themeColor="accent2" w:themeTint="99"/>
        </w:tcBorders>
      </w:tcPr>
    </w:tblStylePr>
    <w:tblStylePr w:type="seCell">
      <w:tblPr/>
      <w:tcPr>
        <w:tcBorders>
          <w:top w:val="single" w:sz="4" w:space="0" w:color="B1B1B1" w:themeColor="accent2" w:themeTint="99"/>
        </w:tcBorders>
      </w:tcPr>
    </w:tblStylePr>
    <w:tblStylePr w:type="swCell">
      <w:tblPr/>
      <w:tcPr>
        <w:tcBorders>
          <w:top w:val="single" w:sz="4" w:space="0" w:color="B1B1B1" w:themeColor="accent2" w:themeTint="99"/>
        </w:tcBorders>
      </w:tcPr>
    </w:tblStylePr>
  </w:style>
  <w:style w:type="table" w:styleId="GridTable7ColourfulAccent3">
    <w:name w:val="Grid Table 7 Colorful Accent 3"/>
    <w:basedOn w:val="TableNormal"/>
    <w:uiPriority w:val="52"/>
    <w:rsid w:val="009637A8"/>
    <w:pPr>
      <w:spacing w:after="0" w:line="240" w:lineRule="auto"/>
    </w:pPr>
    <w:rPr>
      <w:color w:val="959595" w:themeColor="accent3" w:themeShade="BF"/>
    </w:rPr>
    <w:tblPr>
      <w:tblStyleRowBandSize w:val="1"/>
      <w:tblStyleColBandSize w:val="1"/>
      <w:tblBorders>
        <w:top w:val="single" w:sz="4" w:space="0" w:color="DEDEDE" w:themeColor="accent3" w:themeTint="99"/>
        <w:left w:val="single" w:sz="4" w:space="0" w:color="DEDEDE" w:themeColor="accent3" w:themeTint="99"/>
        <w:bottom w:val="single" w:sz="4" w:space="0" w:color="DEDEDE" w:themeColor="accent3" w:themeTint="99"/>
        <w:right w:val="single" w:sz="4" w:space="0" w:color="DEDEDE" w:themeColor="accent3" w:themeTint="99"/>
        <w:insideH w:val="single" w:sz="4" w:space="0" w:color="DEDEDE" w:themeColor="accent3" w:themeTint="99"/>
        <w:insideV w:val="single" w:sz="4" w:space="0" w:color="DEDED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4F4" w:themeFill="accent3" w:themeFillTint="33"/>
      </w:tcPr>
    </w:tblStylePr>
    <w:tblStylePr w:type="band1Horz">
      <w:tblPr/>
      <w:tcPr>
        <w:shd w:val="clear" w:color="auto" w:fill="F4F4F4" w:themeFill="accent3" w:themeFillTint="33"/>
      </w:tcPr>
    </w:tblStylePr>
    <w:tblStylePr w:type="neCell">
      <w:tblPr/>
      <w:tcPr>
        <w:tcBorders>
          <w:bottom w:val="single" w:sz="4" w:space="0" w:color="DEDEDE" w:themeColor="accent3" w:themeTint="99"/>
        </w:tcBorders>
      </w:tcPr>
    </w:tblStylePr>
    <w:tblStylePr w:type="nwCell">
      <w:tblPr/>
      <w:tcPr>
        <w:tcBorders>
          <w:bottom w:val="single" w:sz="4" w:space="0" w:color="DEDEDE" w:themeColor="accent3" w:themeTint="99"/>
        </w:tcBorders>
      </w:tcPr>
    </w:tblStylePr>
    <w:tblStylePr w:type="seCell">
      <w:tblPr/>
      <w:tcPr>
        <w:tcBorders>
          <w:top w:val="single" w:sz="4" w:space="0" w:color="DEDEDE" w:themeColor="accent3" w:themeTint="99"/>
        </w:tcBorders>
      </w:tcPr>
    </w:tblStylePr>
    <w:tblStylePr w:type="swCell">
      <w:tblPr/>
      <w:tcPr>
        <w:tcBorders>
          <w:top w:val="single" w:sz="4" w:space="0" w:color="DEDEDE" w:themeColor="accent3" w:themeTint="99"/>
        </w:tcBorders>
      </w:tcPr>
    </w:tblStylePr>
  </w:style>
  <w:style w:type="table" w:styleId="GridTable7ColourfulAccent4">
    <w:name w:val="Grid Table 7 Colorful Accent 4"/>
    <w:basedOn w:val="TableNormal"/>
    <w:uiPriority w:val="52"/>
    <w:rsid w:val="009637A8"/>
    <w:pPr>
      <w:spacing w:after="0" w:line="240" w:lineRule="auto"/>
    </w:pPr>
    <w:rPr>
      <w:color w:val="004F77" w:themeColor="accent4" w:themeShade="BF"/>
    </w:rPr>
    <w:tblPr>
      <w:tblStyleRowBandSize w:val="1"/>
      <w:tblStyleColBandSize w:val="1"/>
      <w:tblBorders>
        <w:top w:val="single" w:sz="4" w:space="0" w:color="2CB8FF" w:themeColor="accent4" w:themeTint="99"/>
        <w:left w:val="single" w:sz="4" w:space="0" w:color="2CB8FF" w:themeColor="accent4" w:themeTint="99"/>
        <w:bottom w:val="single" w:sz="4" w:space="0" w:color="2CB8FF" w:themeColor="accent4" w:themeTint="99"/>
        <w:right w:val="single" w:sz="4" w:space="0" w:color="2CB8FF" w:themeColor="accent4" w:themeTint="99"/>
        <w:insideH w:val="single" w:sz="4" w:space="0" w:color="2CB8FF" w:themeColor="accent4" w:themeTint="99"/>
        <w:insideV w:val="single" w:sz="4" w:space="0" w:color="2CB8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7FF" w:themeFill="accent4" w:themeFillTint="33"/>
      </w:tcPr>
    </w:tblStylePr>
    <w:tblStylePr w:type="band1Horz">
      <w:tblPr/>
      <w:tcPr>
        <w:shd w:val="clear" w:color="auto" w:fill="B8E7FF" w:themeFill="accent4" w:themeFillTint="33"/>
      </w:tcPr>
    </w:tblStylePr>
    <w:tblStylePr w:type="neCell">
      <w:tblPr/>
      <w:tcPr>
        <w:tcBorders>
          <w:bottom w:val="single" w:sz="4" w:space="0" w:color="2CB8FF" w:themeColor="accent4" w:themeTint="99"/>
        </w:tcBorders>
      </w:tcPr>
    </w:tblStylePr>
    <w:tblStylePr w:type="nwCell">
      <w:tblPr/>
      <w:tcPr>
        <w:tcBorders>
          <w:bottom w:val="single" w:sz="4" w:space="0" w:color="2CB8FF" w:themeColor="accent4" w:themeTint="99"/>
        </w:tcBorders>
      </w:tcPr>
    </w:tblStylePr>
    <w:tblStylePr w:type="seCell">
      <w:tblPr/>
      <w:tcPr>
        <w:tcBorders>
          <w:top w:val="single" w:sz="4" w:space="0" w:color="2CB8FF" w:themeColor="accent4" w:themeTint="99"/>
        </w:tcBorders>
      </w:tcPr>
    </w:tblStylePr>
    <w:tblStylePr w:type="swCell">
      <w:tblPr/>
      <w:tcPr>
        <w:tcBorders>
          <w:top w:val="single" w:sz="4" w:space="0" w:color="2CB8FF" w:themeColor="accent4" w:themeTint="99"/>
        </w:tcBorders>
      </w:tcPr>
    </w:tblStylePr>
  </w:style>
  <w:style w:type="table" w:styleId="GridTable7ColourfulAccent5">
    <w:name w:val="Grid Table 7 Colorful Accent 5"/>
    <w:basedOn w:val="TableNormal"/>
    <w:uiPriority w:val="52"/>
    <w:rsid w:val="009637A8"/>
    <w:pPr>
      <w:spacing w:after="0" w:line="240" w:lineRule="auto"/>
    </w:pPr>
    <w:rPr>
      <w:color w:val="3C9BC0" w:themeColor="accent5" w:themeShade="BF"/>
    </w:rPr>
    <w:tblPr>
      <w:tblStyleRowBandSize w:val="1"/>
      <w:tblStyleColBandSize w:val="1"/>
      <w:tblBorders>
        <w:top w:val="single" w:sz="4" w:space="0" w:color="AFD7E6" w:themeColor="accent5" w:themeTint="99"/>
        <w:left w:val="single" w:sz="4" w:space="0" w:color="AFD7E6" w:themeColor="accent5" w:themeTint="99"/>
        <w:bottom w:val="single" w:sz="4" w:space="0" w:color="AFD7E6" w:themeColor="accent5" w:themeTint="99"/>
        <w:right w:val="single" w:sz="4" w:space="0" w:color="AFD7E6" w:themeColor="accent5" w:themeTint="99"/>
        <w:insideH w:val="single" w:sz="4" w:space="0" w:color="AFD7E6" w:themeColor="accent5" w:themeTint="99"/>
        <w:insideV w:val="single" w:sz="4" w:space="0" w:color="AFD7E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1F6" w:themeFill="accent5" w:themeFillTint="33"/>
      </w:tcPr>
    </w:tblStylePr>
    <w:tblStylePr w:type="band1Horz">
      <w:tblPr/>
      <w:tcPr>
        <w:shd w:val="clear" w:color="auto" w:fill="E4F1F6" w:themeFill="accent5" w:themeFillTint="33"/>
      </w:tcPr>
    </w:tblStylePr>
    <w:tblStylePr w:type="neCell">
      <w:tblPr/>
      <w:tcPr>
        <w:tcBorders>
          <w:bottom w:val="single" w:sz="4" w:space="0" w:color="AFD7E6" w:themeColor="accent5" w:themeTint="99"/>
        </w:tcBorders>
      </w:tcPr>
    </w:tblStylePr>
    <w:tblStylePr w:type="nwCell">
      <w:tblPr/>
      <w:tcPr>
        <w:tcBorders>
          <w:bottom w:val="single" w:sz="4" w:space="0" w:color="AFD7E6" w:themeColor="accent5" w:themeTint="99"/>
        </w:tcBorders>
      </w:tcPr>
    </w:tblStylePr>
    <w:tblStylePr w:type="seCell">
      <w:tblPr/>
      <w:tcPr>
        <w:tcBorders>
          <w:top w:val="single" w:sz="4" w:space="0" w:color="AFD7E6" w:themeColor="accent5" w:themeTint="99"/>
        </w:tcBorders>
      </w:tcPr>
    </w:tblStylePr>
    <w:tblStylePr w:type="swCell">
      <w:tblPr/>
      <w:tcPr>
        <w:tcBorders>
          <w:top w:val="single" w:sz="4" w:space="0" w:color="AFD7E6" w:themeColor="accent5" w:themeTint="99"/>
        </w:tcBorders>
      </w:tcPr>
    </w:tblStylePr>
  </w:style>
  <w:style w:type="table" w:styleId="GridTable7ColourfulAccent6">
    <w:name w:val="Grid Table 7 Colorful Accent 6"/>
    <w:basedOn w:val="TableNormal"/>
    <w:uiPriority w:val="52"/>
    <w:rsid w:val="009637A8"/>
    <w:pPr>
      <w:spacing w:after="0" w:line="240" w:lineRule="auto"/>
    </w:pPr>
    <w:rPr>
      <w:color w:val="31693D" w:themeColor="accent6" w:themeShade="BF"/>
    </w:rPr>
    <w:tblPr>
      <w:tblStyleRowBandSize w:val="1"/>
      <w:tblStyleColBandSize w:val="1"/>
      <w:tblBorders>
        <w:top w:val="single" w:sz="4" w:space="0" w:color="83C590" w:themeColor="accent6" w:themeTint="99"/>
        <w:left w:val="single" w:sz="4" w:space="0" w:color="83C590" w:themeColor="accent6" w:themeTint="99"/>
        <w:bottom w:val="single" w:sz="4" w:space="0" w:color="83C590" w:themeColor="accent6" w:themeTint="99"/>
        <w:right w:val="single" w:sz="4" w:space="0" w:color="83C590" w:themeColor="accent6" w:themeTint="99"/>
        <w:insideH w:val="single" w:sz="4" w:space="0" w:color="83C590" w:themeColor="accent6" w:themeTint="99"/>
        <w:insideV w:val="single" w:sz="4" w:space="0" w:color="83C59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BDA" w:themeFill="accent6" w:themeFillTint="33"/>
      </w:tcPr>
    </w:tblStylePr>
    <w:tblStylePr w:type="band1Horz">
      <w:tblPr/>
      <w:tcPr>
        <w:shd w:val="clear" w:color="auto" w:fill="D5EBDA" w:themeFill="accent6" w:themeFillTint="33"/>
      </w:tcPr>
    </w:tblStylePr>
    <w:tblStylePr w:type="neCell">
      <w:tblPr/>
      <w:tcPr>
        <w:tcBorders>
          <w:bottom w:val="single" w:sz="4" w:space="0" w:color="83C590" w:themeColor="accent6" w:themeTint="99"/>
        </w:tcBorders>
      </w:tcPr>
    </w:tblStylePr>
    <w:tblStylePr w:type="nwCell">
      <w:tblPr/>
      <w:tcPr>
        <w:tcBorders>
          <w:bottom w:val="single" w:sz="4" w:space="0" w:color="83C590" w:themeColor="accent6" w:themeTint="99"/>
        </w:tcBorders>
      </w:tcPr>
    </w:tblStylePr>
    <w:tblStylePr w:type="seCell">
      <w:tblPr/>
      <w:tcPr>
        <w:tcBorders>
          <w:top w:val="single" w:sz="4" w:space="0" w:color="83C590" w:themeColor="accent6" w:themeTint="99"/>
        </w:tcBorders>
      </w:tcPr>
    </w:tblStylePr>
    <w:tblStylePr w:type="swCell">
      <w:tblPr/>
      <w:tcPr>
        <w:tcBorders>
          <w:top w:val="single" w:sz="4" w:space="0" w:color="83C590" w:themeColor="accent6" w:themeTint="99"/>
        </w:tcBorders>
      </w:tcPr>
    </w:tblStylePr>
  </w:style>
  <w:style w:type="character" w:styleId="Hashtag">
    <w:name w:val="Hashtag"/>
    <w:basedOn w:val="DefaultParagraphFont"/>
    <w:uiPriority w:val="99"/>
    <w:semiHidden/>
    <w:unhideWhenUsed/>
    <w:rsid w:val="009637A8"/>
    <w:rPr>
      <w:color w:val="2B579A"/>
      <w:shd w:val="clear" w:color="auto" w:fill="E1DFDD"/>
    </w:rPr>
  </w:style>
  <w:style w:type="paragraph" w:styleId="Header">
    <w:name w:val="header"/>
    <w:basedOn w:val="Normal-nospace"/>
    <w:link w:val="HeaderChar"/>
    <w:uiPriority w:val="99"/>
    <w:unhideWhenUsed/>
    <w:rsid w:val="00B649EB"/>
    <w:pPr>
      <w:tabs>
        <w:tab w:val="center" w:pos="4513"/>
        <w:tab w:val="right" w:pos="9026"/>
      </w:tabs>
      <w:spacing w:before="90" w:line="240" w:lineRule="auto"/>
    </w:pPr>
    <w:rPr>
      <w:sz w:val="16"/>
    </w:rPr>
  </w:style>
  <w:style w:type="character" w:customStyle="1" w:styleId="HeaderChar">
    <w:name w:val="Header Char"/>
    <w:basedOn w:val="DefaultParagraphFont"/>
    <w:link w:val="Header"/>
    <w:uiPriority w:val="99"/>
    <w:rsid w:val="00B649EB"/>
    <w:rPr>
      <w:rFonts w:ascii="Arial Narrow" w:hAnsi="Arial Narrow" w:cs="Arial"/>
      <w:sz w:val="16"/>
    </w:rPr>
  </w:style>
  <w:style w:type="character" w:styleId="HTMLAcronym">
    <w:name w:val="HTML Acronym"/>
    <w:basedOn w:val="DefaultParagraphFont"/>
    <w:uiPriority w:val="99"/>
    <w:semiHidden/>
    <w:unhideWhenUsed/>
    <w:rsid w:val="009637A8"/>
  </w:style>
  <w:style w:type="paragraph" w:styleId="HTMLAddress">
    <w:name w:val="HTML Address"/>
    <w:basedOn w:val="Normal"/>
    <w:link w:val="HTMLAddressChar"/>
    <w:uiPriority w:val="99"/>
    <w:semiHidden/>
    <w:unhideWhenUsed/>
    <w:rsid w:val="009637A8"/>
    <w:pPr>
      <w:spacing w:after="0"/>
    </w:pPr>
    <w:rPr>
      <w:i/>
      <w:iCs/>
    </w:rPr>
  </w:style>
  <w:style w:type="character" w:customStyle="1" w:styleId="HTMLAddressChar">
    <w:name w:val="HTML Address Char"/>
    <w:basedOn w:val="DefaultParagraphFont"/>
    <w:link w:val="HTMLAddress"/>
    <w:uiPriority w:val="99"/>
    <w:semiHidden/>
    <w:rsid w:val="009637A8"/>
    <w:rPr>
      <w:rFonts w:ascii="Arial" w:hAnsi="Arial" w:cs="Arial"/>
      <w:i/>
      <w:iCs/>
    </w:rPr>
  </w:style>
  <w:style w:type="character" w:styleId="HTMLCite">
    <w:name w:val="HTML Cite"/>
    <w:basedOn w:val="DefaultParagraphFont"/>
    <w:uiPriority w:val="99"/>
    <w:semiHidden/>
    <w:unhideWhenUsed/>
    <w:rsid w:val="009637A8"/>
    <w:rPr>
      <w:i/>
      <w:iCs/>
    </w:rPr>
  </w:style>
  <w:style w:type="character" w:styleId="HTMLCode">
    <w:name w:val="HTML Code"/>
    <w:basedOn w:val="DefaultParagraphFont"/>
    <w:uiPriority w:val="99"/>
    <w:semiHidden/>
    <w:unhideWhenUsed/>
    <w:rsid w:val="009637A8"/>
    <w:rPr>
      <w:rFonts w:ascii="Arial Narrow" w:hAnsi="Arial Narrow" w:cs="Arial"/>
      <w:sz w:val="20"/>
      <w:szCs w:val="20"/>
    </w:rPr>
  </w:style>
  <w:style w:type="character" w:styleId="HTMLDefinition">
    <w:name w:val="HTML Definition"/>
    <w:basedOn w:val="DefaultParagraphFont"/>
    <w:uiPriority w:val="99"/>
    <w:semiHidden/>
    <w:unhideWhenUsed/>
    <w:rsid w:val="009637A8"/>
    <w:rPr>
      <w:i/>
      <w:iCs/>
    </w:rPr>
  </w:style>
  <w:style w:type="character" w:styleId="HTMLKeyboard">
    <w:name w:val="HTML Keyboard"/>
    <w:basedOn w:val="DefaultParagraphFont"/>
    <w:uiPriority w:val="99"/>
    <w:semiHidden/>
    <w:unhideWhenUsed/>
    <w:rsid w:val="009637A8"/>
    <w:rPr>
      <w:rFonts w:ascii="Arial Narrow" w:hAnsi="Arial Narrow" w:cs="Arial"/>
      <w:sz w:val="20"/>
      <w:szCs w:val="20"/>
    </w:rPr>
  </w:style>
  <w:style w:type="paragraph" w:styleId="HTMLPreformatted">
    <w:name w:val="HTML Preformatted"/>
    <w:basedOn w:val="Normal"/>
    <w:link w:val="HTMLPreformattedChar"/>
    <w:uiPriority w:val="99"/>
    <w:semiHidden/>
    <w:unhideWhenUsed/>
    <w:rsid w:val="009637A8"/>
    <w:pPr>
      <w:spacing w:after="0"/>
    </w:pPr>
    <w:rPr>
      <w:sz w:val="20"/>
      <w:szCs w:val="20"/>
    </w:rPr>
  </w:style>
  <w:style w:type="character" w:customStyle="1" w:styleId="HTMLPreformattedChar">
    <w:name w:val="HTML Preformatted Char"/>
    <w:basedOn w:val="DefaultParagraphFont"/>
    <w:link w:val="HTMLPreformatted"/>
    <w:uiPriority w:val="99"/>
    <w:semiHidden/>
    <w:rsid w:val="009637A8"/>
    <w:rPr>
      <w:rFonts w:ascii="Arial" w:hAnsi="Arial" w:cs="Arial"/>
      <w:sz w:val="20"/>
      <w:szCs w:val="20"/>
    </w:rPr>
  </w:style>
  <w:style w:type="character" w:styleId="HTMLSample">
    <w:name w:val="HTML Sample"/>
    <w:basedOn w:val="DefaultParagraphFont"/>
    <w:uiPriority w:val="99"/>
    <w:semiHidden/>
    <w:unhideWhenUsed/>
    <w:rsid w:val="009637A8"/>
    <w:rPr>
      <w:rFonts w:ascii="Arial Narrow" w:hAnsi="Arial Narrow" w:cs="Arial"/>
      <w:sz w:val="24"/>
      <w:szCs w:val="24"/>
    </w:rPr>
  </w:style>
  <w:style w:type="character" w:styleId="HTMLTypewriter">
    <w:name w:val="HTML Typewriter"/>
    <w:basedOn w:val="DefaultParagraphFont"/>
    <w:uiPriority w:val="99"/>
    <w:semiHidden/>
    <w:unhideWhenUsed/>
    <w:rsid w:val="009637A8"/>
    <w:rPr>
      <w:rFonts w:ascii="Arial Narrow" w:hAnsi="Arial Narrow" w:cs="Arial"/>
      <w:sz w:val="20"/>
      <w:szCs w:val="20"/>
    </w:rPr>
  </w:style>
  <w:style w:type="character" w:styleId="HTMLVariable">
    <w:name w:val="HTML Variable"/>
    <w:basedOn w:val="DefaultParagraphFont"/>
    <w:uiPriority w:val="99"/>
    <w:semiHidden/>
    <w:unhideWhenUsed/>
    <w:rsid w:val="009637A8"/>
    <w:rPr>
      <w:i/>
      <w:iCs/>
    </w:rPr>
  </w:style>
  <w:style w:type="character" w:styleId="Hyperlink">
    <w:name w:val="Hyperlink"/>
    <w:basedOn w:val="DefaultParagraphFont"/>
    <w:uiPriority w:val="99"/>
    <w:unhideWhenUsed/>
    <w:rsid w:val="009637A8"/>
    <w:rPr>
      <w:color w:val="7BBDD6" w:themeColor="hyperlink"/>
      <w:u w:val="single"/>
    </w:rPr>
  </w:style>
  <w:style w:type="paragraph" w:styleId="Index1">
    <w:name w:val="index 1"/>
    <w:basedOn w:val="Normal"/>
    <w:next w:val="Normal"/>
    <w:autoRedefine/>
    <w:uiPriority w:val="99"/>
    <w:semiHidden/>
    <w:unhideWhenUsed/>
    <w:rsid w:val="009637A8"/>
    <w:pPr>
      <w:spacing w:after="0"/>
      <w:ind w:left="220" w:hanging="220"/>
    </w:pPr>
  </w:style>
  <w:style w:type="paragraph" w:styleId="Index2">
    <w:name w:val="index 2"/>
    <w:basedOn w:val="Normal"/>
    <w:next w:val="Normal"/>
    <w:autoRedefine/>
    <w:uiPriority w:val="99"/>
    <w:semiHidden/>
    <w:unhideWhenUsed/>
    <w:rsid w:val="009637A8"/>
    <w:pPr>
      <w:spacing w:after="0"/>
      <w:ind w:left="440" w:hanging="220"/>
    </w:pPr>
  </w:style>
  <w:style w:type="paragraph" w:styleId="Index3">
    <w:name w:val="index 3"/>
    <w:basedOn w:val="Normal"/>
    <w:next w:val="Normal"/>
    <w:autoRedefine/>
    <w:uiPriority w:val="99"/>
    <w:semiHidden/>
    <w:unhideWhenUsed/>
    <w:rsid w:val="009637A8"/>
    <w:pPr>
      <w:spacing w:after="0"/>
      <w:ind w:left="660" w:hanging="220"/>
    </w:pPr>
  </w:style>
  <w:style w:type="paragraph" w:styleId="Index4">
    <w:name w:val="index 4"/>
    <w:basedOn w:val="Normal"/>
    <w:next w:val="Normal"/>
    <w:autoRedefine/>
    <w:uiPriority w:val="99"/>
    <w:semiHidden/>
    <w:unhideWhenUsed/>
    <w:rsid w:val="009637A8"/>
    <w:pPr>
      <w:spacing w:after="0"/>
      <w:ind w:left="880" w:hanging="220"/>
    </w:pPr>
  </w:style>
  <w:style w:type="paragraph" w:styleId="Index5">
    <w:name w:val="index 5"/>
    <w:basedOn w:val="Normal"/>
    <w:next w:val="Normal"/>
    <w:autoRedefine/>
    <w:uiPriority w:val="99"/>
    <w:semiHidden/>
    <w:unhideWhenUsed/>
    <w:rsid w:val="009637A8"/>
    <w:pPr>
      <w:spacing w:after="0"/>
      <w:ind w:left="1100" w:hanging="220"/>
    </w:pPr>
  </w:style>
  <w:style w:type="paragraph" w:styleId="Index6">
    <w:name w:val="index 6"/>
    <w:basedOn w:val="Normal"/>
    <w:next w:val="Normal"/>
    <w:autoRedefine/>
    <w:uiPriority w:val="99"/>
    <w:semiHidden/>
    <w:unhideWhenUsed/>
    <w:rsid w:val="009637A8"/>
    <w:pPr>
      <w:spacing w:after="0"/>
      <w:ind w:left="1320" w:hanging="220"/>
    </w:pPr>
  </w:style>
  <w:style w:type="paragraph" w:styleId="Index7">
    <w:name w:val="index 7"/>
    <w:basedOn w:val="Normal"/>
    <w:next w:val="Normal"/>
    <w:autoRedefine/>
    <w:uiPriority w:val="99"/>
    <w:semiHidden/>
    <w:unhideWhenUsed/>
    <w:rsid w:val="009637A8"/>
    <w:pPr>
      <w:spacing w:after="0"/>
      <w:ind w:left="1540" w:hanging="220"/>
    </w:pPr>
  </w:style>
  <w:style w:type="paragraph" w:styleId="Index8">
    <w:name w:val="index 8"/>
    <w:basedOn w:val="Normal"/>
    <w:next w:val="Normal"/>
    <w:autoRedefine/>
    <w:uiPriority w:val="99"/>
    <w:semiHidden/>
    <w:unhideWhenUsed/>
    <w:rsid w:val="009637A8"/>
    <w:pPr>
      <w:spacing w:after="0"/>
      <w:ind w:left="1760" w:hanging="220"/>
    </w:pPr>
  </w:style>
  <w:style w:type="paragraph" w:styleId="Index9">
    <w:name w:val="index 9"/>
    <w:basedOn w:val="Normal"/>
    <w:next w:val="Normal"/>
    <w:autoRedefine/>
    <w:uiPriority w:val="99"/>
    <w:semiHidden/>
    <w:unhideWhenUsed/>
    <w:rsid w:val="009637A8"/>
    <w:pPr>
      <w:spacing w:after="0"/>
      <w:ind w:left="1980" w:hanging="220"/>
    </w:pPr>
  </w:style>
  <w:style w:type="paragraph" w:styleId="IndexHeading">
    <w:name w:val="index heading"/>
    <w:basedOn w:val="Normal"/>
    <w:next w:val="Index1"/>
    <w:uiPriority w:val="99"/>
    <w:semiHidden/>
    <w:unhideWhenUsed/>
    <w:rsid w:val="009637A8"/>
    <w:pPr>
      <w:spacing w:after="160" w:line="259" w:lineRule="auto"/>
    </w:pPr>
    <w:rPr>
      <w:rFonts w:eastAsiaTheme="majorEastAsia"/>
      <w:b/>
      <w:bCs/>
    </w:rPr>
  </w:style>
  <w:style w:type="character" w:styleId="IntenseEmphasis">
    <w:name w:val="Intense Emphasis"/>
    <w:basedOn w:val="DefaultParagraphFont"/>
    <w:uiPriority w:val="21"/>
    <w:qFormat/>
    <w:rsid w:val="009637A8"/>
    <w:rPr>
      <w:i/>
      <w:iCs/>
      <w:color w:val="9D85BE" w:themeColor="accent1"/>
    </w:rPr>
  </w:style>
  <w:style w:type="paragraph" w:styleId="IntenseQuote">
    <w:name w:val="Intense Quote"/>
    <w:basedOn w:val="Normal"/>
    <w:next w:val="Normal"/>
    <w:link w:val="IntenseQuoteChar"/>
    <w:uiPriority w:val="30"/>
    <w:qFormat/>
    <w:rsid w:val="009637A8"/>
    <w:pPr>
      <w:pBdr>
        <w:top w:val="single" w:sz="4" w:space="10" w:color="9D85BE" w:themeColor="accent1"/>
        <w:bottom w:val="single" w:sz="4" w:space="10" w:color="9D85BE" w:themeColor="accent1"/>
      </w:pBdr>
      <w:spacing w:before="360" w:after="360" w:line="259" w:lineRule="auto"/>
      <w:ind w:left="864" w:right="864"/>
      <w:jc w:val="center"/>
    </w:pPr>
    <w:rPr>
      <w:i/>
      <w:iCs/>
      <w:color w:val="9D85BE" w:themeColor="accent1"/>
    </w:rPr>
  </w:style>
  <w:style w:type="character" w:customStyle="1" w:styleId="IntenseQuoteChar">
    <w:name w:val="Intense Quote Char"/>
    <w:basedOn w:val="DefaultParagraphFont"/>
    <w:link w:val="IntenseQuote"/>
    <w:uiPriority w:val="30"/>
    <w:rsid w:val="009637A8"/>
    <w:rPr>
      <w:rFonts w:ascii="Arial" w:hAnsi="Arial" w:cs="Arial"/>
      <w:i/>
      <w:iCs/>
      <w:color w:val="9D85BE" w:themeColor="accent1"/>
    </w:rPr>
  </w:style>
  <w:style w:type="character" w:styleId="IntenseReference">
    <w:name w:val="Intense Reference"/>
    <w:basedOn w:val="DefaultParagraphFont"/>
    <w:uiPriority w:val="32"/>
    <w:qFormat/>
    <w:rsid w:val="009637A8"/>
    <w:rPr>
      <w:b/>
      <w:bCs/>
      <w:smallCaps/>
      <w:color w:val="9D85BE" w:themeColor="accent1"/>
      <w:spacing w:val="5"/>
    </w:rPr>
  </w:style>
  <w:style w:type="table" w:styleId="LightGrid">
    <w:name w:val="Light Grid"/>
    <w:basedOn w:val="TableNormal"/>
    <w:uiPriority w:val="62"/>
    <w:semiHidden/>
    <w:unhideWhenUsed/>
    <w:rsid w:val="009637A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637A8"/>
    <w:pPr>
      <w:spacing w:after="0" w:line="240" w:lineRule="auto"/>
    </w:pPr>
    <w:tblPr>
      <w:tblStyleRowBandSize w:val="1"/>
      <w:tblStyleColBandSize w:val="1"/>
      <w:tblBorders>
        <w:top w:val="single" w:sz="8" w:space="0" w:color="9D85BE" w:themeColor="accent1"/>
        <w:left w:val="single" w:sz="8" w:space="0" w:color="9D85BE" w:themeColor="accent1"/>
        <w:bottom w:val="single" w:sz="8" w:space="0" w:color="9D85BE" w:themeColor="accent1"/>
        <w:right w:val="single" w:sz="8" w:space="0" w:color="9D85BE" w:themeColor="accent1"/>
        <w:insideH w:val="single" w:sz="8" w:space="0" w:color="9D85BE" w:themeColor="accent1"/>
        <w:insideV w:val="single" w:sz="8" w:space="0" w:color="9D85B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85BE" w:themeColor="accent1"/>
          <w:left w:val="single" w:sz="8" w:space="0" w:color="9D85BE" w:themeColor="accent1"/>
          <w:bottom w:val="single" w:sz="18" w:space="0" w:color="9D85BE" w:themeColor="accent1"/>
          <w:right w:val="single" w:sz="8" w:space="0" w:color="9D85BE" w:themeColor="accent1"/>
          <w:insideH w:val="nil"/>
          <w:insideV w:val="single" w:sz="8" w:space="0" w:color="9D85B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85BE" w:themeColor="accent1"/>
          <w:left w:val="single" w:sz="8" w:space="0" w:color="9D85BE" w:themeColor="accent1"/>
          <w:bottom w:val="single" w:sz="8" w:space="0" w:color="9D85BE" w:themeColor="accent1"/>
          <w:right w:val="single" w:sz="8" w:space="0" w:color="9D85BE" w:themeColor="accent1"/>
          <w:insideH w:val="nil"/>
          <w:insideV w:val="single" w:sz="8" w:space="0" w:color="9D85B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85BE" w:themeColor="accent1"/>
          <w:left w:val="single" w:sz="8" w:space="0" w:color="9D85BE" w:themeColor="accent1"/>
          <w:bottom w:val="single" w:sz="8" w:space="0" w:color="9D85BE" w:themeColor="accent1"/>
          <w:right w:val="single" w:sz="8" w:space="0" w:color="9D85BE" w:themeColor="accent1"/>
        </w:tcBorders>
      </w:tcPr>
    </w:tblStylePr>
    <w:tblStylePr w:type="band1Vert">
      <w:tblPr/>
      <w:tcPr>
        <w:tcBorders>
          <w:top w:val="single" w:sz="8" w:space="0" w:color="9D85BE" w:themeColor="accent1"/>
          <w:left w:val="single" w:sz="8" w:space="0" w:color="9D85BE" w:themeColor="accent1"/>
          <w:bottom w:val="single" w:sz="8" w:space="0" w:color="9D85BE" w:themeColor="accent1"/>
          <w:right w:val="single" w:sz="8" w:space="0" w:color="9D85BE" w:themeColor="accent1"/>
        </w:tcBorders>
        <w:shd w:val="clear" w:color="auto" w:fill="E6E0EF" w:themeFill="accent1" w:themeFillTint="3F"/>
      </w:tcPr>
    </w:tblStylePr>
    <w:tblStylePr w:type="band1Horz">
      <w:tblPr/>
      <w:tcPr>
        <w:tcBorders>
          <w:top w:val="single" w:sz="8" w:space="0" w:color="9D85BE" w:themeColor="accent1"/>
          <w:left w:val="single" w:sz="8" w:space="0" w:color="9D85BE" w:themeColor="accent1"/>
          <w:bottom w:val="single" w:sz="8" w:space="0" w:color="9D85BE" w:themeColor="accent1"/>
          <w:right w:val="single" w:sz="8" w:space="0" w:color="9D85BE" w:themeColor="accent1"/>
          <w:insideV w:val="single" w:sz="8" w:space="0" w:color="9D85BE" w:themeColor="accent1"/>
        </w:tcBorders>
        <w:shd w:val="clear" w:color="auto" w:fill="E6E0EF" w:themeFill="accent1" w:themeFillTint="3F"/>
      </w:tcPr>
    </w:tblStylePr>
    <w:tblStylePr w:type="band2Horz">
      <w:tblPr/>
      <w:tcPr>
        <w:tcBorders>
          <w:top w:val="single" w:sz="8" w:space="0" w:color="9D85BE" w:themeColor="accent1"/>
          <w:left w:val="single" w:sz="8" w:space="0" w:color="9D85BE" w:themeColor="accent1"/>
          <w:bottom w:val="single" w:sz="8" w:space="0" w:color="9D85BE" w:themeColor="accent1"/>
          <w:right w:val="single" w:sz="8" w:space="0" w:color="9D85BE" w:themeColor="accent1"/>
          <w:insideV w:val="single" w:sz="8" w:space="0" w:color="9D85BE" w:themeColor="accent1"/>
        </w:tcBorders>
      </w:tcPr>
    </w:tblStylePr>
  </w:style>
  <w:style w:type="table" w:styleId="LightGrid-Accent2">
    <w:name w:val="Light Grid Accent 2"/>
    <w:basedOn w:val="TableNormal"/>
    <w:uiPriority w:val="62"/>
    <w:semiHidden/>
    <w:unhideWhenUsed/>
    <w:rsid w:val="009637A8"/>
    <w:pPr>
      <w:spacing w:after="0" w:line="240" w:lineRule="auto"/>
    </w:pPr>
    <w:tblPr>
      <w:tblStyleRowBandSize w:val="1"/>
      <w:tblStyleColBandSize w:val="1"/>
      <w:tblBorders>
        <w:top w:val="single" w:sz="8" w:space="0" w:color="7D7D7D" w:themeColor="accent2"/>
        <w:left w:val="single" w:sz="8" w:space="0" w:color="7D7D7D" w:themeColor="accent2"/>
        <w:bottom w:val="single" w:sz="8" w:space="0" w:color="7D7D7D" w:themeColor="accent2"/>
        <w:right w:val="single" w:sz="8" w:space="0" w:color="7D7D7D" w:themeColor="accent2"/>
        <w:insideH w:val="single" w:sz="8" w:space="0" w:color="7D7D7D" w:themeColor="accent2"/>
        <w:insideV w:val="single" w:sz="8" w:space="0" w:color="7D7D7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7D7D" w:themeColor="accent2"/>
          <w:left w:val="single" w:sz="8" w:space="0" w:color="7D7D7D" w:themeColor="accent2"/>
          <w:bottom w:val="single" w:sz="18" w:space="0" w:color="7D7D7D" w:themeColor="accent2"/>
          <w:right w:val="single" w:sz="8" w:space="0" w:color="7D7D7D" w:themeColor="accent2"/>
          <w:insideH w:val="nil"/>
          <w:insideV w:val="single" w:sz="8" w:space="0" w:color="7D7D7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7D7D" w:themeColor="accent2"/>
          <w:left w:val="single" w:sz="8" w:space="0" w:color="7D7D7D" w:themeColor="accent2"/>
          <w:bottom w:val="single" w:sz="8" w:space="0" w:color="7D7D7D" w:themeColor="accent2"/>
          <w:right w:val="single" w:sz="8" w:space="0" w:color="7D7D7D" w:themeColor="accent2"/>
          <w:insideH w:val="nil"/>
          <w:insideV w:val="single" w:sz="8" w:space="0" w:color="7D7D7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7D7D" w:themeColor="accent2"/>
          <w:left w:val="single" w:sz="8" w:space="0" w:color="7D7D7D" w:themeColor="accent2"/>
          <w:bottom w:val="single" w:sz="8" w:space="0" w:color="7D7D7D" w:themeColor="accent2"/>
          <w:right w:val="single" w:sz="8" w:space="0" w:color="7D7D7D" w:themeColor="accent2"/>
        </w:tcBorders>
      </w:tcPr>
    </w:tblStylePr>
    <w:tblStylePr w:type="band1Vert">
      <w:tblPr/>
      <w:tcPr>
        <w:tcBorders>
          <w:top w:val="single" w:sz="8" w:space="0" w:color="7D7D7D" w:themeColor="accent2"/>
          <w:left w:val="single" w:sz="8" w:space="0" w:color="7D7D7D" w:themeColor="accent2"/>
          <w:bottom w:val="single" w:sz="8" w:space="0" w:color="7D7D7D" w:themeColor="accent2"/>
          <w:right w:val="single" w:sz="8" w:space="0" w:color="7D7D7D" w:themeColor="accent2"/>
        </w:tcBorders>
        <w:shd w:val="clear" w:color="auto" w:fill="DEDEDE" w:themeFill="accent2" w:themeFillTint="3F"/>
      </w:tcPr>
    </w:tblStylePr>
    <w:tblStylePr w:type="band1Horz">
      <w:tblPr/>
      <w:tcPr>
        <w:tcBorders>
          <w:top w:val="single" w:sz="8" w:space="0" w:color="7D7D7D" w:themeColor="accent2"/>
          <w:left w:val="single" w:sz="8" w:space="0" w:color="7D7D7D" w:themeColor="accent2"/>
          <w:bottom w:val="single" w:sz="8" w:space="0" w:color="7D7D7D" w:themeColor="accent2"/>
          <w:right w:val="single" w:sz="8" w:space="0" w:color="7D7D7D" w:themeColor="accent2"/>
          <w:insideV w:val="single" w:sz="8" w:space="0" w:color="7D7D7D" w:themeColor="accent2"/>
        </w:tcBorders>
        <w:shd w:val="clear" w:color="auto" w:fill="DEDEDE" w:themeFill="accent2" w:themeFillTint="3F"/>
      </w:tcPr>
    </w:tblStylePr>
    <w:tblStylePr w:type="band2Horz">
      <w:tblPr/>
      <w:tcPr>
        <w:tcBorders>
          <w:top w:val="single" w:sz="8" w:space="0" w:color="7D7D7D" w:themeColor="accent2"/>
          <w:left w:val="single" w:sz="8" w:space="0" w:color="7D7D7D" w:themeColor="accent2"/>
          <w:bottom w:val="single" w:sz="8" w:space="0" w:color="7D7D7D" w:themeColor="accent2"/>
          <w:right w:val="single" w:sz="8" w:space="0" w:color="7D7D7D" w:themeColor="accent2"/>
          <w:insideV w:val="single" w:sz="8" w:space="0" w:color="7D7D7D" w:themeColor="accent2"/>
        </w:tcBorders>
      </w:tcPr>
    </w:tblStylePr>
  </w:style>
  <w:style w:type="table" w:styleId="LightGrid-Accent3">
    <w:name w:val="Light Grid Accent 3"/>
    <w:basedOn w:val="TableNormal"/>
    <w:uiPriority w:val="62"/>
    <w:semiHidden/>
    <w:unhideWhenUsed/>
    <w:rsid w:val="009637A8"/>
    <w:pPr>
      <w:spacing w:after="0" w:line="240" w:lineRule="auto"/>
    </w:pPr>
    <w:tblPr>
      <w:tblStyleRowBandSize w:val="1"/>
      <w:tblStyleColBandSize w:val="1"/>
      <w:tblBorders>
        <w:top w:val="single" w:sz="8" w:space="0" w:color="C8C8C8" w:themeColor="accent3"/>
        <w:left w:val="single" w:sz="8" w:space="0" w:color="C8C8C8" w:themeColor="accent3"/>
        <w:bottom w:val="single" w:sz="8" w:space="0" w:color="C8C8C8" w:themeColor="accent3"/>
        <w:right w:val="single" w:sz="8" w:space="0" w:color="C8C8C8" w:themeColor="accent3"/>
        <w:insideH w:val="single" w:sz="8" w:space="0" w:color="C8C8C8" w:themeColor="accent3"/>
        <w:insideV w:val="single" w:sz="8" w:space="0" w:color="C8C8C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C8C8" w:themeColor="accent3"/>
          <w:left w:val="single" w:sz="8" w:space="0" w:color="C8C8C8" w:themeColor="accent3"/>
          <w:bottom w:val="single" w:sz="18" w:space="0" w:color="C8C8C8" w:themeColor="accent3"/>
          <w:right w:val="single" w:sz="8" w:space="0" w:color="C8C8C8" w:themeColor="accent3"/>
          <w:insideH w:val="nil"/>
          <w:insideV w:val="single" w:sz="8" w:space="0" w:color="C8C8C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C8C8" w:themeColor="accent3"/>
          <w:left w:val="single" w:sz="8" w:space="0" w:color="C8C8C8" w:themeColor="accent3"/>
          <w:bottom w:val="single" w:sz="8" w:space="0" w:color="C8C8C8" w:themeColor="accent3"/>
          <w:right w:val="single" w:sz="8" w:space="0" w:color="C8C8C8" w:themeColor="accent3"/>
          <w:insideH w:val="nil"/>
          <w:insideV w:val="single" w:sz="8" w:space="0" w:color="C8C8C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C8C8" w:themeColor="accent3"/>
          <w:left w:val="single" w:sz="8" w:space="0" w:color="C8C8C8" w:themeColor="accent3"/>
          <w:bottom w:val="single" w:sz="8" w:space="0" w:color="C8C8C8" w:themeColor="accent3"/>
          <w:right w:val="single" w:sz="8" w:space="0" w:color="C8C8C8" w:themeColor="accent3"/>
        </w:tcBorders>
      </w:tcPr>
    </w:tblStylePr>
    <w:tblStylePr w:type="band1Vert">
      <w:tblPr/>
      <w:tcPr>
        <w:tcBorders>
          <w:top w:val="single" w:sz="8" w:space="0" w:color="C8C8C8" w:themeColor="accent3"/>
          <w:left w:val="single" w:sz="8" w:space="0" w:color="C8C8C8" w:themeColor="accent3"/>
          <w:bottom w:val="single" w:sz="8" w:space="0" w:color="C8C8C8" w:themeColor="accent3"/>
          <w:right w:val="single" w:sz="8" w:space="0" w:color="C8C8C8" w:themeColor="accent3"/>
        </w:tcBorders>
        <w:shd w:val="clear" w:color="auto" w:fill="F1F1F1" w:themeFill="accent3" w:themeFillTint="3F"/>
      </w:tcPr>
    </w:tblStylePr>
    <w:tblStylePr w:type="band1Horz">
      <w:tblPr/>
      <w:tcPr>
        <w:tcBorders>
          <w:top w:val="single" w:sz="8" w:space="0" w:color="C8C8C8" w:themeColor="accent3"/>
          <w:left w:val="single" w:sz="8" w:space="0" w:color="C8C8C8" w:themeColor="accent3"/>
          <w:bottom w:val="single" w:sz="8" w:space="0" w:color="C8C8C8" w:themeColor="accent3"/>
          <w:right w:val="single" w:sz="8" w:space="0" w:color="C8C8C8" w:themeColor="accent3"/>
          <w:insideV w:val="single" w:sz="8" w:space="0" w:color="C8C8C8" w:themeColor="accent3"/>
        </w:tcBorders>
        <w:shd w:val="clear" w:color="auto" w:fill="F1F1F1" w:themeFill="accent3" w:themeFillTint="3F"/>
      </w:tcPr>
    </w:tblStylePr>
    <w:tblStylePr w:type="band2Horz">
      <w:tblPr/>
      <w:tcPr>
        <w:tcBorders>
          <w:top w:val="single" w:sz="8" w:space="0" w:color="C8C8C8" w:themeColor="accent3"/>
          <w:left w:val="single" w:sz="8" w:space="0" w:color="C8C8C8" w:themeColor="accent3"/>
          <w:bottom w:val="single" w:sz="8" w:space="0" w:color="C8C8C8" w:themeColor="accent3"/>
          <w:right w:val="single" w:sz="8" w:space="0" w:color="C8C8C8" w:themeColor="accent3"/>
          <w:insideV w:val="single" w:sz="8" w:space="0" w:color="C8C8C8" w:themeColor="accent3"/>
        </w:tcBorders>
      </w:tcPr>
    </w:tblStylePr>
  </w:style>
  <w:style w:type="table" w:styleId="LightGrid-Accent4">
    <w:name w:val="Light Grid Accent 4"/>
    <w:basedOn w:val="TableNormal"/>
    <w:uiPriority w:val="62"/>
    <w:semiHidden/>
    <w:unhideWhenUsed/>
    <w:rsid w:val="009637A8"/>
    <w:pPr>
      <w:spacing w:after="0" w:line="240" w:lineRule="auto"/>
    </w:pPr>
    <w:tblPr>
      <w:tblStyleRowBandSize w:val="1"/>
      <w:tblStyleColBandSize w:val="1"/>
      <w:tblBorders>
        <w:top w:val="single" w:sz="8" w:space="0" w:color="006A9F" w:themeColor="accent4"/>
        <w:left w:val="single" w:sz="8" w:space="0" w:color="006A9F" w:themeColor="accent4"/>
        <w:bottom w:val="single" w:sz="8" w:space="0" w:color="006A9F" w:themeColor="accent4"/>
        <w:right w:val="single" w:sz="8" w:space="0" w:color="006A9F" w:themeColor="accent4"/>
        <w:insideH w:val="single" w:sz="8" w:space="0" w:color="006A9F" w:themeColor="accent4"/>
        <w:insideV w:val="single" w:sz="8" w:space="0" w:color="006A9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A9F" w:themeColor="accent4"/>
          <w:left w:val="single" w:sz="8" w:space="0" w:color="006A9F" w:themeColor="accent4"/>
          <w:bottom w:val="single" w:sz="18" w:space="0" w:color="006A9F" w:themeColor="accent4"/>
          <w:right w:val="single" w:sz="8" w:space="0" w:color="006A9F" w:themeColor="accent4"/>
          <w:insideH w:val="nil"/>
          <w:insideV w:val="single" w:sz="8" w:space="0" w:color="006A9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A9F" w:themeColor="accent4"/>
          <w:left w:val="single" w:sz="8" w:space="0" w:color="006A9F" w:themeColor="accent4"/>
          <w:bottom w:val="single" w:sz="8" w:space="0" w:color="006A9F" w:themeColor="accent4"/>
          <w:right w:val="single" w:sz="8" w:space="0" w:color="006A9F" w:themeColor="accent4"/>
          <w:insideH w:val="nil"/>
          <w:insideV w:val="single" w:sz="8" w:space="0" w:color="006A9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A9F" w:themeColor="accent4"/>
          <w:left w:val="single" w:sz="8" w:space="0" w:color="006A9F" w:themeColor="accent4"/>
          <w:bottom w:val="single" w:sz="8" w:space="0" w:color="006A9F" w:themeColor="accent4"/>
          <w:right w:val="single" w:sz="8" w:space="0" w:color="006A9F" w:themeColor="accent4"/>
        </w:tcBorders>
      </w:tcPr>
    </w:tblStylePr>
    <w:tblStylePr w:type="band1Vert">
      <w:tblPr/>
      <w:tcPr>
        <w:tcBorders>
          <w:top w:val="single" w:sz="8" w:space="0" w:color="006A9F" w:themeColor="accent4"/>
          <w:left w:val="single" w:sz="8" w:space="0" w:color="006A9F" w:themeColor="accent4"/>
          <w:bottom w:val="single" w:sz="8" w:space="0" w:color="006A9F" w:themeColor="accent4"/>
          <w:right w:val="single" w:sz="8" w:space="0" w:color="006A9F" w:themeColor="accent4"/>
        </w:tcBorders>
        <w:shd w:val="clear" w:color="auto" w:fill="A8E2FF" w:themeFill="accent4" w:themeFillTint="3F"/>
      </w:tcPr>
    </w:tblStylePr>
    <w:tblStylePr w:type="band1Horz">
      <w:tblPr/>
      <w:tcPr>
        <w:tcBorders>
          <w:top w:val="single" w:sz="8" w:space="0" w:color="006A9F" w:themeColor="accent4"/>
          <w:left w:val="single" w:sz="8" w:space="0" w:color="006A9F" w:themeColor="accent4"/>
          <w:bottom w:val="single" w:sz="8" w:space="0" w:color="006A9F" w:themeColor="accent4"/>
          <w:right w:val="single" w:sz="8" w:space="0" w:color="006A9F" w:themeColor="accent4"/>
          <w:insideV w:val="single" w:sz="8" w:space="0" w:color="006A9F" w:themeColor="accent4"/>
        </w:tcBorders>
        <w:shd w:val="clear" w:color="auto" w:fill="A8E2FF" w:themeFill="accent4" w:themeFillTint="3F"/>
      </w:tcPr>
    </w:tblStylePr>
    <w:tblStylePr w:type="band2Horz">
      <w:tblPr/>
      <w:tcPr>
        <w:tcBorders>
          <w:top w:val="single" w:sz="8" w:space="0" w:color="006A9F" w:themeColor="accent4"/>
          <w:left w:val="single" w:sz="8" w:space="0" w:color="006A9F" w:themeColor="accent4"/>
          <w:bottom w:val="single" w:sz="8" w:space="0" w:color="006A9F" w:themeColor="accent4"/>
          <w:right w:val="single" w:sz="8" w:space="0" w:color="006A9F" w:themeColor="accent4"/>
          <w:insideV w:val="single" w:sz="8" w:space="0" w:color="006A9F" w:themeColor="accent4"/>
        </w:tcBorders>
      </w:tcPr>
    </w:tblStylePr>
  </w:style>
  <w:style w:type="table" w:styleId="LightGrid-Accent5">
    <w:name w:val="Light Grid Accent 5"/>
    <w:basedOn w:val="TableNormal"/>
    <w:uiPriority w:val="62"/>
    <w:semiHidden/>
    <w:unhideWhenUsed/>
    <w:rsid w:val="009637A8"/>
    <w:pPr>
      <w:spacing w:after="0" w:line="240" w:lineRule="auto"/>
    </w:pPr>
    <w:tblPr>
      <w:tblStyleRowBandSize w:val="1"/>
      <w:tblStyleColBandSize w:val="1"/>
      <w:tblBorders>
        <w:top w:val="single" w:sz="8" w:space="0" w:color="7BBDD6" w:themeColor="accent5"/>
        <w:left w:val="single" w:sz="8" w:space="0" w:color="7BBDD6" w:themeColor="accent5"/>
        <w:bottom w:val="single" w:sz="8" w:space="0" w:color="7BBDD6" w:themeColor="accent5"/>
        <w:right w:val="single" w:sz="8" w:space="0" w:color="7BBDD6" w:themeColor="accent5"/>
        <w:insideH w:val="single" w:sz="8" w:space="0" w:color="7BBDD6" w:themeColor="accent5"/>
        <w:insideV w:val="single" w:sz="8" w:space="0" w:color="7BBDD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BBDD6" w:themeColor="accent5"/>
          <w:left w:val="single" w:sz="8" w:space="0" w:color="7BBDD6" w:themeColor="accent5"/>
          <w:bottom w:val="single" w:sz="18" w:space="0" w:color="7BBDD6" w:themeColor="accent5"/>
          <w:right w:val="single" w:sz="8" w:space="0" w:color="7BBDD6" w:themeColor="accent5"/>
          <w:insideH w:val="nil"/>
          <w:insideV w:val="single" w:sz="8" w:space="0" w:color="7BBDD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BBDD6" w:themeColor="accent5"/>
          <w:left w:val="single" w:sz="8" w:space="0" w:color="7BBDD6" w:themeColor="accent5"/>
          <w:bottom w:val="single" w:sz="8" w:space="0" w:color="7BBDD6" w:themeColor="accent5"/>
          <w:right w:val="single" w:sz="8" w:space="0" w:color="7BBDD6" w:themeColor="accent5"/>
          <w:insideH w:val="nil"/>
          <w:insideV w:val="single" w:sz="8" w:space="0" w:color="7BBDD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BBDD6" w:themeColor="accent5"/>
          <w:left w:val="single" w:sz="8" w:space="0" w:color="7BBDD6" w:themeColor="accent5"/>
          <w:bottom w:val="single" w:sz="8" w:space="0" w:color="7BBDD6" w:themeColor="accent5"/>
          <w:right w:val="single" w:sz="8" w:space="0" w:color="7BBDD6" w:themeColor="accent5"/>
        </w:tcBorders>
      </w:tcPr>
    </w:tblStylePr>
    <w:tblStylePr w:type="band1Vert">
      <w:tblPr/>
      <w:tcPr>
        <w:tcBorders>
          <w:top w:val="single" w:sz="8" w:space="0" w:color="7BBDD6" w:themeColor="accent5"/>
          <w:left w:val="single" w:sz="8" w:space="0" w:color="7BBDD6" w:themeColor="accent5"/>
          <w:bottom w:val="single" w:sz="8" w:space="0" w:color="7BBDD6" w:themeColor="accent5"/>
          <w:right w:val="single" w:sz="8" w:space="0" w:color="7BBDD6" w:themeColor="accent5"/>
        </w:tcBorders>
        <w:shd w:val="clear" w:color="auto" w:fill="DEEEF4" w:themeFill="accent5" w:themeFillTint="3F"/>
      </w:tcPr>
    </w:tblStylePr>
    <w:tblStylePr w:type="band1Horz">
      <w:tblPr/>
      <w:tcPr>
        <w:tcBorders>
          <w:top w:val="single" w:sz="8" w:space="0" w:color="7BBDD6" w:themeColor="accent5"/>
          <w:left w:val="single" w:sz="8" w:space="0" w:color="7BBDD6" w:themeColor="accent5"/>
          <w:bottom w:val="single" w:sz="8" w:space="0" w:color="7BBDD6" w:themeColor="accent5"/>
          <w:right w:val="single" w:sz="8" w:space="0" w:color="7BBDD6" w:themeColor="accent5"/>
          <w:insideV w:val="single" w:sz="8" w:space="0" w:color="7BBDD6" w:themeColor="accent5"/>
        </w:tcBorders>
        <w:shd w:val="clear" w:color="auto" w:fill="DEEEF4" w:themeFill="accent5" w:themeFillTint="3F"/>
      </w:tcPr>
    </w:tblStylePr>
    <w:tblStylePr w:type="band2Horz">
      <w:tblPr/>
      <w:tcPr>
        <w:tcBorders>
          <w:top w:val="single" w:sz="8" w:space="0" w:color="7BBDD6" w:themeColor="accent5"/>
          <w:left w:val="single" w:sz="8" w:space="0" w:color="7BBDD6" w:themeColor="accent5"/>
          <w:bottom w:val="single" w:sz="8" w:space="0" w:color="7BBDD6" w:themeColor="accent5"/>
          <w:right w:val="single" w:sz="8" w:space="0" w:color="7BBDD6" w:themeColor="accent5"/>
          <w:insideV w:val="single" w:sz="8" w:space="0" w:color="7BBDD6" w:themeColor="accent5"/>
        </w:tcBorders>
      </w:tcPr>
    </w:tblStylePr>
  </w:style>
  <w:style w:type="table" w:styleId="LightGrid-Accent6">
    <w:name w:val="Light Grid Accent 6"/>
    <w:basedOn w:val="TableNormal"/>
    <w:uiPriority w:val="62"/>
    <w:semiHidden/>
    <w:unhideWhenUsed/>
    <w:rsid w:val="009637A8"/>
    <w:pPr>
      <w:spacing w:after="0" w:line="240" w:lineRule="auto"/>
    </w:pPr>
    <w:tblPr>
      <w:tblStyleRowBandSize w:val="1"/>
      <w:tblStyleColBandSize w:val="1"/>
      <w:tblBorders>
        <w:top w:val="single" w:sz="8" w:space="0" w:color="428D52" w:themeColor="accent6"/>
        <w:left w:val="single" w:sz="8" w:space="0" w:color="428D52" w:themeColor="accent6"/>
        <w:bottom w:val="single" w:sz="8" w:space="0" w:color="428D52" w:themeColor="accent6"/>
        <w:right w:val="single" w:sz="8" w:space="0" w:color="428D52" w:themeColor="accent6"/>
        <w:insideH w:val="single" w:sz="8" w:space="0" w:color="428D52" w:themeColor="accent6"/>
        <w:insideV w:val="single" w:sz="8" w:space="0" w:color="428D5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28D52" w:themeColor="accent6"/>
          <w:left w:val="single" w:sz="8" w:space="0" w:color="428D52" w:themeColor="accent6"/>
          <w:bottom w:val="single" w:sz="18" w:space="0" w:color="428D52" w:themeColor="accent6"/>
          <w:right w:val="single" w:sz="8" w:space="0" w:color="428D52" w:themeColor="accent6"/>
          <w:insideH w:val="nil"/>
          <w:insideV w:val="single" w:sz="8" w:space="0" w:color="428D5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28D52" w:themeColor="accent6"/>
          <w:left w:val="single" w:sz="8" w:space="0" w:color="428D52" w:themeColor="accent6"/>
          <w:bottom w:val="single" w:sz="8" w:space="0" w:color="428D52" w:themeColor="accent6"/>
          <w:right w:val="single" w:sz="8" w:space="0" w:color="428D52" w:themeColor="accent6"/>
          <w:insideH w:val="nil"/>
          <w:insideV w:val="single" w:sz="8" w:space="0" w:color="428D5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28D52" w:themeColor="accent6"/>
          <w:left w:val="single" w:sz="8" w:space="0" w:color="428D52" w:themeColor="accent6"/>
          <w:bottom w:val="single" w:sz="8" w:space="0" w:color="428D52" w:themeColor="accent6"/>
          <w:right w:val="single" w:sz="8" w:space="0" w:color="428D52" w:themeColor="accent6"/>
        </w:tcBorders>
      </w:tcPr>
    </w:tblStylePr>
    <w:tblStylePr w:type="band1Vert">
      <w:tblPr/>
      <w:tcPr>
        <w:tcBorders>
          <w:top w:val="single" w:sz="8" w:space="0" w:color="428D52" w:themeColor="accent6"/>
          <w:left w:val="single" w:sz="8" w:space="0" w:color="428D52" w:themeColor="accent6"/>
          <w:bottom w:val="single" w:sz="8" w:space="0" w:color="428D52" w:themeColor="accent6"/>
          <w:right w:val="single" w:sz="8" w:space="0" w:color="428D52" w:themeColor="accent6"/>
        </w:tcBorders>
        <w:shd w:val="clear" w:color="auto" w:fill="CBE7D1" w:themeFill="accent6" w:themeFillTint="3F"/>
      </w:tcPr>
    </w:tblStylePr>
    <w:tblStylePr w:type="band1Horz">
      <w:tblPr/>
      <w:tcPr>
        <w:tcBorders>
          <w:top w:val="single" w:sz="8" w:space="0" w:color="428D52" w:themeColor="accent6"/>
          <w:left w:val="single" w:sz="8" w:space="0" w:color="428D52" w:themeColor="accent6"/>
          <w:bottom w:val="single" w:sz="8" w:space="0" w:color="428D52" w:themeColor="accent6"/>
          <w:right w:val="single" w:sz="8" w:space="0" w:color="428D52" w:themeColor="accent6"/>
          <w:insideV w:val="single" w:sz="8" w:space="0" w:color="428D52" w:themeColor="accent6"/>
        </w:tcBorders>
        <w:shd w:val="clear" w:color="auto" w:fill="CBE7D1" w:themeFill="accent6" w:themeFillTint="3F"/>
      </w:tcPr>
    </w:tblStylePr>
    <w:tblStylePr w:type="band2Horz">
      <w:tblPr/>
      <w:tcPr>
        <w:tcBorders>
          <w:top w:val="single" w:sz="8" w:space="0" w:color="428D52" w:themeColor="accent6"/>
          <w:left w:val="single" w:sz="8" w:space="0" w:color="428D52" w:themeColor="accent6"/>
          <w:bottom w:val="single" w:sz="8" w:space="0" w:color="428D52" w:themeColor="accent6"/>
          <w:right w:val="single" w:sz="8" w:space="0" w:color="428D52" w:themeColor="accent6"/>
          <w:insideV w:val="single" w:sz="8" w:space="0" w:color="428D52" w:themeColor="accent6"/>
        </w:tcBorders>
      </w:tcPr>
    </w:tblStylePr>
  </w:style>
  <w:style w:type="table" w:styleId="LightList">
    <w:name w:val="Light List"/>
    <w:basedOn w:val="TableNormal"/>
    <w:uiPriority w:val="61"/>
    <w:semiHidden/>
    <w:unhideWhenUsed/>
    <w:rsid w:val="009637A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637A8"/>
    <w:pPr>
      <w:spacing w:after="0" w:line="240" w:lineRule="auto"/>
    </w:pPr>
    <w:tblPr>
      <w:tblStyleRowBandSize w:val="1"/>
      <w:tblStyleColBandSize w:val="1"/>
      <w:tblBorders>
        <w:top w:val="single" w:sz="8" w:space="0" w:color="9D85BE" w:themeColor="accent1"/>
        <w:left w:val="single" w:sz="8" w:space="0" w:color="9D85BE" w:themeColor="accent1"/>
        <w:bottom w:val="single" w:sz="8" w:space="0" w:color="9D85BE" w:themeColor="accent1"/>
        <w:right w:val="single" w:sz="8" w:space="0" w:color="9D85BE" w:themeColor="accent1"/>
      </w:tblBorders>
    </w:tblPr>
    <w:tblStylePr w:type="firstRow">
      <w:pPr>
        <w:spacing w:before="0" w:after="0" w:line="240" w:lineRule="auto"/>
      </w:pPr>
      <w:rPr>
        <w:b/>
        <w:bCs/>
        <w:color w:val="FFFFFF" w:themeColor="background1"/>
      </w:rPr>
      <w:tblPr/>
      <w:tcPr>
        <w:shd w:val="clear" w:color="auto" w:fill="9D85BE" w:themeFill="accent1"/>
      </w:tcPr>
    </w:tblStylePr>
    <w:tblStylePr w:type="lastRow">
      <w:pPr>
        <w:spacing w:before="0" w:after="0" w:line="240" w:lineRule="auto"/>
      </w:pPr>
      <w:rPr>
        <w:b/>
        <w:bCs/>
      </w:rPr>
      <w:tblPr/>
      <w:tcPr>
        <w:tcBorders>
          <w:top w:val="double" w:sz="6" w:space="0" w:color="9D85BE" w:themeColor="accent1"/>
          <w:left w:val="single" w:sz="8" w:space="0" w:color="9D85BE" w:themeColor="accent1"/>
          <w:bottom w:val="single" w:sz="8" w:space="0" w:color="9D85BE" w:themeColor="accent1"/>
          <w:right w:val="single" w:sz="8" w:space="0" w:color="9D85BE" w:themeColor="accent1"/>
        </w:tcBorders>
      </w:tcPr>
    </w:tblStylePr>
    <w:tblStylePr w:type="firstCol">
      <w:rPr>
        <w:b/>
        <w:bCs/>
      </w:rPr>
    </w:tblStylePr>
    <w:tblStylePr w:type="lastCol">
      <w:rPr>
        <w:b/>
        <w:bCs/>
      </w:rPr>
    </w:tblStylePr>
    <w:tblStylePr w:type="band1Vert">
      <w:tblPr/>
      <w:tcPr>
        <w:tcBorders>
          <w:top w:val="single" w:sz="8" w:space="0" w:color="9D85BE" w:themeColor="accent1"/>
          <w:left w:val="single" w:sz="8" w:space="0" w:color="9D85BE" w:themeColor="accent1"/>
          <w:bottom w:val="single" w:sz="8" w:space="0" w:color="9D85BE" w:themeColor="accent1"/>
          <w:right w:val="single" w:sz="8" w:space="0" w:color="9D85BE" w:themeColor="accent1"/>
        </w:tcBorders>
      </w:tcPr>
    </w:tblStylePr>
    <w:tblStylePr w:type="band1Horz">
      <w:tblPr/>
      <w:tcPr>
        <w:tcBorders>
          <w:top w:val="single" w:sz="8" w:space="0" w:color="9D85BE" w:themeColor="accent1"/>
          <w:left w:val="single" w:sz="8" w:space="0" w:color="9D85BE" w:themeColor="accent1"/>
          <w:bottom w:val="single" w:sz="8" w:space="0" w:color="9D85BE" w:themeColor="accent1"/>
          <w:right w:val="single" w:sz="8" w:space="0" w:color="9D85BE" w:themeColor="accent1"/>
        </w:tcBorders>
      </w:tcPr>
    </w:tblStylePr>
  </w:style>
  <w:style w:type="table" w:styleId="LightList-Accent2">
    <w:name w:val="Light List Accent 2"/>
    <w:basedOn w:val="TableNormal"/>
    <w:uiPriority w:val="61"/>
    <w:semiHidden/>
    <w:unhideWhenUsed/>
    <w:rsid w:val="009637A8"/>
    <w:pPr>
      <w:spacing w:after="0" w:line="240" w:lineRule="auto"/>
    </w:pPr>
    <w:tblPr>
      <w:tblStyleRowBandSize w:val="1"/>
      <w:tblStyleColBandSize w:val="1"/>
      <w:tblBorders>
        <w:top w:val="single" w:sz="8" w:space="0" w:color="7D7D7D" w:themeColor="accent2"/>
        <w:left w:val="single" w:sz="8" w:space="0" w:color="7D7D7D" w:themeColor="accent2"/>
        <w:bottom w:val="single" w:sz="8" w:space="0" w:color="7D7D7D" w:themeColor="accent2"/>
        <w:right w:val="single" w:sz="8" w:space="0" w:color="7D7D7D" w:themeColor="accent2"/>
      </w:tblBorders>
    </w:tblPr>
    <w:tblStylePr w:type="firstRow">
      <w:pPr>
        <w:spacing w:before="0" w:after="0" w:line="240" w:lineRule="auto"/>
      </w:pPr>
      <w:rPr>
        <w:b/>
        <w:bCs/>
        <w:color w:val="FFFFFF" w:themeColor="background1"/>
      </w:rPr>
      <w:tblPr/>
      <w:tcPr>
        <w:shd w:val="clear" w:color="auto" w:fill="7D7D7D" w:themeFill="accent2"/>
      </w:tcPr>
    </w:tblStylePr>
    <w:tblStylePr w:type="lastRow">
      <w:pPr>
        <w:spacing w:before="0" w:after="0" w:line="240" w:lineRule="auto"/>
      </w:pPr>
      <w:rPr>
        <w:b/>
        <w:bCs/>
      </w:rPr>
      <w:tblPr/>
      <w:tcPr>
        <w:tcBorders>
          <w:top w:val="double" w:sz="6" w:space="0" w:color="7D7D7D" w:themeColor="accent2"/>
          <w:left w:val="single" w:sz="8" w:space="0" w:color="7D7D7D" w:themeColor="accent2"/>
          <w:bottom w:val="single" w:sz="8" w:space="0" w:color="7D7D7D" w:themeColor="accent2"/>
          <w:right w:val="single" w:sz="8" w:space="0" w:color="7D7D7D" w:themeColor="accent2"/>
        </w:tcBorders>
      </w:tcPr>
    </w:tblStylePr>
    <w:tblStylePr w:type="firstCol">
      <w:rPr>
        <w:b/>
        <w:bCs/>
      </w:rPr>
    </w:tblStylePr>
    <w:tblStylePr w:type="lastCol">
      <w:rPr>
        <w:b/>
        <w:bCs/>
      </w:rPr>
    </w:tblStylePr>
    <w:tblStylePr w:type="band1Vert">
      <w:tblPr/>
      <w:tcPr>
        <w:tcBorders>
          <w:top w:val="single" w:sz="8" w:space="0" w:color="7D7D7D" w:themeColor="accent2"/>
          <w:left w:val="single" w:sz="8" w:space="0" w:color="7D7D7D" w:themeColor="accent2"/>
          <w:bottom w:val="single" w:sz="8" w:space="0" w:color="7D7D7D" w:themeColor="accent2"/>
          <w:right w:val="single" w:sz="8" w:space="0" w:color="7D7D7D" w:themeColor="accent2"/>
        </w:tcBorders>
      </w:tcPr>
    </w:tblStylePr>
    <w:tblStylePr w:type="band1Horz">
      <w:tblPr/>
      <w:tcPr>
        <w:tcBorders>
          <w:top w:val="single" w:sz="8" w:space="0" w:color="7D7D7D" w:themeColor="accent2"/>
          <w:left w:val="single" w:sz="8" w:space="0" w:color="7D7D7D" w:themeColor="accent2"/>
          <w:bottom w:val="single" w:sz="8" w:space="0" w:color="7D7D7D" w:themeColor="accent2"/>
          <w:right w:val="single" w:sz="8" w:space="0" w:color="7D7D7D" w:themeColor="accent2"/>
        </w:tcBorders>
      </w:tcPr>
    </w:tblStylePr>
  </w:style>
  <w:style w:type="table" w:styleId="LightList-Accent3">
    <w:name w:val="Light List Accent 3"/>
    <w:basedOn w:val="TableNormal"/>
    <w:uiPriority w:val="61"/>
    <w:semiHidden/>
    <w:unhideWhenUsed/>
    <w:rsid w:val="009637A8"/>
    <w:pPr>
      <w:spacing w:after="0" w:line="240" w:lineRule="auto"/>
    </w:pPr>
    <w:tblPr>
      <w:tblStyleRowBandSize w:val="1"/>
      <w:tblStyleColBandSize w:val="1"/>
      <w:tblBorders>
        <w:top w:val="single" w:sz="8" w:space="0" w:color="C8C8C8" w:themeColor="accent3"/>
        <w:left w:val="single" w:sz="8" w:space="0" w:color="C8C8C8" w:themeColor="accent3"/>
        <w:bottom w:val="single" w:sz="8" w:space="0" w:color="C8C8C8" w:themeColor="accent3"/>
        <w:right w:val="single" w:sz="8" w:space="0" w:color="C8C8C8" w:themeColor="accent3"/>
      </w:tblBorders>
    </w:tblPr>
    <w:tblStylePr w:type="firstRow">
      <w:pPr>
        <w:spacing w:before="0" w:after="0" w:line="240" w:lineRule="auto"/>
      </w:pPr>
      <w:rPr>
        <w:b/>
        <w:bCs/>
        <w:color w:val="FFFFFF" w:themeColor="background1"/>
      </w:rPr>
      <w:tblPr/>
      <w:tcPr>
        <w:shd w:val="clear" w:color="auto" w:fill="C8C8C8" w:themeFill="accent3"/>
      </w:tcPr>
    </w:tblStylePr>
    <w:tblStylePr w:type="lastRow">
      <w:pPr>
        <w:spacing w:before="0" w:after="0" w:line="240" w:lineRule="auto"/>
      </w:pPr>
      <w:rPr>
        <w:b/>
        <w:bCs/>
      </w:rPr>
      <w:tblPr/>
      <w:tcPr>
        <w:tcBorders>
          <w:top w:val="double" w:sz="6" w:space="0" w:color="C8C8C8" w:themeColor="accent3"/>
          <w:left w:val="single" w:sz="8" w:space="0" w:color="C8C8C8" w:themeColor="accent3"/>
          <w:bottom w:val="single" w:sz="8" w:space="0" w:color="C8C8C8" w:themeColor="accent3"/>
          <w:right w:val="single" w:sz="8" w:space="0" w:color="C8C8C8" w:themeColor="accent3"/>
        </w:tcBorders>
      </w:tcPr>
    </w:tblStylePr>
    <w:tblStylePr w:type="firstCol">
      <w:rPr>
        <w:b/>
        <w:bCs/>
      </w:rPr>
    </w:tblStylePr>
    <w:tblStylePr w:type="lastCol">
      <w:rPr>
        <w:b/>
        <w:bCs/>
      </w:rPr>
    </w:tblStylePr>
    <w:tblStylePr w:type="band1Vert">
      <w:tblPr/>
      <w:tcPr>
        <w:tcBorders>
          <w:top w:val="single" w:sz="8" w:space="0" w:color="C8C8C8" w:themeColor="accent3"/>
          <w:left w:val="single" w:sz="8" w:space="0" w:color="C8C8C8" w:themeColor="accent3"/>
          <w:bottom w:val="single" w:sz="8" w:space="0" w:color="C8C8C8" w:themeColor="accent3"/>
          <w:right w:val="single" w:sz="8" w:space="0" w:color="C8C8C8" w:themeColor="accent3"/>
        </w:tcBorders>
      </w:tcPr>
    </w:tblStylePr>
    <w:tblStylePr w:type="band1Horz">
      <w:tblPr/>
      <w:tcPr>
        <w:tcBorders>
          <w:top w:val="single" w:sz="8" w:space="0" w:color="C8C8C8" w:themeColor="accent3"/>
          <w:left w:val="single" w:sz="8" w:space="0" w:color="C8C8C8" w:themeColor="accent3"/>
          <w:bottom w:val="single" w:sz="8" w:space="0" w:color="C8C8C8" w:themeColor="accent3"/>
          <w:right w:val="single" w:sz="8" w:space="0" w:color="C8C8C8" w:themeColor="accent3"/>
        </w:tcBorders>
      </w:tcPr>
    </w:tblStylePr>
  </w:style>
  <w:style w:type="table" w:styleId="LightList-Accent4">
    <w:name w:val="Light List Accent 4"/>
    <w:basedOn w:val="TableNormal"/>
    <w:uiPriority w:val="61"/>
    <w:semiHidden/>
    <w:unhideWhenUsed/>
    <w:rsid w:val="009637A8"/>
    <w:pPr>
      <w:spacing w:after="0" w:line="240" w:lineRule="auto"/>
    </w:pPr>
    <w:tblPr>
      <w:tblStyleRowBandSize w:val="1"/>
      <w:tblStyleColBandSize w:val="1"/>
      <w:tblBorders>
        <w:top w:val="single" w:sz="8" w:space="0" w:color="006A9F" w:themeColor="accent4"/>
        <w:left w:val="single" w:sz="8" w:space="0" w:color="006A9F" w:themeColor="accent4"/>
        <w:bottom w:val="single" w:sz="8" w:space="0" w:color="006A9F" w:themeColor="accent4"/>
        <w:right w:val="single" w:sz="8" w:space="0" w:color="006A9F" w:themeColor="accent4"/>
      </w:tblBorders>
    </w:tblPr>
    <w:tblStylePr w:type="firstRow">
      <w:pPr>
        <w:spacing w:before="0" w:after="0" w:line="240" w:lineRule="auto"/>
      </w:pPr>
      <w:rPr>
        <w:b/>
        <w:bCs/>
        <w:color w:val="FFFFFF" w:themeColor="background1"/>
      </w:rPr>
      <w:tblPr/>
      <w:tcPr>
        <w:shd w:val="clear" w:color="auto" w:fill="006A9F" w:themeFill="accent4"/>
      </w:tcPr>
    </w:tblStylePr>
    <w:tblStylePr w:type="lastRow">
      <w:pPr>
        <w:spacing w:before="0" w:after="0" w:line="240" w:lineRule="auto"/>
      </w:pPr>
      <w:rPr>
        <w:b/>
        <w:bCs/>
      </w:rPr>
      <w:tblPr/>
      <w:tcPr>
        <w:tcBorders>
          <w:top w:val="double" w:sz="6" w:space="0" w:color="006A9F" w:themeColor="accent4"/>
          <w:left w:val="single" w:sz="8" w:space="0" w:color="006A9F" w:themeColor="accent4"/>
          <w:bottom w:val="single" w:sz="8" w:space="0" w:color="006A9F" w:themeColor="accent4"/>
          <w:right w:val="single" w:sz="8" w:space="0" w:color="006A9F" w:themeColor="accent4"/>
        </w:tcBorders>
      </w:tcPr>
    </w:tblStylePr>
    <w:tblStylePr w:type="firstCol">
      <w:rPr>
        <w:b/>
        <w:bCs/>
      </w:rPr>
    </w:tblStylePr>
    <w:tblStylePr w:type="lastCol">
      <w:rPr>
        <w:b/>
        <w:bCs/>
      </w:rPr>
    </w:tblStylePr>
    <w:tblStylePr w:type="band1Vert">
      <w:tblPr/>
      <w:tcPr>
        <w:tcBorders>
          <w:top w:val="single" w:sz="8" w:space="0" w:color="006A9F" w:themeColor="accent4"/>
          <w:left w:val="single" w:sz="8" w:space="0" w:color="006A9F" w:themeColor="accent4"/>
          <w:bottom w:val="single" w:sz="8" w:space="0" w:color="006A9F" w:themeColor="accent4"/>
          <w:right w:val="single" w:sz="8" w:space="0" w:color="006A9F" w:themeColor="accent4"/>
        </w:tcBorders>
      </w:tcPr>
    </w:tblStylePr>
    <w:tblStylePr w:type="band1Horz">
      <w:tblPr/>
      <w:tcPr>
        <w:tcBorders>
          <w:top w:val="single" w:sz="8" w:space="0" w:color="006A9F" w:themeColor="accent4"/>
          <w:left w:val="single" w:sz="8" w:space="0" w:color="006A9F" w:themeColor="accent4"/>
          <w:bottom w:val="single" w:sz="8" w:space="0" w:color="006A9F" w:themeColor="accent4"/>
          <w:right w:val="single" w:sz="8" w:space="0" w:color="006A9F" w:themeColor="accent4"/>
        </w:tcBorders>
      </w:tcPr>
    </w:tblStylePr>
  </w:style>
  <w:style w:type="table" w:styleId="LightList-Accent5">
    <w:name w:val="Light List Accent 5"/>
    <w:basedOn w:val="TableNormal"/>
    <w:uiPriority w:val="61"/>
    <w:semiHidden/>
    <w:unhideWhenUsed/>
    <w:rsid w:val="009637A8"/>
    <w:pPr>
      <w:spacing w:after="0" w:line="240" w:lineRule="auto"/>
    </w:pPr>
    <w:tblPr>
      <w:tblStyleRowBandSize w:val="1"/>
      <w:tblStyleColBandSize w:val="1"/>
      <w:tblBorders>
        <w:top w:val="single" w:sz="8" w:space="0" w:color="7BBDD6" w:themeColor="accent5"/>
        <w:left w:val="single" w:sz="8" w:space="0" w:color="7BBDD6" w:themeColor="accent5"/>
        <w:bottom w:val="single" w:sz="8" w:space="0" w:color="7BBDD6" w:themeColor="accent5"/>
        <w:right w:val="single" w:sz="8" w:space="0" w:color="7BBDD6" w:themeColor="accent5"/>
      </w:tblBorders>
    </w:tblPr>
    <w:tblStylePr w:type="firstRow">
      <w:pPr>
        <w:spacing w:before="0" w:after="0" w:line="240" w:lineRule="auto"/>
      </w:pPr>
      <w:rPr>
        <w:b/>
        <w:bCs/>
        <w:color w:val="FFFFFF" w:themeColor="background1"/>
      </w:rPr>
      <w:tblPr/>
      <w:tcPr>
        <w:shd w:val="clear" w:color="auto" w:fill="7BBDD6" w:themeFill="accent5"/>
      </w:tcPr>
    </w:tblStylePr>
    <w:tblStylePr w:type="lastRow">
      <w:pPr>
        <w:spacing w:before="0" w:after="0" w:line="240" w:lineRule="auto"/>
      </w:pPr>
      <w:rPr>
        <w:b/>
        <w:bCs/>
      </w:rPr>
      <w:tblPr/>
      <w:tcPr>
        <w:tcBorders>
          <w:top w:val="double" w:sz="6" w:space="0" w:color="7BBDD6" w:themeColor="accent5"/>
          <w:left w:val="single" w:sz="8" w:space="0" w:color="7BBDD6" w:themeColor="accent5"/>
          <w:bottom w:val="single" w:sz="8" w:space="0" w:color="7BBDD6" w:themeColor="accent5"/>
          <w:right w:val="single" w:sz="8" w:space="0" w:color="7BBDD6" w:themeColor="accent5"/>
        </w:tcBorders>
      </w:tcPr>
    </w:tblStylePr>
    <w:tblStylePr w:type="firstCol">
      <w:rPr>
        <w:b/>
        <w:bCs/>
      </w:rPr>
    </w:tblStylePr>
    <w:tblStylePr w:type="lastCol">
      <w:rPr>
        <w:b/>
        <w:bCs/>
      </w:rPr>
    </w:tblStylePr>
    <w:tblStylePr w:type="band1Vert">
      <w:tblPr/>
      <w:tcPr>
        <w:tcBorders>
          <w:top w:val="single" w:sz="8" w:space="0" w:color="7BBDD6" w:themeColor="accent5"/>
          <w:left w:val="single" w:sz="8" w:space="0" w:color="7BBDD6" w:themeColor="accent5"/>
          <w:bottom w:val="single" w:sz="8" w:space="0" w:color="7BBDD6" w:themeColor="accent5"/>
          <w:right w:val="single" w:sz="8" w:space="0" w:color="7BBDD6" w:themeColor="accent5"/>
        </w:tcBorders>
      </w:tcPr>
    </w:tblStylePr>
    <w:tblStylePr w:type="band1Horz">
      <w:tblPr/>
      <w:tcPr>
        <w:tcBorders>
          <w:top w:val="single" w:sz="8" w:space="0" w:color="7BBDD6" w:themeColor="accent5"/>
          <w:left w:val="single" w:sz="8" w:space="0" w:color="7BBDD6" w:themeColor="accent5"/>
          <w:bottom w:val="single" w:sz="8" w:space="0" w:color="7BBDD6" w:themeColor="accent5"/>
          <w:right w:val="single" w:sz="8" w:space="0" w:color="7BBDD6" w:themeColor="accent5"/>
        </w:tcBorders>
      </w:tcPr>
    </w:tblStylePr>
  </w:style>
  <w:style w:type="table" w:styleId="LightList-Accent6">
    <w:name w:val="Light List Accent 6"/>
    <w:basedOn w:val="TableNormal"/>
    <w:uiPriority w:val="61"/>
    <w:semiHidden/>
    <w:unhideWhenUsed/>
    <w:rsid w:val="009637A8"/>
    <w:pPr>
      <w:spacing w:after="0" w:line="240" w:lineRule="auto"/>
    </w:pPr>
    <w:tblPr>
      <w:tblStyleRowBandSize w:val="1"/>
      <w:tblStyleColBandSize w:val="1"/>
      <w:tblBorders>
        <w:top w:val="single" w:sz="8" w:space="0" w:color="428D52" w:themeColor="accent6"/>
        <w:left w:val="single" w:sz="8" w:space="0" w:color="428D52" w:themeColor="accent6"/>
        <w:bottom w:val="single" w:sz="8" w:space="0" w:color="428D52" w:themeColor="accent6"/>
        <w:right w:val="single" w:sz="8" w:space="0" w:color="428D52" w:themeColor="accent6"/>
      </w:tblBorders>
    </w:tblPr>
    <w:tblStylePr w:type="firstRow">
      <w:pPr>
        <w:spacing w:before="0" w:after="0" w:line="240" w:lineRule="auto"/>
      </w:pPr>
      <w:rPr>
        <w:b/>
        <w:bCs/>
        <w:color w:val="FFFFFF" w:themeColor="background1"/>
      </w:rPr>
      <w:tblPr/>
      <w:tcPr>
        <w:shd w:val="clear" w:color="auto" w:fill="428D52" w:themeFill="accent6"/>
      </w:tcPr>
    </w:tblStylePr>
    <w:tblStylePr w:type="lastRow">
      <w:pPr>
        <w:spacing w:before="0" w:after="0" w:line="240" w:lineRule="auto"/>
      </w:pPr>
      <w:rPr>
        <w:b/>
        <w:bCs/>
      </w:rPr>
      <w:tblPr/>
      <w:tcPr>
        <w:tcBorders>
          <w:top w:val="double" w:sz="6" w:space="0" w:color="428D52" w:themeColor="accent6"/>
          <w:left w:val="single" w:sz="8" w:space="0" w:color="428D52" w:themeColor="accent6"/>
          <w:bottom w:val="single" w:sz="8" w:space="0" w:color="428D52" w:themeColor="accent6"/>
          <w:right w:val="single" w:sz="8" w:space="0" w:color="428D52" w:themeColor="accent6"/>
        </w:tcBorders>
      </w:tcPr>
    </w:tblStylePr>
    <w:tblStylePr w:type="firstCol">
      <w:rPr>
        <w:b/>
        <w:bCs/>
      </w:rPr>
    </w:tblStylePr>
    <w:tblStylePr w:type="lastCol">
      <w:rPr>
        <w:b/>
        <w:bCs/>
      </w:rPr>
    </w:tblStylePr>
    <w:tblStylePr w:type="band1Vert">
      <w:tblPr/>
      <w:tcPr>
        <w:tcBorders>
          <w:top w:val="single" w:sz="8" w:space="0" w:color="428D52" w:themeColor="accent6"/>
          <w:left w:val="single" w:sz="8" w:space="0" w:color="428D52" w:themeColor="accent6"/>
          <w:bottom w:val="single" w:sz="8" w:space="0" w:color="428D52" w:themeColor="accent6"/>
          <w:right w:val="single" w:sz="8" w:space="0" w:color="428D52" w:themeColor="accent6"/>
        </w:tcBorders>
      </w:tcPr>
    </w:tblStylePr>
    <w:tblStylePr w:type="band1Horz">
      <w:tblPr/>
      <w:tcPr>
        <w:tcBorders>
          <w:top w:val="single" w:sz="8" w:space="0" w:color="428D52" w:themeColor="accent6"/>
          <w:left w:val="single" w:sz="8" w:space="0" w:color="428D52" w:themeColor="accent6"/>
          <w:bottom w:val="single" w:sz="8" w:space="0" w:color="428D52" w:themeColor="accent6"/>
          <w:right w:val="single" w:sz="8" w:space="0" w:color="428D52" w:themeColor="accent6"/>
        </w:tcBorders>
      </w:tcPr>
    </w:tblStylePr>
  </w:style>
  <w:style w:type="table" w:styleId="LightShading">
    <w:name w:val="Light Shading"/>
    <w:basedOn w:val="TableNormal"/>
    <w:uiPriority w:val="60"/>
    <w:semiHidden/>
    <w:unhideWhenUsed/>
    <w:rsid w:val="009637A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637A8"/>
    <w:pPr>
      <w:spacing w:after="0" w:line="240" w:lineRule="auto"/>
    </w:pPr>
    <w:rPr>
      <w:color w:val="72549D" w:themeColor="accent1" w:themeShade="BF"/>
    </w:rPr>
    <w:tblPr>
      <w:tblStyleRowBandSize w:val="1"/>
      <w:tblStyleColBandSize w:val="1"/>
      <w:tblBorders>
        <w:top w:val="single" w:sz="8" w:space="0" w:color="9D85BE" w:themeColor="accent1"/>
        <w:bottom w:val="single" w:sz="8" w:space="0" w:color="9D85BE" w:themeColor="accent1"/>
      </w:tblBorders>
    </w:tblPr>
    <w:tblStylePr w:type="firstRow">
      <w:pPr>
        <w:spacing w:before="0" w:after="0" w:line="240" w:lineRule="auto"/>
      </w:pPr>
      <w:rPr>
        <w:b/>
        <w:bCs/>
      </w:rPr>
      <w:tblPr/>
      <w:tcPr>
        <w:tcBorders>
          <w:top w:val="single" w:sz="8" w:space="0" w:color="9D85BE" w:themeColor="accent1"/>
          <w:left w:val="nil"/>
          <w:bottom w:val="single" w:sz="8" w:space="0" w:color="9D85BE" w:themeColor="accent1"/>
          <w:right w:val="nil"/>
          <w:insideH w:val="nil"/>
          <w:insideV w:val="nil"/>
        </w:tcBorders>
      </w:tcPr>
    </w:tblStylePr>
    <w:tblStylePr w:type="lastRow">
      <w:pPr>
        <w:spacing w:before="0" w:after="0" w:line="240" w:lineRule="auto"/>
      </w:pPr>
      <w:rPr>
        <w:b/>
        <w:bCs/>
      </w:rPr>
      <w:tblPr/>
      <w:tcPr>
        <w:tcBorders>
          <w:top w:val="single" w:sz="8" w:space="0" w:color="9D85BE" w:themeColor="accent1"/>
          <w:left w:val="nil"/>
          <w:bottom w:val="single" w:sz="8" w:space="0" w:color="9D85B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1" w:themeFillTint="3F"/>
      </w:tcPr>
    </w:tblStylePr>
    <w:tblStylePr w:type="band1Horz">
      <w:tblPr/>
      <w:tcPr>
        <w:tcBorders>
          <w:left w:val="nil"/>
          <w:right w:val="nil"/>
          <w:insideH w:val="nil"/>
          <w:insideV w:val="nil"/>
        </w:tcBorders>
        <w:shd w:val="clear" w:color="auto" w:fill="E6E0EF" w:themeFill="accent1" w:themeFillTint="3F"/>
      </w:tcPr>
    </w:tblStylePr>
  </w:style>
  <w:style w:type="table" w:styleId="LightShading-Accent2">
    <w:name w:val="Light Shading Accent 2"/>
    <w:basedOn w:val="TableNormal"/>
    <w:uiPriority w:val="60"/>
    <w:semiHidden/>
    <w:unhideWhenUsed/>
    <w:rsid w:val="009637A8"/>
    <w:pPr>
      <w:spacing w:after="0" w:line="240" w:lineRule="auto"/>
    </w:pPr>
    <w:rPr>
      <w:color w:val="5D5D5D" w:themeColor="accent2" w:themeShade="BF"/>
    </w:rPr>
    <w:tblPr>
      <w:tblStyleRowBandSize w:val="1"/>
      <w:tblStyleColBandSize w:val="1"/>
      <w:tblBorders>
        <w:top w:val="single" w:sz="8" w:space="0" w:color="7D7D7D" w:themeColor="accent2"/>
        <w:bottom w:val="single" w:sz="8" w:space="0" w:color="7D7D7D" w:themeColor="accent2"/>
      </w:tblBorders>
    </w:tblPr>
    <w:tblStylePr w:type="firstRow">
      <w:pPr>
        <w:spacing w:before="0" w:after="0" w:line="240" w:lineRule="auto"/>
      </w:pPr>
      <w:rPr>
        <w:b/>
        <w:bCs/>
      </w:rPr>
      <w:tblPr/>
      <w:tcPr>
        <w:tcBorders>
          <w:top w:val="single" w:sz="8" w:space="0" w:color="7D7D7D" w:themeColor="accent2"/>
          <w:left w:val="nil"/>
          <w:bottom w:val="single" w:sz="8" w:space="0" w:color="7D7D7D" w:themeColor="accent2"/>
          <w:right w:val="nil"/>
          <w:insideH w:val="nil"/>
          <w:insideV w:val="nil"/>
        </w:tcBorders>
      </w:tcPr>
    </w:tblStylePr>
    <w:tblStylePr w:type="lastRow">
      <w:pPr>
        <w:spacing w:before="0" w:after="0" w:line="240" w:lineRule="auto"/>
      </w:pPr>
      <w:rPr>
        <w:b/>
        <w:bCs/>
      </w:rPr>
      <w:tblPr/>
      <w:tcPr>
        <w:tcBorders>
          <w:top w:val="single" w:sz="8" w:space="0" w:color="7D7D7D" w:themeColor="accent2"/>
          <w:left w:val="nil"/>
          <w:bottom w:val="single" w:sz="8" w:space="0" w:color="7D7D7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DEDE" w:themeFill="accent2" w:themeFillTint="3F"/>
      </w:tcPr>
    </w:tblStylePr>
    <w:tblStylePr w:type="band1Horz">
      <w:tblPr/>
      <w:tcPr>
        <w:tcBorders>
          <w:left w:val="nil"/>
          <w:right w:val="nil"/>
          <w:insideH w:val="nil"/>
          <w:insideV w:val="nil"/>
        </w:tcBorders>
        <w:shd w:val="clear" w:color="auto" w:fill="DEDEDE" w:themeFill="accent2" w:themeFillTint="3F"/>
      </w:tcPr>
    </w:tblStylePr>
  </w:style>
  <w:style w:type="table" w:styleId="LightShading-Accent3">
    <w:name w:val="Light Shading Accent 3"/>
    <w:basedOn w:val="TableNormal"/>
    <w:uiPriority w:val="60"/>
    <w:semiHidden/>
    <w:unhideWhenUsed/>
    <w:rsid w:val="009637A8"/>
    <w:pPr>
      <w:spacing w:after="0" w:line="240" w:lineRule="auto"/>
    </w:pPr>
    <w:rPr>
      <w:color w:val="959595" w:themeColor="accent3" w:themeShade="BF"/>
    </w:rPr>
    <w:tblPr>
      <w:tblStyleRowBandSize w:val="1"/>
      <w:tblStyleColBandSize w:val="1"/>
      <w:tblBorders>
        <w:top w:val="single" w:sz="8" w:space="0" w:color="C8C8C8" w:themeColor="accent3"/>
        <w:bottom w:val="single" w:sz="8" w:space="0" w:color="C8C8C8" w:themeColor="accent3"/>
      </w:tblBorders>
    </w:tblPr>
    <w:tblStylePr w:type="firstRow">
      <w:pPr>
        <w:spacing w:before="0" w:after="0" w:line="240" w:lineRule="auto"/>
      </w:pPr>
      <w:rPr>
        <w:b/>
        <w:bCs/>
      </w:rPr>
      <w:tblPr/>
      <w:tcPr>
        <w:tcBorders>
          <w:top w:val="single" w:sz="8" w:space="0" w:color="C8C8C8" w:themeColor="accent3"/>
          <w:left w:val="nil"/>
          <w:bottom w:val="single" w:sz="8" w:space="0" w:color="C8C8C8" w:themeColor="accent3"/>
          <w:right w:val="nil"/>
          <w:insideH w:val="nil"/>
          <w:insideV w:val="nil"/>
        </w:tcBorders>
      </w:tcPr>
    </w:tblStylePr>
    <w:tblStylePr w:type="lastRow">
      <w:pPr>
        <w:spacing w:before="0" w:after="0" w:line="240" w:lineRule="auto"/>
      </w:pPr>
      <w:rPr>
        <w:b/>
        <w:bCs/>
      </w:rPr>
      <w:tblPr/>
      <w:tcPr>
        <w:tcBorders>
          <w:top w:val="single" w:sz="8" w:space="0" w:color="C8C8C8" w:themeColor="accent3"/>
          <w:left w:val="nil"/>
          <w:bottom w:val="single" w:sz="8" w:space="0" w:color="C8C8C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1F1" w:themeFill="accent3" w:themeFillTint="3F"/>
      </w:tcPr>
    </w:tblStylePr>
    <w:tblStylePr w:type="band1Horz">
      <w:tblPr/>
      <w:tcPr>
        <w:tcBorders>
          <w:left w:val="nil"/>
          <w:right w:val="nil"/>
          <w:insideH w:val="nil"/>
          <w:insideV w:val="nil"/>
        </w:tcBorders>
        <w:shd w:val="clear" w:color="auto" w:fill="F1F1F1" w:themeFill="accent3" w:themeFillTint="3F"/>
      </w:tcPr>
    </w:tblStylePr>
  </w:style>
  <w:style w:type="table" w:styleId="LightShading-Accent4">
    <w:name w:val="Light Shading Accent 4"/>
    <w:basedOn w:val="TableNormal"/>
    <w:uiPriority w:val="60"/>
    <w:semiHidden/>
    <w:unhideWhenUsed/>
    <w:rsid w:val="009637A8"/>
    <w:pPr>
      <w:spacing w:after="0" w:line="240" w:lineRule="auto"/>
    </w:pPr>
    <w:rPr>
      <w:color w:val="004F77" w:themeColor="accent4" w:themeShade="BF"/>
    </w:rPr>
    <w:tblPr>
      <w:tblStyleRowBandSize w:val="1"/>
      <w:tblStyleColBandSize w:val="1"/>
      <w:tblBorders>
        <w:top w:val="single" w:sz="8" w:space="0" w:color="006A9F" w:themeColor="accent4"/>
        <w:bottom w:val="single" w:sz="8" w:space="0" w:color="006A9F" w:themeColor="accent4"/>
      </w:tblBorders>
    </w:tblPr>
    <w:tblStylePr w:type="firstRow">
      <w:pPr>
        <w:spacing w:before="0" w:after="0" w:line="240" w:lineRule="auto"/>
      </w:pPr>
      <w:rPr>
        <w:b/>
        <w:bCs/>
      </w:rPr>
      <w:tblPr/>
      <w:tcPr>
        <w:tcBorders>
          <w:top w:val="single" w:sz="8" w:space="0" w:color="006A9F" w:themeColor="accent4"/>
          <w:left w:val="nil"/>
          <w:bottom w:val="single" w:sz="8" w:space="0" w:color="006A9F" w:themeColor="accent4"/>
          <w:right w:val="nil"/>
          <w:insideH w:val="nil"/>
          <w:insideV w:val="nil"/>
        </w:tcBorders>
      </w:tcPr>
    </w:tblStylePr>
    <w:tblStylePr w:type="lastRow">
      <w:pPr>
        <w:spacing w:before="0" w:after="0" w:line="240" w:lineRule="auto"/>
      </w:pPr>
      <w:rPr>
        <w:b/>
        <w:bCs/>
      </w:rPr>
      <w:tblPr/>
      <w:tcPr>
        <w:tcBorders>
          <w:top w:val="single" w:sz="8" w:space="0" w:color="006A9F" w:themeColor="accent4"/>
          <w:left w:val="nil"/>
          <w:bottom w:val="single" w:sz="8" w:space="0" w:color="006A9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E2FF" w:themeFill="accent4" w:themeFillTint="3F"/>
      </w:tcPr>
    </w:tblStylePr>
    <w:tblStylePr w:type="band1Horz">
      <w:tblPr/>
      <w:tcPr>
        <w:tcBorders>
          <w:left w:val="nil"/>
          <w:right w:val="nil"/>
          <w:insideH w:val="nil"/>
          <w:insideV w:val="nil"/>
        </w:tcBorders>
        <w:shd w:val="clear" w:color="auto" w:fill="A8E2FF" w:themeFill="accent4" w:themeFillTint="3F"/>
      </w:tcPr>
    </w:tblStylePr>
  </w:style>
  <w:style w:type="table" w:styleId="LightShading-Accent5">
    <w:name w:val="Light Shading Accent 5"/>
    <w:basedOn w:val="TableNormal"/>
    <w:uiPriority w:val="60"/>
    <w:semiHidden/>
    <w:unhideWhenUsed/>
    <w:rsid w:val="009637A8"/>
    <w:pPr>
      <w:spacing w:after="0" w:line="240" w:lineRule="auto"/>
    </w:pPr>
    <w:rPr>
      <w:color w:val="3C9BC0" w:themeColor="accent5" w:themeShade="BF"/>
    </w:rPr>
    <w:tblPr>
      <w:tblStyleRowBandSize w:val="1"/>
      <w:tblStyleColBandSize w:val="1"/>
      <w:tblBorders>
        <w:top w:val="single" w:sz="8" w:space="0" w:color="7BBDD6" w:themeColor="accent5"/>
        <w:bottom w:val="single" w:sz="8" w:space="0" w:color="7BBDD6" w:themeColor="accent5"/>
      </w:tblBorders>
    </w:tblPr>
    <w:tblStylePr w:type="firstRow">
      <w:pPr>
        <w:spacing w:before="0" w:after="0" w:line="240" w:lineRule="auto"/>
      </w:pPr>
      <w:rPr>
        <w:b/>
        <w:bCs/>
      </w:rPr>
      <w:tblPr/>
      <w:tcPr>
        <w:tcBorders>
          <w:top w:val="single" w:sz="8" w:space="0" w:color="7BBDD6" w:themeColor="accent5"/>
          <w:left w:val="nil"/>
          <w:bottom w:val="single" w:sz="8" w:space="0" w:color="7BBDD6" w:themeColor="accent5"/>
          <w:right w:val="nil"/>
          <w:insideH w:val="nil"/>
          <w:insideV w:val="nil"/>
        </w:tcBorders>
      </w:tcPr>
    </w:tblStylePr>
    <w:tblStylePr w:type="lastRow">
      <w:pPr>
        <w:spacing w:before="0" w:after="0" w:line="240" w:lineRule="auto"/>
      </w:pPr>
      <w:rPr>
        <w:b/>
        <w:bCs/>
      </w:rPr>
      <w:tblPr/>
      <w:tcPr>
        <w:tcBorders>
          <w:top w:val="single" w:sz="8" w:space="0" w:color="7BBDD6" w:themeColor="accent5"/>
          <w:left w:val="nil"/>
          <w:bottom w:val="single" w:sz="8" w:space="0" w:color="7BBDD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EF4" w:themeFill="accent5" w:themeFillTint="3F"/>
      </w:tcPr>
    </w:tblStylePr>
    <w:tblStylePr w:type="band1Horz">
      <w:tblPr/>
      <w:tcPr>
        <w:tcBorders>
          <w:left w:val="nil"/>
          <w:right w:val="nil"/>
          <w:insideH w:val="nil"/>
          <w:insideV w:val="nil"/>
        </w:tcBorders>
        <w:shd w:val="clear" w:color="auto" w:fill="DEEEF4" w:themeFill="accent5" w:themeFillTint="3F"/>
      </w:tcPr>
    </w:tblStylePr>
  </w:style>
  <w:style w:type="table" w:styleId="LightShading-Accent6">
    <w:name w:val="Light Shading Accent 6"/>
    <w:basedOn w:val="TableNormal"/>
    <w:uiPriority w:val="60"/>
    <w:semiHidden/>
    <w:unhideWhenUsed/>
    <w:rsid w:val="009637A8"/>
    <w:pPr>
      <w:spacing w:after="0" w:line="240" w:lineRule="auto"/>
    </w:pPr>
    <w:rPr>
      <w:color w:val="31693D" w:themeColor="accent6" w:themeShade="BF"/>
    </w:rPr>
    <w:tblPr>
      <w:tblStyleRowBandSize w:val="1"/>
      <w:tblStyleColBandSize w:val="1"/>
      <w:tblBorders>
        <w:top w:val="single" w:sz="8" w:space="0" w:color="428D52" w:themeColor="accent6"/>
        <w:bottom w:val="single" w:sz="8" w:space="0" w:color="428D52" w:themeColor="accent6"/>
      </w:tblBorders>
    </w:tblPr>
    <w:tblStylePr w:type="firstRow">
      <w:pPr>
        <w:spacing w:before="0" w:after="0" w:line="240" w:lineRule="auto"/>
      </w:pPr>
      <w:rPr>
        <w:b/>
        <w:bCs/>
      </w:rPr>
      <w:tblPr/>
      <w:tcPr>
        <w:tcBorders>
          <w:top w:val="single" w:sz="8" w:space="0" w:color="428D52" w:themeColor="accent6"/>
          <w:left w:val="nil"/>
          <w:bottom w:val="single" w:sz="8" w:space="0" w:color="428D52" w:themeColor="accent6"/>
          <w:right w:val="nil"/>
          <w:insideH w:val="nil"/>
          <w:insideV w:val="nil"/>
        </w:tcBorders>
      </w:tcPr>
    </w:tblStylePr>
    <w:tblStylePr w:type="lastRow">
      <w:pPr>
        <w:spacing w:before="0" w:after="0" w:line="240" w:lineRule="auto"/>
      </w:pPr>
      <w:rPr>
        <w:b/>
        <w:bCs/>
      </w:rPr>
      <w:tblPr/>
      <w:tcPr>
        <w:tcBorders>
          <w:top w:val="single" w:sz="8" w:space="0" w:color="428D52" w:themeColor="accent6"/>
          <w:left w:val="nil"/>
          <w:bottom w:val="single" w:sz="8" w:space="0" w:color="428D5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7D1" w:themeFill="accent6" w:themeFillTint="3F"/>
      </w:tcPr>
    </w:tblStylePr>
    <w:tblStylePr w:type="band1Horz">
      <w:tblPr/>
      <w:tcPr>
        <w:tcBorders>
          <w:left w:val="nil"/>
          <w:right w:val="nil"/>
          <w:insideH w:val="nil"/>
          <w:insideV w:val="nil"/>
        </w:tcBorders>
        <w:shd w:val="clear" w:color="auto" w:fill="CBE7D1" w:themeFill="accent6" w:themeFillTint="3F"/>
      </w:tcPr>
    </w:tblStylePr>
  </w:style>
  <w:style w:type="character" w:styleId="LineNumber">
    <w:name w:val="line number"/>
    <w:basedOn w:val="DefaultParagraphFont"/>
    <w:uiPriority w:val="99"/>
    <w:semiHidden/>
    <w:unhideWhenUsed/>
    <w:rsid w:val="009637A8"/>
  </w:style>
  <w:style w:type="paragraph" w:styleId="List">
    <w:name w:val="List"/>
    <w:basedOn w:val="Normal"/>
    <w:uiPriority w:val="99"/>
    <w:semiHidden/>
    <w:unhideWhenUsed/>
    <w:rsid w:val="009637A8"/>
    <w:pPr>
      <w:spacing w:after="160" w:line="259" w:lineRule="auto"/>
      <w:ind w:left="283" w:hanging="283"/>
      <w:contextualSpacing/>
    </w:pPr>
  </w:style>
  <w:style w:type="paragraph" w:styleId="List2">
    <w:name w:val="List 2"/>
    <w:basedOn w:val="Normal"/>
    <w:uiPriority w:val="99"/>
    <w:semiHidden/>
    <w:unhideWhenUsed/>
    <w:rsid w:val="009637A8"/>
    <w:pPr>
      <w:spacing w:after="160" w:line="259" w:lineRule="auto"/>
      <w:ind w:left="566" w:hanging="283"/>
      <w:contextualSpacing/>
    </w:pPr>
  </w:style>
  <w:style w:type="paragraph" w:styleId="List3">
    <w:name w:val="List 3"/>
    <w:basedOn w:val="Normal"/>
    <w:uiPriority w:val="99"/>
    <w:semiHidden/>
    <w:unhideWhenUsed/>
    <w:rsid w:val="009637A8"/>
    <w:pPr>
      <w:spacing w:after="160" w:line="259" w:lineRule="auto"/>
      <w:ind w:left="849" w:hanging="283"/>
      <w:contextualSpacing/>
    </w:pPr>
  </w:style>
  <w:style w:type="paragraph" w:styleId="List4">
    <w:name w:val="List 4"/>
    <w:basedOn w:val="Normal"/>
    <w:uiPriority w:val="99"/>
    <w:semiHidden/>
    <w:unhideWhenUsed/>
    <w:rsid w:val="009637A8"/>
    <w:pPr>
      <w:spacing w:after="160" w:line="259" w:lineRule="auto"/>
      <w:ind w:left="1132" w:hanging="283"/>
      <w:contextualSpacing/>
    </w:pPr>
  </w:style>
  <w:style w:type="paragraph" w:styleId="List5">
    <w:name w:val="List 5"/>
    <w:basedOn w:val="Normal"/>
    <w:uiPriority w:val="99"/>
    <w:semiHidden/>
    <w:unhideWhenUsed/>
    <w:rsid w:val="009637A8"/>
    <w:pPr>
      <w:spacing w:after="160" w:line="259" w:lineRule="auto"/>
      <w:ind w:left="1415" w:hanging="283"/>
      <w:contextualSpacing/>
    </w:pPr>
  </w:style>
  <w:style w:type="paragraph" w:styleId="ListBullet">
    <w:name w:val="List Bullet"/>
    <w:aliases w:val="List Bullet Char1,List Bullet Char Char,List Bullet Char1 Char Char,List Bullet Char Char Char1 Char,List Bullet Char Char Char Char Char,List Bullet Char3,List Bullet Char2 Char,List Bullet Char2,List Bullet1,List Bullet Char Char1,l, Char"/>
    <w:basedOn w:val="Normal"/>
    <w:link w:val="ListBulletChar"/>
    <w:uiPriority w:val="99"/>
    <w:qFormat/>
    <w:rsid w:val="00102134"/>
    <w:pPr>
      <w:numPr>
        <w:numId w:val="9"/>
      </w:numPr>
      <w:spacing w:before="70" w:after="70"/>
    </w:pPr>
  </w:style>
  <w:style w:type="paragraph" w:styleId="ListBullet2">
    <w:name w:val="List Bullet 2"/>
    <w:aliases w:val=" Char2,Char2,2,Lista con viñetas 2,List Bullet 2 Char Char Char"/>
    <w:basedOn w:val="Normal"/>
    <w:uiPriority w:val="99"/>
    <w:qFormat/>
    <w:rsid w:val="000F76C4"/>
    <w:pPr>
      <w:numPr>
        <w:ilvl w:val="1"/>
        <w:numId w:val="9"/>
      </w:numPr>
      <w:spacing w:before="0" w:after="60" w:line="240" w:lineRule="atLeast"/>
    </w:pPr>
  </w:style>
  <w:style w:type="paragraph" w:styleId="ListBullet3">
    <w:name w:val="List Bullet 3"/>
    <w:aliases w:val="Lista con viñetas 3"/>
    <w:basedOn w:val="Normal"/>
    <w:uiPriority w:val="99"/>
    <w:qFormat/>
    <w:rsid w:val="000F76C4"/>
    <w:pPr>
      <w:numPr>
        <w:ilvl w:val="2"/>
        <w:numId w:val="9"/>
      </w:numPr>
      <w:spacing w:before="0" w:after="60" w:line="240" w:lineRule="atLeast"/>
    </w:pPr>
  </w:style>
  <w:style w:type="paragraph" w:styleId="ListBullet4">
    <w:name w:val="List Bullet 4"/>
    <w:basedOn w:val="Normal"/>
    <w:uiPriority w:val="99"/>
    <w:semiHidden/>
    <w:unhideWhenUsed/>
    <w:rsid w:val="009637A8"/>
    <w:pPr>
      <w:numPr>
        <w:numId w:val="1"/>
      </w:numPr>
      <w:tabs>
        <w:tab w:val="clear" w:pos="1209"/>
      </w:tabs>
      <w:spacing w:after="160" w:line="259" w:lineRule="auto"/>
      <w:ind w:left="0" w:firstLine="0"/>
      <w:contextualSpacing/>
    </w:pPr>
  </w:style>
  <w:style w:type="paragraph" w:styleId="ListBullet5">
    <w:name w:val="List Bullet 5"/>
    <w:basedOn w:val="Normal"/>
    <w:uiPriority w:val="99"/>
    <w:semiHidden/>
    <w:unhideWhenUsed/>
    <w:rsid w:val="009637A8"/>
    <w:pPr>
      <w:numPr>
        <w:numId w:val="2"/>
      </w:numPr>
      <w:spacing w:after="160" w:line="259" w:lineRule="auto"/>
      <w:contextualSpacing/>
    </w:pPr>
  </w:style>
  <w:style w:type="paragraph" w:styleId="ListContinue">
    <w:name w:val="List Continue"/>
    <w:basedOn w:val="Normal"/>
    <w:uiPriority w:val="99"/>
    <w:semiHidden/>
    <w:unhideWhenUsed/>
    <w:rsid w:val="009637A8"/>
    <w:pPr>
      <w:spacing w:line="259" w:lineRule="auto"/>
      <w:ind w:left="283"/>
      <w:contextualSpacing/>
    </w:pPr>
  </w:style>
  <w:style w:type="paragraph" w:styleId="ListContinue2">
    <w:name w:val="List Continue 2"/>
    <w:basedOn w:val="Normal"/>
    <w:uiPriority w:val="99"/>
    <w:semiHidden/>
    <w:unhideWhenUsed/>
    <w:rsid w:val="009637A8"/>
    <w:pPr>
      <w:spacing w:line="259" w:lineRule="auto"/>
      <w:ind w:left="566"/>
      <w:contextualSpacing/>
    </w:pPr>
  </w:style>
  <w:style w:type="paragraph" w:styleId="ListContinue3">
    <w:name w:val="List Continue 3"/>
    <w:basedOn w:val="Normal"/>
    <w:uiPriority w:val="99"/>
    <w:semiHidden/>
    <w:unhideWhenUsed/>
    <w:rsid w:val="009637A8"/>
    <w:pPr>
      <w:spacing w:line="259" w:lineRule="auto"/>
      <w:ind w:left="849"/>
      <w:contextualSpacing/>
    </w:pPr>
  </w:style>
  <w:style w:type="paragraph" w:styleId="ListContinue4">
    <w:name w:val="List Continue 4"/>
    <w:basedOn w:val="Normal"/>
    <w:uiPriority w:val="99"/>
    <w:semiHidden/>
    <w:unhideWhenUsed/>
    <w:rsid w:val="009637A8"/>
    <w:pPr>
      <w:spacing w:line="259" w:lineRule="auto"/>
      <w:ind w:left="1132"/>
      <w:contextualSpacing/>
    </w:pPr>
  </w:style>
  <w:style w:type="paragraph" w:styleId="ListContinue5">
    <w:name w:val="List Continue 5"/>
    <w:basedOn w:val="Normal"/>
    <w:uiPriority w:val="99"/>
    <w:semiHidden/>
    <w:unhideWhenUsed/>
    <w:rsid w:val="009637A8"/>
    <w:pPr>
      <w:spacing w:line="259" w:lineRule="auto"/>
      <w:ind w:left="1415"/>
      <w:contextualSpacing/>
    </w:pPr>
  </w:style>
  <w:style w:type="paragraph" w:styleId="ListNumber">
    <w:name w:val="List Number"/>
    <w:basedOn w:val="Normal"/>
    <w:uiPriority w:val="99"/>
    <w:qFormat/>
    <w:rsid w:val="00303C43"/>
    <w:pPr>
      <w:numPr>
        <w:numId w:val="8"/>
      </w:numPr>
      <w:spacing w:before="70" w:after="70"/>
    </w:pPr>
  </w:style>
  <w:style w:type="paragraph" w:styleId="ListNumber2">
    <w:name w:val="List Number 2"/>
    <w:basedOn w:val="Normal"/>
    <w:uiPriority w:val="99"/>
    <w:qFormat/>
    <w:rsid w:val="00303C43"/>
    <w:pPr>
      <w:numPr>
        <w:ilvl w:val="1"/>
        <w:numId w:val="8"/>
      </w:numPr>
      <w:spacing w:before="0" w:after="60" w:line="240" w:lineRule="atLeast"/>
    </w:pPr>
  </w:style>
  <w:style w:type="paragraph" w:styleId="ListNumber3">
    <w:name w:val="List Number 3"/>
    <w:basedOn w:val="Normal"/>
    <w:uiPriority w:val="99"/>
    <w:qFormat/>
    <w:rsid w:val="00303C43"/>
    <w:pPr>
      <w:numPr>
        <w:ilvl w:val="2"/>
        <w:numId w:val="8"/>
      </w:numPr>
      <w:spacing w:before="0" w:after="60" w:line="240" w:lineRule="atLeast"/>
    </w:pPr>
  </w:style>
  <w:style w:type="paragraph" w:styleId="ListNumber4">
    <w:name w:val="List Number 4"/>
    <w:basedOn w:val="Normal"/>
    <w:uiPriority w:val="99"/>
    <w:semiHidden/>
    <w:unhideWhenUsed/>
    <w:rsid w:val="009637A8"/>
    <w:pPr>
      <w:numPr>
        <w:numId w:val="3"/>
      </w:numPr>
      <w:spacing w:after="160" w:line="259" w:lineRule="auto"/>
      <w:contextualSpacing/>
    </w:pPr>
  </w:style>
  <w:style w:type="paragraph" w:styleId="ListNumber5">
    <w:name w:val="List Number 5"/>
    <w:basedOn w:val="Normal"/>
    <w:uiPriority w:val="99"/>
    <w:semiHidden/>
    <w:unhideWhenUsed/>
    <w:rsid w:val="009637A8"/>
    <w:pPr>
      <w:numPr>
        <w:numId w:val="4"/>
      </w:numPr>
      <w:spacing w:after="160" w:line="259" w:lineRule="auto"/>
      <w:contextualSpacing/>
    </w:pPr>
  </w:style>
  <w:style w:type="paragraph" w:styleId="ListParagraph">
    <w:name w:val="List Paragraph"/>
    <w:basedOn w:val="Normal"/>
    <w:uiPriority w:val="34"/>
    <w:qFormat/>
    <w:rsid w:val="009637A8"/>
    <w:pPr>
      <w:spacing w:after="160" w:line="259" w:lineRule="auto"/>
      <w:ind w:left="720"/>
      <w:contextualSpacing/>
    </w:pPr>
  </w:style>
  <w:style w:type="table" w:styleId="ListTable1Light">
    <w:name w:val="List Table 1 Light"/>
    <w:basedOn w:val="TableNormal"/>
    <w:uiPriority w:val="46"/>
    <w:rsid w:val="009637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9637A8"/>
    <w:pPr>
      <w:spacing w:after="0" w:line="240" w:lineRule="auto"/>
    </w:pPr>
    <w:tblPr>
      <w:tblStyleRowBandSize w:val="1"/>
      <w:tblStyleColBandSize w:val="1"/>
    </w:tblPr>
    <w:tblStylePr w:type="firstRow">
      <w:rPr>
        <w:b/>
        <w:bCs/>
      </w:rPr>
      <w:tblPr/>
      <w:tcPr>
        <w:tcBorders>
          <w:bottom w:val="single" w:sz="4" w:space="0" w:color="C4B5D8" w:themeColor="accent1" w:themeTint="99"/>
        </w:tcBorders>
      </w:tcPr>
    </w:tblStylePr>
    <w:tblStylePr w:type="lastRow">
      <w:rPr>
        <w:b/>
        <w:bCs/>
      </w:rPr>
      <w:tblPr/>
      <w:tcPr>
        <w:tcBorders>
          <w:top w:val="single" w:sz="4" w:space="0" w:color="C4B5D8" w:themeColor="accent1" w:themeTint="99"/>
        </w:tcBorders>
      </w:tc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ListTable1Light-Accent2">
    <w:name w:val="List Table 1 Light Accent 2"/>
    <w:basedOn w:val="TableNormal"/>
    <w:uiPriority w:val="46"/>
    <w:rsid w:val="009637A8"/>
    <w:pPr>
      <w:spacing w:after="0" w:line="240" w:lineRule="auto"/>
    </w:pPr>
    <w:tblPr>
      <w:tblStyleRowBandSize w:val="1"/>
      <w:tblStyleColBandSize w:val="1"/>
    </w:tblPr>
    <w:tblStylePr w:type="firstRow">
      <w:rPr>
        <w:b/>
        <w:bCs/>
      </w:rPr>
      <w:tblPr/>
      <w:tcPr>
        <w:tcBorders>
          <w:bottom w:val="single" w:sz="4" w:space="0" w:color="B1B1B1" w:themeColor="accent2" w:themeTint="99"/>
        </w:tcBorders>
      </w:tcPr>
    </w:tblStylePr>
    <w:tblStylePr w:type="lastRow">
      <w:rPr>
        <w:b/>
        <w:bCs/>
      </w:rPr>
      <w:tblPr/>
      <w:tcPr>
        <w:tcBorders>
          <w:top w:val="single" w:sz="4" w:space="0" w:color="B1B1B1" w:themeColor="accent2" w:themeTint="99"/>
        </w:tcBorders>
      </w:tc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ListTable1Light-Accent3">
    <w:name w:val="List Table 1 Light Accent 3"/>
    <w:basedOn w:val="TableNormal"/>
    <w:uiPriority w:val="46"/>
    <w:rsid w:val="009637A8"/>
    <w:pPr>
      <w:spacing w:after="0" w:line="240" w:lineRule="auto"/>
    </w:pPr>
    <w:tblPr>
      <w:tblStyleRowBandSize w:val="1"/>
      <w:tblStyleColBandSize w:val="1"/>
    </w:tblPr>
    <w:tblStylePr w:type="firstRow">
      <w:rPr>
        <w:b/>
        <w:bCs/>
      </w:rPr>
      <w:tblPr/>
      <w:tcPr>
        <w:tcBorders>
          <w:bottom w:val="single" w:sz="4" w:space="0" w:color="DEDEDE" w:themeColor="accent3" w:themeTint="99"/>
        </w:tcBorders>
      </w:tcPr>
    </w:tblStylePr>
    <w:tblStylePr w:type="lastRow">
      <w:rPr>
        <w:b/>
        <w:bCs/>
      </w:rPr>
      <w:tblPr/>
      <w:tcPr>
        <w:tcBorders>
          <w:top w:val="single" w:sz="4" w:space="0" w:color="DEDEDE" w:themeColor="accent3" w:themeTint="99"/>
        </w:tcBorders>
      </w:tc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ListTable1Light-Accent4">
    <w:name w:val="List Table 1 Light Accent 4"/>
    <w:basedOn w:val="TableNormal"/>
    <w:uiPriority w:val="46"/>
    <w:rsid w:val="009637A8"/>
    <w:pPr>
      <w:spacing w:after="0" w:line="240" w:lineRule="auto"/>
    </w:pPr>
    <w:tblPr>
      <w:tblStyleRowBandSize w:val="1"/>
      <w:tblStyleColBandSize w:val="1"/>
    </w:tblPr>
    <w:tblStylePr w:type="firstRow">
      <w:rPr>
        <w:b/>
        <w:bCs/>
      </w:rPr>
      <w:tblPr/>
      <w:tcPr>
        <w:tcBorders>
          <w:bottom w:val="single" w:sz="4" w:space="0" w:color="2CB8FF" w:themeColor="accent4" w:themeTint="99"/>
        </w:tcBorders>
      </w:tcPr>
    </w:tblStylePr>
    <w:tblStylePr w:type="lastRow">
      <w:rPr>
        <w:b/>
        <w:bCs/>
      </w:rPr>
      <w:tblPr/>
      <w:tcPr>
        <w:tcBorders>
          <w:top w:val="single" w:sz="4" w:space="0" w:color="2CB8FF" w:themeColor="accent4" w:themeTint="99"/>
        </w:tcBorders>
      </w:tc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ListTable1Light-Accent5">
    <w:name w:val="List Table 1 Light Accent 5"/>
    <w:basedOn w:val="TableNormal"/>
    <w:uiPriority w:val="46"/>
    <w:rsid w:val="009637A8"/>
    <w:pPr>
      <w:spacing w:after="0" w:line="240" w:lineRule="auto"/>
    </w:pPr>
    <w:tblPr>
      <w:tblStyleRowBandSize w:val="1"/>
      <w:tblStyleColBandSize w:val="1"/>
    </w:tblPr>
    <w:tblStylePr w:type="firstRow">
      <w:rPr>
        <w:b/>
        <w:bCs/>
      </w:rPr>
      <w:tblPr/>
      <w:tcPr>
        <w:tcBorders>
          <w:bottom w:val="single" w:sz="4" w:space="0" w:color="AFD7E6" w:themeColor="accent5" w:themeTint="99"/>
        </w:tcBorders>
      </w:tcPr>
    </w:tblStylePr>
    <w:tblStylePr w:type="lastRow">
      <w:rPr>
        <w:b/>
        <w:bCs/>
      </w:rPr>
      <w:tblPr/>
      <w:tcPr>
        <w:tcBorders>
          <w:top w:val="single" w:sz="4" w:space="0" w:color="AFD7E6" w:themeColor="accent5" w:themeTint="99"/>
        </w:tcBorders>
      </w:tc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ListTable1Light-Accent6">
    <w:name w:val="List Table 1 Light Accent 6"/>
    <w:basedOn w:val="TableNormal"/>
    <w:uiPriority w:val="46"/>
    <w:rsid w:val="009637A8"/>
    <w:pPr>
      <w:spacing w:after="0" w:line="240" w:lineRule="auto"/>
    </w:pPr>
    <w:tblPr>
      <w:tblStyleRowBandSize w:val="1"/>
      <w:tblStyleColBandSize w:val="1"/>
    </w:tblPr>
    <w:tblStylePr w:type="firstRow">
      <w:rPr>
        <w:b/>
        <w:bCs/>
      </w:rPr>
      <w:tblPr/>
      <w:tcPr>
        <w:tcBorders>
          <w:bottom w:val="single" w:sz="4" w:space="0" w:color="83C590" w:themeColor="accent6" w:themeTint="99"/>
        </w:tcBorders>
      </w:tcPr>
    </w:tblStylePr>
    <w:tblStylePr w:type="lastRow">
      <w:rPr>
        <w:b/>
        <w:bCs/>
      </w:rPr>
      <w:tblPr/>
      <w:tcPr>
        <w:tcBorders>
          <w:top w:val="single" w:sz="4" w:space="0" w:color="83C590" w:themeColor="accent6" w:themeTint="99"/>
        </w:tcBorders>
      </w:tc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ListTable2">
    <w:name w:val="List Table 2"/>
    <w:basedOn w:val="TableNormal"/>
    <w:uiPriority w:val="47"/>
    <w:rsid w:val="009637A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9637A8"/>
    <w:pPr>
      <w:spacing w:after="0" w:line="240" w:lineRule="auto"/>
    </w:pPr>
    <w:tblPr>
      <w:tblStyleRowBandSize w:val="1"/>
      <w:tblStyleColBandSize w:val="1"/>
      <w:tblBorders>
        <w:top w:val="single" w:sz="4" w:space="0" w:color="C4B5D8" w:themeColor="accent1" w:themeTint="99"/>
        <w:bottom w:val="single" w:sz="4" w:space="0" w:color="C4B5D8" w:themeColor="accent1" w:themeTint="99"/>
        <w:insideH w:val="single" w:sz="4" w:space="0" w:color="C4B5D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ListTable2-Accent2">
    <w:name w:val="List Table 2 Accent 2"/>
    <w:basedOn w:val="TableNormal"/>
    <w:uiPriority w:val="47"/>
    <w:rsid w:val="009637A8"/>
    <w:pPr>
      <w:spacing w:after="0" w:line="240" w:lineRule="auto"/>
    </w:pPr>
    <w:tblPr>
      <w:tblStyleRowBandSize w:val="1"/>
      <w:tblStyleColBandSize w:val="1"/>
      <w:tblBorders>
        <w:top w:val="single" w:sz="4" w:space="0" w:color="B1B1B1" w:themeColor="accent2" w:themeTint="99"/>
        <w:bottom w:val="single" w:sz="4" w:space="0" w:color="B1B1B1" w:themeColor="accent2" w:themeTint="99"/>
        <w:insideH w:val="single" w:sz="4" w:space="0" w:color="B1B1B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ListTable2-Accent3">
    <w:name w:val="List Table 2 Accent 3"/>
    <w:basedOn w:val="TableNormal"/>
    <w:uiPriority w:val="47"/>
    <w:rsid w:val="009637A8"/>
    <w:pPr>
      <w:spacing w:after="0" w:line="240" w:lineRule="auto"/>
    </w:pPr>
    <w:tblPr>
      <w:tblStyleRowBandSize w:val="1"/>
      <w:tblStyleColBandSize w:val="1"/>
      <w:tblBorders>
        <w:top w:val="single" w:sz="4" w:space="0" w:color="DEDEDE" w:themeColor="accent3" w:themeTint="99"/>
        <w:bottom w:val="single" w:sz="4" w:space="0" w:color="DEDEDE" w:themeColor="accent3" w:themeTint="99"/>
        <w:insideH w:val="single" w:sz="4" w:space="0" w:color="DEDED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ListTable2-Accent4">
    <w:name w:val="List Table 2 Accent 4"/>
    <w:basedOn w:val="TableNormal"/>
    <w:uiPriority w:val="47"/>
    <w:rsid w:val="009637A8"/>
    <w:pPr>
      <w:spacing w:after="0" w:line="240" w:lineRule="auto"/>
    </w:pPr>
    <w:tblPr>
      <w:tblStyleRowBandSize w:val="1"/>
      <w:tblStyleColBandSize w:val="1"/>
      <w:tblBorders>
        <w:top w:val="single" w:sz="4" w:space="0" w:color="2CB8FF" w:themeColor="accent4" w:themeTint="99"/>
        <w:bottom w:val="single" w:sz="4" w:space="0" w:color="2CB8FF" w:themeColor="accent4" w:themeTint="99"/>
        <w:insideH w:val="single" w:sz="4" w:space="0" w:color="2CB8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ListTable2-Accent5">
    <w:name w:val="List Table 2 Accent 5"/>
    <w:basedOn w:val="TableNormal"/>
    <w:uiPriority w:val="47"/>
    <w:rsid w:val="009637A8"/>
    <w:pPr>
      <w:spacing w:after="0" w:line="240" w:lineRule="auto"/>
    </w:pPr>
    <w:tblPr>
      <w:tblStyleRowBandSize w:val="1"/>
      <w:tblStyleColBandSize w:val="1"/>
      <w:tblBorders>
        <w:top w:val="single" w:sz="4" w:space="0" w:color="AFD7E6" w:themeColor="accent5" w:themeTint="99"/>
        <w:bottom w:val="single" w:sz="4" w:space="0" w:color="AFD7E6" w:themeColor="accent5" w:themeTint="99"/>
        <w:insideH w:val="single" w:sz="4" w:space="0" w:color="AFD7E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ListTable2-Accent6">
    <w:name w:val="List Table 2 Accent 6"/>
    <w:basedOn w:val="TableNormal"/>
    <w:uiPriority w:val="47"/>
    <w:rsid w:val="009637A8"/>
    <w:pPr>
      <w:spacing w:after="0" w:line="240" w:lineRule="auto"/>
    </w:pPr>
    <w:tblPr>
      <w:tblStyleRowBandSize w:val="1"/>
      <w:tblStyleColBandSize w:val="1"/>
      <w:tblBorders>
        <w:top w:val="single" w:sz="4" w:space="0" w:color="83C590" w:themeColor="accent6" w:themeTint="99"/>
        <w:bottom w:val="single" w:sz="4" w:space="0" w:color="83C590" w:themeColor="accent6" w:themeTint="99"/>
        <w:insideH w:val="single" w:sz="4" w:space="0" w:color="83C59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ListTable3">
    <w:name w:val="List Table 3"/>
    <w:basedOn w:val="TableNormal"/>
    <w:uiPriority w:val="48"/>
    <w:rsid w:val="009637A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9637A8"/>
    <w:pPr>
      <w:spacing w:after="0" w:line="240" w:lineRule="auto"/>
    </w:pPr>
    <w:tblPr>
      <w:tblStyleRowBandSize w:val="1"/>
      <w:tblStyleColBandSize w:val="1"/>
      <w:tblBorders>
        <w:top w:val="single" w:sz="4" w:space="0" w:color="9D85BE" w:themeColor="accent1"/>
        <w:left w:val="single" w:sz="4" w:space="0" w:color="9D85BE" w:themeColor="accent1"/>
        <w:bottom w:val="single" w:sz="4" w:space="0" w:color="9D85BE" w:themeColor="accent1"/>
        <w:right w:val="single" w:sz="4" w:space="0" w:color="9D85BE" w:themeColor="accent1"/>
      </w:tblBorders>
    </w:tblPr>
    <w:tblStylePr w:type="firstRow">
      <w:rPr>
        <w:b/>
        <w:bCs/>
        <w:color w:val="FFFFFF" w:themeColor="background1"/>
      </w:rPr>
      <w:tblPr/>
      <w:tcPr>
        <w:shd w:val="clear" w:color="auto" w:fill="9D85BE" w:themeFill="accent1"/>
      </w:tcPr>
    </w:tblStylePr>
    <w:tblStylePr w:type="lastRow">
      <w:rPr>
        <w:b/>
        <w:bCs/>
      </w:rPr>
      <w:tblPr/>
      <w:tcPr>
        <w:tcBorders>
          <w:top w:val="double" w:sz="4" w:space="0" w:color="9D85B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85BE" w:themeColor="accent1"/>
          <w:right w:val="single" w:sz="4" w:space="0" w:color="9D85BE" w:themeColor="accent1"/>
        </w:tcBorders>
      </w:tcPr>
    </w:tblStylePr>
    <w:tblStylePr w:type="band1Horz">
      <w:tblPr/>
      <w:tcPr>
        <w:tcBorders>
          <w:top w:val="single" w:sz="4" w:space="0" w:color="9D85BE" w:themeColor="accent1"/>
          <w:bottom w:val="single" w:sz="4" w:space="0" w:color="9D85B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85BE" w:themeColor="accent1"/>
          <w:left w:val="nil"/>
        </w:tcBorders>
      </w:tcPr>
    </w:tblStylePr>
    <w:tblStylePr w:type="swCell">
      <w:tblPr/>
      <w:tcPr>
        <w:tcBorders>
          <w:top w:val="double" w:sz="4" w:space="0" w:color="9D85BE" w:themeColor="accent1"/>
          <w:right w:val="nil"/>
        </w:tcBorders>
      </w:tcPr>
    </w:tblStylePr>
  </w:style>
  <w:style w:type="table" w:styleId="ListTable3-Accent2">
    <w:name w:val="List Table 3 Accent 2"/>
    <w:basedOn w:val="TableNormal"/>
    <w:uiPriority w:val="48"/>
    <w:rsid w:val="009637A8"/>
    <w:pPr>
      <w:spacing w:after="0" w:line="240" w:lineRule="auto"/>
    </w:pPr>
    <w:tblPr>
      <w:tblStyleRowBandSize w:val="1"/>
      <w:tblStyleColBandSize w:val="1"/>
      <w:tblBorders>
        <w:top w:val="single" w:sz="4" w:space="0" w:color="7D7D7D" w:themeColor="accent2"/>
        <w:left w:val="single" w:sz="4" w:space="0" w:color="7D7D7D" w:themeColor="accent2"/>
        <w:bottom w:val="single" w:sz="4" w:space="0" w:color="7D7D7D" w:themeColor="accent2"/>
        <w:right w:val="single" w:sz="4" w:space="0" w:color="7D7D7D" w:themeColor="accent2"/>
      </w:tblBorders>
    </w:tblPr>
    <w:tblStylePr w:type="firstRow">
      <w:rPr>
        <w:b/>
        <w:bCs/>
        <w:color w:val="FFFFFF" w:themeColor="background1"/>
      </w:rPr>
      <w:tblPr/>
      <w:tcPr>
        <w:shd w:val="clear" w:color="auto" w:fill="7D7D7D" w:themeFill="accent2"/>
      </w:tcPr>
    </w:tblStylePr>
    <w:tblStylePr w:type="lastRow">
      <w:rPr>
        <w:b/>
        <w:bCs/>
      </w:rPr>
      <w:tblPr/>
      <w:tcPr>
        <w:tcBorders>
          <w:top w:val="double" w:sz="4" w:space="0" w:color="7D7D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D7D7D" w:themeColor="accent2"/>
          <w:right w:val="single" w:sz="4" w:space="0" w:color="7D7D7D" w:themeColor="accent2"/>
        </w:tcBorders>
      </w:tcPr>
    </w:tblStylePr>
    <w:tblStylePr w:type="band1Horz">
      <w:tblPr/>
      <w:tcPr>
        <w:tcBorders>
          <w:top w:val="single" w:sz="4" w:space="0" w:color="7D7D7D" w:themeColor="accent2"/>
          <w:bottom w:val="single" w:sz="4" w:space="0" w:color="7D7D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7D7D" w:themeColor="accent2"/>
          <w:left w:val="nil"/>
        </w:tcBorders>
      </w:tcPr>
    </w:tblStylePr>
    <w:tblStylePr w:type="swCell">
      <w:tblPr/>
      <w:tcPr>
        <w:tcBorders>
          <w:top w:val="double" w:sz="4" w:space="0" w:color="7D7D7D" w:themeColor="accent2"/>
          <w:right w:val="nil"/>
        </w:tcBorders>
      </w:tcPr>
    </w:tblStylePr>
  </w:style>
  <w:style w:type="table" w:styleId="ListTable3-Accent3">
    <w:name w:val="List Table 3 Accent 3"/>
    <w:basedOn w:val="TableNormal"/>
    <w:uiPriority w:val="48"/>
    <w:rsid w:val="009637A8"/>
    <w:pPr>
      <w:spacing w:after="0" w:line="240" w:lineRule="auto"/>
    </w:pPr>
    <w:tblPr>
      <w:tblStyleRowBandSize w:val="1"/>
      <w:tblStyleColBandSize w:val="1"/>
      <w:tblBorders>
        <w:top w:val="single" w:sz="4" w:space="0" w:color="C8C8C8" w:themeColor="accent3"/>
        <w:left w:val="single" w:sz="4" w:space="0" w:color="C8C8C8" w:themeColor="accent3"/>
        <w:bottom w:val="single" w:sz="4" w:space="0" w:color="C8C8C8" w:themeColor="accent3"/>
        <w:right w:val="single" w:sz="4" w:space="0" w:color="C8C8C8" w:themeColor="accent3"/>
      </w:tblBorders>
    </w:tblPr>
    <w:tblStylePr w:type="firstRow">
      <w:rPr>
        <w:b/>
        <w:bCs/>
        <w:color w:val="FFFFFF" w:themeColor="background1"/>
      </w:rPr>
      <w:tblPr/>
      <w:tcPr>
        <w:shd w:val="clear" w:color="auto" w:fill="C8C8C8" w:themeFill="accent3"/>
      </w:tcPr>
    </w:tblStylePr>
    <w:tblStylePr w:type="lastRow">
      <w:rPr>
        <w:b/>
        <w:bCs/>
      </w:rPr>
      <w:tblPr/>
      <w:tcPr>
        <w:tcBorders>
          <w:top w:val="double" w:sz="4" w:space="0" w:color="C8C8C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8C8C8" w:themeColor="accent3"/>
          <w:right w:val="single" w:sz="4" w:space="0" w:color="C8C8C8" w:themeColor="accent3"/>
        </w:tcBorders>
      </w:tcPr>
    </w:tblStylePr>
    <w:tblStylePr w:type="band1Horz">
      <w:tblPr/>
      <w:tcPr>
        <w:tcBorders>
          <w:top w:val="single" w:sz="4" w:space="0" w:color="C8C8C8" w:themeColor="accent3"/>
          <w:bottom w:val="single" w:sz="4" w:space="0" w:color="C8C8C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C8C8" w:themeColor="accent3"/>
          <w:left w:val="nil"/>
        </w:tcBorders>
      </w:tcPr>
    </w:tblStylePr>
    <w:tblStylePr w:type="swCell">
      <w:tblPr/>
      <w:tcPr>
        <w:tcBorders>
          <w:top w:val="double" w:sz="4" w:space="0" w:color="C8C8C8" w:themeColor="accent3"/>
          <w:right w:val="nil"/>
        </w:tcBorders>
      </w:tcPr>
    </w:tblStylePr>
  </w:style>
  <w:style w:type="table" w:styleId="ListTable3-Accent4">
    <w:name w:val="List Table 3 Accent 4"/>
    <w:basedOn w:val="TableNormal"/>
    <w:uiPriority w:val="48"/>
    <w:rsid w:val="009637A8"/>
    <w:pPr>
      <w:spacing w:after="0" w:line="240" w:lineRule="auto"/>
    </w:pPr>
    <w:tblPr>
      <w:tblStyleRowBandSize w:val="1"/>
      <w:tblStyleColBandSize w:val="1"/>
      <w:tblBorders>
        <w:top w:val="single" w:sz="4" w:space="0" w:color="006A9F" w:themeColor="accent4"/>
        <w:left w:val="single" w:sz="4" w:space="0" w:color="006A9F" w:themeColor="accent4"/>
        <w:bottom w:val="single" w:sz="4" w:space="0" w:color="006A9F" w:themeColor="accent4"/>
        <w:right w:val="single" w:sz="4" w:space="0" w:color="006A9F" w:themeColor="accent4"/>
      </w:tblBorders>
    </w:tblPr>
    <w:tblStylePr w:type="firstRow">
      <w:rPr>
        <w:b/>
        <w:bCs/>
        <w:color w:val="FFFFFF" w:themeColor="background1"/>
      </w:rPr>
      <w:tblPr/>
      <w:tcPr>
        <w:shd w:val="clear" w:color="auto" w:fill="006A9F" w:themeFill="accent4"/>
      </w:tcPr>
    </w:tblStylePr>
    <w:tblStylePr w:type="lastRow">
      <w:rPr>
        <w:b/>
        <w:bCs/>
      </w:rPr>
      <w:tblPr/>
      <w:tcPr>
        <w:tcBorders>
          <w:top w:val="double" w:sz="4" w:space="0" w:color="006A9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A9F" w:themeColor="accent4"/>
          <w:right w:val="single" w:sz="4" w:space="0" w:color="006A9F" w:themeColor="accent4"/>
        </w:tcBorders>
      </w:tcPr>
    </w:tblStylePr>
    <w:tblStylePr w:type="band1Horz">
      <w:tblPr/>
      <w:tcPr>
        <w:tcBorders>
          <w:top w:val="single" w:sz="4" w:space="0" w:color="006A9F" w:themeColor="accent4"/>
          <w:bottom w:val="single" w:sz="4" w:space="0" w:color="006A9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A9F" w:themeColor="accent4"/>
          <w:left w:val="nil"/>
        </w:tcBorders>
      </w:tcPr>
    </w:tblStylePr>
    <w:tblStylePr w:type="swCell">
      <w:tblPr/>
      <w:tcPr>
        <w:tcBorders>
          <w:top w:val="double" w:sz="4" w:space="0" w:color="006A9F" w:themeColor="accent4"/>
          <w:right w:val="nil"/>
        </w:tcBorders>
      </w:tcPr>
    </w:tblStylePr>
  </w:style>
  <w:style w:type="table" w:styleId="ListTable3-Accent5">
    <w:name w:val="List Table 3 Accent 5"/>
    <w:basedOn w:val="TableNormal"/>
    <w:uiPriority w:val="48"/>
    <w:rsid w:val="009637A8"/>
    <w:pPr>
      <w:spacing w:after="0" w:line="240" w:lineRule="auto"/>
    </w:pPr>
    <w:tblPr>
      <w:tblStyleRowBandSize w:val="1"/>
      <w:tblStyleColBandSize w:val="1"/>
      <w:tblBorders>
        <w:top w:val="single" w:sz="4" w:space="0" w:color="7BBDD6" w:themeColor="accent5"/>
        <w:left w:val="single" w:sz="4" w:space="0" w:color="7BBDD6" w:themeColor="accent5"/>
        <w:bottom w:val="single" w:sz="4" w:space="0" w:color="7BBDD6" w:themeColor="accent5"/>
        <w:right w:val="single" w:sz="4" w:space="0" w:color="7BBDD6" w:themeColor="accent5"/>
      </w:tblBorders>
    </w:tblPr>
    <w:tblStylePr w:type="firstRow">
      <w:rPr>
        <w:b/>
        <w:bCs/>
        <w:color w:val="FFFFFF" w:themeColor="background1"/>
      </w:rPr>
      <w:tblPr/>
      <w:tcPr>
        <w:shd w:val="clear" w:color="auto" w:fill="7BBDD6" w:themeFill="accent5"/>
      </w:tcPr>
    </w:tblStylePr>
    <w:tblStylePr w:type="lastRow">
      <w:rPr>
        <w:b/>
        <w:bCs/>
      </w:rPr>
      <w:tblPr/>
      <w:tcPr>
        <w:tcBorders>
          <w:top w:val="double" w:sz="4" w:space="0" w:color="7BBDD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BBDD6" w:themeColor="accent5"/>
          <w:right w:val="single" w:sz="4" w:space="0" w:color="7BBDD6" w:themeColor="accent5"/>
        </w:tcBorders>
      </w:tcPr>
    </w:tblStylePr>
    <w:tblStylePr w:type="band1Horz">
      <w:tblPr/>
      <w:tcPr>
        <w:tcBorders>
          <w:top w:val="single" w:sz="4" w:space="0" w:color="7BBDD6" w:themeColor="accent5"/>
          <w:bottom w:val="single" w:sz="4" w:space="0" w:color="7BBDD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BBDD6" w:themeColor="accent5"/>
          <w:left w:val="nil"/>
        </w:tcBorders>
      </w:tcPr>
    </w:tblStylePr>
    <w:tblStylePr w:type="swCell">
      <w:tblPr/>
      <w:tcPr>
        <w:tcBorders>
          <w:top w:val="double" w:sz="4" w:space="0" w:color="7BBDD6" w:themeColor="accent5"/>
          <w:right w:val="nil"/>
        </w:tcBorders>
      </w:tcPr>
    </w:tblStylePr>
  </w:style>
  <w:style w:type="table" w:styleId="ListTable3-Accent6">
    <w:name w:val="List Table 3 Accent 6"/>
    <w:basedOn w:val="TableNormal"/>
    <w:uiPriority w:val="48"/>
    <w:rsid w:val="009637A8"/>
    <w:pPr>
      <w:spacing w:after="0" w:line="240" w:lineRule="auto"/>
    </w:pPr>
    <w:tblPr>
      <w:tblStyleRowBandSize w:val="1"/>
      <w:tblStyleColBandSize w:val="1"/>
      <w:tblBorders>
        <w:top w:val="single" w:sz="4" w:space="0" w:color="428D52" w:themeColor="accent6"/>
        <w:left w:val="single" w:sz="4" w:space="0" w:color="428D52" w:themeColor="accent6"/>
        <w:bottom w:val="single" w:sz="4" w:space="0" w:color="428D52" w:themeColor="accent6"/>
        <w:right w:val="single" w:sz="4" w:space="0" w:color="428D52" w:themeColor="accent6"/>
      </w:tblBorders>
    </w:tblPr>
    <w:tblStylePr w:type="firstRow">
      <w:rPr>
        <w:b/>
        <w:bCs/>
        <w:color w:val="FFFFFF" w:themeColor="background1"/>
      </w:rPr>
      <w:tblPr/>
      <w:tcPr>
        <w:shd w:val="clear" w:color="auto" w:fill="428D52" w:themeFill="accent6"/>
      </w:tcPr>
    </w:tblStylePr>
    <w:tblStylePr w:type="lastRow">
      <w:rPr>
        <w:b/>
        <w:bCs/>
      </w:rPr>
      <w:tblPr/>
      <w:tcPr>
        <w:tcBorders>
          <w:top w:val="double" w:sz="4" w:space="0" w:color="428D5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28D52" w:themeColor="accent6"/>
          <w:right w:val="single" w:sz="4" w:space="0" w:color="428D52" w:themeColor="accent6"/>
        </w:tcBorders>
      </w:tcPr>
    </w:tblStylePr>
    <w:tblStylePr w:type="band1Horz">
      <w:tblPr/>
      <w:tcPr>
        <w:tcBorders>
          <w:top w:val="single" w:sz="4" w:space="0" w:color="428D52" w:themeColor="accent6"/>
          <w:bottom w:val="single" w:sz="4" w:space="0" w:color="428D5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28D52" w:themeColor="accent6"/>
          <w:left w:val="nil"/>
        </w:tcBorders>
      </w:tcPr>
    </w:tblStylePr>
    <w:tblStylePr w:type="swCell">
      <w:tblPr/>
      <w:tcPr>
        <w:tcBorders>
          <w:top w:val="double" w:sz="4" w:space="0" w:color="428D52" w:themeColor="accent6"/>
          <w:right w:val="nil"/>
        </w:tcBorders>
      </w:tcPr>
    </w:tblStylePr>
  </w:style>
  <w:style w:type="table" w:styleId="ListTable4">
    <w:name w:val="List Table 4"/>
    <w:basedOn w:val="TableNormal"/>
    <w:uiPriority w:val="49"/>
    <w:rsid w:val="009637A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9637A8"/>
    <w:pPr>
      <w:spacing w:after="0" w:line="240" w:lineRule="auto"/>
    </w:pPr>
    <w:tblPr>
      <w:tblStyleRowBandSize w:val="1"/>
      <w:tblStyleColBandSize w:val="1"/>
      <w:tblBorders>
        <w:top w:val="single" w:sz="4" w:space="0" w:color="C4B5D8" w:themeColor="accent1" w:themeTint="99"/>
        <w:left w:val="single" w:sz="4" w:space="0" w:color="C4B5D8" w:themeColor="accent1" w:themeTint="99"/>
        <w:bottom w:val="single" w:sz="4" w:space="0" w:color="C4B5D8" w:themeColor="accent1" w:themeTint="99"/>
        <w:right w:val="single" w:sz="4" w:space="0" w:color="C4B5D8" w:themeColor="accent1" w:themeTint="99"/>
        <w:insideH w:val="single" w:sz="4" w:space="0" w:color="C4B5D8" w:themeColor="accent1" w:themeTint="99"/>
      </w:tblBorders>
    </w:tblPr>
    <w:tblStylePr w:type="firstRow">
      <w:rPr>
        <w:b/>
        <w:bCs/>
        <w:color w:val="FFFFFF" w:themeColor="background1"/>
      </w:rPr>
      <w:tblPr/>
      <w:tcPr>
        <w:tcBorders>
          <w:top w:val="single" w:sz="4" w:space="0" w:color="9D85BE" w:themeColor="accent1"/>
          <w:left w:val="single" w:sz="4" w:space="0" w:color="9D85BE" w:themeColor="accent1"/>
          <w:bottom w:val="single" w:sz="4" w:space="0" w:color="9D85BE" w:themeColor="accent1"/>
          <w:right w:val="single" w:sz="4" w:space="0" w:color="9D85BE" w:themeColor="accent1"/>
          <w:insideH w:val="nil"/>
        </w:tcBorders>
        <w:shd w:val="clear" w:color="auto" w:fill="9D85BE" w:themeFill="accent1"/>
      </w:tcPr>
    </w:tblStylePr>
    <w:tblStylePr w:type="lastRow">
      <w:rPr>
        <w:b/>
        <w:bCs/>
      </w:rPr>
      <w:tblPr/>
      <w:tcPr>
        <w:tcBorders>
          <w:top w:val="double" w:sz="4" w:space="0" w:color="C4B5D8" w:themeColor="accent1" w:themeTint="99"/>
        </w:tcBorders>
      </w:tc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ListTable4-Accent2">
    <w:name w:val="List Table 4 Accent 2"/>
    <w:basedOn w:val="TableNormal"/>
    <w:uiPriority w:val="49"/>
    <w:rsid w:val="009637A8"/>
    <w:pPr>
      <w:spacing w:after="0" w:line="240" w:lineRule="auto"/>
    </w:pPr>
    <w:tblPr>
      <w:tblStyleRowBandSize w:val="1"/>
      <w:tblStyleColBandSize w:val="1"/>
      <w:tblBorders>
        <w:top w:val="single" w:sz="4" w:space="0" w:color="B1B1B1" w:themeColor="accent2" w:themeTint="99"/>
        <w:left w:val="single" w:sz="4" w:space="0" w:color="B1B1B1" w:themeColor="accent2" w:themeTint="99"/>
        <w:bottom w:val="single" w:sz="4" w:space="0" w:color="B1B1B1" w:themeColor="accent2" w:themeTint="99"/>
        <w:right w:val="single" w:sz="4" w:space="0" w:color="B1B1B1" w:themeColor="accent2" w:themeTint="99"/>
        <w:insideH w:val="single" w:sz="4" w:space="0" w:color="B1B1B1" w:themeColor="accent2" w:themeTint="99"/>
      </w:tblBorders>
    </w:tblPr>
    <w:tblStylePr w:type="firstRow">
      <w:rPr>
        <w:b/>
        <w:bCs/>
        <w:color w:val="FFFFFF" w:themeColor="background1"/>
      </w:rPr>
      <w:tblPr/>
      <w:tcPr>
        <w:tcBorders>
          <w:top w:val="single" w:sz="4" w:space="0" w:color="7D7D7D" w:themeColor="accent2"/>
          <w:left w:val="single" w:sz="4" w:space="0" w:color="7D7D7D" w:themeColor="accent2"/>
          <w:bottom w:val="single" w:sz="4" w:space="0" w:color="7D7D7D" w:themeColor="accent2"/>
          <w:right w:val="single" w:sz="4" w:space="0" w:color="7D7D7D" w:themeColor="accent2"/>
          <w:insideH w:val="nil"/>
        </w:tcBorders>
        <w:shd w:val="clear" w:color="auto" w:fill="7D7D7D" w:themeFill="accent2"/>
      </w:tcPr>
    </w:tblStylePr>
    <w:tblStylePr w:type="lastRow">
      <w:rPr>
        <w:b/>
        <w:bCs/>
      </w:rPr>
      <w:tblPr/>
      <w:tcPr>
        <w:tcBorders>
          <w:top w:val="double" w:sz="4" w:space="0" w:color="B1B1B1" w:themeColor="accent2" w:themeTint="99"/>
        </w:tcBorders>
      </w:tc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ListTable4-Accent3">
    <w:name w:val="List Table 4 Accent 3"/>
    <w:basedOn w:val="TableNormal"/>
    <w:uiPriority w:val="49"/>
    <w:rsid w:val="009637A8"/>
    <w:pPr>
      <w:spacing w:after="0" w:line="240" w:lineRule="auto"/>
    </w:pPr>
    <w:tblPr>
      <w:tblStyleRowBandSize w:val="1"/>
      <w:tblStyleColBandSize w:val="1"/>
      <w:tblBorders>
        <w:top w:val="single" w:sz="4" w:space="0" w:color="DEDEDE" w:themeColor="accent3" w:themeTint="99"/>
        <w:left w:val="single" w:sz="4" w:space="0" w:color="DEDEDE" w:themeColor="accent3" w:themeTint="99"/>
        <w:bottom w:val="single" w:sz="4" w:space="0" w:color="DEDEDE" w:themeColor="accent3" w:themeTint="99"/>
        <w:right w:val="single" w:sz="4" w:space="0" w:color="DEDEDE" w:themeColor="accent3" w:themeTint="99"/>
        <w:insideH w:val="single" w:sz="4" w:space="0" w:color="DEDEDE" w:themeColor="accent3" w:themeTint="99"/>
      </w:tblBorders>
    </w:tblPr>
    <w:tblStylePr w:type="firstRow">
      <w:rPr>
        <w:b/>
        <w:bCs/>
        <w:color w:val="FFFFFF" w:themeColor="background1"/>
      </w:rPr>
      <w:tblPr/>
      <w:tcPr>
        <w:tcBorders>
          <w:top w:val="single" w:sz="4" w:space="0" w:color="C8C8C8" w:themeColor="accent3"/>
          <w:left w:val="single" w:sz="4" w:space="0" w:color="C8C8C8" w:themeColor="accent3"/>
          <w:bottom w:val="single" w:sz="4" w:space="0" w:color="C8C8C8" w:themeColor="accent3"/>
          <w:right w:val="single" w:sz="4" w:space="0" w:color="C8C8C8" w:themeColor="accent3"/>
          <w:insideH w:val="nil"/>
        </w:tcBorders>
        <w:shd w:val="clear" w:color="auto" w:fill="C8C8C8" w:themeFill="accent3"/>
      </w:tcPr>
    </w:tblStylePr>
    <w:tblStylePr w:type="lastRow">
      <w:rPr>
        <w:b/>
        <w:bCs/>
      </w:rPr>
      <w:tblPr/>
      <w:tcPr>
        <w:tcBorders>
          <w:top w:val="double" w:sz="4" w:space="0" w:color="DEDEDE" w:themeColor="accent3" w:themeTint="99"/>
        </w:tcBorders>
      </w:tc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ListTable4-Accent4">
    <w:name w:val="List Table 4 Accent 4"/>
    <w:basedOn w:val="TableNormal"/>
    <w:uiPriority w:val="49"/>
    <w:rsid w:val="009637A8"/>
    <w:pPr>
      <w:spacing w:after="0" w:line="240" w:lineRule="auto"/>
    </w:pPr>
    <w:tblPr>
      <w:tblStyleRowBandSize w:val="1"/>
      <w:tblStyleColBandSize w:val="1"/>
      <w:tblBorders>
        <w:top w:val="single" w:sz="4" w:space="0" w:color="2CB8FF" w:themeColor="accent4" w:themeTint="99"/>
        <w:left w:val="single" w:sz="4" w:space="0" w:color="2CB8FF" w:themeColor="accent4" w:themeTint="99"/>
        <w:bottom w:val="single" w:sz="4" w:space="0" w:color="2CB8FF" w:themeColor="accent4" w:themeTint="99"/>
        <w:right w:val="single" w:sz="4" w:space="0" w:color="2CB8FF" w:themeColor="accent4" w:themeTint="99"/>
        <w:insideH w:val="single" w:sz="4" w:space="0" w:color="2CB8FF" w:themeColor="accent4" w:themeTint="99"/>
      </w:tblBorders>
    </w:tblPr>
    <w:tblStylePr w:type="firstRow">
      <w:rPr>
        <w:b/>
        <w:bCs/>
        <w:color w:val="FFFFFF" w:themeColor="background1"/>
      </w:rPr>
      <w:tblPr/>
      <w:tcPr>
        <w:tcBorders>
          <w:top w:val="single" w:sz="4" w:space="0" w:color="006A9F" w:themeColor="accent4"/>
          <w:left w:val="single" w:sz="4" w:space="0" w:color="006A9F" w:themeColor="accent4"/>
          <w:bottom w:val="single" w:sz="4" w:space="0" w:color="006A9F" w:themeColor="accent4"/>
          <w:right w:val="single" w:sz="4" w:space="0" w:color="006A9F" w:themeColor="accent4"/>
          <w:insideH w:val="nil"/>
        </w:tcBorders>
        <w:shd w:val="clear" w:color="auto" w:fill="006A9F" w:themeFill="accent4"/>
      </w:tcPr>
    </w:tblStylePr>
    <w:tblStylePr w:type="lastRow">
      <w:rPr>
        <w:b/>
        <w:bCs/>
      </w:rPr>
      <w:tblPr/>
      <w:tcPr>
        <w:tcBorders>
          <w:top w:val="double" w:sz="4" w:space="0" w:color="2CB8FF" w:themeColor="accent4" w:themeTint="99"/>
        </w:tcBorders>
      </w:tc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ListTable4-Accent5">
    <w:name w:val="List Table 4 Accent 5"/>
    <w:basedOn w:val="TableNormal"/>
    <w:uiPriority w:val="49"/>
    <w:rsid w:val="009637A8"/>
    <w:pPr>
      <w:spacing w:after="0" w:line="240" w:lineRule="auto"/>
    </w:pPr>
    <w:tblPr>
      <w:tblStyleRowBandSize w:val="1"/>
      <w:tblStyleColBandSize w:val="1"/>
      <w:tblBorders>
        <w:top w:val="single" w:sz="4" w:space="0" w:color="AFD7E6" w:themeColor="accent5" w:themeTint="99"/>
        <w:left w:val="single" w:sz="4" w:space="0" w:color="AFD7E6" w:themeColor="accent5" w:themeTint="99"/>
        <w:bottom w:val="single" w:sz="4" w:space="0" w:color="AFD7E6" w:themeColor="accent5" w:themeTint="99"/>
        <w:right w:val="single" w:sz="4" w:space="0" w:color="AFD7E6" w:themeColor="accent5" w:themeTint="99"/>
        <w:insideH w:val="single" w:sz="4" w:space="0" w:color="AFD7E6" w:themeColor="accent5" w:themeTint="99"/>
      </w:tblBorders>
    </w:tblPr>
    <w:tblStylePr w:type="firstRow">
      <w:rPr>
        <w:b/>
        <w:bCs/>
        <w:color w:val="FFFFFF" w:themeColor="background1"/>
      </w:rPr>
      <w:tblPr/>
      <w:tcPr>
        <w:tcBorders>
          <w:top w:val="single" w:sz="4" w:space="0" w:color="7BBDD6" w:themeColor="accent5"/>
          <w:left w:val="single" w:sz="4" w:space="0" w:color="7BBDD6" w:themeColor="accent5"/>
          <w:bottom w:val="single" w:sz="4" w:space="0" w:color="7BBDD6" w:themeColor="accent5"/>
          <w:right w:val="single" w:sz="4" w:space="0" w:color="7BBDD6" w:themeColor="accent5"/>
          <w:insideH w:val="nil"/>
        </w:tcBorders>
        <w:shd w:val="clear" w:color="auto" w:fill="7BBDD6" w:themeFill="accent5"/>
      </w:tcPr>
    </w:tblStylePr>
    <w:tblStylePr w:type="lastRow">
      <w:rPr>
        <w:b/>
        <w:bCs/>
      </w:rPr>
      <w:tblPr/>
      <w:tcPr>
        <w:tcBorders>
          <w:top w:val="double" w:sz="4" w:space="0" w:color="AFD7E6" w:themeColor="accent5" w:themeTint="99"/>
        </w:tcBorders>
      </w:tc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ListTable4-Accent6">
    <w:name w:val="List Table 4 Accent 6"/>
    <w:basedOn w:val="TableNormal"/>
    <w:uiPriority w:val="49"/>
    <w:rsid w:val="009637A8"/>
    <w:pPr>
      <w:spacing w:after="0" w:line="240" w:lineRule="auto"/>
    </w:pPr>
    <w:tblPr>
      <w:tblStyleRowBandSize w:val="1"/>
      <w:tblStyleColBandSize w:val="1"/>
      <w:tblBorders>
        <w:top w:val="single" w:sz="4" w:space="0" w:color="83C590" w:themeColor="accent6" w:themeTint="99"/>
        <w:left w:val="single" w:sz="4" w:space="0" w:color="83C590" w:themeColor="accent6" w:themeTint="99"/>
        <w:bottom w:val="single" w:sz="4" w:space="0" w:color="83C590" w:themeColor="accent6" w:themeTint="99"/>
        <w:right w:val="single" w:sz="4" w:space="0" w:color="83C590" w:themeColor="accent6" w:themeTint="99"/>
        <w:insideH w:val="single" w:sz="4" w:space="0" w:color="83C590" w:themeColor="accent6" w:themeTint="99"/>
      </w:tblBorders>
    </w:tblPr>
    <w:tblStylePr w:type="firstRow">
      <w:rPr>
        <w:b/>
        <w:bCs/>
        <w:color w:val="FFFFFF" w:themeColor="background1"/>
      </w:rPr>
      <w:tblPr/>
      <w:tcPr>
        <w:tcBorders>
          <w:top w:val="single" w:sz="4" w:space="0" w:color="428D52" w:themeColor="accent6"/>
          <w:left w:val="single" w:sz="4" w:space="0" w:color="428D52" w:themeColor="accent6"/>
          <w:bottom w:val="single" w:sz="4" w:space="0" w:color="428D52" w:themeColor="accent6"/>
          <w:right w:val="single" w:sz="4" w:space="0" w:color="428D52" w:themeColor="accent6"/>
          <w:insideH w:val="nil"/>
        </w:tcBorders>
        <w:shd w:val="clear" w:color="auto" w:fill="428D52" w:themeFill="accent6"/>
      </w:tcPr>
    </w:tblStylePr>
    <w:tblStylePr w:type="lastRow">
      <w:rPr>
        <w:b/>
        <w:bCs/>
      </w:rPr>
      <w:tblPr/>
      <w:tcPr>
        <w:tcBorders>
          <w:top w:val="double" w:sz="4" w:space="0" w:color="83C590" w:themeColor="accent6" w:themeTint="99"/>
        </w:tcBorders>
      </w:tc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ListTable5Dark">
    <w:name w:val="List Table 5 Dark"/>
    <w:basedOn w:val="TableNormal"/>
    <w:uiPriority w:val="50"/>
    <w:rsid w:val="009637A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9637A8"/>
    <w:pPr>
      <w:spacing w:after="0" w:line="240" w:lineRule="auto"/>
    </w:pPr>
    <w:rPr>
      <w:color w:val="FFFFFF" w:themeColor="background1"/>
    </w:rPr>
    <w:tblPr>
      <w:tblStyleRowBandSize w:val="1"/>
      <w:tblStyleColBandSize w:val="1"/>
      <w:tblBorders>
        <w:top w:val="single" w:sz="24" w:space="0" w:color="9D85BE" w:themeColor="accent1"/>
        <w:left w:val="single" w:sz="24" w:space="0" w:color="9D85BE" w:themeColor="accent1"/>
        <w:bottom w:val="single" w:sz="24" w:space="0" w:color="9D85BE" w:themeColor="accent1"/>
        <w:right w:val="single" w:sz="24" w:space="0" w:color="9D85BE" w:themeColor="accent1"/>
      </w:tblBorders>
    </w:tblPr>
    <w:tcPr>
      <w:shd w:val="clear" w:color="auto" w:fill="9D85B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9637A8"/>
    <w:pPr>
      <w:spacing w:after="0" w:line="240" w:lineRule="auto"/>
    </w:pPr>
    <w:rPr>
      <w:color w:val="FFFFFF" w:themeColor="background1"/>
    </w:rPr>
    <w:tblPr>
      <w:tblStyleRowBandSize w:val="1"/>
      <w:tblStyleColBandSize w:val="1"/>
      <w:tblBorders>
        <w:top w:val="single" w:sz="24" w:space="0" w:color="7D7D7D" w:themeColor="accent2"/>
        <w:left w:val="single" w:sz="24" w:space="0" w:color="7D7D7D" w:themeColor="accent2"/>
        <w:bottom w:val="single" w:sz="24" w:space="0" w:color="7D7D7D" w:themeColor="accent2"/>
        <w:right w:val="single" w:sz="24" w:space="0" w:color="7D7D7D" w:themeColor="accent2"/>
      </w:tblBorders>
    </w:tblPr>
    <w:tcPr>
      <w:shd w:val="clear" w:color="auto" w:fill="7D7D7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9637A8"/>
    <w:pPr>
      <w:spacing w:after="0" w:line="240" w:lineRule="auto"/>
    </w:pPr>
    <w:rPr>
      <w:color w:val="FFFFFF" w:themeColor="background1"/>
    </w:rPr>
    <w:tblPr>
      <w:tblStyleRowBandSize w:val="1"/>
      <w:tblStyleColBandSize w:val="1"/>
      <w:tblBorders>
        <w:top w:val="single" w:sz="24" w:space="0" w:color="C8C8C8" w:themeColor="accent3"/>
        <w:left w:val="single" w:sz="24" w:space="0" w:color="C8C8C8" w:themeColor="accent3"/>
        <w:bottom w:val="single" w:sz="24" w:space="0" w:color="C8C8C8" w:themeColor="accent3"/>
        <w:right w:val="single" w:sz="24" w:space="0" w:color="C8C8C8" w:themeColor="accent3"/>
      </w:tblBorders>
    </w:tblPr>
    <w:tcPr>
      <w:shd w:val="clear" w:color="auto" w:fill="C8C8C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9637A8"/>
    <w:pPr>
      <w:spacing w:after="0" w:line="240" w:lineRule="auto"/>
    </w:pPr>
    <w:rPr>
      <w:color w:val="FFFFFF" w:themeColor="background1"/>
    </w:rPr>
    <w:tblPr>
      <w:tblStyleRowBandSize w:val="1"/>
      <w:tblStyleColBandSize w:val="1"/>
      <w:tblBorders>
        <w:top w:val="single" w:sz="24" w:space="0" w:color="006A9F" w:themeColor="accent4"/>
        <w:left w:val="single" w:sz="24" w:space="0" w:color="006A9F" w:themeColor="accent4"/>
        <w:bottom w:val="single" w:sz="24" w:space="0" w:color="006A9F" w:themeColor="accent4"/>
        <w:right w:val="single" w:sz="24" w:space="0" w:color="006A9F" w:themeColor="accent4"/>
      </w:tblBorders>
    </w:tblPr>
    <w:tcPr>
      <w:shd w:val="clear" w:color="auto" w:fill="006A9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9637A8"/>
    <w:pPr>
      <w:spacing w:after="0" w:line="240" w:lineRule="auto"/>
    </w:pPr>
    <w:rPr>
      <w:color w:val="FFFFFF" w:themeColor="background1"/>
    </w:rPr>
    <w:tblPr>
      <w:tblStyleRowBandSize w:val="1"/>
      <w:tblStyleColBandSize w:val="1"/>
      <w:tblBorders>
        <w:top w:val="single" w:sz="24" w:space="0" w:color="7BBDD6" w:themeColor="accent5"/>
        <w:left w:val="single" w:sz="24" w:space="0" w:color="7BBDD6" w:themeColor="accent5"/>
        <w:bottom w:val="single" w:sz="24" w:space="0" w:color="7BBDD6" w:themeColor="accent5"/>
        <w:right w:val="single" w:sz="24" w:space="0" w:color="7BBDD6" w:themeColor="accent5"/>
      </w:tblBorders>
    </w:tblPr>
    <w:tcPr>
      <w:shd w:val="clear" w:color="auto" w:fill="7BBDD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9637A8"/>
    <w:pPr>
      <w:spacing w:after="0" w:line="240" w:lineRule="auto"/>
    </w:pPr>
    <w:rPr>
      <w:color w:val="FFFFFF" w:themeColor="background1"/>
    </w:rPr>
    <w:tblPr>
      <w:tblStyleRowBandSize w:val="1"/>
      <w:tblStyleColBandSize w:val="1"/>
      <w:tblBorders>
        <w:top w:val="single" w:sz="24" w:space="0" w:color="428D52" w:themeColor="accent6"/>
        <w:left w:val="single" w:sz="24" w:space="0" w:color="428D52" w:themeColor="accent6"/>
        <w:bottom w:val="single" w:sz="24" w:space="0" w:color="428D52" w:themeColor="accent6"/>
        <w:right w:val="single" w:sz="24" w:space="0" w:color="428D52" w:themeColor="accent6"/>
      </w:tblBorders>
    </w:tblPr>
    <w:tcPr>
      <w:shd w:val="clear" w:color="auto" w:fill="428D5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9637A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9637A8"/>
    <w:pPr>
      <w:spacing w:after="0" w:line="240" w:lineRule="auto"/>
    </w:pPr>
    <w:rPr>
      <w:color w:val="72549D" w:themeColor="accent1" w:themeShade="BF"/>
    </w:rPr>
    <w:tblPr>
      <w:tblStyleRowBandSize w:val="1"/>
      <w:tblStyleColBandSize w:val="1"/>
      <w:tblBorders>
        <w:top w:val="single" w:sz="4" w:space="0" w:color="9D85BE" w:themeColor="accent1"/>
        <w:bottom w:val="single" w:sz="4" w:space="0" w:color="9D85BE" w:themeColor="accent1"/>
      </w:tblBorders>
    </w:tblPr>
    <w:tblStylePr w:type="firstRow">
      <w:rPr>
        <w:b/>
        <w:bCs/>
      </w:rPr>
      <w:tblPr/>
      <w:tcPr>
        <w:tcBorders>
          <w:bottom w:val="single" w:sz="4" w:space="0" w:color="9D85BE" w:themeColor="accent1"/>
        </w:tcBorders>
      </w:tcPr>
    </w:tblStylePr>
    <w:tblStylePr w:type="lastRow">
      <w:rPr>
        <w:b/>
        <w:bCs/>
      </w:rPr>
      <w:tblPr/>
      <w:tcPr>
        <w:tcBorders>
          <w:top w:val="double" w:sz="4" w:space="0" w:color="9D85BE" w:themeColor="accent1"/>
        </w:tcBorders>
      </w:tc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ListTable6ColourfulAccent2">
    <w:name w:val="List Table 6 Colorful Accent 2"/>
    <w:basedOn w:val="TableNormal"/>
    <w:uiPriority w:val="51"/>
    <w:rsid w:val="009637A8"/>
    <w:pPr>
      <w:spacing w:after="0" w:line="240" w:lineRule="auto"/>
    </w:pPr>
    <w:rPr>
      <w:color w:val="5D5D5D" w:themeColor="accent2" w:themeShade="BF"/>
    </w:rPr>
    <w:tblPr>
      <w:tblStyleRowBandSize w:val="1"/>
      <w:tblStyleColBandSize w:val="1"/>
      <w:tblBorders>
        <w:top w:val="single" w:sz="4" w:space="0" w:color="7D7D7D" w:themeColor="accent2"/>
        <w:bottom w:val="single" w:sz="4" w:space="0" w:color="7D7D7D" w:themeColor="accent2"/>
      </w:tblBorders>
    </w:tblPr>
    <w:tblStylePr w:type="firstRow">
      <w:rPr>
        <w:b/>
        <w:bCs/>
      </w:rPr>
      <w:tblPr/>
      <w:tcPr>
        <w:tcBorders>
          <w:bottom w:val="single" w:sz="4" w:space="0" w:color="7D7D7D" w:themeColor="accent2"/>
        </w:tcBorders>
      </w:tcPr>
    </w:tblStylePr>
    <w:tblStylePr w:type="lastRow">
      <w:rPr>
        <w:b/>
        <w:bCs/>
      </w:rPr>
      <w:tblPr/>
      <w:tcPr>
        <w:tcBorders>
          <w:top w:val="double" w:sz="4" w:space="0" w:color="7D7D7D" w:themeColor="accent2"/>
        </w:tcBorders>
      </w:tc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ListTable6ColourfulAccent3">
    <w:name w:val="List Table 6 Colorful Accent 3"/>
    <w:basedOn w:val="TableNormal"/>
    <w:uiPriority w:val="51"/>
    <w:rsid w:val="009637A8"/>
    <w:pPr>
      <w:spacing w:after="0" w:line="240" w:lineRule="auto"/>
    </w:pPr>
    <w:rPr>
      <w:color w:val="959595" w:themeColor="accent3" w:themeShade="BF"/>
    </w:rPr>
    <w:tblPr>
      <w:tblStyleRowBandSize w:val="1"/>
      <w:tblStyleColBandSize w:val="1"/>
      <w:tblBorders>
        <w:top w:val="single" w:sz="4" w:space="0" w:color="C8C8C8" w:themeColor="accent3"/>
        <w:bottom w:val="single" w:sz="4" w:space="0" w:color="C8C8C8" w:themeColor="accent3"/>
      </w:tblBorders>
    </w:tblPr>
    <w:tblStylePr w:type="firstRow">
      <w:rPr>
        <w:b/>
        <w:bCs/>
      </w:rPr>
      <w:tblPr/>
      <w:tcPr>
        <w:tcBorders>
          <w:bottom w:val="single" w:sz="4" w:space="0" w:color="C8C8C8" w:themeColor="accent3"/>
        </w:tcBorders>
      </w:tcPr>
    </w:tblStylePr>
    <w:tblStylePr w:type="lastRow">
      <w:rPr>
        <w:b/>
        <w:bCs/>
      </w:rPr>
      <w:tblPr/>
      <w:tcPr>
        <w:tcBorders>
          <w:top w:val="double" w:sz="4" w:space="0" w:color="C8C8C8" w:themeColor="accent3"/>
        </w:tcBorders>
      </w:tc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ListTable6ColourfulAccent4">
    <w:name w:val="List Table 6 Colorful Accent 4"/>
    <w:basedOn w:val="TableNormal"/>
    <w:uiPriority w:val="51"/>
    <w:rsid w:val="009637A8"/>
    <w:pPr>
      <w:spacing w:after="0" w:line="240" w:lineRule="auto"/>
    </w:pPr>
    <w:rPr>
      <w:color w:val="004F77" w:themeColor="accent4" w:themeShade="BF"/>
    </w:rPr>
    <w:tblPr>
      <w:tblStyleRowBandSize w:val="1"/>
      <w:tblStyleColBandSize w:val="1"/>
      <w:tblBorders>
        <w:top w:val="single" w:sz="4" w:space="0" w:color="006A9F" w:themeColor="accent4"/>
        <w:bottom w:val="single" w:sz="4" w:space="0" w:color="006A9F" w:themeColor="accent4"/>
      </w:tblBorders>
    </w:tblPr>
    <w:tblStylePr w:type="firstRow">
      <w:rPr>
        <w:b/>
        <w:bCs/>
      </w:rPr>
      <w:tblPr/>
      <w:tcPr>
        <w:tcBorders>
          <w:bottom w:val="single" w:sz="4" w:space="0" w:color="006A9F" w:themeColor="accent4"/>
        </w:tcBorders>
      </w:tcPr>
    </w:tblStylePr>
    <w:tblStylePr w:type="lastRow">
      <w:rPr>
        <w:b/>
        <w:bCs/>
      </w:rPr>
      <w:tblPr/>
      <w:tcPr>
        <w:tcBorders>
          <w:top w:val="double" w:sz="4" w:space="0" w:color="006A9F" w:themeColor="accent4"/>
        </w:tcBorders>
      </w:tc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ListTable6ColourfulAccent5">
    <w:name w:val="List Table 6 Colorful Accent 5"/>
    <w:basedOn w:val="TableNormal"/>
    <w:uiPriority w:val="51"/>
    <w:rsid w:val="009637A8"/>
    <w:pPr>
      <w:spacing w:after="0" w:line="240" w:lineRule="auto"/>
    </w:pPr>
    <w:rPr>
      <w:color w:val="3C9BC0" w:themeColor="accent5" w:themeShade="BF"/>
    </w:rPr>
    <w:tblPr>
      <w:tblStyleRowBandSize w:val="1"/>
      <w:tblStyleColBandSize w:val="1"/>
      <w:tblBorders>
        <w:top w:val="single" w:sz="4" w:space="0" w:color="7BBDD6" w:themeColor="accent5"/>
        <w:bottom w:val="single" w:sz="4" w:space="0" w:color="7BBDD6" w:themeColor="accent5"/>
      </w:tblBorders>
    </w:tblPr>
    <w:tblStylePr w:type="firstRow">
      <w:rPr>
        <w:b/>
        <w:bCs/>
      </w:rPr>
      <w:tblPr/>
      <w:tcPr>
        <w:tcBorders>
          <w:bottom w:val="single" w:sz="4" w:space="0" w:color="7BBDD6" w:themeColor="accent5"/>
        </w:tcBorders>
      </w:tcPr>
    </w:tblStylePr>
    <w:tblStylePr w:type="lastRow">
      <w:rPr>
        <w:b/>
        <w:bCs/>
      </w:rPr>
      <w:tblPr/>
      <w:tcPr>
        <w:tcBorders>
          <w:top w:val="double" w:sz="4" w:space="0" w:color="7BBDD6" w:themeColor="accent5"/>
        </w:tcBorders>
      </w:tc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ListTable6ColourfulAccent6">
    <w:name w:val="List Table 6 Colorful Accent 6"/>
    <w:basedOn w:val="TableNormal"/>
    <w:uiPriority w:val="51"/>
    <w:rsid w:val="009637A8"/>
    <w:pPr>
      <w:spacing w:after="0" w:line="240" w:lineRule="auto"/>
    </w:pPr>
    <w:rPr>
      <w:color w:val="31693D" w:themeColor="accent6" w:themeShade="BF"/>
    </w:rPr>
    <w:tblPr>
      <w:tblStyleRowBandSize w:val="1"/>
      <w:tblStyleColBandSize w:val="1"/>
      <w:tblBorders>
        <w:top w:val="single" w:sz="4" w:space="0" w:color="428D52" w:themeColor="accent6"/>
        <w:bottom w:val="single" w:sz="4" w:space="0" w:color="428D52" w:themeColor="accent6"/>
      </w:tblBorders>
    </w:tblPr>
    <w:tblStylePr w:type="firstRow">
      <w:rPr>
        <w:b/>
        <w:bCs/>
      </w:rPr>
      <w:tblPr/>
      <w:tcPr>
        <w:tcBorders>
          <w:bottom w:val="single" w:sz="4" w:space="0" w:color="428D52" w:themeColor="accent6"/>
        </w:tcBorders>
      </w:tcPr>
    </w:tblStylePr>
    <w:tblStylePr w:type="lastRow">
      <w:rPr>
        <w:b/>
        <w:bCs/>
      </w:rPr>
      <w:tblPr/>
      <w:tcPr>
        <w:tcBorders>
          <w:top w:val="double" w:sz="4" w:space="0" w:color="428D52" w:themeColor="accent6"/>
        </w:tcBorders>
      </w:tc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ListTable7Colourful">
    <w:name w:val="List Table 7 Colorful"/>
    <w:basedOn w:val="TableNormal"/>
    <w:uiPriority w:val="52"/>
    <w:rsid w:val="009637A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9637A8"/>
    <w:pPr>
      <w:spacing w:after="0" w:line="240" w:lineRule="auto"/>
    </w:pPr>
    <w:rPr>
      <w:color w:val="72549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85B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85B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85B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85BE" w:themeColor="accent1"/>
        </w:tcBorders>
        <w:shd w:val="clear" w:color="auto" w:fill="FFFFFF" w:themeFill="background1"/>
      </w:tcPr>
    </w:tblStylePr>
    <w:tblStylePr w:type="band1Vert">
      <w:tblPr/>
      <w:tcPr>
        <w:shd w:val="clear" w:color="auto" w:fill="EBE6F2" w:themeFill="accent1" w:themeFillTint="33"/>
      </w:tcPr>
    </w:tblStylePr>
    <w:tblStylePr w:type="band1Horz">
      <w:tblPr/>
      <w:tcPr>
        <w:shd w:val="clear" w:color="auto" w:fill="EBE6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9637A8"/>
    <w:pPr>
      <w:spacing w:after="0" w:line="240" w:lineRule="auto"/>
    </w:pPr>
    <w:rPr>
      <w:color w:val="5D5D5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D7D7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D7D7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D7D7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D7D7D" w:themeColor="accent2"/>
        </w:tcBorders>
        <w:shd w:val="clear" w:color="auto" w:fill="FFFFFF" w:themeFill="background1"/>
      </w:tcPr>
    </w:tblStylePr>
    <w:tblStylePr w:type="band1Vert">
      <w:tblPr/>
      <w:tcPr>
        <w:shd w:val="clear" w:color="auto" w:fill="E5E5E5" w:themeFill="accent2" w:themeFillTint="33"/>
      </w:tcPr>
    </w:tblStylePr>
    <w:tblStylePr w:type="band1Horz">
      <w:tblPr/>
      <w:tcPr>
        <w:shd w:val="clear" w:color="auto" w:fill="E5E5E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9637A8"/>
    <w:pPr>
      <w:spacing w:after="0" w:line="240" w:lineRule="auto"/>
    </w:pPr>
    <w:rPr>
      <w:color w:val="959595"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C8C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8C8C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C8C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8C8C8" w:themeColor="accent3"/>
        </w:tcBorders>
        <w:shd w:val="clear" w:color="auto" w:fill="FFFFFF" w:themeFill="background1"/>
      </w:tcPr>
    </w:tblStylePr>
    <w:tblStylePr w:type="band1Vert">
      <w:tblPr/>
      <w:tcPr>
        <w:shd w:val="clear" w:color="auto" w:fill="F4F4F4" w:themeFill="accent3" w:themeFillTint="33"/>
      </w:tcPr>
    </w:tblStylePr>
    <w:tblStylePr w:type="band1Horz">
      <w:tblPr/>
      <w:tcPr>
        <w:shd w:val="clear" w:color="auto" w:fill="F4F4F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9637A8"/>
    <w:pPr>
      <w:spacing w:after="0" w:line="240" w:lineRule="auto"/>
    </w:pPr>
    <w:rPr>
      <w:color w:val="004F77"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A9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A9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A9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A9F" w:themeColor="accent4"/>
        </w:tcBorders>
        <w:shd w:val="clear" w:color="auto" w:fill="FFFFFF" w:themeFill="background1"/>
      </w:tcPr>
    </w:tblStylePr>
    <w:tblStylePr w:type="band1Vert">
      <w:tblPr/>
      <w:tcPr>
        <w:shd w:val="clear" w:color="auto" w:fill="B8E7FF" w:themeFill="accent4" w:themeFillTint="33"/>
      </w:tcPr>
    </w:tblStylePr>
    <w:tblStylePr w:type="band1Horz">
      <w:tblPr/>
      <w:tcPr>
        <w:shd w:val="clear" w:color="auto" w:fill="B8E7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9637A8"/>
    <w:pPr>
      <w:spacing w:after="0" w:line="240" w:lineRule="auto"/>
    </w:pPr>
    <w:rPr>
      <w:color w:val="3C9BC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BBDD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BBDD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BBDD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BBDD6" w:themeColor="accent5"/>
        </w:tcBorders>
        <w:shd w:val="clear" w:color="auto" w:fill="FFFFFF" w:themeFill="background1"/>
      </w:tcPr>
    </w:tblStylePr>
    <w:tblStylePr w:type="band1Vert">
      <w:tblPr/>
      <w:tcPr>
        <w:shd w:val="clear" w:color="auto" w:fill="E4F1F6" w:themeFill="accent5" w:themeFillTint="33"/>
      </w:tcPr>
    </w:tblStylePr>
    <w:tblStylePr w:type="band1Horz">
      <w:tblPr/>
      <w:tcPr>
        <w:shd w:val="clear" w:color="auto" w:fill="E4F1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9637A8"/>
    <w:pPr>
      <w:spacing w:after="0" w:line="240" w:lineRule="auto"/>
    </w:pPr>
    <w:rPr>
      <w:color w:val="31693D"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28D5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28D5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28D5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28D52" w:themeColor="accent6"/>
        </w:tcBorders>
        <w:shd w:val="clear" w:color="auto" w:fill="FFFFFF" w:themeFill="background1"/>
      </w:tcPr>
    </w:tblStylePr>
    <w:tblStylePr w:type="band1Vert">
      <w:tblPr/>
      <w:tcPr>
        <w:shd w:val="clear" w:color="auto" w:fill="D5EBDA" w:themeFill="accent6" w:themeFillTint="33"/>
      </w:tcPr>
    </w:tblStylePr>
    <w:tblStylePr w:type="band1Horz">
      <w:tblPr/>
      <w:tcPr>
        <w:shd w:val="clear" w:color="auto" w:fill="D5EBD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9637A8"/>
    <w:pPr>
      <w:tabs>
        <w:tab w:val="left" w:pos="480"/>
        <w:tab w:val="left" w:pos="960"/>
        <w:tab w:val="left" w:pos="1440"/>
        <w:tab w:val="left" w:pos="1920"/>
        <w:tab w:val="left" w:pos="2400"/>
        <w:tab w:val="left" w:pos="2880"/>
        <w:tab w:val="left" w:pos="3360"/>
        <w:tab w:val="left" w:pos="3840"/>
        <w:tab w:val="left" w:pos="4320"/>
      </w:tabs>
      <w:spacing w:after="0"/>
    </w:pPr>
    <w:rPr>
      <w:rFonts w:ascii="Arial Narrow" w:hAnsi="Arial Narrow" w:cs="Arial"/>
      <w:sz w:val="20"/>
      <w:szCs w:val="20"/>
    </w:rPr>
  </w:style>
  <w:style w:type="character" w:customStyle="1" w:styleId="MacroTextChar">
    <w:name w:val="Macro Text Char"/>
    <w:basedOn w:val="DefaultParagraphFont"/>
    <w:link w:val="MacroText"/>
    <w:uiPriority w:val="99"/>
    <w:semiHidden/>
    <w:rsid w:val="009637A8"/>
    <w:rPr>
      <w:rFonts w:ascii="Arial Narrow" w:hAnsi="Arial Narrow" w:cs="Arial"/>
      <w:sz w:val="20"/>
      <w:szCs w:val="20"/>
    </w:rPr>
  </w:style>
  <w:style w:type="table" w:styleId="MediumGrid1">
    <w:name w:val="Medium Grid 1"/>
    <w:basedOn w:val="TableNormal"/>
    <w:uiPriority w:val="67"/>
    <w:semiHidden/>
    <w:unhideWhenUsed/>
    <w:rsid w:val="009637A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637A8"/>
    <w:pPr>
      <w:spacing w:after="0" w:line="240" w:lineRule="auto"/>
    </w:pPr>
    <w:tblPr>
      <w:tblStyleRowBandSize w:val="1"/>
      <w:tblStyleColBandSize w:val="1"/>
      <w:tblBorders>
        <w:top w:val="single" w:sz="8" w:space="0" w:color="B5A3CE" w:themeColor="accent1" w:themeTint="BF"/>
        <w:left w:val="single" w:sz="8" w:space="0" w:color="B5A3CE" w:themeColor="accent1" w:themeTint="BF"/>
        <w:bottom w:val="single" w:sz="8" w:space="0" w:color="B5A3CE" w:themeColor="accent1" w:themeTint="BF"/>
        <w:right w:val="single" w:sz="8" w:space="0" w:color="B5A3CE" w:themeColor="accent1" w:themeTint="BF"/>
        <w:insideH w:val="single" w:sz="8" w:space="0" w:color="B5A3CE" w:themeColor="accent1" w:themeTint="BF"/>
        <w:insideV w:val="single" w:sz="8" w:space="0" w:color="B5A3CE" w:themeColor="accent1" w:themeTint="BF"/>
      </w:tblBorders>
    </w:tblPr>
    <w:tcPr>
      <w:shd w:val="clear" w:color="auto" w:fill="E6E0EF" w:themeFill="accent1" w:themeFillTint="3F"/>
    </w:tcPr>
    <w:tblStylePr w:type="firstRow">
      <w:rPr>
        <w:b/>
        <w:bCs/>
      </w:rPr>
    </w:tblStylePr>
    <w:tblStylePr w:type="lastRow">
      <w:rPr>
        <w:b/>
        <w:bCs/>
      </w:rPr>
      <w:tblPr/>
      <w:tcPr>
        <w:tcBorders>
          <w:top w:val="single" w:sz="18" w:space="0" w:color="B5A3CE" w:themeColor="accent1" w:themeTint="BF"/>
        </w:tcBorders>
      </w:tcPr>
    </w:tblStylePr>
    <w:tblStylePr w:type="firstCol">
      <w:rPr>
        <w:b/>
        <w:bCs/>
      </w:rPr>
    </w:tblStylePr>
    <w:tblStylePr w:type="lastCol">
      <w:rPr>
        <w:b/>
        <w:bCs/>
      </w:rPr>
    </w:tblStylePr>
    <w:tblStylePr w:type="band1Vert">
      <w:tblPr/>
      <w:tcPr>
        <w:shd w:val="clear" w:color="auto" w:fill="CEC2DE" w:themeFill="accent1" w:themeFillTint="7F"/>
      </w:tcPr>
    </w:tblStylePr>
    <w:tblStylePr w:type="band1Horz">
      <w:tblPr/>
      <w:tcPr>
        <w:shd w:val="clear" w:color="auto" w:fill="CEC2DE" w:themeFill="accent1" w:themeFillTint="7F"/>
      </w:tcPr>
    </w:tblStylePr>
  </w:style>
  <w:style w:type="table" w:styleId="MediumGrid1-Accent2">
    <w:name w:val="Medium Grid 1 Accent 2"/>
    <w:basedOn w:val="TableNormal"/>
    <w:uiPriority w:val="67"/>
    <w:semiHidden/>
    <w:unhideWhenUsed/>
    <w:rsid w:val="009637A8"/>
    <w:pPr>
      <w:spacing w:after="0" w:line="240" w:lineRule="auto"/>
    </w:pPr>
    <w:tblPr>
      <w:tblStyleRowBandSize w:val="1"/>
      <w:tblStyleColBandSize w:val="1"/>
      <w:tblBorders>
        <w:top w:val="single" w:sz="8" w:space="0" w:color="9D9D9D" w:themeColor="accent2" w:themeTint="BF"/>
        <w:left w:val="single" w:sz="8" w:space="0" w:color="9D9D9D" w:themeColor="accent2" w:themeTint="BF"/>
        <w:bottom w:val="single" w:sz="8" w:space="0" w:color="9D9D9D" w:themeColor="accent2" w:themeTint="BF"/>
        <w:right w:val="single" w:sz="8" w:space="0" w:color="9D9D9D" w:themeColor="accent2" w:themeTint="BF"/>
        <w:insideH w:val="single" w:sz="8" w:space="0" w:color="9D9D9D" w:themeColor="accent2" w:themeTint="BF"/>
        <w:insideV w:val="single" w:sz="8" w:space="0" w:color="9D9D9D" w:themeColor="accent2" w:themeTint="BF"/>
      </w:tblBorders>
    </w:tblPr>
    <w:tcPr>
      <w:shd w:val="clear" w:color="auto" w:fill="DEDEDE" w:themeFill="accent2" w:themeFillTint="3F"/>
    </w:tcPr>
    <w:tblStylePr w:type="firstRow">
      <w:rPr>
        <w:b/>
        <w:bCs/>
      </w:rPr>
    </w:tblStylePr>
    <w:tblStylePr w:type="lastRow">
      <w:rPr>
        <w:b/>
        <w:bCs/>
      </w:rPr>
      <w:tblPr/>
      <w:tcPr>
        <w:tcBorders>
          <w:top w:val="single" w:sz="18" w:space="0" w:color="9D9D9D" w:themeColor="accent2" w:themeTint="BF"/>
        </w:tcBorders>
      </w:tcPr>
    </w:tblStylePr>
    <w:tblStylePr w:type="firstCol">
      <w:rPr>
        <w:b/>
        <w:bCs/>
      </w:rPr>
    </w:tblStylePr>
    <w:tblStylePr w:type="lastCol">
      <w:rPr>
        <w:b/>
        <w:bCs/>
      </w:rPr>
    </w:tblStylePr>
    <w:tblStylePr w:type="band1Vert">
      <w:tblPr/>
      <w:tcPr>
        <w:shd w:val="clear" w:color="auto" w:fill="BEBEBE" w:themeFill="accent2" w:themeFillTint="7F"/>
      </w:tcPr>
    </w:tblStylePr>
    <w:tblStylePr w:type="band1Horz">
      <w:tblPr/>
      <w:tcPr>
        <w:shd w:val="clear" w:color="auto" w:fill="BEBEBE" w:themeFill="accent2" w:themeFillTint="7F"/>
      </w:tcPr>
    </w:tblStylePr>
  </w:style>
  <w:style w:type="table" w:styleId="MediumGrid1-Accent3">
    <w:name w:val="Medium Grid 1 Accent 3"/>
    <w:basedOn w:val="TableNormal"/>
    <w:uiPriority w:val="67"/>
    <w:semiHidden/>
    <w:unhideWhenUsed/>
    <w:rsid w:val="009637A8"/>
    <w:pPr>
      <w:spacing w:after="0" w:line="240" w:lineRule="auto"/>
    </w:pPr>
    <w:tblPr>
      <w:tblStyleRowBandSize w:val="1"/>
      <w:tblStyleColBandSize w:val="1"/>
      <w:tblBorders>
        <w:top w:val="single" w:sz="8" w:space="0" w:color="D5D5D5" w:themeColor="accent3" w:themeTint="BF"/>
        <w:left w:val="single" w:sz="8" w:space="0" w:color="D5D5D5" w:themeColor="accent3" w:themeTint="BF"/>
        <w:bottom w:val="single" w:sz="8" w:space="0" w:color="D5D5D5" w:themeColor="accent3" w:themeTint="BF"/>
        <w:right w:val="single" w:sz="8" w:space="0" w:color="D5D5D5" w:themeColor="accent3" w:themeTint="BF"/>
        <w:insideH w:val="single" w:sz="8" w:space="0" w:color="D5D5D5" w:themeColor="accent3" w:themeTint="BF"/>
        <w:insideV w:val="single" w:sz="8" w:space="0" w:color="D5D5D5" w:themeColor="accent3" w:themeTint="BF"/>
      </w:tblBorders>
    </w:tblPr>
    <w:tcPr>
      <w:shd w:val="clear" w:color="auto" w:fill="F1F1F1" w:themeFill="accent3" w:themeFillTint="3F"/>
    </w:tcPr>
    <w:tblStylePr w:type="firstRow">
      <w:rPr>
        <w:b/>
        <w:bCs/>
      </w:rPr>
    </w:tblStylePr>
    <w:tblStylePr w:type="lastRow">
      <w:rPr>
        <w:b/>
        <w:bCs/>
      </w:rPr>
      <w:tblPr/>
      <w:tcPr>
        <w:tcBorders>
          <w:top w:val="single" w:sz="18" w:space="0" w:color="D5D5D5" w:themeColor="accent3" w:themeTint="BF"/>
        </w:tcBorders>
      </w:tcPr>
    </w:tblStylePr>
    <w:tblStylePr w:type="firstCol">
      <w:rPr>
        <w:b/>
        <w:bCs/>
      </w:rPr>
    </w:tblStylePr>
    <w:tblStylePr w:type="lastCol">
      <w:rPr>
        <w:b/>
        <w:bCs/>
      </w:rPr>
    </w:tblStylePr>
    <w:tblStylePr w:type="band1Vert">
      <w:tblPr/>
      <w:tcPr>
        <w:shd w:val="clear" w:color="auto" w:fill="E3E3E3" w:themeFill="accent3" w:themeFillTint="7F"/>
      </w:tcPr>
    </w:tblStylePr>
    <w:tblStylePr w:type="band1Horz">
      <w:tblPr/>
      <w:tcPr>
        <w:shd w:val="clear" w:color="auto" w:fill="E3E3E3" w:themeFill="accent3" w:themeFillTint="7F"/>
      </w:tcPr>
    </w:tblStylePr>
  </w:style>
  <w:style w:type="table" w:styleId="MediumGrid1-Accent4">
    <w:name w:val="Medium Grid 1 Accent 4"/>
    <w:basedOn w:val="TableNormal"/>
    <w:uiPriority w:val="67"/>
    <w:semiHidden/>
    <w:unhideWhenUsed/>
    <w:rsid w:val="009637A8"/>
    <w:pPr>
      <w:spacing w:after="0" w:line="240" w:lineRule="auto"/>
    </w:pPr>
    <w:tblPr>
      <w:tblStyleRowBandSize w:val="1"/>
      <w:tblStyleColBandSize w:val="1"/>
      <w:tblBorders>
        <w:top w:val="single" w:sz="8" w:space="0" w:color="00A4F7" w:themeColor="accent4" w:themeTint="BF"/>
        <w:left w:val="single" w:sz="8" w:space="0" w:color="00A4F7" w:themeColor="accent4" w:themeTint="BF"/>
        <w:bottom w:val="single" w:sz="8" w:space="0" w:color="00A4F7" w:themeColor="accent4" w:themeTint="BF"/>
        <w:right w:val="single" w:sz="8" w:space="0" w:color="00A4F7" w:themeColor="accent4" w:themeTint="BF"/>
        <w:insideH w:val="single" w:sz="8" w:space="0" w:color="00A4F7" w:themeColor="accent4" w:themeTint="BF"/>
        <w:insideV w:val="single" w:sz="8" w:space="0" w:color="00A4F7" w:themeColor="accent4" w:themeTint="BF"/>
      </w:tblBorders>
    </w:tblPr>
    <w:tcPr>
      <w:shd w:val="clear" w:color="auto" w:fill="A8E2FF" w:themeFill="accent4" w:themeFillTint="3F"/>
    </w:tcPr>
    <w:tblStylePr w:type="firstRow">
      <w:rPr>
        <w:b/>
        <w:bCs/>
      </w:rPr>
    </w:tblStylePr>
    <w:tblStylePr w:type="lastRow">
      <w:rPr>
        <w:b/>
        <w:bCs/>
      </w:rPr>
      <w:tblPr/>
      <w:tcPr>
        <w:tcBorders>
          <w:top w:val="single" w:sz="18" w:space="0" w:color="00A4F7" w:themeColor="accent4" w:themeTint="BF"/>
        </w:tcBorders>
      </w:tcPr>
    </w:tblStylePr>
    <w:tblStylePr w:type="firstCol">
      <w:rPr>
        <w:b/>
        <w:bCs/>
      </w:rPr>
    </w:tblStylePr>
    <w:tblStylePr w:type="lastCol">
      <w:rPr>
        <w:b/>
        <w:bCs/>
      </w:rPr>
    </w:tblStylePr>
    <w:tblStylePr w:type="band1Vert">
      <w:tblPr/>
      <w:tcPr>
        <w:shd w:val="clear" w:color="auto" w:fill="50C4FF" w:themeFill="accent4" w:themeFillTint="7F"/>
      </w:tcPr>
    </w:tblStylePr>
    <w:tblStylePr w:type="band1Horz">
      <w:tblPr/>
      <w:tcPr>
        <w:shd w:val="clear" w:color="auto" w:fill="50C4FF" w:themeFill="accent4" w:themeFillTint="7F"/>
      </w:tcPr>
    </w:tblStylePr>
  </w:style>
  <w:style w:type="table" w:styleId="MediumGrid1-Accent5">
    <w:name w:val="Medium Grid 1 Accent 5"/>
    <w:basedOn w:val="TableNormal"/>
    <w:uiPriority w:val="67"/>
    <w:semiHidden/>
    <w:unhideWhenUsed/>
    <w:rsid w:val="009637A8"/>
    <w:pPr>
      <w:spacing w:after="0" w:line="240" w:lineRule="auto"/>
    </w:pPr>
    <w:tblPr>
      <w:tblStyleRowBandSize w:val="1"/>
      <w:tblStyleColBandSize w:val="1"/>
      <w:tblBorders>
        <w:top w:val="single" w:sz="8" w:space="0" w:color="9CCDE0" w:themeColor="accent5" w:themeTint="BF"/>
        <w:left w:val="single" w:sz="8" w:space="0" w:color="9CCDE0" w:themeColor="accent5" w:themeTint="BF"/>
        <w:bottom w:val="single" w:sz="8" w:space="0" w:color="9CCDE0" w:themeColor="accent5" w:themeTint="BF"/>
        <w:right w:val="single" w:sz="8" w:space="0" w:color="9CCDE0" w:themeColor="accent5" w:themeTint="BF"/>
        <w:insideH w:val="single" w:sz="8" w:space="0" w:color="9CCDE0" w:themeColor="accent5" w:themeTint="BF"/>
        <w:insideV w:val="single" w:sz="8" w:space="0" w:color="9CCDE0" w:themeColor="accent5" w:themeTint="BF"/>
      </w:tblBorders>
    </w:tblPr>
    <w:tcPr>
      <w:shd w:val="clear" w:color="auto" w:fill="DEEEF4" w:themeFill="accent5" w:themeFillTint="3F"/>
    </w:tcPr>
    <w:tblStylePr w:type="firstRow">
      <w:rPr>
        <w:b/>
        <w:bCs/>
      </w:rPr>
    </w:tblStylePr>
    <w:tblStylePr w:type="lastRow">
      <w:rPr>
        <w:b/>
        <w:bCs/>
      </w:rPr>
      <w:tblPr/>
      <w:tcPr>
        <w:tcBorders>
          <w:top w:val="single" w:sz="18" w:space="0" w:color="9CCDE0" w:themeColor="accent5" w:themeTint="BF"/>
        </w:tcBorders>
      </w:tcPr>
    </w:tblStylePr>
    <w:tblStylePr w:type="firstCol">
      <w:rPr>
        <w:b/>
        <w:bCs/>
      </w:rPr>
    </w:tblStylePr>
    <w:tblStylePr w:type="lastCol">
      <w:rPr>
        <w:b/>
        <w:bCs/>
      </w:rPr>
    </w:tblStylePr>
    <w:tblStylePr w:type="band1Vert">
      <w:tblPr/>
      <w:tcPr>
        <w:shd w:val="clear" w:color="auto" w:fill="BDDDEA" w:themeFill="accent5" w:themeFillTint="7F"/>
      </w:tcPr>
    </w:tblStylePr>
    <w:tblStylePr w:type="band1Horz">
      <w:tblPr/>
      <w:tcPr>
        <w:shd w:val="clear" w:color="auto" w:fill="BDDDEA" w:themeFill="accent5" w:themeFillTint="7F"/>
      </w:tcPr>
    </w:tblStylePr>
  </w:style>
  <w:style w:type="table" w:styleId="MediumGrid1-Accent6">
    <w:name w:val="Medium Grid 1 Accent 6"/>
    <w:basedOn w:val="TableNormal"/>
    <w:uiPriority w:val="67"/>
    <w:semiHidden/>
    <w:unhideWhenUsed/>
    <w:rsid w:val="009637A8"/>
    <w:pPr>
      <w:spacing w:after="0" w:line="240" w:lineRule="auto"/>
    </w:pPr>
    <w:tblPr>
      <w:tblStyleRowBandSize w:val="1"/>
      <w:tblStyleColBandSize w:val="1"/>
      <w:tblBorders>
        <w:top w:val="single" w:sz="8" w:space="0" w:color="64B675" w:themeColor="accent6" w:themeTint="BF"/>
        <w:left w:val="single" w:sz="8" w:space="0" w:color="64B675" w:themeColor="accent6" w:themeTint="BF"/>
        <w:bottom w:val="single" w:sz="8" w:space="0" w:color="64B675" w:themeColor="accent6" w:themeTint="BF"/>
        <w:right w:val="single" w:sz="8" w:space="0" w:color="64B675" w:themeColor="accent6" w:themeTint="BF"/>
        <w:insideH w:val="single" w:sz="8" w:space="0" w:color="64B675" w:themeColor="accent6" w:themeTint="BF"/>
        <w:insideV w:val="single" w:sz="8" w:space="0" w:color="64B675" w:themeColor="accent6" w:themeTint="BF"/>
      </w:tblBorders>
    </w:tblPr>
    <w:tcPr>
      <w:shd w:val="clear" w:color="auto" w:fill="CBE7D1" w:themeFill="accent6" w:themeFillTint="3F"/>
    </w:tcPr>
    <w:tblStylePr w:type="firstRow">
      <w:rPr>
        <w:b/>
        <w:bCs/>
      </w:rPr>
    </w:tblStylePr>
    <w:tblStylePr w:type="lastRow">
      <w:rPr>
        <w:b/>
        <w:bCs/>
      </w:rPr>
      <w:tblPr/>
      <w:tcPr>
        <w:tcBorders>
          <w:top w:val="single" w:sz="18" w:space="0" w:color="64B675" w:themeColor="accent6" w:themeTint="BF"/>
        </w:tcBorders>
      </w:tcPr>
    </w:tblStylePr>
    <w:tblStylePr w:type="firstCol">
      <w:rPr>
        <w:b/>
        <w:bCs/>
      </w:rPr>
    </w:tblStylePr>
    <w:tblStylePr w:type="lastCol">
      <w:rPr>
        <w:b/>
        <w:bCs/>
      </w:rPr>
    </w:tblStylePr>
    <w:tblStylePr w:type="band1Vert">
      <w:tblPr/>
      <w:tcPr>
        <w:shd w:val="clear" w:color="auto" w:fill="98CFA3" w:themeFill="accent6" w:themeFillTint="7F"/>
      </w:tcPr>
    </w:tblStylePr>
    <w:tblStylePr w:type="band1Horz">
      <w:tblPr/>
      <w:tcPr>
        <w:shd w:val="clear" w:color="auto" w:fill="98CFA3" w:themeFill="accent6" w:themeFillTint="7F"/>
      </w:tcPr>
    </w:tblStylePr>
  </w:style>
  <w:style w:type="table" w:styleId="MediumGrid2">
    <w:name w:val="Medium Grid 2"/>
    <w:basedOn w:val="TableNormal"/>
    <w:uiPriority w:val="68"/>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9D85BE" w:themeColor="accent1"/>
        <w:left w:val="single" w:sz="8" w:space="0" w:color="9D85BE" w:themeColor="accent1"/>
        <w:bottom w:val="single" w:sz="8" w:space="0" w:color="9D85BE" w:themeColor="accent1"/>
        <w:right w:val="single" w:sz="8" w:space="0" w:color="9D85BE" w:themeColor="accent1"/>
        <w:insideH w:val="single" w:sz="8" w:space="0" w:color="9D85BE" w:themeColor="accent1"/>
        <w:insideV w:val="single" w:sz="8" w:space="0" w:color="9D85BE" w:themeColor="accent1"/>
      </w:tblBorders>
    </w:tblPr>
    <w:tcPr>
      <w:shd w:val="clear" w:color="auto" w:fill="E6E0EF" w:themeFill="accent1" w:themeFillTint="3F"/>
    </w:tcPr>
    <w:tblStylePr w:type="firstRow">
      <w:rPr>
        <w:b/>
        <w:bCs/>
        <w:color w:val="000000" w:themeColor="text1"/>
      </w:rPr>
      <w:tblPr/>
      <w:tcPr>
        <w:shd w:val="clear" w:color="auto" w:fill="F5F3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1" w:themeFillTint="33"/>
      </w:tcPr>
    </w:tblStylePr>
    <w:tblStylePr w:type="band1Vert">
      <w:tblPr/>
      <w:tcPr>
        <w:shd w:val="clear" w:color="auto" w:fill="CEC2DE" w:themeFill="accent1" w:themeFillTint="7F"/>
      </w:tcPr>
    </w:tblStylePr>
    <w:tblStylePr w:type="band1Horz">
      <w:tblPr/>
      <w:tcPr>
        <w:tcBorders>
          <w:insideH w:val="single" w:sz="6" w:space="0" w:color="9D85BE" w:themeColor="accent1"/>
          <w:insideV w:val="single" w:sz="6" w:space="0" w:color="9D85BE" w:themeColor="accent1"/>
        </w:tcBorders>
        <w:shd w:val="clear" w:color="auto" w:fill="CEC2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7D7D7D" w:themeColor="accent2"/>
        <w:left w:val="single" w:sz="8" w:space="0" w:color="7D7D7D" w:themeColor="accent2"/>
        <w:bottom w:val="single" w:sz="8" w:space="0" w:color="7D7D7D" w:themeColor="accent2"/>
        <w:right w:val="single" w:sz="8" w:space="0" w:color="7D7D7D" w:themeColor="accent2"/>
        <w:insideH w:val="single" w:sz="8" w:space="0" w:color="7D7D7D" w:themeColor="accent2"/>
        <w:insideV w:val="single" w:sz="8" w:space="0" w:color="7D7D7D" w:themeColor="accent2"/>
      </w:tblBorders>
    </w:tblPr>
    <w:tcPr>
      <w:shd w:val="clear" w:color="auto" w:fill="DEDEDE" w:themeFill="accent2" w:themeFillTint="3F"/>
    </w:tcPr>
    <w:tblStylePr w:type="firstRow">
      <w:rPr>
        <w:b/>
        <w:bCs/>
        <w:color w:val="000000" w:themeColor="text1"/>
      </w:rPr>
      <w:tblPr/>
      <w:tcPr>
        <w:shd w:val="clear" w:color="auto" w:fill="F2F2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2" w:themeFillTint="33"/>
      </w:tcPr>
    </w:tblStylePr>
    <w:tblStylePr w:type="band1Vert">
      <w:tblPr/>
      <w:tcPr>
        <w:shd w:val="clear" w:color="auto" w:fill="BEBEBE" w:themeFill="accent2" w:themeFillTint="7F"/>
      </w:tcPr>
    </w:tblStylePr>
    <w:tblStylePr w:type="band1Horz">
      <w:tblPr/>
      <w:tcPr>
        <w:tcBorders>
          <w:insideH w:val="single" w:sz="6" w:space="0" w:color="7D7D7D" w:themeColor="accent2"/>
          <w:insideV w:val="single" w:sz="6" w:space="0" w:color="7D7D7D" w:themeColor="accent2"/>
        </w:tcBorders>
        <w:shd w:val="clear" w:color="auto" w:fill="BEBEB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C8C8C8" w:themeColor="accent3"/>
        <w:left w:val="single" w:sz="8" w:space="0" w:color="C8C8C8" w:themeColor="accent3"/>
        <w:bottom w:val="single" w:sz="8" w:space="0" w:color="C8C8C8" w:themeColor="accent3"/>
        <w:right w:val="single" w:sz="8" w:space="0" w:color="C8C8C8" w:themeColor="accent3"/>
        <w:insideH w:val="single" w:sz="8" w:space="0" w:color="C8C8C8" w:themeColor="accent3"/>
        <w:insideV w:val="single" w:sz="8" w:space="0" w:color="C8C8C8" w:themeColor="accent3"/>
      </w:tblBorders>
    </w:tblPr>
    <w:tcPr>
      <w:shd w:val="clear" w:color="auto" w:fill="F1F1F1" w:themeFill="accent3" w:themeFillTint="3F"/>
    </w:tcPr>
    <w:tblStylePr w:type="firstRow">
      <w:rPr>
        <w:b/>
        <w:bCs/>
        <w:color w:val="000000" w:themeColor="text1"/>
      </w:rPr>
      <w:tblPr/>
      <w:tcPr>
        <w:shd w:val="clear" w:color="auto" w:fill="F9F9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4F4" w:themeFill="accent3" w:themeFillTint="33"/>
      </w:tcPr>
    </w:tblStylePr>
    <w:tblStylePr w:type="band1Vert">
      <w:tblPr/>
      <w:tcPr>
        <w:shd w:val="clear" w:color="auto" w:fill="E3E3E3" w:themeFill="accent3" w:themeFillTint="7F"/>
      </w:tcPr>
    </w:tblStylePr>
    <w:tblStylePr w:type="band1Horz">
      <w:tblPr/>
      <w:tcPr>
        <w:tcBorders>
          <w:insideH w:val="single" w:sz="6" w:space="0" w:color="C8C8C8" w:themeColor="accent3"/>
          <w:insideV w:val="single" w:sz="6" w:space="0" w:color="C8C8C8" w:themeColor="accent3"/>
        </w:tcBorders>
        <w:shd w:val="clear" w:color="auto" w:fill="E3E3E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006A9F" w:themeColor="accent4"/>
        <w:left w:val="single" w:sz="8" w:space="0" w:color="006A9F" w:themeColor="accent4"/>
        <w:bottom w:val="single" w:sz="8" w:space="0" w:color="006A9F" w:themeColor="accent4"/>
        <w:right w:val="single" w:sz="8" w:space="0" w:color="006A9F" w:themeColor="accent4"/>
        <w:insideH w:val="single" w:sz="8" w:space="0" w:color="006A9F" w:themeColor="accent4"/>
        <w:insideV w:val="single" w:sz="8" w:space="0" w:color="006A9F" w:themeColor="accent4"/>
      </w:tblBorders>
    </w:tblPr>
    <w:tcPr>
      <w:shd w:val="clear" w:color="auto" w:fill="A8E2FF" w:themeFill="accent4" w:themeFillTint="3F"/>
    </w:tcPr>
    <w:tblStylePr w:type="firstRow">
      <w:rPr>
        <w:b/>
        <w:bCs/>
        <w:color w:val="000000" w:themeColor="text1"/>
      </w:rPr>
      <w:tblPr/>
      <w:tcPr>
        <w:shd w:val="clear" w:color="auto" w:fill="DCF3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E7FF" w:themeFill="accent4" w:themeFillTint="33"/>
      </w:tcPr>
    </w:tblStylePr>
    <w:tblStylePr w:type="band1Vert">
      <w:tblPr/>
      <w:tcPr>
        <w:shd w:val="clear" w:color="auto" w:fill="50C4FF" w:themeFill="accent4" w:themeFillTint="7F"/>
      </w:tcPr>
    </w:tblStylePr>
    <w:tblStylePr w:type="band1Horz">
      <w:tblPr/>
      <w:tcPr>
        <w:tcBorders>
          <w:insideH w:val="single" w:sz="6" w:space="0" w:color="006A9F" w:themeColor="accent4"/>
          <w:insideV w:val="single" w:sz="6" w:space="0" w:color="006A9F" w:themeColor="accent4"/>
        </w:tcBorders>
        <w:shd w:val="clear" w:color="auto" w:fill="50C4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7BBDD6" w:themeColor="accent5"/>
        <w:left w:val="single" w:sz="8" w:space="0" w:color="7BBDD6" w:themeColor="accent5"/>
        <w:bottom w:val="single" w:sz="8" w:space="0" w:color="7BBDD6" w:themeColor="accent5"/>
        <w:right w:val="single" w:sz="8" w:space="0" w:color="7BBDD6" w:themeColor="accent5"/>
        <w:insideH w:val="single" w:sz="8" w:space="0" w:color="7BBDD6" w:themeColor="accent5"/>
        <w:insideV w:val="single" w:sz="8" w:space="0" w:color="7BBDD6" w:themeColor="accent5"/>
      </w:tblBorders>
    </w:tblPr>
    <w:tcPr>
      <w:shd w:val="clear" w:color="auto" w:fill="DEEEF4" w:themeFill="accent5" w:themeFillTint="3F"/>
    </w:tcPr>
    <w:tblStylePr w:type="firstRow">
      <w:rPr>
        <w:b/>
        <w:bCs/>
        <w:color w:val="000000" w:themeColor="text1"/>
      </w:rPr>
      <w:tblPr/>
      <w:tcPr>
        <w:shd w:val="clear" w:color="auto" w:fill="F2F8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1F6" w:themeFill="accent5" w:themeFillTint="33"/>
      </w:tcPr>
    </w:tblStylePr>
    <w:tblStylePr w:type="band1Vert">
      <w:tblPr/>
      <w:tcPr>
        <w:shd w:val="clear" w:color="auto" w:fill="BDDDEA" w:themeFill="accent5" w:themeFillTint="7F"/>
      </w:tcPr>
    </w:tblStylePr>
    <w:tblStylePr w:type="band1Horz">
      <w:tblPr/>
      <w:tcPr>
        <w:tcBorders>
          <w:insideH w:val="single" w:sz="6" w:space="0" w:color="7BBDD6" w:themeColor="accent5"/>
          <w:insideV w:val="single" w:sz="6" w:space="0" w:color="7BBDD6" w:themeColor="accent5"/>
        </w:tcBorders>
        <w:shd w:val="clear" w:color="auto" w:fill="BDDD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428D52" w:themeColor="accent6"/>
        <w:left w:val="single" w:sz="8" w:space="0" w:color="428D52" w:themeColor="accent6"/>
        <w:bottom w:val="single" w:sz="8" w:space="0" w:color="428D52" w:themeColor="accent6"/>
        <w:right w:val="single" w:sz="8" w:space="0" w:color="428D52" w:themeColor="accent6"/>
        <w:insideH w:val="single" w:sz="8" w:space="0" w:color="428D52" w:themeColor="accent6"/>
        <w:insideV w:val="single" w:sz="8" w:space="0" w:color="428D52" w:themeColor="accent6"/>
      </w:tblBorders>
    </w:tblPr>
    <w:tcPr>
      <w:shd w:val="clear" w:color="auto" w:fill="CBE7D1" w:themeFill="accent6" w:themeFillTint="3F"/>
    </w:tcPr>
    <w:tblStylePr w:type="firstRow">
      <w:rPr>
        <w:b/>
        <w:bCs/>
        <w:color w:val="000000" w:themeColor="text1"/>
      </w:rPr>
      <w:tblPr/>
      <w:tcPr>
        <w:shd w:val="clear" w:color="auto" w:fill="EAF5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EBDA" w:themeFill="accent6" w:themeFillTint="33"/>
      </w:tcPr>
    </w:tblStylePr>
    <w:tblStylePr w:type="band1Vert">
      <w:tblPr/>
      <w:tcPr>
        <w:shd w:val="clear" w:color="auto" w:fill="98CFA3" w:themeFill="accent6" w:themeFillTint="7F"/>
      </w:tcPr>
    </w:tblStylePr>
    <w:tblStylePr w:type="band1Horz">
      <w:tblPr/>
      <w:tcPr>
        <w:tcBorders>
          <w:insideH w:val="single" w:sz="6" w:space="0" w:color="428D52" w:themeColor="accent6"/>
          <w:insideV w:val="single" w:sz="6" w:space="0" w:color="428D52" w:themeColor="accent6"/>
        </w:tcBorders>
        <w:shd w:val="clear" w:color="auto" w:fill="98CFA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637A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637A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85B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85B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85B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85B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2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2DE" w:themeFill="accent1" w:themeFillTint="7F"/>
      </w:tcPr>
    </w:tblStylePr>
  </w:style>
  <w:style w:type="table" w:styleId="MediumGrid3-Accent2">
    <w:name w:val="Medium Grid 3 Accent 2"/>
    <w:basedOn w:val="TableNormal"/>
    <w:uiPriority w:val="69"/>
    <w:semiHidden/>
    <w:unhideWhenUsed/>
    <w:rsid w:val="009637A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DE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7D7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7D7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7D7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7D7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EB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EBE" w:themeFill="accent2" w:themeFillTint="7F"/>
      </w:tcPr>
    </w:tblStylePr>
  </w:style>
  <w:style w:type="table" w:styleId="MediumGrid3-Accent3">
    <w:name w:val="Medium Grid 3 Accent 3"/>
    <w:basedOn w:val="TableNormal"/>
    <w:uiPriority w:val="69"/>
    <w:semiHidden/>
    <w:unhideWhenUsed/>
    <w:rsid w:val="009637A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F1F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C8C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C8C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C8C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C8C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3E3E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3E3E3" w:themeFill="accent3" w:themeFillTint="7F"/>
      </w:tcPr>
    </w:tblStylePr>
  </w:style>
  <w:style w:type="table" w:styleId="MediumGrid3-Accent4">
    <w:name w:val="Medium Grid 3 Accent 4"/>
    <w:basedOn w:val="TableNormal"/>
    <w:uiPriority w:val="69"/>
    <w:semiHidden/>
    <w:unhideWhenUsed/>
    <w:rsid w:val="009637A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E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A9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A9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A9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A9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0C4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0C4FF" w:themeFill="accent4" w:themeFillTint="7F"/>
      </w:tcPr>
    </w:tblStylePr>
  </w:style>
  <w:style w:type="table" w:styleId="MediumGrid3-Accent5">
    <w:name w:val="Medium Grid 3 Accent 5"/>
    <w:basedOn w:val="TableNormal"/>
    <w:uiPriority w:val="69"/>
    <w:semiHidden/>
    <w:unhideWhenUsed/>
    <w:rsid w:val="009637A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E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BBDD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BBDD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BBDD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BBDD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DD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DDEA" w:themeFill="accent5" w:themeFillTint="7F"/>
      </w:tcPr>
    </w:tblStylePr>
  </w:style>
  <w:style w:type="table" w:styleId="MediumGrid3-Accent6">
    <w:name w:val="Medium Grid 3 Accent 6"/>
    <w:basedOn w:val="TableNormal"/>
    <w:uiPriority w:val="69"/>
    <w:semiHidden/>
    <w:unhideWhenUsed/>
    <w:rsid w:val="009637A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E7D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28D5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28D5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28D5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28D5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8CFA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8CFA3" w:themeFill="accent6" w:themeFillTint="7F"/>
      </w:tcPr>
    </w:tblStylePr>
  </w:style>
  <w:style w:type="table" w:styleId="MediumList1">
    <w:name w:val="Medium List 1"/>
    <w:basedOn w:val="TableNormal"/>
    <w:uiPriority w:val="65"/>
    <w:semiHidden/>
    <w:unhideWhenUsed/>
    <w:rsid w:val="009637A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C3F99"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637A8"/>
    <w:pPr>
      <w:spacing w:after="0" w:line="240" w:lineRule="auto"/>
    </w:pPr>
    <w:rPr>
      <w:color w:val="000000" w:themeColor="text1"/>
    </w:rPr>
    <w:tblPr>
      <w:tblStyleRowBandSize w:val="1"/>
      <w:tblStyleColBandSize w:val="1"/>
      <w:tblBorders>
        <w:top w:val="single" w:sz="8" w:space="0" w:color="9D85BE" w:themeColor="accent1"/>
        <w:bottom w:val="single" w:sz="8" w:space="0" w:color="9D85BE" w:themeColor="accent1"/>
      </w:tblBorders>
    </w:tblPr>
    <w:tblStylePr w:type="firstRow">
      <w:rPr>
        <w:rFonts w:asciiTheme="majorHAnsi" w:eastAsiaTheme="majorEastAsia" w:hAnsiTheme="majorHAnsi" w:cstheme="majorBidi"/>
      </w:rPr>
      <w:tblPr/>
      <w:tcPr>
        <w:tcBorders>
          <w:top w:val="nil"/>
          <w:bottom w:val="single" w:sz="8" w:space="0" w:color="9D85BE" w:themeColor="accent1"/>
        </w:tcBorders>
      </w:tcPr>
    </w:tblStylePr>
    <w:tblStylePr w:type="lastRow">
      <w:rPr>
        <w:b/>
        <w:bCs/>
        <w:color w:val="6C3F99" w:themeColor="text2"/>
      </w:rPr>
      <w:tblPr/>
      <w:tcPr>
        <w:tcBorders>
          <w:top w:val="single" w:sz="8" w:space="0" w:color="9D85BE" w:themeColor="accent1"/>
          <w:bottom w:val="single" w:sz="8" w:space="0" w:color="9D85BE" w:themeColor="accent1"/>
        </w:tcBorders>
      </w:tcPr>
    </w:tblStylePr>
    <w:tblStylePr w:type="firstCol">
      <w:rPr>
        <w:b/>
        <w:bCs/>
      </w:rPr>
    </w:tblStylePr>
    <w:tblStylePr w:type="lastCol">
      <w:rPr>
        <w:b/>
        <w:bCs/>
      </w:rPr>
      <w:tblPr/>
      <w:tcPr>
        <w:tcBorders>
          <w:top w:val="single" w:sz="8" w:space="0" w:color="9D85BE" w:themeColor="accent1"/>
          <w:bottom w:val="single" w:sz="8" w:space="0" w:color="9D85BE" w:themeColor="accent1"/>
        </w:tcBorders>
      </w:tcPr>
    </w:tblStylePr>
    <w:tblStylePr w:type="band1Vert">
      <w:tblPr/>
      <w:tcPr>
        <w:shd w:val="clear" w:color="auto" w:fill="E6E0EF" w:themeFill="accent1" w:themeFillTint="3F"/>
      </w:tcPr>
    </w:tblStylePr>
    <w:tblStylePr w:type="band1Horz">
      <w:tblPr/>
      <w:tcPr>
        <w:shd w:val="clear" w:color="auto" w:fill="E6E0EF" w:themeFill="accent1" w:themeFillTint="3F"/>
      </w:tcPr>
    </w:tblStylePr>
  </w:style>
  <w:style w:type="table" w:styleId="MediumList1-Accent2">
    <w:name w:val="Medium List 1 Accent 2"/>
    <w:basedOn w:val="TableNormal"/>
    <w:uiPriority w:val="65"/>
    <w:semiHidden/>
    <w:unhideWhenUsed/>
    <w:rsid w:val="009637A8"/>
    <w:pPr>
      <w:spacing w:after="0" w:line="240" w:lineRule="auto"/>
    </w:pPr>
    <w:rPr>
      <w:color w:val="000000" w:themeColor="text1"/>
    </w:rPr>
    <w:tblPr>
      <w:tblStyleRowBandSize w:val="1"/>
      <w:tblStyleColBandSize w:val="1"/>
      <w:tblBorders>
        <w:top w:val="single" w:sz="8" w:space="0" w:color="7D7D7D" w:themeColor="accent2"/>
        <w:bottom w:val="single" w:sz="8" w:space="0" w:color="7D7D7D" w:themeColor="accent2"/>
      </w:tblBorders>
    </w:tblPr>
    <w:tblStylePr w:type="firstRow">
      <w:rPr>
        <w:rFonts w:asciiTheme="majorHAnsi" w:eastAsiaTheme="majorEastAsia" w:hAnsiTheme="majorHAnsi" w:cstheme="majorBidi"/>
      </w:rPr>
      <w:tblPr/>
      <w:tcPr>
        <w:tcBorders>
          <w:top w:val="nil"/>
          <w:bottom w:val="single" w:sz="8" w:space="0" w:color="7D7D7D" w:themeColor="accent2"/>
        </w:tcBorders>
      </w:tcPr>
    </w:tblStylePr>
    <w:tblStylePr w:type="lastRow">
      <w:rPr>
        <w:b/>
        <w:bCs/>
        <w:color w:val="6C3F99" w:themeColor="text2"/>
      </w:rPr>
      <w:tblPr/>
      <w:tcPr>
        <w:tcBorders>
          <w:top w:val="single" w:sz="8" w:space="0" w:color="7D7D7D" w:themeColor="accent2"/>
          <w:bottom w:val="single" w:sz="8" w:space="0" w:color="7D7D7D" w:themeColor="accent2"/>
        </w:tcBorders>
      </w:tcPr>
    </w:tblStylePr>
    <w:tblStylePr w:type="firstCol">
      <w:rPr>
        <w:b/>
        <w:bCs/>
      </w:rPr>
    </w:tblStylePr>
    <w:tblStylePr w:type="lastCol">
      <w:rPr>
        <w:b/>
        <w:bCs/>
      </w:rPr>
      <w:tblPr/>
      <w:tcPr>
        <w:tcBorders>
          <w:top w:val="single" w:sz="8" w:space="0" w:color="7D7D7D" w:themeColor="accent2"/>
          <w:bottom w:val="single" w:sz="8" w:space="0" w:color="7D7D7D" w:themeColor="accent2"/>
        </w:tcBorders>
      </w:tcPr>
    </w:tblStylePr>
    <w:tblStylePr w:type="band1Vert">
      <w:tblPr/>
      <w:tcPr>
        <w:shd w:val="clear" w:color="auto" w:fill="DEDEDE" w:themeFill="accent2" w:themeFillTint="3F"/>
      </w:tcPr>
    </w:tblStylePr>
    <w:tblStylePr w:type="band1Horz">
      <w:tblPr/>
      <w:tcPr>
        <w:shd w:val="clear" w:color="auto" w:fill="DEDEDE" w:themeFill="accent2" w:themeFillTint="3F"/>
      </w:tcPr>
    </w:tblStylePr>
  </w:style>
  <w:style w:type="table" w:styleId="MediumList1-Accent3">
    <w:name w:val="Medium List 1 Accent 3"/>
    <w:basedOn w:val="TableNormal"/>
    <w:uiPriority w:val="65"/>
    <w:semiHidden/>
    <w:unhideWhenUsed/>
    <w:rsid w:val="009637A8"/>
    <w:pPr>
      <w:spacing w:after="0" w:line="240" w:lineRule="auto"/>
    </w:pPr>
    <w:rPr>
      <w:color w:val="000000" w:themeColor="text1"/>
    </w:rPr>
    <w:tblPr>
      <w:tblStyleRowBandSize w:val="1"/>
      <w:tblStyleColBandSize w:val="1"/>
      <w:tblBorders>
        <w:top w:val="single" w:sz="8" w:space="0" w:color="C8C8C8" w:themeColor="accent3"/>
        <w:bottom w:val="single" w:sz="8" w:space="0" w:color="C8C8C8" w:themeColor="accent3"/>
      </w:tblBorders>
    </w:tblPr>
    <w:tblStylePr w:type="firstRow">
      <w:rPr>
        <w:rFonts w:asciiTheme="majorHAnsi" w:eastAsiaTheme="majorEastAsia" w:hAnsiTheme="majorHAnsi" w:cstheme="majorBidi"/>
      </w:rPr>
      <w:tblPr/>
      <w:tcPr>
        <w:tcBorders>
          <w:top w:val="nil"/>
          <w:bottom w:val="single" w:sz="8" w:space="0" w:color="C8C8C8" w:themeColor="accent3"/>
        </w:tcBorders>
      </w:tcPr>
    </w:tblStylePr>
    <w:tblStylePr w:type="lastRow">
      <w:rPr>
        <w:b/>
        <w:bCs/>
        <w:color w:val="6C3F99" w:themeColor="text2"/>
      </w:rPr>
      <w:tblPr/>
      <w:tcPr>
        <w:tcBorders>
          <w:top w:val="single" w:sz="8" w:space="0" w:color="C8C8C8" w:themeColor="accent3"/>
          <w:bottom w:val="single" w:sz="8" w:space="0" w:color="C8C8C8" w:themeColor="accent3"/>
        </w:tcBorders>
      </w:tcPr>
    </w:tblStylePr>
    <w:tblStylePr w:type="firstCol">
      <w:rPr>
        <w:b/>
        <w:bCs/>
      </w:rPr>
    </w:tblStylePr>
    <w:tblStylePr w:type="lastCol">
      <w:rPr>
        <w:b/>
        <w:bCs/>
      </w:rPr>
      <w:tblPr/>
      <w:tcPr>
        <w:tcBorders>
          <w:top w:val="single" w:sz="8" w:space="0" w:color="C8C8C8" w:themeColor="accent3"/>
          <w:bottom w:val="single" w:sz="8" w:space="0" w:color="C8C8C8" w:themeColor="accent3"/>
        </w:tcBorders>
      </w:tcPr>
    </w:tblStylePr>
    <w:tblStylePr w:type="band1Vert">
      <w:tblPr/>
      <w:tcPr>
        <w:shd w:val="clear" w:color="auto" w:fill="F1F1F1" w:themeFill="accent3" w:themeFillTint="3F"/>
      </w:tcPr>
    </w:tblStylePr>
    <w:tblStylePr w:type="band1Horz">
      <w:tblPr/>
      <w:tcPr>
        <w:shd w:val="clear" w:color="auto" w:fill="F1F1F1" w:themeFill="accent3" w:themeFillTint="3F"/>
      </w:tcPr>
    </w:tblStylePr>
  </w:style>
  <w:style w:type="table" w:styleId="MediumList1-Accent4">
    <w:name w:val="Medium List 1 Accent 4"/>
    <w:basedOn w:val="TableNormal"/>
    <w:uiPriority w:val="65"/>
    <w:semiHidden/>
    <w:unhideWhenUsed/>
    <w:rsid w:val="009637A8"/>
    <w:pPr>
      <w:spacing w:after="0" w:line="240" w:lineRule="auto"/>
    </w:pPr>
    <w:rPr>
      <w:color w:val="000000" w:themeColor="text1"/>
    </w:rPr>
    <w:tblPr>
      <w:tblStyleRowBandSize w:val="1"/>
      <w:tblStyleColBandSize w:val="1"/>
      <w:tblBorders>
        <w:top w:val="single" w:sz="8" w:space="0" w:color="006A9F" w:themeColor="accent4"/>
        <w:bottom w:val="single" w:sz="8" w:space="0" w:color="006A9F" w:themeColor="accent4"/>
      </w:tblBorders>
    </w:tblPr>
    <w:tblStylePr w:type="firstRow">
      <w:rPr>
        <w:rFonts w:asciiTheme="majorHAnsi" w:eastAsiaTheme="majorEastAsia" w:hAnsiTheme="majorHAnsi" w:cstheme="majorBidi"/>
      </w:rPr>
      <w:tblPr/>
      <w:tcPr>
        <w:tcBorders>
          <w:top w:val="nil"/>
          <w:bottom w:val="single" w:sz="8" w:space="0" w:color="006A9F" w:themeColor="accent4"/>
        </w:tcBorders>
      </w:tcPr>
    </w:tblStylePr>
    <w:tblStylePr w:type="lastRow">
      <w:rPr>
        <w:b/>
        <w:bCs/>
        <w:color w:val="6C3F99" w:themeColor="text2"/>
      </w:rPr>
      <w:tblPr/>
      <w:tcPr>
        <w:tcBorders>
          <w:top w:val="single" w:sz="8" w:space="0" w:color="006A9F" w:themeColor="accent4"/>
          <w:bottom w:val="single" w:sz="8" w:space="0" w:color="006A9F" w:themeColor="accent4"/>
        </w:tcBorders>
      </w:tcPr>
    </w:tblStylePr>
    <w:tblStylePr w:type="firstCol">
      <w:rPr>
        <w:b/>
        <w:bCs/>
      </w:rPr>
    </w:tblStylePr>
    <w:tblStylePr w:type="lastCol">
      <w:rPr>
        <w:b/>
        <w:bCs/>
      </w:rPr>
      <w:tblPr/>
      <w:tcPr>
        <w:tcBorders>
          <w:top w:val="single" w:sz="8" w:space="0" w:color="006A9F" w:themeColor="accent4"/>
          <w:bottom w:val="single" w:sz="8" w:space="0" w:color="006A9F" w:themeColor="accent4"/>
        </w:tcBorders>
      </w:tcPr>
    </w:tblStylePr>
    <w:tblStylePr w:type="band1Vert">
      <w:tblPr/>
      <w:tcPr>
        <w:shd w:val="clear" w:color="auto" w:fill="A8E2FF" w:themeFill="accent4" w:themeFillTint="3F"/>
      </w:tcPr>
    </w:tblStylePr>
    <w:tblStylePr w:type="band1Horz">
      <w:tblPr/>
      <w:tcPr>
        <w:shd w:val="clear" w:color="auto" w:fill="A8E2FF" w:themeFill="accent4" w:themeFillTint="3F"/>
      </w:tcPr>
    </w:tblStylePr>
  </w:style>
  <w:style w:type="table" w:styleId="MediumList1-Accent5">
    <w:name w:val="Medium List 1 Accent 5"/>
    <w:basedOn w:val="TableNormal"/>
    <w:uiPriority w:val="65"/>
    <w:semiHidden/>
    <w:unhideWhenUsed/>
    <w:rsid w:val="009637A8"/>
    <w:pPr>
      <w:spacing w:after="0" w:line="240" w:lineRule="auto"/>
    </w:pPr>
    <w:rPr>
      <w:color w:val="000000" w:themeColor="text1"/>
    </w:rPr>
    <w:tblPr>
      <w:tblStyleRowBandSize w:val="1"/>
      <w:tblStyleColBandSize w:val="1"/>
      <w:tblBorders>
        <w:top w:val="single" w:sz="8" w:space="0" w:color="7BBDD6" w:themeColor="accent5"/>
        <w:bottom w:val="single" w:sz="8" w:space="0" w:color="7BBDD6" w:themeColor="accent5"/>
      </w:tblBorders>
    </w:tblPr>
    <w:tblStylePr w:type="firstRow">
      <w:rPr>
        <w:rFonts w:asciiTheme="majorHAnsi" w:eastAsiaTheme="majorEastAsia" w:hAnsiTheme="majorHAnsi" w:cstheme="majorBidi"/>
      </w:rPr>
      <w:tblPr/>
      <w:tcPr>
        <w:tcBorders>
          <w:top w:val="nil"/>
          <w:bottom w:val="single" w:sz="8" w:space="0" w:color="7BBDD6" w:themeColor="accent5"/>
        </w:tcBorders>
      </w:tcPr>
    </w:tblStylePr>
    <w:tblStylePr w:type="lastRow">
      <w:rPr>
        <w:b/>
        <w:bCs/>
        <w:color w:val="6C3F99" w:themeColor="text2"/>
      </w:rPr>
      <w:tblPr/>
      <w:tcPr>
        <w:tcBorders>
          <w:top w:val="single" w:sz="8" w:space="0" w:color="7BBDD6" w:themeColor="accent5"/>
          <w:bottom w:val="single" w:sz="8" w:space="0" w:color="7BBDD6" w:themeColor="accent5"/>
        </w:tcBorders>
      </w:tcPr>
    </w:tblStylePr>
    <w:tblStylePr w:type="firstCol">
      <w:rPr>
        <w:b/>
        <w:bCs/>
      </w:rPr>
    </w:tblStylePr>
    <w:tblStylePr w:type="lastCol">
      <w:rPr>
        <w:b/>
        <w:bCs/>
      </w:rPr>
      <w:tblPr/>
      <w:tcPr>
        <w:tcBorders>
          <w:top w:val="single" w:sz="8" w:space="0" w:color="7BBDD6" w:themeColor="accent5"/>
          <w:bottom w:val="single" w:sz="8" w:space="0" w:color="7BBDD6" w:themeColor="accent5"/>
        </w:tcBorders>
      </w:tcPr>
    </w:tblStylePr>
    <w:tblStylePr w:type="band1Vert">
      <w:tblPr/>
      <w:tcPr>
        <w:shd w:val="clear" w:color="auto" w:fill="DEEEF4" w:themeFill="accent5" w:themeFillTint="3F"/>
      </w:tcPr>
    </w:tblStylePr>
    <w:tblStylePr w:type="band1Horz">
      <w:tblPr/>
      <w:tcPr>
        <w:shd w:val="clear" w:color="auto" w:fill="DEEEF4" w:themeFill="accent5" w:themeFillTint="3F"/>
      </w:tcPr>
    </w:tblStylePr>
  </w:style>
  <w:style w:type="table" w:styleId="MediumList1-Accent6">
    <w:name w:val="Medium List 1 Accent 6"/>
    <w:basedOn w:val="TableNormal"/>
    <w:uiPriority w:val="65"/>
    <w:semiHidden/>
    <w:unhideWhenUsed/>
    <w:rsid w:val="009637A8"/>
    <w:pPr>
      <w:spacing w:after="0" w:line="240" w:lineRule="auto"/>
    </w:pPr>
    <w:rPr>
      <w:color w:val="000000" w:themeColor="text1"/>
    </w:rPr>
    <w:tblPr>
      <w:tblStyleRowBandSize w:val="1"/>
      <w:tblStyleColBandSize w:val="1"/>
      <w:tblBorders>
        <w:top w:val="single" w:sz="8" w:space="0" w:color="428D52" w:themeColor="accent6"/>
        <w:bottom w:val="single" w:sz="8" w:space="0" w:color="428D52" w:themeColor="accent6"/>
      </w:tblBorders>
    </w:tblPr>
    <w:tblStylePr w:type="firstRow">
      <w:rPr>
        <w:rFonts w:asciiTheme="majorHAnsi" w:eastAsiaTheme="majorEastAsia" w:hAnsiTheme="majorHAnsi" w:cstheme="majorBidi"/>
      </w:rPr>
      <w:tblPr/>
      <w:tcPr>
        <w:tcBorders>
          <w:top w:val="nil"/>
          <w:bottom w:val="single" w:sz="8" w:space="0" w:color="428D52" w:themeColor="accent6"/>
        </w:tcBorders>
      </w:tcPr>
    </w:tblStylePr>
    <w:tblStylePr w:type="lastRow">
      <w:rPr>
        <w:b/>
        <w:bCs/>
        <w:color w:val="6C3F99" w:themeColor="text2"/>
      </w:rPr>
      <w:tblPr/>
      <w:tcPr>
        <w:tcBorders>
          <w:top w:val="single" w:sz="8" w:space="0" w:color="428D52" w:themeColor="accent6"/>
          <w:bottom w:val="single" w:sz="8" w:space="0" w:color="428D52" w:themeColor="accent6"/>
        </w:tcBorders>
      </w:tcPr>
    </w:tblStylePr>
    <w:tblStylePr w:type="firstCol">
      <w:rPr>
        <w:b/>
        <w:bCs/>
      </w:rPr>
    </w:tblStylePr>
    <w:tblStylePr w:type="lastCol">
      <w:rPr>
        <w:b/>
        <w:bCs/>
      </w:rPr>
      <w:tblPr/>
      <w:tcPr>
        <w:tcBorders>
          <w:top w:val="single" w:sz="8" w:space="0" w:color="428D52" w:themeColor="accent6"/>
          <w:bottom w:val="single" w:sz="8" w:space="0" w:color="428D52" w:themeColor="accent6"/>
        </w:tcBorders>
      </w:tcPr>
    </w:tblStylePr>
    <w:tblStylePr w:type="band1Vert">
      <w:tblPr/>
      <w:tcPr>
        <w:shd w:val="clear" w:color="auto" w:fill="CBE7D1" w:themeFill="accent6" w:themeFillTint="3F"/>
      </w:tcPr>
    </w:tblStylePr>
    <w:tblStylePr w:type="band1Horz">
      <w:tblPr/>
      <w:tcPr>
        <w:shd w:val="clear" w:color="auto" w:fill="CBE7D1" w:themeFill="accent6" w:themeFillTint="3F"/>
      </w:tcPr>
    </w:tblStylePr>
  </w:style>
  <w:style w:type="table" w:styleId="MediumList2">
    <w:name w:val="Medium List 2"/>
    <w:basedOn w:val="TableNormal"/>
    <w:uiPriority w:val="66"/>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9D85BE" w:themeColor="accent1"/>
        <w:left w:val="single" w:sz="8" w:space="0" w:color="9D85BE" w:themeColor="accent1"/>
        <w:bottom w:val="single" w:sz="8" w:space="0" w:color="9D85BE" w:themeColor="accent1"/>
        <w:right w:val="single" w:sz="8" w:space="0" w:color="9D85BE" w:themeColor="accent1"/>
      </w:tblBorders>
    </w:tblPr>
    <w:tblStylePr w:type="firstRow">
      <w:rPr>
        <w:sz w:val="24"/>
        <w:szCs w:val="24"/>
      </w:rPr>
      <w:tblPr/>
      <w:tcPr>
        <w:tcBorders>
          <w:top w:val="nil"/>
          <w:left w:val="nil"/>
          <w:bottom w:val="single" w:sz="24" w:space="0" w:color="9D85BE" w:themeColor="accent1"/>
          <w:right w:val="nil"/>
          <w:insideH w:val="nil"/>
          <w:insideV w:val="nil"/>
        </w:tcBorders>
        <w:shd w:val="clear" w:color="auto" w:fill="FFFFFF" w:themeFill="background1"/>
      </w:tcPr>
    </w:tblStylePr>
    <w:tblStylePr w:type="lastRow">
      <w:tblPr/>
      <w:tcPr>
        <w:tcBorders>
          <w:top w:val="single" w:sz="8" w:space="0" w:color="9D85B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85BE" w:themeColor="accent1"/>
          <w:insideH w:val="nil"/>
          <w:insideV w:val="nil"/>
        </w:tcBorders>
        <w:shd w:val="clear" w:color="auto" w:fill="FFFFFF" w:themeFill="background1"/>
      </w:tcPr>
    </w:tblStylePr>
    <w:tblStylePr w:type="lastCol">
      <w:tblPr/>
      <w:tcPr>
        <w:tcBorders>
          <w:top w:val="nil"/>
          <w:left w:val="single" w:sz="8" w:space="0" w:color="9D85B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1" w:themeFillTint="3F"/>
      </w:tcPr>
    </w:tblStylePr>
    <w:tblStylePr w:type="band1Horz">
      <w:tblPr/>
      <w:tcPr>
        <w:tcBorders>
          <w:top w:val="nil"/>
          <w:bottom w:val="nil"/>
          <w:insideH w:val="nil"/>
          <w:insideV w:val="nil"/>
        </w:tcBorders>
        <w:shd w:val="clear" w:color="auto" w:fill="E6E0E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7D7D7D" w:themeColor="accent2"/>
        <w:left w:val="single" w:sz="8" w:space="0" w:color="7D7D7D" w:themeColor="accent2"/>
        <w:bottom w:val="single" w:sz="8" w:space="0" w:color="7D7D7D" w:themeColor="accent2"/>
        <w:right w:val="single" w:sz="8" w:space="0" w:color="7D7D7D" w:themeColor="accent2"/>
      </w:tblBorders>
    </w:tblPr>
    <w:tblStylePr w:type="firstRow">
      <w:rPr>
        <w:sz w:val="24"/>
        <w:szCs w:val="24"/>
      </w:rPr>
      <w:tblPr/>
      <w:tcPr>
        <w:tcBorders>
          <w:top w:val="nil"/>
          <w:left w:val="nil"/>
          <w:bottom w:val="single" w:sz="24" w:space="0" w:color="7D7D7D" w:themeColor="accent2"/>
          <w:right w:val="nil"/>
          <w:insideH w:val="nil"/>
          <w:insideV w:val="nil"/>
        </w:tcBorders>
        <w:shd w:val="clear" w:color="auto" w:fill="FFFFFF" w:themeFill="background1"/>
      </w:tcPr>
    </w:tblStylePr>
    <w:tblStylePr w:type="lastRow">
      <w:tblPr/>
      <w:tcPr>
        <w:tcBorders>
          <w:top w:val="single" w:sz="8" w:space="0" w:color="7D7D7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7D7D" w:themeColor="accent2"/>
          <w:insideH w:val="nil"/>
          <w:insideV w:val="nil"/>
        </w:tcBorders>
        <w:shd w:val="clear" w:color="auto" w:fill="FFFFFF" w:themeFill="background1"/>
      </w:tcPr>
    </w:tblStylePr>
    <w:tblStylePr w:type="lastCol">
      <w:tblPr/>
      <w:tcPr>
        <w:tcBorders>
          <w:top w:val="nil"/>
          <w:left w:val="single" w:sz="8" w:space="0" w:color="7D7D7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DEDE" w:themeFill="accent2" w:themeFillTint="3F"/>
      </w:tcPr>
    </w:tblStylePr>
    <w:tblStylePr w:type="band1Horz">
      <w:tblPr/>
      <w:tcPr>
        <w:tcBorders>
          <w:top w:val="nil"/>
          <w:bottom w:val="nil"/>
          <w:insideH w:val="nil"/>
          <w:insideV w:val="nil"/>
        </w:tcBorders>
        <w:shd w:val="clear" w:color="auto" w:fill="DEDE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C8C8C8" w:themeColor="accent3"/>
        <w:left w:val="single" w:sz="8" w:space="0" w:color="C8C8C8" w:themeColor="accent3"/>
        <w:bottom w:val="single" w:sz="8" w:space="0" w:color="C8C8C8" w:themeColor="accent3"/>
        <w:right w:val="single" w:sz="8" w:space="0" w:color="C8C8C8" w:themeColor="accent3"/>
      </w:tblBorders>
    </w:tblPr>
    <w:tblStylePr w:type="firstRow">
      <w:rPr>
        <w:sz w:val="24"/>
        <w:szCs w:val="24"/>
      </w:rPr>
      <w:tblPr/>
      <w:tcPr>
        <w:tcBorders>
          <w:top w:val="nil"/>
          <w:left w:val="nil"/>
          <w:bottom w:val="single" w:sz="24" w:space="0" w:color="C8C8C8" w:themeColor="accent3"/>
          <w:right w:val="nil"/>
          <w:insideH w:val="nil"/>
          <w:insideV w:val="nil"/>
        </w:tcBorders>
        <w:shd w:val="clear" w:color="auto" w:fill="FFFFFF" w:themeFill="background1"/>
      </w:tcPr>
    </w:tblStylePr>
    <w:tblStylePr w:type="lastRow">
      <w:tblPr/>
      <w:tcPr>
        <w:tcBorders>
          <w:top w:val="single" w:sz="8" w:space="0" w:color="C8C8C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C8C8" w:themeColor="accent3"/>
          <w:insideH w:val="nil"/>
          <w:insideV w:val="nil"/>
        </w:tcBorders>
        <w:shd w:val="clear" w:color="auto" w:fill="FFFFFF" w:themeFill="background1"/>
      </w:tcPr>
    </w:tblStylePr>
    <w:tblStylePr w:type="lastCol">
      <w:tblPr/>
      <w:tcPr>
        <w:tcBorders>
          <w:top w:val="nil"/>
          <w:left w:val="single" w:sz="8" w:space="0" w:color="C8C8C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F1F1" w:themeFill="accent3" w:themeFillTint="3F"/>
      </w:tcPr>
    </w:tblStylePr>
    <w:tblStylePr w:type="band1Horz">
      <w:tblPr/>
      <w:tcPr>
        <w:tcBorders>
          <w:top w:val="nil"/>
          <w:bottom w:val="nil"/>
          <w:insideH w:val="nil"/>
          <w:insideV w:val="nil"/>
        </w:tcBorders>
        <w:shd w:val="clear" w:color="auto" w:fill="F1F1F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006A9F" w:themeColor="accent4"/>
        <w:left w:val="single" w:sz="8" w:space="0" w:color="006A9F" w:themeColor="accent4"/>
        <w:bottom w:val="single" w:sz="8" w:space="0" w:color="006A9F" w:themeColor="accent4"/>
        <w:right w:val="single" w:sz="8" w:space="0" w:color="006A9F" w:themeColor="accent4"/>
      </w:tblBorders>
    </w:tblPr>
    <w:tblStylePr w:type="firstRow">
      <w:rPr>
        <w:sz w:val="24"/>
        <w:szCs w:val="24"/>
      </w:rPr>
      <w:tblPr/>
      <w:tcPr>
        <w:tcBorders>
          <w:top w:val="nil"/>
          <w:left w:val="nil"/>
          <w:bottom w:val="single" w:sz="24" w:space="0" w:color="006A9F" w:themeColor="accent4"/>
          <w:right w:val="nil"/>
          <w:insideH w:val="nil"/>
          <w:insideV w:val="nil"/>
        </w:tcBorders>
        <w:shd w:val="clear" w:color="auto" w:fill="FFFFFF" w:themeFill="background1"/>
      </w:tcPr>
    </w:tblStylePr>
    <w:tblStylePr w:type="lastRow">
      <w:tblPr/>
      <w:tcPr>
        <w:tcBorders>
          <w:top w:val="single" w:sz="8" w:space="0" w:color="006A9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A9F" w:themeColor="accent4"/>
          <w:insideH w:val="nil"/>
          <w:insideV w:val="nil"/>
        </w:tcBorders>
        <w:shd w:val="clear" w:color="auto" w:fill="FFFFFF" w:themeFill="background1"/>
      </w:tcPr>
    </w:tblStylePr>
    <w:tblStylePr w:type="lastCol">
      <w:tblPr/>
      <w:tcPr>
        <w:tcBorders>
          <w:top w:val="nil"/>
          <w:left w:val="single" w:sz="8" w:space="0" w:color="006A9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E2FF" w:themeFill="accent4" w:themeFillTint="3F"/>
      </w:tcPr>
    </w:tblStylePr>
    <w:tblStylePr w:type="band1Horz">
      <w:tblPr/>
      <w:tcPr>
        <w:tcBorders>
          <w:top w:val="nil"/>
          <w:bottom w:val="nil"/>
          <w:insideH w:val="nil"/>
          <w:insideV w:val="nil"/>
        </w:tcBorders>
        <w:shd w:val="clear" w:color="auto" w:fill="A8E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7BBDD6" w:themeColor="accent5"/>
        <w:left w:val="single" w:sz="8" w:space="0" w:color="7BBDD6" w:themeColor="accent5"/>
        <w:bottom w:val="single" w:sz="8" w:space="0" w:color="7BBDD6" w:themeColor="accent5"/>
        <w:right w:val="single" w:sz="8" w:space="0" w:color="7BBDD6" w:themeColor="accent5"/>
      </w:tblBorders>
    </w:tblPr>
    <w:tblStylePr w:type="firstRow">
      <w:rPr>
        <w:sz w:val="24"/>
        <w:szCs w:val="24"/>
      </w:rPr>
      <w:tblPr/>
      <w:tcPr>
        <w:tcBorders>
          <w:top w:val="nil"/>
          <w:left w:val="nil"/>
          <w:bottom w:val="single" w:sz="24" w:space="0" w:color="7BBDD6" w:themeColor="accent5"/>
          <w:right w:val="nil"/>
          <w:insideH w:val="nil"/>
          <w:insideV w:val="nil"/>
        </w:tcBorders>
        <w:shd w:val="clear" w:color="auto" w:fill="FFFFFF" w:themeFill="background1"/>
      </w:tcPr>
    </w:tblStylePr>
    <w:tblStylePr w:type="lastRow">
      <w:tblPr/>
      <w:tcPr>
        <w:tcBorders>
          <w:top w:val="single" w:sz="8" w:space="0" w:color="7BBDD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BBDD6" w:themeColor="accent5"/>
          <w:insideH w:val="nil"/>
          <w:insideV w:val="nil"/>
        </w:tcBorders>
        <w:shd w:val="clear" w:color="auto" w:fill="FFFFFF" w:themeFill="background1"/>
      </w:tcPr>
    </w:tblStylePr>
    <w:tblStylePr w:type="lastCol">
      <w:tblPr/>
      <w:tcPr>
        <w:tcBorders>
          <w:top w:val="nil"/>
          <w:left w:val="single" w:sz="8" w:space="0" w:color="7BBDD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EF4" w:themeFill="accent5" w:themeFillTint="3F"/>
      </w:tcPr>
    </w:tblStylePr>
    <w:tblStylePr w:type="band1Horz">
      <w:tblPr/>
      <w:tcPr>
        <w:tcBorders>
          <w:top w:val="nil"/>
          <w:bottom w:val="nil"/>
          <w:insideH w:val="nil"/>
          <w:insideV w:val="nil"/>
        </w:tcBorders>
        <w:shd w:val="clear" w:color="auto" w:fill="DEEE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428D52" w:themeColor="accent6"/>
        <w:left w:val="single" w:sz="8" w:space="0" w:color="428D52" w:themeColor="accent6"/>
        <w:bottom w:val="single" w:sz="8" w:space="0" w:color="428D52" w:themeColor="accent6"/>
        <w:right w:val="single" w:sz="8" w:space="0" w:color="428D52" w:themeColor="accent6"/>
      </w:tblBorders>
    </w:tblPr>
    <w:tblStylePr w:type="firstRow">
      <w:rPr>
        <w:sz w:val="24"/>
        <w:szCs w:val="24"/>
      </w:rPr>
      <w:tblPr/>
      <w:tcPr>
        <w:tcBorders>
          <w:top w:val="nil"/>
          <w:left w:val="nil"/>
          <w:bottom w:val="single" w:sz="24" w:space="0" w:color="428D52" w:themeColor="accent6"/>
          <w:right w:val="nil"/>
          <w:insideH w:val="nil"/>
          <w:insideV w:val="nil"/>
        </w:tcBorders>
        <w:shd w:val="clear" w:color="auto" w:fill="FFFFFF" w:themeFill="background1"/>
      </w:tcPr>
    </w:tblStylePr>
    <w:tblStylePr w:type="lastRow">
      <w:tblPr/>
      <w:tcPr>
        <w:tcBorders>
          <w:top w:val="single" w:sz="8" w:space="0" w:color="428D5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28D52" w:themeColor="accent6"/>
          <w:insideH w:val="nil"/>
          <w:insideV w:val="nil"/>
        </w:tcBorders>
        <w:shd w:val="clear" w:color="auto" w:fill="FFFFFF" w:themeFill="background1"/>
      </w:tcPr>
    </w:tblStylePr>
    <w:tblStylePr w:type="lastCol">
      <w:tblPr/>
      <w:tcPr>
        <w:tcBorders>
          <w:top w:val="nil"/>
          <w:left w:val="single" w:sz="8" w:space="0" w:color="428D5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7D1" w:themeFill="accent6" w:themeFillTint="3F"/>
      </w:tcPr>
    </w:tblStylePr>
    <w:tblStylePr w:type="band1Horz">
      <w:tblPr/>
      <w:tcPr>
        <w:tcBorders>
          <w:top w:val="nil"/>
          <w:bottom w:val="nil"/>
          <w:insideH w:val="nil"/>
          <w:insideV w:val="nil"/>
        </w:tcBorders>
        <w:shd w:val="clear" w:color="auto" w:fill="CBE7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637A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637A8"/>
    <w:pPr>
      <w:spacing w:after="0" w:line="240" w:lineRule="auto"/>
    </w:pPr>
    <w:tblPr>
      <w:tblStyleRowBandSize w:val="1"/>
      <w:tblStyleColBandSize w:val="1"/>
      <w:tblBorders>
        <w:top w:val="single" w:sz="8" w:space="0" w:color="B5A3CE" w:themeColor="accent1" w:themeTint="BF"/>
        <w:left w:val="single" w:sz="8" w:space="0" w:color="B5A3CE" w:themeColor="accent1" w:themeTint="BF"/>
        <w:bottom w:val="single" w:sz="8" w:space="0" w:color="B5A3CE" w:themeColor="accent1" w:themeTint="BF"/>
        <w:right w:val="single" w:sz="8" w:space="0" w:color="B5A3CE" w:themeColor="accent1" w:themeTint="BF"/>
        <w:insideH w:val="single" w:sz="8" w:space="0" w:color="B5A3CE" w:themeColor="accent1" w:themeTint="BF"/>
      </w:tblBorders>
    </w:tblPr>
    <w:tblStylePr w:type="firstRow">
      <w:pPr>
        <w:spacing w:before="0" w:after="0" w:line="240" w:lineRule="auto"/>
      </w:pPr>
      <w:rPr>
        <w:b/>
        <w:bCs/>
        <w:color w:val="FFFFFF" w:themeColor="background1"/>
      </w:rPr>
      <w:tblPr/>
      <w:tcPr>
        <w:tcBorders>
          <w:top w:val="single" w:sz="8" w:space="0" w:color="B5A3CE" w:themeColor="accent1" w:themeTint="BF"/>
          <w:left w:val="single" w:sz="8" w:space="0" w:color="B5A3CE" w:themeColor="accent1" w:themeTint="BF"/>
          <w:bottom w:val="single" w:sz="8" w:space="0" w:color="B5A3CE" w:themeColor="accent1" w:themeTint="BF"/>
          <w:right w:val="single" w:sz="8" w:space="0" w:color="B5A3CE" w:themeColor="accent1" w:themeTint="BF"/>
          <w:insideH w:val="nil"/>
          <w:insideV w:val="nil"/>
        </w:tcBorders>
        <w:shd w:val="clear" w:color="auto" w:fill="9D85BE" w:themeFill="accent1"/>
      </w:tcPr>
    </w:tblStylePr>
    <w:tblStylePr w:type="lastRow">
      <w:pPr>
        <w:spacing w:before="0" w:after="0" w:line="240" w:lineRule="auto"/>
      </w:pPr>
      <w:rPr>
        <w:b/>
        <w:bCs/>
      </w:rPr>
      <w:tblPr/>
      <w:tcPr>
        <w:tcBorders>
          <w:top w:val="double" w:sz="6" w:space="0" w:color="B5A3CE" w:themeColor="accent1" w:themeTint="BF"/>
          <w:left w:val="single" w:sz="8" w:space="0" w:color="B5A3CE" w:themeColor="accent1" w:themeTint="BF"/>
          <w:bottom w:val="single" w:sz="8" w:space="0" w:color="B5A3CE" w:themeColor="accent1" w:themeTint="BF"/>
          <w:right w:val="single" w:sz="8" w:space="0" w:color="B5A3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1" w:themeFillTint="3F"/>
      </w:tcPr>
    </w:tblStylePr>
    <w:tblStylePr w:type="band1Horz">
      <w:tblPr/>
      <w:tcPr>
        <w:tcBorders>
          <w:insideH w:val="nil"/>
          <w:insideV w:val="nil"/>
        </w:tcBorders>
        <w:shd w:val="clear" w:color="auto" w:fill="E6E0E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637A8"/>
    <w:pPr>
      <w:spacing w:after="0" w:line="240" w:lineRule="auto"/>
    </w:pPr>
    <w:tblPr>
      <w:tblStyleRowBandSize w:val="1"/>
      <w:tblStyleColBandSize w:val="1"/>
      <w:tblBorders>
        <w:top w:val="single" w:sz="8" w:space="0" w:color="9D9D9D" w:themeColor="accent2" w:themeTint="BF"/>
        <w:left w:val="single" w:sz="8" w:space="0" w:color="9D9D9D" w:themeColor="accent2" w:themeTint="BF"/>
        <w:bottom w:val="single" w:sz="8" w:space="0" w:color="9D9D9D" w:themeColor="accent2" w:themeTint="BF"/>
        <w:right w:val="single" w:sz="8" w:space="0" w:color="9D9D9D" w:themeColor="accent2" w:themeTint="BF"/>
        <w:insideH w:val="single" w:sz="8" w:space="0" w:color="9D9D9D" w:themeColor="accent2" w:themeTint="BF"/>
      </w:tblBorders>
    </w:tblPr>
    <w:tblStylePr w:type="firstRow">
      <w:pPr>
        <w:spacing w:before="0" w:after="0" w:line="240" w:lineRule="auto"/>
      </w:pPr>
      <w:rPr>
        <w:b/>
        <w:bCs/>
        <w:color w:val="FFFFFF" w:themeColor="background1"/>
      </w:rPr>
      <w:tblPr/>
      <w:tcPr>
        <w:tcBorders>
          <w:top w:val="single" w:sz="8" w:space="0" w:color="9D9D9D" w:themeColor="accent2" w:themeTint="BF"/>
          <w:left w:val="single" w:sz="8" w:space="0" w:color="9D9D9D" w:themeColor="accent2" w:themeTint="BF"/>
          <w:bottom w:val="single" w:sz="8" w:space="0" w:color="9D9D9D" w:themeColor="accent2" w:themeTint="BF"/>
          <w:right w:val="single" w:sz="8" w:space="0" w:color="9D9D9D" w:themeColor="accent2" w:themeTint="BF"/>
          <w:insideH w:val="nil"/>
          <w:insideV w:val="nil"/>
        </w:tcBorders>
        <w:shd w:val="clear" w:color="auto" w:fill="7D7D7D" w:themeFill="accent2"/>
      </w:tcPr>
    </w:tblStylePr>
    <w:tblStylePr w:type="lastRow">
      <w:pPr>
        <w:spacing w:before="0" w:after="0" w:line="240" w:lineRule="auto"/>
      </w:pPr>
      <w:rPr>
        <w:b/>
        <w:bCs/>
      </w:rPr>
      <w:tblPr/>
      <w:tcPr>
        <w:tcBorders>
          <w:top w:val="double" w:sz="6" w:space="0" w:color="9D9D9D" w:themeColor="accent2" w:themeTint="BF"/>
          <w:left w:val="single" w:sz="8" w:space="0" w:color="9D9D9D" w:themeColor="accent2" w:themeTint="BF"/>
          <w:bottom w:val="single" w:sz="8" w:space="0" w:color="9D9D9D" w:themeColor="accent2" w:themeTint="BF"/>
          <w:right w:val="single" w:sz="8" w:space="0" w:color="9D9D9D" w:themeColor="accent2" w:themeTint="BF"/>
          <w:insideH w:val="nil"/>
          <w:insideV w:val="nil"/>
        </w:tcBorders>
      </w:tcPr>
    </w:tblStylePr>
    <w:tblStylePr w:type="firstCol">
      <w:rPr>
        <w:b/>
        <w:bCs/>
      </w:rPr>
    </w:tblStylePr>
    <w:tblStylePr w:type="lastCol">
      <w:rPr>
        <w:b/>
        <w:bCs/>
      </w:rPr>
    </w:tblStylePr>
    <w:tblStylePr w:type="band1Vert">
      <w:tblPr/>
      <w:tcPr>
        <w:shd w:val="clear" w:color="auto" w:fill="DEDEDE" w:themeFill="accent2" w:themeFillTint="3F"/>
      </w:tcPr>
    </w:tblStylePr>
    <w:tblStylePr w:type="band1Horz">
      <w:tblPr/>
      <w:tcPr>
        <w:tcBorders>
          <w:insideH w:val="nil"/>
          <w:insideV w:val="nil"/>
        </w:tcBorders>
        <w:shd w:val="clear" w:color="auto" w:fill="DEDED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637A8"/>
    <w:pPr>
      <w:spacing w:after="0" w:line="240" w:lineRule="auto"/>
    </w:pPr>
    <w:tblPr>
      <w:tblStyleRowBandSize w:val="1"/>
      <w:tblStyleColBandSize w:val="1"/>
      <w:tblBorders>
        <w:top w:val="single" w:sz="8" w:space="0" w:color="D5D5D5" w:themeColor="accent3" w:themeTint="BF"/>
        <w:left w:val="single" w:sz="8" w:space="0" w:color="D5D5D5" w:themeColor="accent3" w:themeTint="BF"/>
        <w:bottom w:val="single" w:sz="8" w:space="0" w:color="D5D5D5" w:themeColor="accent3" w:themeTint="BF"/>
        <w:right w:val="single" w:sz="8" w:space="0" w:color="D5D5D5" w:themeColor="accent3" w:themeTint="BF"/>
        <w:insideH w:val="single" w:sz="8" w:space="0" w:color="D5D5D5" w:themeColor="accent3" w:themeTint="BF"/>
      </w:tblBorders>
    </w:tblPr>
    <w:tblStylePr w:type="firstRow">
      <w:pPr>
        <w:spacing w:before="0" w:after="0" w:line="240" w:lineRule="auto"/>
      </w:pPr>
      <w:rPr>
        <w:b/>
        <w:bCs/>
        <w:color w:val="FFFFFF" w:themeColor="background1"/>
      </w:rPr>
      <w:tblPr/>
      <w:tcPr>
        <w:tcBorders>
          <w:top w:val="single" w:sz="8" w:space="0" w:color="D5D5D5" w:themeColor="accent3" w:themeTint="BF"/>
          <w:left w:val="single" w:sz="8" w:space="0" w:color="D5D5D5" w:themeColor="accent3" w:themeTint="BF"/>
          <w:bottom w:val="single" w:sz="8" w:space="0" w:color="D5D5D5" w:themeColor="accent3" w:themeTint="BF"/>
          <w:right w:val="single" w:sz="8" w:space="0" w:color="D5D5D5" w:themeColor="accent3" w:themeTint="BF"/>
          <w:insideH w:val="nil"/>
          <w:insideV w:val="nil"/>
        </w:tcBorders>
        <w:shd w:val="clear" w:color="auto" w:fill="C8C8C8" w:themeFill="accent3"/>
      </w:tcPr>
    </w:tblStylePr>
    <w:tblStylePr w:type="lastRow">
      <w:pPr>
        <w:spacing w:before="0" w:after="0" w:line="240" w:lineRule="auto"/>
      </w:pPr>
      <w:rPr>
        <w:b/>
        <w:bCs/>
      </w:rPr>
      <w:tblPr/>
      <w:tcPr>
        <w:tcBorders>
          <w:top w:val="double" w:sz="6" w:space="0" w:color="D5D5D5" w:themeColor="accent3" w:themeTint="BF"/>
          <w:left w:val="single" w:sz="8" w:space="0" w:color="D5D5D5" w:themeColor="accent3" w:themeTint="BF"/>
          <w:bottom w:val="single" w:sz="8" w:space="0" w:color="D5D5D5" w:themeColor="accent3" w:themeTint="BF"/>
          <w:right w:val="single" w:sz="8" w:space="0" w:color="D5D5D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1F1F1" w:themeFill="accent3" w:themeFillTint="3F"/>
      </w:tcPr>
    </w:tblStylePr>
    <w:tblStylePr w:type="band1Horz">
      <w:tblPr/>
      <w:tcPr>
        <w:tcBorders>
          <w:insideH w:val="nil"/>
          <w:insideV w:val="nil"/>
        </w:tcBorders>
        <w:shd w:val="clear" w:color="auto" w:fill="F1F1F1"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637A8"/>
    <w:pPr>
      <w:spacing w:after="0" w:line="240" w:lineRule="auto"/>
    </w:pPr>
    <w:tblPr>
      <w:tblStyleRowBandSize w:val="1"/>
      <w:tblStyleColBandSize w:val="1"/>
      <w:tblBorders>
        <w:top w:val="single" w:sz="8" w:space="0" w:color="00A4F7" w:themeColor="accent4" w:themeTint="BF"/>
        <w:left w:val="single" w:sz="8" w:space="0" w:color="00A4F7" w:themeColor="accent4" w:themeTint="BF"/>
        <w:bottom w:val="single" w:sz="8" w:space="0" w:color="00A4F7" w:themeColor="accent4" w:themeTint="BF"/>
        <w:right w:val="single" w:sz="8" w:space="0" w:color="00A4F7" w:themeColor="accent4" w:themeTint="BF"/>
        <w:insideH w:val="single" w:sz="8" w:space="0" w:color="00A4F7" w:themeColor="accent4" w:themeTint="BF"/>
      </w:tblBorders>
    </w:tblPr>
    <w:tblStylePr w:type="firstRow">
      <w:pPr>
        <w:spacing w:before="0" w:after="0" w:line="240" w:lineRule="auto"/>
      </w:pPr>
      <w:rPr>
        <w:b/>
        <w:bCs/>
        <w:color w:val="FFFFFF" w:themeColor="background1"/>
      </w:rPr>
      <w:tblPr/>
      <w:tcPr>
        <w:tcBorders>
          <w:top w:val="single" w:sz="8" w:space="0" w:color="00A4F7" w:themeColor="accent4" w:themeTint="BF"/>
          <w:left w:val="single" w:sz="8" w:space="0" w:color="00A4F7" w:themeColor="accent4" w:themeTint="BF"/>
          <w:bottom w:val="single" w:sz="8" w:space="0" w:color="00A4F7" w:themeColor="accent4" w:themeTint="BF"/>
          <w:right w:val="single" w:sz="8" w:space="0" w:color="00A4F7" w:themeColor="accent4" w:themeTint="BF"/>
          <w:insideH w:val="nil"/>
          <w:insideV w:val="nil"/>
        </w:tcBorders>
        <w:shd w:val="clear" w:color="auto" w:fill="006A9F" w:themeFill="accent4"/>
      </w:tcPr>
    </w:tblStylePr>
    <w:tblStylePr w:type="lastRow">
      <w:pPr>
        <w:spacing w:before="0" w:after="0" w:line="240" w:lineRule="auto"/>
      </w:pPr>
      <w:rPr>
        <w:b/>
        <w:bCs/>
      </w:rPr>
      <w:tblPr/>
      <w:tcPr>
        <w:tcBorders>
          <w:top w:val="double" w:sz="6" w:space="0" w:color="00A4F7" w:themeColor="accent4" w:themeTint="BF"/>
          <w:left w:val="single" w:sz="8" w:space="0" w:color="00A4F7" w:themeColor="accent4" w:themeTint="BF"/>
          <w:bottom w:val="single" w:sz="8" w:space="0" w:color="00A4F7" w:themeColor="accent4" w:themeTint="BF"/>
          <w:right w:val="single" w:sz="8" w:space="0" w:color="00A4F7" w:themeColor="accent4" w:themeTint="BF"/>
          <w:insideH w:val="nil"/>
          <w:insideV w:val="nil"/>
        </w:tcBorders>
      </w:tcPr>
    </w:tblStylePr>
    <w:tblStylePr w:type="firstCol">
      <w:rPr>
        <w:b/>
        <w:bCs/>
      </w:rPr>
    </w:tblStylePr>
    <w:tblStylePr w:type="lastCol">
      <w:rPr>
        <w:b/>
        <w:bCs/>
      </w:rPr>
    </w:tblStylePr>
    <w:tblStylePr w:type="band1Vert">
      <w:tblPr/>
      <w:tcPr>
        <w:shd w:val="clear" w:color="auto" w:fill="A8E2FF" w:themeFill="accent4" w:themeFillTint="3F"/>
      </w:tcPr>
    </w:tblStylePr>
    <w:tblStylePr w:type="band1Horz">
      <w:tblPr/>
      <w:tcPr>
        <w:tcBorders>
          <w:insideH w:val="nil"/>
          <w:insideV w:val="nil"/>
        </w:tcBorders>
        <w:shd w:val="clear" w:color="auto" w:fill="A8E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637A8"/>
    <w:pPr>
      <w:spacing w:after="0" w:line="240" w:lineRule="auto"/>
    </w:pPr>
    <w:tblPr>
      <w:tblStyleRowBandSize w:val="1"/>
      <w:tblStyleColBandSize w:val="1"/>
      <w:tblBorders>
        <w:top w:val="single" w:sz="8" w:space="0" w:color="9CCDE0" w:themeColor="accent5" w:themeTint="BF"/>
        <w:left w:val="single" w:sz="8" w:space="0" w:color="9CCDE0" w:themeColor="accent5" w:themeTint="BF"/>
        <w:bottom w:val="single" w:sz="8" w:space="0" w:color="9CCDE0" w:themeColor="accent5" w:themeTint="BF"/>
        <w:right w:val="single" w:sz="8" w:space="0" w:color="9CCDE0" w:themeColor="accent5" w:themeTint="BF"/>
        <w:insideH w:val="single" w:sz="8" w:space="0" w:color="9CCDE0" w:themeColor="accent5" w:themeTint="BF"/>
      </w:tblBorders>
    </w:tblPr>
    <w:tblStylePr w:type="firstRow">
      <w:pPr>
        <w:spacing w:before="0" w:after="0" w:line="240" w:lineRule="auto"/>
      </w:pPr>
      <w:rPr>
        <w:b/>
        <w:bCs/>
        <w:color w:val="FFFFFF" w:themeColor="background1"/>
      </w:rPr>
      <w:tblPr/>
      <w:tcPr>
        <w:tcBorders>
          <w:top w:val="single" w:sz="8" w:space="0" w:color="9CCDE0" w:themeColor="accent5" w:themeTint="BF"/>
          <w:left w:val="single" w:sz="8" w:space="0" w:color="9CCDE0" w:themeColor="accent5" w:themeTint="BF"/>
          <w:bottom w:val="single" w:sz="8" w:space="0" w:color="9CCDE0" w:themeColor="accent5" w:themeTint="BF"/>
          <w:right w:val="single" w:sz="8" w:space="0" w:color="9CCDE0" w:themeColor="accent5" w:themeTint="BF"/>
          <w:insideH w:val="nil"/>
          <w:insideV w:val="nil"/>
        </w:tcBorders>
        <w:shd w:val="clear" w:color="auto" w:fill="7BBDD6" w:themeFill="accent5"/>
      </w:tcPr>
    </w:tblStylePr>
    <w:tblStylePr w:type="lastRow">
      <w:pPr>
        <w:spacing w:before="0" w:after="0" w:line="240" w:lineRule="auto"/>
      </w:pPr>
      <w:rPr>
        <w:b/>
        <w:bCs/>
      </w:rPr>
      <w:tblPr/>
      <w:tcPr>
        <w:tcBorders>
          <w:top w:val="double" w:sz="6" w:space="0" w:color="9CCDE0" w:themeColor="accent5" w:themeTint="BF"/>
          <w:left w:val="single" w:sz="8" w:space="0" w:color="9CCDE0" w:themeColor="accent5" w:themeTint="BF"/>
          <w:bottom w:val="single" w:sz="8" w:space="0" w:color="9CCDE0" w:themeColor="accent5" w:themeTint="BF"/>
          <w:right w:val="single" w:sz="8" w:space="0" w:color="9CCDE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EEEF4" w:themeFill="accent5" w:themeFillTint="3F"/>
      </w:tcPr>
    </w:tblStylePr>
    <w:tblStylePr w:type="band1Horz">
      <w:tblPr/>
      <w:tcPr>
        <w:tcBorders>
          <w:insideH w:val="nil"/>
          <w:insideV w:val="nil"/>
        </w:tcBorders>
        <w:shd w:val="clear" w:color="auto" w:fill="DEEE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637A8"/>
    <w:pPr>
      <w:spacing w:after="0" w:line="240" w:lineRule="auto"/>
    </w:pPr>
    <w:tblPr>
      <w:tblStyleRowBandSize w:val="1"/>
      <w:tblStyleColBandSize w:val="1"/>
      <w:tblBorders>
        <w:top w:val="single" w:sz="8" w:space="0" w:color="64B675" w:themeColor="accent6" w:themeTint="BF"/>
        <w:left w:val="single" w:sz="8" w:space="0" w:color="64B675" w:themeColor="accent6" w:themeTint="BF"/>
        <w:bottom w:val="single" w:sz="8" w:space="0" w:color="64B675" w:themeColor="accent6" w:themeTint="BF"/>
        <w:right w:val="single" w:sz="8" w:space="0" w:color="64B675" w:themeColor="accent6" w:themeTint="BF"/>
        <w:insideH w:val="single" w:sz="8" w:space="0" w:color="64B675" w:themeColor="accent6" w:themeTint="BF"/>
      </w:tblBorders>
    </w:tblPr>
    <w:tblStylePr w:type="firstRow">
      <w:pPr>
        <w:spacing w:before="0" w:after="0" w:line="240" w:lineRule="auto"/>
      </w:pPr>
      <w:rPr>
        <w:b/>
        <w:bCs/>
        <w:color w:val="FFFFFF" w:themeColor="background1"/>
      </w:rPr>
      <w:tblPr/>
      <w:tcPr>
        <w:tcBorders>
          <w:top w:val="single" w:sz="8" w:space="0" w:color="64B675" w:themeColor="accent6" w:themeTint="BF"/>
          <w:left w:val="single" w:sz="8" w:space="0" w:color="64B675" w:themeColor="accent6" w:themeTint="BF"/>
          <w:bottom w:val="single" w:sz="8" w:space="0" w:color="64B675" w:themeColor="accent6" w:themeTint="BF"/>
          <w:right w:val="single" w:sz="8" w:space="0" w:color="64B675" w:themeColor="accent6" w:themeTint="BF"/>
          <w:insideH w:val="nil"/>
          <w:insideV w:val="nil"/>
        </w:tcBorders>
        <w:shd w:val="clear" w:color="auto" w:fill="428D52" w:themeFill="accent6"/>
      </w:tcPr>
    </w:tblStylePr>
    <w:tblStylePr w:type="lastRow">
      <w:pPr>
        <w:spacing w:before="0" w:after="0" w:line="240" w:lineRule="auto"/>
      </w:pPr>
      <w:rPr>
        <w:b/>
        <w:bCs/>
      </w:rPr>
      <w:tblPr/>
      <w:tcPr>
        <w:tcBorders>
          <w:top w:val="double" w:sz="6" w:space="0" w:color="64B675" w:themeColor="accent6" w:themeTint="BF"/>
          <w:left w:val="single" w:sz="8" w:space="0" w:color="64B675" w:themeColor="accent6" w:themeTint="BF"/>
          <w:bottom w:val="single" w:sz="8" w:space="0" w:color="64B675" w:themeColor="accent6" w:themeTint="BF"/>
          <w:right w:val="single" w:sz="8" w:space="0" w:color="64B675" w:themeColor="accent6" w:themeTint="BF"/>
          <w:insideH w:val="nil"/>
          <w:insideV w:val="nil"/>
        </w:tcBorders>
      </w:tcPr>
    </w:tblStylePr>
    <w:tblStylePr w:type="firstCol">
      <w:rPr>
        <w:b/>
        <w:bCs/>
      </w:rPr>
    </w:tblStylePr>
    <w:tblStylePr w:type="lastCol">
      <w:rPr>
        <w:b/>
        <w:bCs/>
      </w:rPr>
    </w:tblStylePr>
    <w:tblStylePr w:type="band1Vert">
      <w:tblPr/>
      <w:tcPr>
        <w:shd w:val="clear" w:color="auto" w:fill="CBE7D1" w:themeFill="accent6" w:themeFillTint="3F"/>
      </w:tcPr>
    </w:tblStylePr>
    <w:tblStylePr w:type="band1Horz">
      <w:tblPr/>
      <w:tcPr>
        <w:tcBorders>
          <w:insideH w:val="nil"/>
          <w:insideV w:val="nil"/>
        </w:tcBorders>
        <w:shd w:val="clear" w:color="auto" w:fill="CBE7D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637A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637A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85B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85BE" w:themeFill="accent1"/>
      </w:tcPr>
    </w:tblStylePr>
    <w:tblStylePr w:type="lastCol">
      <w:rPr>
        <w:b/>
        <w:bCs/>
        <w:color w:val="FFFFFF" w:themeColor="background1"/>
      </w:rPr>
      <w:tblPr/>
      <w:tcPr>
        <w:tcBorders>
          <w:left w:val="nil"/>
          <w:right w:val="nil"/>
          <w:insideH w:val="nil"/>
          <w:insideV w:val="nil"/>
        </w:tcBorders>
        <w:shd w:val="clear" w:color="auto" w:fill="9D85B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637A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7D7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7D7D" w:themeFill="accent2"/>
      </w:tcPr>
    </w:tblStylePr>
    <w:tblStylePr w:type="lastCol">
      <w:rPr>
        <w:b/>
        <w:bCs/>
        <w:color w:val="FFFFFF" w:themeColor="background1"/>
      </w:rPr>
      <w:tblPr/>
      <w:tcPr>
        <w:tcBorders>
          <w:left w:val="nil"/>
          <w:right w:val="nil"/>
          <w:insideH w:val="nil"/>
          <w:insideV w:val="nil"/>
        </w:tcBorders>
        <w:shd w:val="clear" w:color="auto" w:fill="7D7D7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637A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C8C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8C8C8" w:themeFill="accent3"/>
      </w:tcPr>
    </w:tblStylePr>
    <w:tblStylePr w:type="lastCol">
      <w:rPr>
        <w:b/>
        <w:bCs/>
        <w:color w:val="FFFFFF" w:themeColor="background1"/>
      </w:rPr>
      <w:tblPr/>
      <w:tcPr>
        <w:tcBorders>
          <w:left w:val="nil"/>
          <w:right w:val="nil"/>
          <w:insideH w:val="nil"/>
          <w:insideV w:val="nil"/>
        </w:tcBorders>
        <w:shd w:val="clear" w:color="auto" w:fill="C8C8C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637A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A9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A9F" w:themeFill="accent4"/>
      </w:tcPr>
    </w:tblStylePr>
    <w:tblStylePr w:type="lastCol">
      <w:rPr>
        <w:b/>
        <w:bCs/>
        <w:color w:val="FFFFFF" w:themeColor="background1"/>
      </w:rPr>
      <w:tblPr/>
      <w:tcPr>
        <w:tcBorders>
          <w:left w:val="nil"/>
          <w:right w:val="nil"/>
          <w:insideH w:val="nil"/>
          <w:insideV w:val="nil"/>
        </w:tcBorders>
        <w:shd w:val="clear" w:color="auto" w:fill="006A9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637A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BBDD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BBDD6" w:themeFill="accent5"/>
      </w:tcPr>
    </w:tblStylePr>
    <w:tblStylePr w:type="lastCol">
      <w:rPr>
        <w:b/>
        <w:bCs/>
        <w:color w:val="FFFFFF" w:themeColor="background1"/>
      </w:rPr>
      <w:tblPr/>
      <w:tcPr>
        <w:tcBorders>
          <w:left w:val="nil"/>
          <w:right w:val="nil"/>
          <w:insideH w:val="nil"/>
          <w:insideV w:val="nil"/>
        </w:tcBorders>
        <w:shd w:val="clear" w:color="auto" w:fill="7BBDD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637A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28D5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28D52" w:themeFill="accent6"/>
      </w:tcPr>
    </w:tblStylePr>
    <w:tblStylePr w:type="lastCol">
      <w:rPr>
        <w:b/>
        <w:bCs/>
        <w:color w:val="FFFFFF" w:themeColor="background1"/>
      </w:rPr>
      <w:tblPr/>
      <w:tcPr>
        <w:tcBorders>
          <w:left w:val="nil"/>
          <w:right w:val="nil"/>
          <w:insideH w:val="nil"/>
          <w:insideV w:val="nil"/>
        </w:tcBorders>
        <w:shd w:val="clear" w:color="auto" w:fill="428D5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9637A8"/>
    <w:rPr>
      <w:color w:val="2B579A"/>
      <w:shd w:val="clear" w:color="auto" w:fill="E1DFDD"/>
    </w:rPr>
  </w:style>
  <w:style w:type="paragraph" w:styleId="MessageHeader">
    <w:name w:val="Message Header"/>
    <w:basedOn w:val="Normal"/>
    <w:link w:val="MessageHeaderChar"/>
    <w:uiPriority w:val="99"/>
    <w:semiHidden/>
    <w:unhideWhenUsed/>
    <w:rsid w:val="009637A8"/>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eastAsiaTheme="majorEastAsia"/>
      <w:sz w:val="24"/>
      <w:szCs w:val="24"/>
    </w:rPr>
  </w:style>
  <w:style w:type="character" w:customStyle="1" w:styleId="MessageHeaderChar">
    <w:name w:val="Message Header Char"/>
    <w:basedOn w:val="DefaultParagraphFont"/>
    <w:link w:val="MessageHeader"/>
    <w:uiPriority w:val="99"/>
    <w:semiHidden/>
    <w:rsid w:val="009637A8"/>
    <w:rPr>
      <w:rFonts w:ascii="Arial" w:eastAsiaTheme="majorEastAsia" w:hAnsi="Arial" w:cs="Arial"/>
      <w:sz w:val="24"/>
      <w:szCs w:val="24"/>
      <w:shd w:val="pct20" w:color="auto" w:fill="auto"/>
    </w:rPr>
  </w:style>
  <w:style w:type="paragraph" w:styleId="NoSpacing">
    <w:name w:val="No Spacing"/>
    <w:uiPriority w:val="1"/>
    <w:qFormat/>
    <w:rsid w:val="009637A8"/>
    <w:pPr>
      <w:spacing w:after="0" w:line="240" w:lineRule="auto"/>
    </w:pPr>
    <w:rPr>
      <w:rFonts w:ascii="Arial Narrow" w:hAnsi="Arial Narrow" w:cs="Arial"/>
    </w:rPr>
  </w:style>
  <w:style w:type="paragraph" w:styleId="NormalWeb">
    <w:name w:val="Normal (Web)"/>
    <w:basedOn w:val="Normal"/>
    <w:uiPriority w:val="99"/>
    <w:semiHidden/>
    <w:unhideWhenUsed/>
    <w:rsid w:val="009637A8"/>
    <w:pPr>
      <w:spacing w:after="160" w:line="259" w:lineRule="auto"/>
    </w:pPr>
    <w:rPr>
      <w:sz w:val="24"/>
      <w:szCs w:val="24"/>
    </w:rPr>
  </w:style>
  <w:style w:type="paragraph" w:styleId="NormalIndent">
    <w:name w:val="Normal Indent"/>
    <w:basedOn w:val="Normal"/>
    <w:uiPriority w:val="99"/>
    <w:semiHidden/>
    <w:unhideWhenUsed/>
    <w:rsid w:val="009637A8"/>
    <w:pPr>
      <w:spacing w:after="160" w:line="259" w:lineRule="auto"/>
      <w:ind w:left="720"/>
    </w:pPr>
  </w:style>
  <w:style w:type="paragraph" w:styleId="NoteHeading">
    <w:name w:val="Note Heading"/>
    <w:basedOn w:val="Normal"/>
    <w:next w:val="Normal"/>
    <w:link w:val="NoteHeadingChar"/>
    <w:uiPriority w:val="99"/>
    <w:semiHidden/>
    <w:unhideWhenUsed/>
    <w:rsid w:val="009637A8"/>
    <w:pPr>
      <w:spacing w:after="0"/>
    </w:pPr>
  </w:style>
  <w:style w:type="character" w:customStyle="1" w:styleId="NoteHeadingChar">
    <w:name w:val="Note Heading Char"/>
    <w:basedOn w:val="DefaultParagraphFont"/>
    <w:link w:val="NoteHeading"/>
    <w:uiPriority w:val="99"/>
    <w:semiHidden/>
    <w:rsid w:val="009637A8"/>
    <w:rPr>
      <w:rFonts w:ascii="Arial" w:hAnsi="Arial" w:cs="Arial"/>
    </w:rPr>
  </w:style>
  <w:style w:type="character" w:styleId="PageNumber">
    <w:name w:val="page number"/>
    <w:basedOn w:val="DefaultParagraphFont"/>
    <w:uiPriority w:val="99"/>
    <w:semiHidden/>
    <w:unhideWhenUsed/>
    <w:rsid w:val="009637A8"/>
  </w:style>
  <w:style w:type="character" w:styleId="PlaceholderText">
    <w:name w:val="Placeholder Text"/>
    <w:basedOn w:val="DefaultParagraphFont"/>
    <w:uiPriority w:val="99"/>
    <w:semiHidden/>
    <w:rsid w:val="009637A8"/>
    <w:rPr>
      <w:color w:val="808080"/>
    </w:rPr>
  </w:style>
  <w:style w:type="table" w:styleId="PlainTable1">
    <w:name w:val="Plain Table 1"/>
    <w:basedOn w:val="TableNormal"/>
    <w:uiPriority w:val="41"/>
    <w:rsid w:val="009637A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637A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637A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637A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637A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9637A8"/>
    <w:pPr>
      <w:spacing w:after="0"/>
    </w:pPr>
    <w:rPr>
      <w:sz w:val="21"/>
      <w:szCs w:val="21"/>
    </w:rPr>
  </w:style>
  <w:style w:type="character" w:customStyle="1" w:styleId="PlainTextChar">
    <w:name w:val="Plain Text Char"/>
    <w:basedOn w:val="DefaultParagraphFont"/>
    <w:link w:val="PlainText"/>
    <w:uiPriority w:val="99"/>
    <w:semiHidden/>
    <w:rsid w:val="009637A8"/>
    <w:rPr>
      <w:rFonts w:ascii="Arial" w:hAnsi="Arial" w:cs="Arial"/>
      <w:sz w:val="21"/>
      <w:szCs w:val="21"/>
    </w:rPr>
  </w:style>
  <w:style w:type="paragraph" w:styleId="Quote">
    <w:name w:val="Quote"/>
    <w:basedOn w:val="Normal"/>
    <w:next w:val="Normal"/>
    <w:link w:val="QuoteChar"/>
    <w:uiPriority w:val="29"/>
    <w:qFormat/>
    <w:rsid w:val="0020185D"/>
    <w:pPr>
      <w:spacing w:before="120" w:after="120"/>
      <w:ind w:left="420"/>
    </w:pPr>
    <w:rPr>
      <w:rFonts w:cstheme="minorBidi"/>
      <w:i/>
      <w:iCs/>
      <w:color w:val="4D4C4D"/>
    </w:rPr>
  </w:style>
  <w:style w:type="character" w:customStyle="1" w:styleId="QuoteChar">
    <w:name w:val="Quote Char"/>
    <w:basedOn w:val="DefaultParagraphFont"/>
    <w:link w:val="Quote"/>
    <w:uiPriority w:val="29"/>
    <w:rsid w:val="0020185D"/>
    <w:rPr>
      <w:rFonts w:ascii="Arial Narrow" w:hAnsi="Arial Narrow"/>
      <w:i/>
      <w:iCs/>
      <w:color w:val="4D4C4D"/>
    </w:rPr>
  </w:style>
  <w:style w:type="paragraph" w:styleId="Salutation">
    <w:name w:val="Salutation"/>
    <w:basedOn w:val="Normal"/>
    <w:next w:val="Normal"/>
    <w:link w:val="SalutationChar"/>
    <w:uiPriority w:val="99"/>
    <w:semiHidden/>
    <w:unhideWhenUsed/>
    <w:rsid w:val="009637A8"/>
    <w:pPr>
      <w:spacing w:after="160" w:line="259" w:lineRule="auto"/>
    </w:pPr>
  </w:style>
  <w:style w:type="character" w:customStyle="1" w:styleId="SalutationChar">
    <w:name w:val="Salutation Char"/>
    <w:basedOn w:val="DefaultParagraphFont"/>
    <w:link w:val="Salutation"/>
    <w:uiPriority w:val="99"/>
    <w:semiHidden/>
    <w:rsid w:val="009637A8"/>
    <w:rPr>
      <w:rFonts w:ascii="Arial" w:hAnsi="Arial" w:cs="Arial"/>
    </w:rPr>
  </w:style>
  <w:style w:type="paragraph" w:styleId="Signature">
    <w:name w:val="Signature"/>
    <w:basedOn w:val="Normal"/>
    <w:link w:val="SignatureChar"/>
    <w:uiPriority w:val="99"/>
    <w:semiHidden/>
    <w:unhideWhenUsed/>
    <w:rsid w:val="009637A8"/>
    <w:pPr>
      <w:spacing w:after="0"/>
      <w:ind w:left="4252"/>
    </w:pPr>
  </w:style>
  <w:style w:type="character" w:customStyle="1" w:styleId="SignatureChar">
    <w:name w:val="Signature Char"/>
    <w:basedOn w:val="DefaultParagraphFont"/>
    <w:link w:val="Signature"/>
    <w:uiPriority w:val="99"/>
    <w:semiHidden/>
    <w:rsid w:val="009637A8"/>
    <w:rPr>
      <w:rFonts w:ascii="Arial" w:hAnsi="Arial" w:cs="Arial"/>
    </w:rPr>
  </w:style>
  <w:style w:type="character" w:styleId="SmartHyperlink">
    <w:name w:val="Smart Hyperlink"/>
    <w:basedOn w:val="DefaultParagraphFont"/>
    <w:uiPriority w:val="99"/>
    <w:semiHidden/>
    <w:unhideWhenUsed/>
    <w:rsid w:val="009637A8"/>
    <w:rPr>
      <w:u w:val="dotted"/>
    </w:rPr>
  </w:style>
  <w:style w:type="character" w:styleId="SmartLink">
    <w:name w:val="Smart Link"/>
    <w:basedOn w:val="DefaultParagraphFont"/>
    <w:uiPriority w:val="99"/>
    <w:semiHidden/>
    <w:unhideWhenUsed/>
    <w:rsid w:val="009637A8"/>
    <w:rPr>
      <w:color w:val="0000FF"/>
      <w:u w:val="single"/>
      <w:shd w:val="clear" w:color="auto" w:fill="F3F2F1"/>
    </w:rPr>
  </w:style>
  <w:style w:type="character" w:styleId="Strong">
    <w:name w:val="Strong"/>
    <w:basedOn w:val="DefaultParagraphFont"/>
    <w:uiPriority w:val="22"/>
    <w:qFormat/>
    <w:rsid w:val="009637A8"/>
    <w:rPr>
      <w:b/>
      <w:bCs/>
    </w:rPr>
  </w:style>
  <w:style w:type="paragraph" w:styleId="Subtitle">
    <w:name w:val="Subtitle"/>
    <w:basedOn w:val="Normal"/>
    <w:next w:val="Normal"/>
    <w:link w:val="SubtitleChar"/>
    <w:uiPriority w:val="11"/>
    <w:qFormat/>
    <w:rsid w:val="009637A8"/>
    <w:pPr>
      <w:numPr>
        <w:ilvl w:val="1"/>
      </w:numPr>
      <w:spacing w:after="160" w:line="259"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637A8"/>
    <w:rPr>
      <w:rFonts w:ascii="Arial" w:eastAsiaTheme="minorEastAsia" w:hAnsi="Arial" w:cs="Arial"/>
      <w:color w:val="5A5A5A" w:themeColor="text1" w:themeTint="A5"/>
      <w:spacing w:val="15"/>
    </w:rPr>
  </w:style>
  <w:style w:type="character" w:styleId="SubtleEmphasis">
    <w:name w:val="Subtle Emphasis"/>
    <w:basedOn w:val="DefaultParagraphFont"/>
    <w:uiPriority w:val="19"/>
    <w:qFormat/>
    <w:rsid w:val="009637A8"/>
    <w:rPr>
      <w:i/>
      <w:iCs/>
      <w:color w:val="404040" w:themeColor="text1" w:themeTint="BF"/>
    </w:rPr>
  </w:style>
  <w:style w:type="character" w:styleId="SubtleReference">
    <w:name w:val="Subtle Reference"/>
    <w:basedOn w:val="DefaultParagraphFont"/>
    <w:uiPriority w:val="31"/>
    <w:qFormat/>
    <w:rsid w:val="009637A8"/>
    <w:rPr>
      <w:smallCaps/>
      <w:color w:val="5A5A5A" w:themeColor="text1" w:themeTint="A5"/>
    </w:rPr>
  </w:style>
  <w:style w:type="table" w:styleId="Table3Deffects1">
    <w:name w:val="Table 3D effects 1"/>
    <w:basedOn w:val="TableNormal"/>
    <w:uiPriority w:val="99"/>
    <w:semiHidden/>
    <w:unhideWhenUsed/>
    <w:rsid w:val="009637A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637A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637A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637A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637A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637A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637A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9637A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9637A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9637A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637A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637A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637A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637A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637A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637A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637A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963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9637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637A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637A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637A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637A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637A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637A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637A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9637A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9637A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637A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637A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637A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637A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637A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637A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637A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unhideWhenUsed/>
    <w:rsid w:val="007A77EC"/>
    <w:pPr>
      <w:tabs>
        <w:tab w:val="right" w:pos="7643"/>
      </w:tabs>
      <w:spacing w:after="0" w:line="259" w:lineRule="auto"/>
      <w:ind w:left="1164" w:right="851" w:hanging="1164"/>
    </w:pPr>
  </w:style>
  <w:style w:type="paragraph" w:styleId="TableofFigures">
    <w:name w:val="table of figures"/>
    <w:basedOn w:val="Normal"/>
    <w:next w:val="Normal"/>
    <w:uiPriority w:val="99"/>
    <w:unhideWhenUsed/>
    <w:rsid w:val="00B9265D"/>
    <w:pPr>
      <w:tabs>
        <w:tab w:val="right" w:pos="7643"/>
      </w:tabs>
      <w:spacing w:before="0" w:after="0" w:line="260" w:lineRule="exact"/>
      <w:ind w:left="1123" w:right="851" w:hanging="1123"/>
    </w:pPr>
  </w:style>
  <w:style w:type="table" w:styleId="TableProfessional">
    <w:name w:val="Table Professional"/>
    <w:basedOn w:val="TableNormal"/>
    <w:uiPriority w:val="99"/>
    <w:semiHidden/>
    <w:unhideWhenUsed/>
    <w:rsid w:val="009637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637A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637A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637A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637A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637A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637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637A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637A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637A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9637A8"/>
    <w:pPr>
      <w:spacing w:after="0"/>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9637A8"/>
    <w:rPr>
      <w:rFonts w:ascii="Arial" w:eastAsiaTheme="majorEastAsia" w:hAnsi="Arial" w:cs="Arial"/>
      <w:spacing w:val="-10"/>
      <w:kern w:val="28"/>
      <w:sz w:val="56"/>
      <w:szCs w:val="56"/>
    </w:rPr>
  </w:style>
  <w:style w:type="paragraph" w:styleId="TOAHeading">
    <w:name w:val="toa heading"/>
    <w:basedOn w:val="Normal"/>
    <w:next w:val="Normal"/>
    <w:uiPriority w:val="99"/>
    <w:semiHidden/>
    <w:unhideWhenUsed/>
    <w:rsid w:val="009637A8"/>
    <w:pPr>
      <w:spacing w:before="120" w:after="160" w:line="259" w:lineRule="auto"/>
    </w:pPr>
    <w:rPr>
      <w:rFonts w:eastAsiaTheme="majorEastAsia"/>
      <w:b/>
      <w:bCs/>
      <w:sz w:val="24"/>
      <w:szCs w:val="24"/>
    </w:rPr>
  </w:style>
  <w:style w:type="paragraph" w:styleId="TOC1">
    <w:name w:val="toc 1"/>
    <w:basedOn w:val="Normal"/>
    <w:next w:val="Normal"/>
    <w:uiPriority w:val="39"/>
    <w:rsid w:val="00C62B89"/>
    <w:pPr>
      <w:spacing w:before="240" w:after="120"/>
    </w:pPr>
    <w:rPr>
      <w:rFonts w:asciiTheme="minorHAnsi" w:hAnsiTheme="minorHAnsi"/>
      <w:b/>
      <w:bCs/>
      <w:sz w:val="20"/>
      <w:szCs w:val="20"/>
    </w:rPr>
  </w:style>
  <w:style w:type="paragraph" w:styleId="TOC2">
    <w:name w:val="toc 2"/>
    <w:basedOn w:val="Normal"/>
    <w:next w:val="Normal"/>
    <w:uiPriority w:val="39"/>
    <w:rsid w:val="00B9265D"/>
    <w:pPr>
      <w:spacing w:before="120" w:after="0"/>
      <w:ind w:left="220"/>
    </w:pPr>
    <w:rPr>
      <w:rFonts w:asciiTheme="minorHAnsi" w:hAnsiTheme="minorHAnsi"/>
      <w:i/>
      <w:iCs/>
      <w:sz w:val="20"/>
      <w:szCs w:val="20"/>
    </w:rPr>
  </w:style>
  <w:style w:type="paragraph" w:styleId="TOC3">
    <w:name w:val="toc 3"/>
    <w:basedOn w:val="Normal"/>
    <w:next w:val="Normal"/>
    <w:uiPriority w:val="39"/>
    <w:rsid w:val="00B9265D"/>
    <w:pPr>
      <w:spacing w:before="0" w:after="0"/>
      <w:ind w:left="440"/>
    </w:pPr>
    <w:rPr>
      <w:rFonts w:asciiTheme="minorHAnsi" w:hAnsiTheme="minorHAnsi"/>
      <w:sz w:val="20"/>
      <w:szCs w:val="20"/>
    </w:rPr>
  </w:style>
  <w:style w:type="paragraph" w:styleId="TOC4">
    <w:name w:val="toc 4"/>
    <w:basedOn w:val="Normal"/>
    <w:next w:val="Normal"/>
    <w:uiPriority w:val="39"/>
    <w:rsid w:val="00B9265D"/>
    <w:pPr>
      <w:spacing w:before="0" w:after="0"/>
      <w:ind w:left="660"/>
    </w:pPr>
    <w:rPr>
      <w:rFonts w:asciiTheme="minorHAnsi" w:hAnsiTheme="minorHAnsi"/>
      <w:sz w:val="20"/>
      <w:szCs w:val="20"/>
    </w:rPr>
  </w:style>
  <w:style w:type="paragraph" w:styleId="TOC5">
    <w:name w:val="toc 5"/>
    <w:basedOn w:val="Normal"/>
    <w:next w:val="Normal"/>
    <w:uiPriority w:val="39"/>
    <w:rsid w:val="00A85EB6"/>
    <w:pPr>
      <w:spacing w:before="0" w:after="0"/>
      <w:ind w:left="880"/>
    </w:pPr>
    <w:rPr>
      <w:rFonts w:asciiTheme="minorHAnsi" w:hAnsiTheme="minorHAnsi"/>
      <w:sz w:val="20"/>
      <w:szCs w:val="20"/>
    </w:rPr>
  </w:style>
  <w:style w:type="paragraph" w:styleId="TOC6">
    <w:name w:val="toc 6"/>
    <w:basedOn w:val="Normal"/>
    <w:next w:val="Normal"/>
    <w:uiPriority w:val="39"/>
    <w:rsid w:val="00A85EB6"/>
    <w:pPr>
      <w:spacing w:before="0" w:after="0"/>
      <w:ind w:left="1100"/>
    </w:pPr>
    <w:rPr>
      <w:rFonts w:asciiTheme="minorHAnsi" w:hAnsiTheme="minorHAnsi"/>
      <w:sz w:val="20"/>
      <w:szCs w:val="20"/>
    </w:rPr>
  </w:style>
  <w:style w:type="paragraph" w:styleId="TOC7">
    <w:name w:val="toc 7"/>
    <w:basedOn w:val="Normal"/>
    <w:next w:val="Normal"/>
    <w:uiPriority w:val="39"/>
    <w:rsid w:val="00A85EB6"/>
    <w:pPr>
      <w:spacing w:before="0" w:after="0"/>
      <w:ind w:left="1320"/>
    </w:pPr>
    <w:rPr>
      <w:rFonts w:asciiTheme="minorHAnsi" w:hAnsiTheme="minorHAnsi"/>
      <w:sz w:val="20"/>
      <w:szCs w:val="20"/>
    </w:rPr>
  </w:style>
  <w:style w:type="paragraph" w:styleId="TOC8">
    <w:name w:val="toc 8"/>
    <w:basedOn w:val="Normal"/>
    <w:next w:val="Normal"/>
    <w:uiPriority w:val="39"/>
    <w:rsid w:val="00A85EB6"/>
    <w:pPr>
      <w:spacing w:before="0" w:after="0"/>
      <w:ind w:left="1540"/>
    </w:pPr>
    <w:rPr>
      <w:rFonts w:asciiTheme="minorHAnsi" w:hAnsiTheme="minorHAnsi"/>
      <w:sz w:val="20"/>
      <w:szCs w:val="20"/>
    </w:rPr>
  </w:style>
  <w:style w:type="paragraph" w:styleId="TOC9">
    <w:name w:val="toc 9"/>
    <w:basedOn w:val="Normal"/>
    <w:next w:val="Normal"/>
    <w:uiPriority w:val="39"/>
    <w:rsid w:val="00A85EB6"/>
    <w:pPr>
      <w:spacing w:before="0" w:after="0"/>
      <w:ind w:left="1760"/>
    </w:pPr>
    <w:rPr>
      <w:rFonts w:asciiTheme="minorHAnsi" w:hAnsiTheme="minorHAnsi"/>
      <w:sz w:val="20"/>
      <w:szCs w:val="20"/>
    </w:rPr>
  </w:style>
  <w:style w:type="paragraph" w:styleId="TOCHeading">
    <w:name w:val="TOC Heading"/>
    <w:basedOn w:val="Heading1"/>
    <w:next w:val="Normal"/>
    <w:uiPriority w:val="39"/>
    <w:unhideWhenUsed/>
    <w:qFormat/>
    <w:rsid w:val="00A53217"/>
    <w:pPr>
      <w:outlineLvl w:val="9"/>
    </w:pPr>
    <w:rPr>
      <w:rFonts w:eastAsia="Yu Gothic Medium"/>
      <w:color w:val="6C3D99"/>
    </w:rPr>
  </w:style>
  <w:style w:type="character" w:styleId="UnresolvedMention">
    <w:name w:val="Unresolved Mention"/>
    <w:basedOn w:val="DefaultParagraphFont"/>
    <w:uiPriority w:val="99"/>
    <w:semiHidden/>
    <w:unhideWhenUsed/>
    <w:rsid w:val="009637A8"/>
    <w:rPr>
      <w:color w:val="605E5C"/>
      <w:shd w:val="clear" w:color="auto" w:fill="E1DFDD"/>
    </w:rPr>
  </w:style>
  <w:style w:type="numbering" w:customStyle="1" w:styleId="aaclstStyleBullets">
    <w:name w:val="aac_lstStyle_Bullets"/>
    <w:uiPriority w:val="99"/>
    <w:rsid w:val="000F76C4"/>
    <w:pPr>
      <w:numPr>
        <w:numId w:val="5"/>
      </w:numPr>
    </w:pPr>
  </w:style>
  <w:style w:type="numbering" w:customStyle="1" w:styleId="aaclstStyleListNumber">
    <w:name w:val="aac_lstStyle_ListNumber"/>
    <w:uiPriority w:val="99"/>
    <w:rsid w:val="00303C43"/>
    <w:pPr>
      <w:numPr>
        <w:numId w:val="6"/>
      </w:numPr>
    </w:pPr>
  </w:style>
  <w:style w:type="numbering" w:customStyle="1" w:styleId="aaclstStyleHeadingNumbered">
    <w:name w:val="aac_lstStyle_HeadingNumbered"/>
    <w:uiPriority w:val="99"/>
    <w:rsid w:val="00B43407"/>
    <w:pPr>
      <w:numPr>
        <w:numId w:val="7"/>
      </w:numPr>
    </w:pPr>
  </w:style>
  <w:style w:type="paragraph" w:customStyle="1" w:styleId="Normal-nospace">
    <w:name w:val="Normal - no space"/>
    <w:basedOn w:val="Normal"/>
    <w:qFormat/>
    <w:rsid w:val="00DF3BD9"/>
    <w:pPr>
      <w:spacing w:before="0" w:after="0"/>
    </w:pPr>
    <w:rPr>
      <w:color w:val="000100"/>
    </w:rPr>
  </w:style>
  <w:style w:type="paragraph" w:customStyle="1" w:styleId="Heading2ES">
    <w:name w:val="Heading 2 (ES)"/>
    <w:basedOn w:val="Heading2nonumber"/>
    <w:next w:val="BodyText"/>
    <w:qFormat/>
    <w:rsid w:val="00853C78"/>
    <w:pPr>
      <w:numPr>
        <w:numId w:val="33"/>
      </w:numPr>
    </w:pPr>
    <w:rPr>
      <w:color w:val="6C3F99"/>
    </w:rPr>
  </w:style>
  <w:style w:type="paragraph" w:customStyle="1" w:styleId="Introduction">
    <w:name w:val="Introduction"/>
    <w:basedOn w:val="Normal-nospace"/>
    <w:next w:val="BodyText"/>
    <w:qFormat/>
    <w:rsid w:val="0023326E"/>
    <w:pPr>
      <w:spacing w:before="240" w:after="460" w:line="300" w:lineRule="exact"/>
      <w:ind w:right="120"/>
      <w:contextualSpacing/>
    </w:pPr>
    <w:rPr>
      <w:i/>
      <w:color w:val="7D7C7D"/>
      <w:sz w:val="24"/>
    </w:rPr>
  </w:style>
  <w:style w:type="paragraph" w:customStyle="1" w:styleId="Heading3ES">
    <w:name w:val="Heading 3 (ES)"/>
    <w:basedOn w:val="Heading3nonumber"/>
    <w:next w:val="BodyText"/>
    <w:qFormat/>
    <w:rsid w:val="00853C78"/>
    <w:pPr>
      <w:numPr>
        <w:numId w:val="33"/>
      </w:numPr>
    </w:pPr>
  </w:style>
  <w:style w:type="paragraph" w:customStyle="1" w:styleId="Heading4ES">
    <w:name w:val="Heading 4 (ES)"/>
    <w:basedOn w:val="Heading4nonumber"/>
    <w:next w:val="BodyText"/>
    <w:qFormat/>
    <w:rsid w:val="00853C78"/>
    <w:pPr>
      <w:numPr>
        <w:numId w:val="33"/>
      </w:numPr>
    </w:pPr>
  </w:style>
  <w:style w:type="numbering" w:customStyle="1" w:styleId="aaclstStyleHeadingsES">
    <w:name w:val="aac_lstStyle_HeadingsES"/>
    <w:uiPriority w:val="99"/>
    <w:rsid w:val="00853C78"/>
    <w:pPr>
      <w:numPr>
        <w:numId w:val="10"/>
      </w:numPr>
    </w:pPr>
  </w:style>
  <w:style w:type="paragraph" w:customStyle="1" w:styleId="Header-CompanyName">
    <w:name w:val="Header-Company Name"/>
    <w:basedOn w:val="Normal-nospace"/>
    <w:qFormat/>
    <w:rsid w:val="00025A87"/>
    <w:pPr>
      <w:spacing w:before="100" w:line="240" w:lineRule="auto"/>
      <w:jc w:val="right"/>
    </w:pPr>
    <w:rPr>
      <w:sz w:val="14"/>
    </w:rPr>
  </w:style>
  <w:style w:type="paragraph" w:customStyle="1" w:styleId="FooterText">
    <w:name w:val="Footer Text"/>
    <w:basedOn w:val="Normal-nospace"/>
    <w:qFormat/>
    <w:rsid w:val="009472E3"/>
    <w:pPr>
      <w:spacing w:line="240" w:lineRule="auto"/>
      <w:ind w:right="200"/>
      <w:jc w:val="right"/>
    </w:pPr>
    <w:rPr>
      <w:rFonts w:ascii="Yu Gothic Medium" w:eastAsia="Yu Gothic Medium" w:hAnsi="Yu Gothic Medium"/>
      <w:spacing w:val="6"/>
      <w:sz w:val="12"/>
    </w:rPr>
  </w:style>
  <w:style w:type="paragraph" w:customStyle="1" w:styleId="pageNumber0">
    <w:name w:val="pageNumber"/>
    <w:basedOn w:val="Normal-nospace"/>
    <w:qFormat/>
    <w:rsid w:val="000C0F1E"/>
    <w:pPr>
      <w:spacing w:line="240" w:lineRule="auto"/>
      <w:ind w:right="40"/>
      <w:jc w:val="center"/>
    </w:pPr>
    <w:rPr>
      <w:rFonts w:ascii="Yu Gothic Medium" w:eastAsia="Yu Gothic Medium" w:hAnsi="Yu Gothic Medium"/>
      <w:color w:val="959595"/>
      <w:sz w:val="20"/>
    </w:rPr>
  </w:style>
  <w:style w:type="paragraph" w:customStyle="1" w:styleId="CpTitle">
    <w:name w:val="Cp Title"/>
    <w:basedOn w:val="Normal-nospace"/>
    <w:next w:val="CpSubTitle"/>
    <w:qFormat/>
    <w:rsid w:val="00E873F8"/>
    <w:pPr>
      <w:spacing w:after="400" w:line="168" w:lineRule="auto"/>
    </w:pPr>
    <w:rPr>
      <w:rFonts w:ascii="Yu Gothic Medium" w:hAnsi="Yu Gothic Medium"/>
      <w:b/>
      <w:color w:val="FFFFFF" w:themeColor="background1"/>
      <w:sz w:val="80"/>
    </w:rPr>
  </w:style>
  <w:style w:type="paragraph" w:customStyle="1" w:styleId="CpSubTitle">
    <w:name w:val="Cp SubTitle"/>
    <w:basedOn w:val="Normalrgb"/>
    <w:qFormat/>
    <w:rsid w:val="006F1B2D"/>
    <w:pPr>
      <w:spacing w:after="400" w:line="168" w:lineRule="auto"/>
    </w:pPr>
    <w:rPr>
      <w:rFonts w:ascii="Yu Gothic Medium" w:hAnsi="Yu Gothic Medium"/>
      <w:sz w:val="48"/>
    </w:rPr>
  </w:style>
  <w:style w:type="numbering" w:customStyle="1" w:styleId="aaclstStyleAppendices">
    <w:name w:val="aac_lstStyle_Appendices"/>
    <w:uiPriority w:val="99"/>
    <w:rsid w:val="008D2BA5"/>
    <w:pPr>
      <w:numPr>
        <w:numId w:val="11"/>
      </w:numPr>
    </w:pPr>
  </w:style>
  <w:style w:type="paragraph" w:customStyle="1" w:styleId="CpReportDate">
    <w:name w:val="Cp Report Date"/>
    <w:basedOn w:val="Normal-nospace"/>
    <w:qFormat/>
    <w:rsid w:val="00C7281C"/>
    <w:pPr>
      <w:spacing w:before="90" w:line="240" w:lineRule="auto"/>
    </w:pPr>
    <w:rPr>
      <w:rFonts w:ascii="Yu Gothic Medium" w:eastAsia="Yu Gothic Medium" w:hAnsi="Yu Gothic Medium"/>
      <w:color w:val="FFFFFF"/>
    </w:rPr>
  </w:style>
  <w:style w:type="paragraph" w:customStyle="1" w:styleId="CpReportTo">
    <w:name w:val="Cp Report To"/>
    <w:basedOn w:val="Normalrgb"/>
    <w:qFormat/>
    <w:rsid w:val="00B9126B"/>
    <w:pPr>
      <w:spacing w:before="90" w:line="260" w:lineRule="exact"/>
    </w:pPr>
    <w:rPr>
      <w:rFonts w:ascii="Yu Gothic Medium" w:eastAsia="Yu Gothic Medium" w:hAnsi="Yu Gothic Medium"/>
      <w:sz w:val="20"/>
    </w:rPr>
  </w:style>
  <w:style w:type="paragraph" w:customStyle="1" w:styleId="CpClientName">
    <w:name w:val="Cp Client Name"/>
    <w:basedOn w:val="Normalrgb"/>
    <w:qFormat/>
    <w:rsid w:val="00B9126B"/>
    <w:pPr>
      <w:spacing w:before="90" w:line="260" w:lineRule="exact"/>
    </w:pPr>
    <w:rPr>
      <w:rFonts w:ascii="Yu Gothic Medium" w:eastAsia="Yu Gothic Medium" w:hAnsi="Yu Gothic Medium"/>
      <w:sz w:val="20"/>
    </w:rPr>
  </w:style>
  <w:style w:type="paragraph" w:customStyle="1" w:styleId="Style1">
    <w:name w:val="Style1"/>
    <w:basedOn w:val="Normal-nospace"/>
    <w:qFormat/>
    <w:rsid w:val="00695E8A"/>
    <w:pPr>
      <w:spacing w:after="400" w:line="216" w:lineRule="auto"/>
    </w:pPr>
    <w:rPr>
      <w:rFonts w:ascii="Yu Gothic Medium" w:hAnsi="Yu Gothic Medium"/>
      <w:b/>
      <w:color w:val="FF0000"/>
      <w:sz w:val="80"/>
    </w:rPr>
  </w:style>
  <w:style w:type="numbering" w:customStyle="1" w:styleId="lstStyleBullets">
    <w:name w:val="lstStyle_Bullets"/>
    <w:uiPriority w:val="99"/>
    <w:rsid w:val="003F70C7"/>
  </w:style>
  <w:style w:type="numbering" w:customStyle="1" w:styleId="lstStyleListNumber">
    <w:name w:val="lstStyle_ListNumber"/>
    <w:uiPriority w:val="99"/>
    <w:rsid w:val="003F70C7"/>
    <w:pPr>
      <w:numPr>
        <w:numId w:val="12"/>
      </w:numPr>
    </w:pPr>
  </w:style>
  <w:style w:type="numbering" w:customStyle="1" w:styleId="lstStyleHeadingNumbered">
    <w:name w:val="lstStyle_Heading_Numbered"/>
    <w:uiPriority w:val="99"/>
    <w:rsid w:val="00DE7AEA"/>
    <w:pPr>
      <w:numPr>
        <w:numId w:val="13"/>
      </w:numPr>
    </w:pPr>
  </w:style>
  <w:style w:type="paragraph" w:customStyle="1" w:styleId="spacer">
    <w:name w:val="spacer"/>
    <w:basedOn w:val="Normal-nospace"/>
    <w:qFormat/>
    <w:rsid w:val="006E428D"/>
    <w:pPr>
      <w:spacing w:line="240" w:lineRule="auto"/>
    </w:pPr>
    <w:rPr>
      <w:sz w:val="4"/>
    </w:rPr>
  </w:style>
  <w:style w:type="paragraph" w:customStyle="1" w:styleId="spacertbl">
    <w:name w:val="spacer_tbl"/>
    <w:basedOn w:val="spacer"/>
    <w:qFormat/>
    <w:rsid w:val="006E428D"/>
  </w:style>
  <w:style w:type="paragraph" w:customStyle="1" w:styleId="tagchapterBanner">
    <w:name w:val="tag_chapterBanner"/>
    <w:basedOn w:val="spacer"/>
    <w:qFormat/>
    <w:rsid w:val="0040609B"/>
    <w:pPr>
      <w:keepNext/>
      <w:pageBreakBefore/>
    </w:pPr>
  </w:style>
  <w:style w:type="paragraph" w:customStyle="1" w:styleId="HeadingChapter">
    <w:name w:val="Heading (Chapter)"/>
    <w:basedOn w:val="Normal-nospace"/>
    <w:qFormat/>
    <w:rsid w:val="00557FA4"/>
    <w:pPr>
      <w:spacing w:line="1960" w:lineRule="exact"/>
      <w:ind w:left="216" w:right="62"/>
      <w:jc w:val="right"/>
    </w:pPr>
    <w:rPr>
      <w:rFonts w:ascii="Yu Gothic Medium" w:hAnsi="Yu Gothic Medium"/>
      <w:color w:val="FFFEFF"/>
      <w:sz w:val="160"/>
    </w:rPr>
  </w:style>
  <w:style w:type="paragraph" w:customStyle="1" w:styleId="Heading1ES">
    <w:name w:val="Heading 1 (ES)"/>
    <w:basedOn w:val="Heading1nonumber"/>
    <w:next w:val="Introduction"/>
    <w:qFormat/>
    <w:rsid w:val="00853C78"/>
    <w:pPr>
      <w:numPr>
        <w:numId w:val="33"/>
      </w:numPr>
    </w:pPr>
  </w:style>
  <w:style w:type="paragraph" w:customStyle="1" w:styleId="tagexecBanner">
    <w:name w:val="tag_execBanner"/>
    <w:basedOn w:val="spacer"/>
    <w:qFormat/>
    <w:rsid w:val="0040609B"/>
    <w:pPr>
      <w:keepNext/>
      <w:pageBreakBefore/>
    </w:pPr>
  </w:style>
  <w:style w:type="paragraph" w:customStyle="1" w:styleId="HeadingAppendix">
    <w:name w:val="Heading (Appendix)"/>
    <w:basedOn w:val="HeadingChapter"/>
    <w:qFormat/>
    <w:rsid w:val="0059608F"/>
  </w:style>
  <w:style w:type="paragraph" w:customStyle="1" w:styleId="tagappendixChapter">
    <w:name w:val="tag_appendixChapter"/>
    <w:basedOn w:val="spacer"/>
    <w:qFormat/>
    <w:rsid w:val="0040609B"/>
    <w:pPr>
      <w:keepNext/>
      <w:pageBreakBefore/>
    </w:pPr>
  </w:style>
  <w:style w:type="table" w:customStyle="1" w:styleId="aacTableBasic">
    <w:name w:val="aac Table (Basic)"/>
    <w:basedOn w:val="TableNormal"/>
    <w:next w:val="TableGrid"/>
    <w:uiPriority w:val="39"/>
    <w:rsid w:val="001B1E74"/>
    <w:pPr>
      <w:spacing w:before="60" w:after="0" w:line="240" w:lineRule="atLeast"/>
    </w:pPr>
    <w:rPr>
      <w:rFonts w:ascii="Arial Narrow" w:hAnsi="Arial Narrow"/>
      <w:lang w:val="en-US"/>
    </w:rPr>
    <w:tblPr>
      <w:tblBorders>
        <w:bottom w:val="single" w:sz="4" w:space="0" w:color="auto"/>
        <w:insideH w:val="single" w:sz="4" w:space="0" w:color="auto"/>
      </w:tblBorders>
      <w:tblCellMar>
        <w:left w:w="0" w:type="dxa"/>
        <w:right w:w="0" w:type="dxa"/>
      </w:tblCellMar>
    </w:tblPr>
    <w:tcPr>
      <w:shd w:val="clear" w:color="auto" w:fill="auto"/>
    </w:tcPr>
    <w:tblStylePr w:type="firstRow">
      <w:pPr>
        <w:jc w:val="left"/>
      </w:pPr>
      <w:rPr>
        <w:color w:val="FFFFFF" w:themeColor="background1"/>
      </w:rPr>
      <w:tblPr/>
      <w:tcPr>
        <w:shd w:val="clear" w:color="auto" w:fill="140034"/>
      </w:tcPr>
    </w:tblStylePr>
  </w:style>
  <w:style w:type="paragraph" w:customStyle="1" w:styleId="tagcoverPage">
    <w:name w:val="tag_coverPage"/>
    <w:basedOn w:val="spacer"/>
    <w:qFormat/>
    <w:rsid w:val="00F970FA"/>
    <w:rPr>
      <w:b/>
      <w:bCs/>
    </w:rPr>
  </w:style>
  <w:style w:type="paragraph" w:customStyle="1" w:styleId="tagcontactsPage-Front">
    <w:name w:val="tag_contactsPage-Front"/>
    <w:basedOn w:val="spacer"/>
    <w:qFormat/>
    <w:rsid w:val="004051FB"/>
    <w:pPr>
      <w:keepNext/>
      <w:pageBreakBefore/>
    </w:pPr>
  </w:style>
  <w:style w:type="paragraph" w:customStyle="1" w:styleId="tagcontactsPage-Back">
    <w:name w:val="tag_contactsPage-Back"/>
    <w:basedOn w:val="spacer"/>
    <w:qFormat/>
    <w:rsid w:val="00B353EA"/>
  </w:style>
  <w:style w:type="paragraph" w:customStyle="1" w:styleId="tagpartBanner">
    <w:name w:val="tag_partBanner"/>
    <w:basedOn w:val="spacer"/>
    <w:qFormat/>
    <w:rsid w:val="0040609B"/>
    <w:pPr>
      <w:keepNext/>
      <w:pageBreakBefore/>
    </w:pPr>
  </w:style>
  <w:style w:type="paragraph" w:customStyle="1" w:styleId="tagappendixPart">
    <w:name w:val="tag_appendixPart"/>
    <w:basedOn w:val="spacer"/>
    <w:qFormat/>
    <w:rsid w:val="00B353EA"/>
  </w:style>
  <w:style w:type="paragraph" w:customStyle="1" w:styleId="Tabletext">
    <w:name w:val="Table text"/>
    <w:basedOn w:val="Normal-nospace"/>
    <w:qFormat/>
    <w:rsid w:val="00394848"/>
    <w:pPr>
      <w:spacing w:before="60" w:line="192" w:lineRule="auto"/>
      <w:ind w:left="40" w:right="119"/>
    </w:pPr>
    <w:rPr>
      <w:rFonts w:ascii="Yu Gothic Medium" w:eastAsia="Yu Gothic Medium" w:hAnsi="Yu Gothic Medium"/>
      <w:spacing w:val="-12"/>
      <w:sz w:val="19"/>
    </w:rPr>
  </w:style>
  <w:style w:type="paragraph" w:customStyle="1" w:styleId="Tabletextsmall">
    <w:name w:val="Table text (small)"/>
    <w:basedOn w:val="Normal-nospace"/>
    <w:qFormat/>
    <w:rsid w:val="00191BF4"/>
    <w:pPr>
      <w:spacing w:before="40" w:line="192" w:lineRule="auto"/>
      <w:ind w:left="40" w:right="119"/>
    </w:pPr>
    <w:rPr>
      <w:rFonts w:ascii="Yu Gothic Medium" w:eastAsia="Yu Gothic Medium" w:hAnsi="Yu Gothic Medium"/>
      <w:spacing w:val="-12"/>
      <w:sz w:val="15"/>
    </w:rPr>
  </w:style>
  <w:style w:type="paragraph" w:customStyle="1" w:styleId="Tableunitsrow">
    <w:name w:val="Table units row"/>
    <w:basedOn w:val="Normal-nospace"/>
    <w:qFormat/>
    <w:rsid w:val="007877E2"/>
    <w:pPr>
      <w:spacing w:before="60" w:line="240" w:lineRule="atLeast"/>
      <w:ind w:left="40" w:right="119"/>
    </w:pPr>
    <w:rPr>
      <w:sz w:val="20"/>
    </w:rPr>
  </w:style>
  <w:style w:type="paragraph" w:customStyle="1" w:styleId="Tablecolumnheadings">
    <w:name w:val="Table column headings"/>
    <w:basedOn w:val="Tabletext"/>
    <w:qFormat/>
    <w:rsid w:val="002179F8"/>
    <w:pPr>
      <w:keepNext/>
      <w:spacing w:before="40" w:after="40"/>
      <w:ind w:right="80"/>
    </w:pPr>
    <w:rPr>
      <w:b/>
      <w:color w:val="FFFFFF"/>
    </w:rPr>
  </w:style>
  <w:style w:type="paragraph" w:customStyle="1" w:styleId="Source">
    <w:name w:val="Source"/>
    <w:basedOn w:val="Normal-nospace"/>
    <w:link w:val="SourceChar"/>
    <w:qFormat/>
    <w:rsid w:val="00C262C8"/>
    <w:pPr>
      <w:spacing w:before="80" w:after="80" w:line="240" w:lineRule="auto"/>
      <w:ind w:left="40" w:right="80"/>
    </w:pPr>
    <w:rPr>
      <w:rFonts w:ascii="Yu Gothic Medium" w:hAnsi="Yu Gothic Medium"/>
      <w:i/>
      <w:sz w:val="16"/>
    </w:rPr>
  </w:style>
  <w:style w:type="paragraph" w:customStyle="1" w:styleId="CpAboutAcilAllen">
    <w:name w:val="Cp About Acil Allen"/>
    <w:basedOn w:val="Normalrgb"/>
    <w:qFormat/>
    <w:rsid w:val="002627BC"/>
    <w:pPr>
      <w:spacing w:after="100" w:line="240" w:lineRule="auto"/>
    </w:pPr>
    <w:rPr>
      <w:sz w:val="24"/>
    </w:rPr>
  </w:style>
  <w:style w:type="paragraph" w:customStyle="1" w:styleId="CpDisclaimer">
    <w:name w:val="Cp Disclaimer"/>
    <w:basedOn w:val="Normalrgb"/>
    <w:qFormat/>
    <w:rsid w:val="00B67D84"/>
    <w:pPr>
      <w:spacing w:after="100" w:line="240" w:lineRule="auto"/>
      <w:ind w:right="323"/>
    </w:pPr>
    <w:rPr>
      <w:sz w:val="14"/>
    </w:rPr>
  </w:style>
  <w:style w:type="paragraph" w:customStyle="1" w:styleId="CpDisclaimer9pt">
    <w:name w:val="Cp Disclaimer 9pt"/>
    <w:basedOn w:val="Normalrgb"/>
    <w:qFormat/>
    <w:rsid w:val="00B67D84"/>
    <w:pPr>
      <w:spacing w:after="100" w:line="240" w:lineRule="auto"/>
    </w:pPr>
    <w:rPr>
      <w:sz w:val="18"/>
    </w:rPr>
  </w:style>
  <w:style w:type="paragraph" w:customStyle="1" w:styleId="Part-HeadingBanner">
    <w:name w:val="Part - Heading (Banner)"/>
    <w:basedOn w:val="Normal-nospace"/>
    <w:next w:val="Part-SubHeadBanner"/>
    <w:qFormat/>
    <w:rsid w:val="00EB3A30"/>
    <w:pPr>
      <w:spacing w:line="192" w:lineRule="auto"/>
    </w:pPr>
    <w:rPr>
      <w:rFonts w:ascii="Yu Gothic Medium" w:hAnsi="Yu Gothic Medium"/>
      <w:b/>
      <w:color w:val="FFFEFF"/>
      <w:sz w:val="52"/>
    </w:rPr>
  </w:style>
  <w:style w:type="paragraph" w:customStyle="1" w:styleId="Part-SubHeadBanner">
    <w:name w:val="Part - SubHead (Banner)"/>
    <w:basedOn w:val="Normalrgb"/>
    <w:qFormat/>
    <w:rsid w:val="00CA4C4B"/>
    <w:pPr>
      <w:spacing w:line="192" w:lineRule="auto"/>
    </w:pPr>
    <w:rPr>
      <w:rFonts w:ascii="Yu Gothic Medium" w:hAnsi="Yu Gothic Medium"/>
      <w:b/>
      <w:sz w:val="52"/>
    </w:rPr>
  </w:style>
  <w:style w:type="paragraph" w:customStyle="1" w:styleId="Partxx">
    <w:name w:val="Part xx"/>
    <w:basedOn w:val="spacer"/>
    <w:qFormat/>
    <w:rsid w:val="00296BE7"/>
    <w:rPr>
      <w:color w:val="140134"/>
    </w:rPr>
  </w:style>
  <w:style w:type="paragraph" w:customStyle="1" w:styleId="Part-Number">
    <w:name w:val="Part - Number"/>
    <w:basedOn w:val="BodyText"/>
    <w:qFormat/>
    <w:rsid w:val="00DA2D22"/>
    <w:pPr>
      <w:spacing w:before="24" w:after="0" w:line="1600" w:lineRule="exact"/>
      <w:jc w:val="right"/>
    </w:pPr>
    <w:rPr>
      <w:rFonts w:ascii="Yu Gothic Medium" w:eastAsia="Yu Gothic Medium" w:hAnsi="Yu Gothic Medium"/>
      <w:color w:val="FFFEFF"/>
      <w:position w:val="-16"/>
      <w:sz w:val="160"/>
    </w:rPr>
  </w:style>
  <w:style w:type="paragraph" w:customStyle="1" w:styleId="App-DividerHeading">
    <w:name w:val="App - Divider (Heading)"/>
    <w:basedOn w:val="Part-HeadingBanner"/>
    <w:next w:val="App-DividerSubHeading"/>
    <w:qFormat/>
    <w:rsid w:val="00EB3A30"/>
  </w:style>
  <w:style w:type="paragraph" w:customStyle="1" w:styleId="App-DividerSubHeading">
    <w:name w:val="App - Divider (Sub Heading)"/>
    <w:basedOn w:val="Part-SubHeadBanner"/>
    <w:qFormat/>
    <w:rsid w:val="00E41318"/>
    <w:rPr>
      <w:color w:val="140034"/>
    </w:rPr>
  </w:style>
  <w:style w:type="paragraph" w:customStyle="1" w:styleId="CpContactDetails">
    <w:name w:val="Cp Contact Details"/>
    <w:basedOn w:val="Normal"/>
    <w:qFormat/>
    <w:rsid w:val="00501F07"/>
    <w:pPr>
      <w:spacing w:before="0" w:after="0" w:line="250" w:lineRule="exact"/>
    </w:pPr>
    <w:rPr>
      <w:color w:val="FFFEFF"/>
    </w:rPr>
  </w:style>
  <w:style w:type="paragraph" w:customStyle="1" w:styleId="LetterHeading1">
    <w:name w:val="Letter Heading 1"/>
    <w:basedOn w:val="BodyText"/>
    <w:next w:val="BodyText"/>
    <w:qFormat/>
    <w:rsid w:val="002E2EDB"/>
    <w:pPr>
      <w:keepNext/>
    </w:pPr>
    <w:rPr>
      <w:b/>
      <w:color w:val="000100"/>
    </w:rPr>
  </w:style>
  <w:style w:type="paragraph" w:customStyle="1" w:styleId="LetterDate">
    <w:name w:val="LetterDate"/>
    <w:basedOn w:val="Normal-nospace"/>
    <w:next w:val="LetterRef"/>
    <w:qFormat/>
    <w:rsid w:val="00DF3BD9"/>
    <w:pPr>
      <w:spacing w:before="600" w:line="280" w:lineRule="exact"/>
    </w:pPr>
  </w:style>
  <w:style w:type="paragraph" w:customStyle="1" w:styleId="LetterRef">
    <w:name w:val="LetterRef"/>
    <w:basedOn w:val="Normal-nospace"/>
    <w:next w:val="LetterName"/>
    <w:qFormat/>
    <w:rsid w:val="00DF3BD9"/>
    <w:pPr>
      <w:spacing w:before="40" w:after="600"/>
    </w:pPr>
  </w:style>
  <w:style w:type="paragraph" w:customStyle="1" w:styleId="LetterName">
    <w:name w:val="LetterName"/>
    <w:basedOn w:val="Normal-nospace"/>
    <w:next w:val="LetterTitle"/>
    <w:qFormat/>
    <w:rsid w:val="00DF3BD9"/>
    <w:pPr>
      <w:spacing w:line="280" w:lineRule="exact"/>
    </w:pPr>
  </w:style>
  <w:style w:type="paragraph" w:customStyle="1" w:styleId="LetterTitle">
    <w:name w:val="LetterTitle"/>
    <w:basedOn w:val="Normal-nospace"/>
    <w:next w:val="LetterCompany"/>
    <w:qFormat/>
    <w:rsid w:val="00DF3BD9"/>
    <w:pPr>
      <w:spacing w:line="280" w:lineRule="exact"/>
    </w:pPr>
  </w:style>
  <w:style w:type="paragraph" w:customStyle="1" w:styleId="LetterCompany">
    <w:name w:val="LetterCompany"/>
    <w:basedOn w:val="Normal-nospace"/>
    <w:next w:val="LetterAddress"/>
    <w:qFormat/>
    <w:rsid w:val="00DF3BD9"/>
    <w:pPr>
      <w:spacing w:line="280" w:lineRule="exact"/>
    </w:pPr>
  </w:style>
  <w:style w:type="paragraph" w:customStyle="1" w:styleId="LetterAddress">
    <w:name w:val="LetterAddress"/>
    <w:basedOn w:val="Normal-nospace"/>
    <w:next w:val="LetterCityStatePostcode"/>
    <w:qFormat/>
    <w:rsid w:val="00DF3BD9"/>
    <w:pPr>
      <w:spacing w:line="280" w:lineRule="exact"/>
    </w:pPr>
  </w:style>
  <w:style w:type="paragraph" w:customStyle="1" w:styleId="LetterCityStatePostcode">
    <w:name w:val="LetterCityStatePostcode"/>
    <w:basedOn w:val="Normal-nospace"/>
    <w:next w:val="LetterSubject"/>
    <w:qFormat/>
    <w:rsid w:val="00DF3BD9"/>
    <w:pPr>
      <w:spacing w:line="280" w:lineRule="exact"/>
    </w:pPr>
  </w:style>
  <w:style w:type="paragraph" w:customStyle="1" w:styleId="LetterSubject">
    <w:name w:val="LetterSubject"/>
    <w:basedOn w:val="Normal-nospace"/>
    <w:next w:val="BodyText"/>
    <w:qFormat/>
    <w:rsid w:val="00DF3BD9"/>
    <w:pPr>
      <w:spacing w:before="400" w:after="200" w:line="260" w:lineRule="exact"/>
    </w:pPr>
    <w:rPr>
      <w:b/>
      <w:sz w:val="24"/>
    </w:rPr>
  </w:style>
  <w:style w:type="paragraph" w:customStyle="1" w:styleId="SignatureBlock">
    <w:name w:val="Signature Block"/>
    <w:basedOn w:val="Normal-nospace"/>
    <w:qFormat/>
    <w:rsid w:val="00DF3BD9"/>
    <w:pPr>
      <w:keepNext/>
      <w:keepLines/>
      <w:spacing w:line="240" w:lineRule="auto"/>
    </w:pPr>
  </w:style>
  <w:style w:type="paragraph" w:customStyle="1" w:styleId="StationeryConfidentiality">
    <w:name w:val="Stationery Confidentiality"/>
    <w:basedOn w:val="Normal-nospace"/>
    <w:qFormat/>
    <w:rsid w:val="006468AE"/>
    <w:pPr>
      <w:keepNext/>
      <w:spacing w:before="120" w:after="120" w:line="280" w:lineRule="exact"/>
    </w:pPr>
    <w:rPr>
      <w:i/>
    </w:rPr>
  </w:style>
  <w:style w:type="paragraph" w:customStyle="1" w:styleId="StationeryContact">
    <w:name w:val="StationeryContact"/>
    <w:basedOn w:val="Normal-nospace"/>
    <w:qFormat/>
    <w:rsid w:val="00FD10DC"/>
    <w:pPr>
      <w:spacing w:line="240" w:lineRule="auto"/>
    </w:pPr>
  </w:style>
  <w:style w:type="paragraph" w:customStyle="1" w:styleId="StationeryType">
    <w:name w:val="StationeryType"/>
    <w:basedOn w:val="Normal-nospace"/>
    <w:qFormat/>
    <w:rsid w:val="00FD10DC"/>
    <w:pPr>
      <w:spacing w:before="90" w:after="84" w:line="240" w:lineRule="auto"/>
    </w:pPr>
    <w:rPr>
      <w:b/>
      <w:color w:val="FFFEFF"/>
      <w:sz w:val="24"/>
    </w:rPr>
  </w:style>
  <w:style w:type="paragraph" w:customStyle="1" w:styleId="StationeryLabel">
    <w:name w:val="StationeryLabel"/>
    <w:basedOn w:val="Normal-nospace"/>
    <w:qFormat/>
    <w:rsid w:val="00FD10DC"/>
    <w:pPr>
      <w:spacing w:line="240" w:lineRule="auto"/>
    </w:pPr>
    <w:rPr>
      <w:b/>
      <w:spacing w:val="8"/>
    </w:rPr>
  </w:style>
  <w:style w:type="paragraph" w:customStyle="1" w:styleId="StationeryRefMemo">
    <w:name w:val="StationeryRef_Memo"/>
    <w:basedOn w:val="StationeryContact"/>
    <w:qFormat/>
    <w:rsid w:val="004552DF"/>
  </w:style>
  <w:style w:type="paragraph" w:customStyle="1" w:styleId="FooterLetter">
    <w:name w:val="Footer (Letter)"/>
    <w:basedOn w:val="Normal"/>
    <w:qFormat/>
    <w:rsid w:val="00A85EB6"/>
    <w:pPr>
      <w:spacing w:before="26" w:after="0" w:line="240" w:lineRule="auto"/>
    </w:pPr>
    <w:rPr>
      <w:rFonts w:cstheme="minorBidi"/>
      <w:color w:val="000100"/>
      <w:sz w:val="16"/>
    </w:rPr>
  </w:style>
  <w:style w:type="paragraph" w:customStyle="1" w:styleId="FooterLetter-Contact">
    <w:name w:val="Footer (Letter-Contact)"/>
    <w:basedOn w:val="FooterLetter"/>
    <w:qFormat/>
    <w:rsid w:val="001D42B2"/>
    <w:pPr>
      <w:spacing w:before="20" w:after="20"/>
      <w:jc w:val="right"/>
    </w:pPr>
    <w:rPr>
      <w:color w:val="6C3E99"/>
    </w:rPr>
  </w:style>
  <w:style w:type="paragraph" w:customStyle="1" w:styleId="FooterText0">
    <w:name w:val="Footer (Text)"/>
    <w:basedOn w:val="Footer"/>
    <w:qFormat/>
    <w:rsid w:val="00A85EB6"/>
    <w:pPr>
      <w:tabs>
        <w:tab w:val="clear" w:pos="4513"/>
        <w:tab w:val="clear" w:pos="9026"/>
        <w:tab w:val="right" w:pos="9360"/>
      </w:tabs>
      <w:jc w:val="right"/>
    </w:pPr>
    <w:rPr>
      <w:rFonts w:eastAsia="Yu Gothic Medium" w:cstheme="minorBidi"/>
      <w:spacing w:val="6"/>
    </w:rPr>
  </w:style>
  <w:style w:type="paragraph" w:customStyle="1" w:styleId="TOCGeneral">
    <w:name w:val="TOC General"/>
    <w:basedOn w:val="Normal"/>
    <w:qFormat/>
    <w:rsid w:val="007A1923"/>
    <w:pPr>
      <w:spacing w:before="0" w:after="0" w:line="240" w:lineRule="auto"/>
    </w:pPr>
    <w:rPr>
      <w:rFonts w:cstheme="minorBidi"/>
      <w:vanish/>
      <w:color w:val="000100"/>
      <w:sz w:val="8"/>
    </w:rPr>
  </w:style>
  <w:style w:type="numbering" w:customStyle="1" w:styleId="TOCList">
    <w:name w:val="TOC List"/>
    <w:uiPriority w:val="99"/>
    <w:rsid w:val="00C62B89"/>
    <w:pPr>
      <w:numPr>
        <w:numId w:val="14"/>
      </w:numPr>
    </w:pPr>
  </w:style>
  <w:style w:type="paragraph" w:customStyle="1" w:styleId="FooterLetter-Logo">
    <w:name w:val="Footer (Letter-Logo)"/>
    <w:basedOn w:val="FooterLetter-Contact"/>
    <w:qFormat/>
    <w:rsid w:val="00A95E46"/>
    <w:rPr>
      <w:lang w:val="en-US"/>
    </w:rPr>
  </w:style>
  <w:style w:type="paragraph" w:customStyle="1" w:styleId="Headingglossary">
    <w:name w:val="Heading (glossary)"/>
    <w:basedOn w:val="Heading1nonumber"/>
    <w:qFormat/>
    <w:rsid w:val="00284C7E"/>
  </w:style>
  <w:style w:type="character" w:customStyle="1" w:styleId="CaptionLabel">
    <w:name w:val="Caption Label"/>
    <w:basedOn w:val="DefaultParagraphFont"/>
    <w:uiPriority w:val="1"/>
    <w:qFormat/>
    <w:rsid w:val="00004480"/>
    <w:rPr>
      <w:rFonts w:ascii="Yu Gothic Medium" w:hAnsi="Yu Gothic Medium"/>
      <w:b/>
      <w:color w:val="000100"/>
    </w:rPr>
  </w:style>
  <w:style w:type="paragraph" w:customStyle="1" w:styleId="BoxListBullet">
    <w:name w:val="Box List Bullet"/>
    <w:basedOn w:val="BoxText"/>
    <w:qFormat/>
    <w:rsid w:val="001646CC"/>
    <w:pPr>
      <w:numPr>
        <w:numId w:val="15"/>
      </w:numPr>
    </w:pPr>
  </w:style>
  <w:style w:type="paragraph" w:customStyle="1" w:styleId="BoxListBullet2">
    <w:name w:val="Box List Bullet 2"/>
    <w:basedOn w:val="BoxText"/>
    <w:qFormat/>
    <w:rsid w:val="001646CC"/>
    <w:pPr>
      <w:numPr>
        <w:ilvl w:val="1"/>
        <w:numId w:val="15"/>
      </w:numPr>
      <w:spacing w:before="0"/>
    </w:pPr>
  </w:style>
  <w:style w:type="paragraph" w:customStyle="1" w:styleId="BoxListBullet3">
    <w:name w:val="Box List Bullet 3"/>
    <w:basedOn w:val="BoxText"/>
    <w:qFormat/>
    <w:rsid w:val="001646CC"/>
    <w:pPr>
      <w:numPr>
        <w:ilvl w:val="2"/>
        <w:numId w:val="15"/>
      </w:numPr>
      <w:spacing w:before="0"/>
    </w:pPr>
  </w:style>
  <w:style w:type="numbering" w:customStyle="1" w:styleId="aaclstStyleBoxListBullets">
    <w:name w:val="aac_lstStyle_BoxListBullets"/>
    <w:uiPriority w:val="99"/>
    <w:rsid w:val="001646CC"/>
    <w:pPr>
      <w:numPr>
        <w:numId w:val="15"/>
      </w:numPr>
    </w:pPr>
  </w:style>
  <w:style w:type="paragraph" w:customStyle="1" w:styleId="BoxListNumber">
    <w:name w:val="Box List Number"/>
    <w:basedOn w:val="BoxText"/>
    <w:qFormat/>
    <w:rsid w:val="001801B5"/>
    <w:pPr>
      <w:numPr>
        <w:numId w:val="20"/>
      </w:numPr>
    </w:pPr>
  </w:style>
  <w:style w:type="paragraph" w:customStyle="1" w:styleId="BoxText">
    <w:name w:val="Box Text"/>
    <w:basedOn w:val="BodyText2"/>
    <w:qFormat/>
    <w:rsid w:val="00CE6644"/>
    <w:pPr>
      <w:keepNext/>
      <w:spacing w:before="60" w:after="60" w:line="192" w:lineRule="auto"/>
    </w:pPr>
    <w:rPr>
      <w:rFonts w:cstheme="minorBidi"/>
      <w:color w:val="000100"/>
    </w:rPr>
  </w:style>
  <w:style w:type="paragraph" w:customStyle="1" w:styleId="BoxListNumber2">
    <w:name w:val="Box List Number 2"/>
    <w:basedOn w:val="BoxText"/>
    <w:qFormat/>
    <w:rsid w:val="001801B5"/>
    <w:pPr>
      <w:numPr>
        <w:ilvl w:val="1"/>
        <w:numId w:val="20"/>
      </w:numPr>
      <w:spacing w:before="0"/>
    </w:pPr>
  </w:style>
  <w:style w:type="paragraph" w:customStyle="1" w:styleId="BoxListNumber3">
    <w:name w:val="Box List Number 3"/>
    <w:basedOn w:val="BoxText"/>
    <w:qFormat/>
    <w:rsid w:val="001801B5"/>
    <w:pPr>
      <w:numPr>
        <w:ilvl w:val="2"/>
        <w:numId w:val="20"/>
      </w:numPr>
      <w:spacing w:before="0"/>
    </w:pPr>
  </w:style>
  <w:style w:type="paragraph" w:customStyle="1" w:styleId="BoxQuote">
    <w:name w:val="Box Quote"/>
    <w:basedOn w:val="BoxText"/>
    <w:qFormat/>
    <w:rsid w:val="0092021A"/>
    <w:pPr>
      <w:numPr>
        <w:ilvl w:val="3"/>
        <w:numId w:val="15"/>
      </w:numPr>
      <w:spacing w:before="120"/>
    </w:pPr>
    <w:rPr>
      <w:i/>
      <w:color w:val="595959" w:themeColor="text1" w:themeTint="A6"/>
    </w:rPr>
  </w:style>
  <w:style w:type="paragraph" w:customStyle="1" w:styleId="BoxQuoteListBullet">
    <w:name w:val="Box Quote List Bullet"/>
    <w:basedOn w:val="BoxText"/>
    <w:qFormat/>
    <w:rsid w:val="001646CC"/>
    <w:pPr>
      <w:numPr>
        <w:ilvl w:val="4"/>
        <w:numId w:val="15"/>
      </w:numPr>
      <w:ind w:right="400"/>
    </w:pPr>
    <w:rPr>
      <w:i/>
      <w:color w:val="404040" w:themeColor="text1" w:themeTint="BF"/>
    </w:rPr>
  </w:style>
  <w:style w:type="paragraph" w:customStyle="1" w:styleId="BoxQuoteSource">
    <w:name w:val="Box Quote Source"/>
    <w:basedOn w:val="BoxText"/>
    <w:qFormat/>
    <w:rsid w:val="00121B0F"/>
    <w:pPr>
      <w:spacing w:before="90"/>
      <w:ind w:right="400"/>
      <w:jc w:val="right"/>
    </w:pPr>
    <w:rPr>
      <w:i/>
      <w:color w:val="595959" w:themeColor="text1" w:themeTint="A6"/>
    </w:rPr>
  </w:style>
  <w:style w:type="paragraph" w:customStyle="1" w:styleId="BoxSideHeading1">
    <w:name w:val="Box Side Heading 1"/>
    <w:basedOn w:val="BoxText"/>
    <w:next w:val="BoxText"/>
    <w:qFormat/>
    <w:rsid w:val="00B77B10"/>
    <w:pPr>
      <w:spacing w:before="0"/>
    </w:pPr>
    <w:rPr>
      <w:b/>
      <w:spacing w:val="-4"/>
    </w:rPr>
  </w:style>
  <w:style w:type="paragraph" w:customStyle="1" w:styleId="BoxSideHeading2">
    <w:name w:val="Box Side Heading 2"/>
    <w:basedOn w:val="BoxText"/>
    <w:next w:val="BoxText"/>
    <w:qFormat/>
    <w:rsid w:val="00B055CA"/>
    <w:pPr>
      <w:spacing w:before="0"/>
    </w:pPr>
    <w:rPr>
      <w:i/>
    </w:rPr>
  </w:style>
  <w:style w:type="paragraph" w:customStyle="1" w:styleId="BoxTextBoldItalic">
    <w:name w:val="Box Text (Bold Italic)"/>
    <w:basedOn w:val="Normal"/>
    <w:qFormat/>
    <w:rsid w:val="00352A40"/>
    <w:pPr>
      <w:spacing w:after="61" w:line="240" w:lineRule="atLeast"/>
    </w:pPr>
    <w:rPr>
      <w:rFonts w:cstheme="minorBidi"/>
      <w:b/>
      <w:i/>
      <w:color w:val="000100"/>
      <w:sz w:val="20"/>
    </w:rPr>
  </w:style>
  <w:style w:type="paragraph" w:customStyle="1" w:styleId="BoxTextHeading">
    <w:name w:val="Box Text Heading"/>
    <w:basedOn w:val="Normal"/>
    <w:qFormat/>
    <w:rsid w:val="00B055CA"/>
    <w:pPr>
      <w:keepNext/>
      <w:spacing w:after="61" w:line="240" w:lineRule="atLeast"/>
      <w:ind w:left="442"/>
    </w:pPr>
    <w:rPr>
      <w:rFonts w:cstheme="minorBidi"/>
      <w:b/>
      <w:color w:val="000100"/>
      <w:sz w:val="20"/>
    </w:rPr>
  </w:style>
  <w:style w:type="paragraph" w:customStyle="1" w:styleId="Figure">
    <w:name w:val="Figure"/>
    <w:basedOn w:val="Normal-nospace"/>
    <w:qFormat/>
    <w:rsid w:val="00A86812"/>
    <w:pPr>
      <w:keepNext/>
      <w:spacing w:line="240" w:lineRule="auto"/>
    </w:pPr>
    <w:rPr>
      <w:sz w:val="16"/>
    </w:rPr>
  </w:style>
  <w:style w:type="numbering" w:customStyle="1" w:styleId="aacTableListBullets">
    <w:name w:val="aac Table List Bullets"/>
    <w:uiPriority w:val="99"/>
    <w:rsid w:val="007877E2"/>
    <w:pPr>
      <w:numPr>
        <w:numId w:val="16"/>
      </w:numPr>
    </w:pPr>
  </w:style>
  <w:style w:type="numbering" w:customStyle="1" w:styleId="aacTableListBulletssmall">
    <w:name w:val="aac Table List Bullets (small)"/>
    <w:uiPriority w:val="99"/>
    <w:rsid w:val="00A9755F"/>
    <w:pPr>
      <w:numPr>
        <w:numId w:val="17"/>
      </w:numPr>
    </w:pPr>
  </w:style>
  <w:style w:type="numbering" w:customStyle="1" w:styleId="aacTableListNumbers">
    <w:name w:val="aac Table List Numbers"/>
    <w:uiPriority w:val="99"/>
    <w:rsid w:val="00A9755F"/>
    <w:pPr>
      <w:numPr>
        <w:numId w:val="18"/>
      </w:numPr>
    </w:pPr>
  </w:style>
  <w:style w:type="numbering" w:customStyle="1" w:styleId="aacTableListNumberssmall">
    <w:name w:val="aac Table List Numbers (small)"/>
    <w:uiPriority w:val="99"/>
    <w:rsid w:val="00A9755F"/>
    <w:pPr>
      <w:numPr>
        <w:numId w:val="19"/>
      </w:numPr>
    </w:pPr>
  </w:style>
  <w:style w:type="paragraph" w:customStyle="1" w:styleId="Tablelistbullet">
    <w:name w:val="Table list bullet"/>
    <w:basedOn w:val="Tabletext"/>
    <w:qFormat/>
    <w:rsid w:val="007877E2"/>
    <w:pPr>
      <w:numPr>
        <w:numId w:val="26"/>
      </w:numPr>
      <w:spacing w:before="40" w:after="40"/>
    </w:pPr>
    <w:rPr>
      <w:rFonts w:cstheme="minorBidi"/>
    </w:rPr>
  </w:style>
  <w:style w:type="paragraph" w:customStyle="1" w:styleId="Tablelistbulletsmall">
    <w:name w:val="Table list bullet (small)"/>
    <w:basedOn w:val="Tabletextsmall"/>
    <w:qFormat/>
    <w:rsid w:val="00A9755F"/>
    <w:pPr>
      <w:numPr>
        <w:numId w:val="28"/>
      </w:numPr>
      <w:spacing w:after="40"/>
      <w:ind w:right="85"/>
    </w:pPr>
    <w:rPr>
      <w:rFonts w:cstheme="minorBidi"/>
    </w:rPr>
  </w:style>
  <w:style w:type="paragraph" w:customStyle="1" w:styleId="Tablelistbullet2">
    <w:name w:val="Table list bullet 2"/>
    <w:basedOn w:val="Tablelistbullet"/>
    <w:qFormat/>
    <w:rsid w:val="00DF1849"/>
    <w:pPr>
      <w:numPr>
        <w:ilvl w:val="1"/>
      </w:numPr>
      <w:spacing w:before="0"/>
      <w:ind w:left="516" w:hanging="238"/>
    </w:pPr>
  </w:style>
  <w:style w:type="paragraph" w:customStyle="1" w:styleId="Tablelistbullet2small">
    <w:name w:val="Table list bullet 2 (small)"/>
    <w:basedOn w:val="Tabletextsmall"/>
    <w:qFormat/>
    <w:rsid w:val="00A9755F"/>
    <w:pPr>
      <w:numPr>
        <w:ilvl w:val="1"/>
        <w:numId w:val="28"/>
      </w:numPr>
      <w:spacing w:before="0" w:after="40"/>
      <w:ind w:right="85"/>
    </w:pPr>
    <w:rPr>
      <w:rFonts w:cstheme="minorBidi"/>
    </w:rPr>
  </w:style>
  <w:style w:type="paragraph" w:customStyle="1" w:styleId="Tablelistbullet3">
    <w:name w:val="Table list bullet 3"/>
    <w:basedOn w:val="Tabletext"/>
    <w:qFormat/>
    <w:rsid w:val="007877E2"/>
    <w:pPr>
      <w:numPr>
        <w:ilvl w:val="2"/>
        <w:numId w:val="26"/>
      </w:numPr>
      <w:spacing w:before="0" w:after="40"/>
    </w:pPr>
    <w:rPr>
      <w:rFonts w:cstheme="minorBidi"/>
    </w:rPr>
  </w:style>
  <w:style w:type="paragraph" w:customStyle="1" w:styleId="Tablelistbullet3small">
    <w:name w:val="Table list bullet 3 (small)"/>
    <w:basedOn w:val="Tabletextsmall"/>
    <w:qFormat/>
    <w:rsid w:val="00A9755F"/>
    <w:pPr>
      <w:numPr>
        <w:ilvl w:val="2"/>
        <w:numId w:val="28"/>
      </w:numPr>
      <w:spacing w:before="0" w:after="40"/>
      <w:ind w:right="85"/>
    </w:pPr>
    <w:rPr>
      <w:rFonts w:cstheme="minorBidi"/>
    </w:rPr>
  </w:style>
  <w:style w:type="paragraph" w:customStyle="1" w:styleId="Tablelistnumber">
    <w:name w:val="Table list number"/>
    <w:basedOn w:val="Tabletext"/>
    <w:qFormat/>
    <w:rsid w:val="007877E2"/>
    <w:pPr>
      <w:numPr>
        <w:numId w:val="27"/>
      </w:numPr>
      <w:spacing w:before="40" w:after="40"/>
    </w:pPr>
    <w:rPr>
      <w:rFonts w:cstheme="minorBidi"/>
    </w:rPr>
  </w:style>
  <w:style w:type="paragraph" w:customStyle="1" w:styleId="Tablelistnumbersmall">
    <w:name w:val="Table list number (small)"/>
    <w:basedOn w:val="Tabletextsmall"/>
    <w:qFormat/>
    <w:rsid w:val="00A9755F"/>
    <w:pPr>
      <w:numPr>
        <w:numId w:val="29"/>
      </w:numPr>
      <w:spacing w:after="40"/>
      <w:ind w:right="85"/>
    </w:pPr>
    <w:rPr>
      <w:rFonts w:cstheme="minorBidi"/>
    </w:rPr>
  </w:style>
  <w:style w:type="paragraph" w:customStyle="1" w:styleId="Tablelistnumber2">
    <w:name w:val="Table list number 2"/>
    <w:basedOn w:val="Tabletext"/>
    <w:qFormat/>
    <w:rsid w:val="007877E2"/>
    <w:pPr>
      <w:numPr>
        <w:ilvl w:val="1"/>
        <w:numId w:val="27"/>
      </w:numPr>
      <w:spacing w:before="0" w:after="40"/>
    </w:pPr>
    <w:rPr>
      <w:rFonts w:cstheme="minorBidi"/>
    </w:rPr>
  </w:style>
  <w:style w:type="paragraph" w:customStyle="1" w:styleId="Tablelistnumber2small">
    <w:name w:val="Table list number 2 (small)"/>
    <w:basedOn w:val="Tabletextsmall"/>
    <w:qFormat/>
    <w:rsid w:val="00A9755F"/>
    <w:pPr>
      <w:numPr>
        <w:ilvl w:val="1"/>
        <w:numId w:val="29"/>
      </w:numPr>
      <w:spacing w:before="0" w:after="40"/>
      <w:ind w:right="85"/>
    </w:pPr>
    <w:rPr>
      <w:rFonts w:cstheme="minorBidi"/>
    </w:rPr>
  </w:style>
  <w:style w:type="paragraph" w:customStyle="1" w:styleId="Tablelistnumber3">
    <w:name w:val="Table list number 3"/>
    <w:basedOn w:val="Tabletext"/>
    <w:qFormat/>
    <w:rsid w:val="007877E2"/>
    <w:pPr>
      <w:numPr>
        <w:ilvl w:val="2"/>
        <w:numId w:val="27"/>
      </w:numPr>
      <w:spacing w:before="0" w:after="40"/>
    </w:pPr>
    <w:rPr>
      <w:rFonts w:cstheme="minorBidi"/>
    </w:rPr>
  </w:style>
  <w:style w:type="paragraph" w:customStyle="1" w:styleId="Tablelistnumber3small">
    <w:name w:val="Table list number 3 (small)"/>
    <w:basedOn w:val="Tabletextsmall"/>
    <w:qFormat/>
    <w:rsid w:val="00A9755F"/>
    <w:pPr>
      <w:numPr>
        <w:ilvl w:val="2"/>
        <w:numId w:val="29"/>
      </w:numPr>
      <w:spacing w:before="0" w:after="40"/>
      <w:ind w:right="85"/>
    </w:pPr>
    <w:rPr>
      <w:rFonts w:cstheme="minorBidi"/>
    </w:rPr>
  </w:style>
  <w:style w:type="numbering" w:customStyle="1" w:styleId="aaclstStyleBoxListNumbers">
    <w:name w:val="aac_lstStyle_BoxListNumbers"/>
    <w:uiPriority w:val="99"/>
    <w:rsid w:val="00240E0D"/>
    <w:pPr>
      <w:numPr>
        <w:numId w:val="20"/>
      </w:numPr>
    </w:pPr>
  </w:style>
  <w:style w:type="paragraph" w:customStyle="1" w:styleId="Tablesideheading1">
    <w:name w:val="Table side heading 1"/>
    <w:basedOn w:val="Tabletext"/>
    <w:next w:val="Tabletext"/>
    <w:qFormat/>
    <w:rsid w:val="00CC4900"/>
    <w:rPr>
      <w:rFonts w:cstheme="minorBidi"/>
      <w:b/>
      <w:spacing w:val="3"/>
    </w:rPr>
  </w:style>
  <w:style w:type="paragraph" w:customStyle="1" w:styleId="Tablesideheading1small">
    <w:name w:val="Table side heading 1 (small)"/>
    <w:basedOn w:val="Tablesideheading1"/>
    <w:qFormat/>
    <w:rsid w:val="00867B0F"/>
    <w:pPr>
      <w:spacing w:before="40" w:line="180" w:lineRule="exact"/>
    </w:pPr>
    <w:rPr>
      <w:spacing w:val="-10"/>
      <w:sz w:val="15"/>
    </w:rPr>
  </w:style>
  <w:style w:type="paragraph" w:customStyle="1" w:styleId="Tablesideheading2">
    <w:name w:val="Table side heading 2"/>
    <w:basedOn w:val="Tabletext"/>
    <w:qFormat/>
    <w:rsid w:val="00CC4900"/>
    <w:rPr>
      <w:rFonts w:cstheme="minorBidi"/>
      <w:b/>
      <w:i/>
    </w:rPr>
  </w:style>
  <w:style w:type="paragraph" w:customStyle="1" w:styleId="Tablesideheading2small">
    <w:name w:val="Table side heading 2 (small)"/>
    <w:basedOn w:val="Tablesideheading2"/>
    <w:qFormat/>
    <w:rsid w:val="00867B0F"/>
    <w:pPr>
      <w:spacing w:line="180" w:lineRule="exact"/>
    </w:pPr>
    <w:rPr>
      <w:spacing w:val="-10"/>
      <w:sz w:val="15"/>
    </w:rPr>
  </w:style>
  <w:style w:type="paragraph" w:customStyle="1" w:styleId="Note">
    <w:name w:val="Note"/>
    <w:basedOn w:val="Tabletext"/>
    <w:rsid w:val="00C262C8"/>
    <w:pPr>
      <w:keepNext/>
      <w:keepLines/>
      <w:spacing w:before="80" w:after="80" w:line="240" w:lineRule="auto"/>
      <w:ind w:right="80"/>
    </w:pPr>
    <w:rPr>
      <w:rFonts w:eastAsia="Times New Roman" w:cs="Times New Roman"/>
      <w:sz w:val="16"/>
      <w:szCs w:val="24"/>
    </w:rPr>
  </w:style>
  <w:style w:type="paragraph" w:customStyle="1" w:styleId="SideNoteItalicRight">
    <w:name w:val="SideNote (Italic Right)"/>
    <w:basedOn w:val="Normal"/>
    <w:qFormat/>
    <w:rsid w:val="00CA0EB3"/>
    <w:pPr>
      <w:spacing w:before="80" w:after="120" w:line="520" w:lineRule="exact"/>
      <w:contextualSpacing/>
      <w:jc w:val="right"/>
    </w:pPr>
    <w:rPr>
      <w:rFonts w:ascii="Yu Gothic Medium" w:hAnsi="Yu Gothic Medium" w:cstheme="minorBidi"/>
      <w:b/>
      <w:i/>
      <w:color w:val="6C3F99"/>
      <w:sz w:val="36"/>
    </w:rPr>
  </w:style>
  <w:style w:type="paragraph" w:customStyle="1" w:styleId="EmphasisTextCentre">
    <w:name w:val="Emphasis Text (Centre)"/>
    <w:basedOn w:val="EmphasisTextLeft"/>
    <w:next w:val="BodyText"/>
    <w:qFormat/>
    <w:rsid w:val="00C31DC9"/>
    <w:pPr>
      <w:jc w:val="center"/>
    </w:pPr>
  </w:style>
  <w:style w:type="paragraph" w:customStyle="1" w:styleId="EmphasisTextLeft">
    <w:name w:val="Emphasis Text (Left)"/>
    <w:basedOn w:val="Normal-nospace"/>
    <w:next w:val="BodyText"/>
    <w:qFormat/>
    <w:rsid w:val="004E2505"/>
    <w:pPr>
      <w:spacing w:before="80" w:after="120" w:line="520" w:lineRule="exact"/>
      <w:contextualSpacing/>
    </w:pPr>
    <w:rPr>
      <w:rFonts w:ascii="Yu Gothic Medium" w:hAnsi="Yu Gothic Medium"/>
      <w:b/>
      <w:color w:val="000000"/>
      <w:sz w:val="36"/>
    </w:rPr>
  </w:style>
  <w:style w:type="paragraph" w:customStyle="1" w:styleId="EmphasisTextRight">
    <w:name w:val="Emphasis Text (Right)"/>
    <w:basedOn w:val="EmphasisTextLeft"/>
    <w:next w:val="BodyText"/>
    <w:qFormat/>
    <w:rsid w:val="00C31DC9"/>
    <w:pPr>
      <w:jc w:val="right"/>
    </w:pPr>
  </w:style>
  <w:style w:type="paragraph" w:customStyle="1" w:styleId="SideNoteBullet">
    <w:name w:val="SideNote Bullet"/>
    <w:basedOn w:val="EmphasisTextLeft"/>
    <w:rsid w:val="003649DE"/>
    <w:pPr>
      <w:numPr>
        <w:ilvl w:val="1"/>
        <w:numId w:val="21"/>
      </w:numPr>
      <w:spacing w:before="0" w:after="64"/>
    </w:pPr>
  </w:style>
  <w:style w:type="paragraph" w:customStyle="1" w:styleId="SideNoteDash">
    <w:name w:val="SideNote Dash"/>
    <w:basedOn w:val="EmphasisTextLeft"/>
    <w:qFormat/>
    <w:rsid w:val="003649DE"/>
    <w:pPr>
      <w:numPr>
        <w:numId w:val="21"/>
      </w:numPr>
    </w:pPr>
  </w:style>
  <w:style w:type="paragraph" w:customStyle="1" w:styleId="PullOutTitle">
    <w:name w:val="PullOut Title"/>
    <w:basedOn w:val="Normal-nospace"/>
    <w:qFormat/>
    <w:rsid w:val="003649DE"/>
    <w:pPr>
      <w:spacing w:before="90"/>
    </w:pPr>
    <w:rPr>
      <w:rFonts w:cstheme="minorBidi"/>
      <w:b/>
    </w:rPr>
  </w:style>
  <w:style w:type="table" w:customStyle="1" w:styleId="aacTableBanded-Odd-Grey">
    <w:name w:val="aac Table (Banded-Odd-Grey)"/>
    <w:basedOn w:val="TableNormal"/>
    <w:uiPriority w:val="99"/>
    <w:rsid w:val="001B1E74"/>
    <w:pPr>
      <w:spacing w:before="60" w:after="0" w:line="240" w:lineRule="atLeast"/>
      <w:ind w:right="119"/>
    </w:pPr>
    <w:rPr>
      <w:rFonts w:ascii="Arial Narrow" w:hAnsi="Arial Narrow"/>
    </w:rPr>
    <w:tblPr>
      <w:tblStyleRowBandSize w:val="1"/>
      <w:tblBorders>
        <w:bottom w:val="single" w:sz="4" w:space="0" w:color="auto"/>
        <w:insideH w:val="single" w:sz="4" w:space="0" w:color="auto"/>
      </w:tblBorders>
      <w:tblCellMar>
        <w:left w:w="0" w:type="dxa"/>
        <w:right w:w="0" w:type="dxa"/>
      </w:tblCellMar>
    </w:tblPr>
    <w:tblStylePr w:type="firstRow">
      <w:tblPr/>
      <w:tcPr>
        <w:shd w:val="clear" w:color="auto" w:fill="140034"/>
      </w:tcPr>
    </w:tblStylePr>
    <w:tblStylePr w:type="band1Horz">
      <w:tblPr/>
      <w:tcPr>
        <w:shd w:val="clear" w:color="auto" w:fill="F4F4F4"/>
      </w:tcPr>
    </w:tblStylePr>
  </w:style>
  <w:style w:type="table" w:customStyle="1" w:styleId="aacTableBanded-Even-Grey">
    <w:name w:val="aac Table (Banded-Even-Grey)"/>
    <w:basedOn w:val="TableNormal"/>
    <w:uiPriority w:val="99"/>
    <w:rsid w:val="001B1E74"/>
    <w:pPr>
      <w:spacing w:after="0" w:line="240" w:lineRule="auto"/>
    </w:pPr>
    <w:rPr>
      <w:rFonts w:ascii="Arial Narrow" w:hAnsi="Arial Narrow"/>
    </w:rPr>
    <w:tblPr>
      <w:tblStyleRowBandSize w:val="1"/>
      <w:tblBorders>
        <w:bottom w:val="single" w:sz="4" w:space="0" w:color="auto"/>
        <w:insideH w:val="single" w:sz="4" w:space="0" w:color="auto"/>
      </w:tblBorders>
      <w:tblCellMar>
        <w:left w:w="0" w:type="dxa"/>
        <w:right w:w="0" w:type="dxa"/>
      </w:tblCellMar>
    </w:tblPr>
    <w:tblStylePr w:type="firstRow">
      <w:tblPr/>
      <w:tcPr>
        <w:shd w:val="clear" w:color="auto" w:fill="140034"/>
      </w:tcPr>
    </w:tblStylePr>
    <w:tblStylePr w:type="band2Horz">
      <w:tblPr/>
      <w:tcPr>
        <w:shd w:val="clear" w:color="auto" w:fill="F4F4F4"/>
      </w:tcPr>
    </w:tblStylePr>
  </w:style>
  <w:style w:type="numbering" w:customStyle="1" w:styleId="aaHeadingnonumberList">
    <w:name w:val="aa Heading (no number) List"/>
    <w:uiPriority w:val="99"/>
    <w:rsid w:val="000A4CFF"/>
    <w:pPr>
      <w:numPr>
        <w:numId w:val="22"/>
      </w:numPr>
    </w:pPr>
  </w:style>
  <w:style w:type="paragraph" w:customStyle="1" w:styleId="Heading1AP">
    <w:name w:val="Heading 1 (AP)"/>
    <w:basedOn w:val="Heading1nonumber"/>
    <w:next w:val="Introduction"/>
    <w:qFormat/>
    <w:rsid w:val="00B43407"/>
    <w:pPr>
      <w:numPr>
        <w:numId w:val="34"/>
      </w:numPr>
    </w:pPr>
  </w:style>
  <w:style w:type="paragraph" w:customStyle="1" w:styleId="Heading2AP">
    <w:name w:val="Heading 2 (AP)"/>
    <w:basedOn w:val="Heading2nonumber"/>
    <w:next w:val="BodyText"/>
    <w:qFormat/>
    <w:rsid w:val="00B43407"/>
    <w:pPr>
      <w:numPr>
        <w:numId w:val="34"/>
      </w:numPr>
    </w:pPr>
    <w:rPr>
      <w:color w:val="6C3F99"/>
    </w:rPr>
  </w:style>
  <w:style w:type="paragraph" w:customStyle="1" w:styleId="Heading3AP">
    <w:name w:val="Heading 3 (AP)"/>
    <w:basedOn w:val="Heading3nonumber"/>
    <w:next w:val="BodyText"/>
    <w:qFormat/>
    <w:rsid w:val="00B43407"/>
    <w:pPr>
      <w:numPr>
        <w:numId w:val="34"/>
      </w:numPr>
    </w:pPr>
  </w:style>
  <w:style w:type="paragraph" w:customStyle="1" w:styleId="Heading4AP">
    <w:name w:val="Heading 4 (AP)"/>
    <w:basedOn w:val="Heading4nonumber"/>
    <w:next w:val="BodyText"/>
    <w:qFormat/>
    <w:rsid w:val="00B43407"/>
    <w:pPr>
      <w:numPr>
        <w:numId w:val="34"/>
      </w:numPr>
    </w:pPr>
  </w:style>
  <w:style w:type="numbering" w:customStyle="1" w:styleId="aaclstStyleHeadingApp">
    <w:name w:val="aac_lstStyle_HeadingApp"/>
    <w:uiPriority w:val="99"/>
    <w:rsid w:val="00D203CE"/>
    <w:pPr>
      <w:numPr>
        <w:numId w:val="23"/>
      </w:numPr>
    </w:pPr>
  </w:style>
  <w:style w:type="numbering" w:customStyle="1" w:styleId="aaReportListDash">
    <w:name w:val="aa Report List Dash"/>
    <w:uiPriority w:val="99"/>
    <w:rsid w:val="00315CD5"/>
    <w:pPr>
      <w:numPr>
        <w:numId w:val="24"/>
      </w:numPr>
    </w:pPr>
  </w:style>
  <w:style w:type="paragraph" w:customStyle="1" w:styleId="waterMarkaadraftstat">
    <w:name w:val="waterMark_aa_draft_stat"/>
    <w:rsid w:val="004653A9"/>
    <w:rPr>
      <w:rFonts w:eastAsiaTheme="minorEastAsia" w:cs="Times New Roman"/>
      <w:sz w:val="3276"/>
      <w:szCs w:val="3276"/>
      <w:lang w:val="en-US"/>
    </w:rPr>
  </w:style>
  <w:style w:type="paragraph" w:customStyle="1" w:styleId="waterMarkaaCabinetsec">
    <w:name w:val="waterMark_aa_Cabinet_sec"/>
    <w:rsid w:val="004653A9"/>
    <w:rPr>
      <w:rFonts w:eastAsiaTheme="minorEastAsia" w:cs="Times New Roman"/>
      <w:sz w:val="3276"/>
      <w:szCs w:val="3276"/>
      <w:lang w:val="en-US"/>
    </w:rPr>
  </w:style>
  <w:style w:type="paragraph" w:customStyle="1" w:styleId="waterMarkaaCommercialsec">
    <w:name w:val="waterMark_aa_Commercial_sec"/>
    <w:rsid w:val="004653A9"/>
    <w:rPr>
      <w:rFonts w:eastAsiaTheme="minorEastAsia" w:cs="Times New Roman"/>
      <w:sz w:val="3276"/>
      <w:szCs w:val="3276"/>
      <w:lang w:val="en-US"/>
    </w:rPr>
  </w:style>
  <w:style w:type="paragraph" w:customStyle="1" w:styleId="waterMarkaadraftOnlyBodstat">
    <w:name w:val="waterMark_aa_draftOnlyBod_stat"/>
    <w:rsid w:val="004653A9"/>
    <w:rPr>
      <w:rFonts w:eastAsiaTheme="minorEastAsia" w:cs="Times New Roman"/>
      <w:sz w:val="3276"/>
      <w:szCs w:val="3276"/>
      <w:lang w:val="en-US"/>
    </w:rPr>
  </w:style>
  <w:style w:type="paragraph" w:customStyle="1" w:styleId="waterMarkaaConfidentialsec">
    <w:name w:val="waterMark_aa_Confidential_sec"/>
    <w:rsid w:val="004653A9"/>
    <w:rPr>
      <w:rFonts w:eastAsiaTheme="minorEastAsia" w:cs="Times New Roman"/>
      <w:sz w:val="3276"/>
      <w:szCs w:val="3276"/>
      <w:lang w:val="en-US"/>
    </w:rPr>
  </w:style>
  <w:style w:type="paragraph" w:customStyle="1" w:styleId="TableQuoteSource">
    <w:name w:val="Table Quote Source"/>
    <w:basedOn w:val="Tabletext"/>
    <w:qFormat/>
    <w:rsid w:val="00B4599E"/>
    <w:pPr>
      <w:spacing w:before="90" w:after="60" w:line="240" w:lineRule="auto"/>
      <w:ind w:left="0" w:right="200"/>
      <w:jc w:val="right"/>
    </w:pPr>
    <w:rPr>
      <w:rFonts w:cstheme="minorBidi"/>
      <w:i/>
      <w:color w:val="404040" w:themeColor="text1" w:themeTint="BF"/>
    </w:rPr>
  </w:style>
  <w:style w:type="paragraph" w:customStyle="1" w:styleId="TableQuoteSourcesmall">
    <w:name w:val="Table Quote Source (small)"/>
    <w:basedOn w:val="Tabletextsmall"/>
    <w:qFormat/>
    <w:rsid w:val="003B7702"/>
    <w:pPr>
      <w:spacing w:before="0" w:after="120" w:line="180" w:lineRule="exact"/>
      <w:ind w:right="200"/>
      <w:jc w:val="right"/>
    </w:pPr>
    <w:rPr>
      <w:rFonts w:cstheme="minorBidi"/>
      <w:i/>
      <w:color w:val="403F40"/>
      <w:spacing w:val="-10"/>
    </w:rPr>
  </w:style>
  <w:style w:type="paragraph" w:customStyle="1" w:styleId="TableQuote">
    <w:name w:val="Table Quote"/>
    <w:basedOn w:val="Normal-nospace"/>
    <w:qFormat/>
    <w:rsid w:val="00F63686"/>
    <w:pPr>
      <w:numPr>
        <w:numId w:val="30"/>
      </w:numPr>
      <w:spacing w:before="60" w:line="192" w:lineRule="auto"/>
      <w:ind w:right="199"/>
    </w:pPr>
    <w:rPr>
      <w:rFonts w:ascii="Yu Gothic Medium" w:hAnsi="Yu Gothic Medium" w:cstheme="minorBidi"/>
      <w:i/>
      <w:color w:val="404040" w:themeColor="text1" w:themeTint="BF"/>
      <w:sz w:val="19"/>
    </w:rPr>
  </w:style>
  <w:style w:type="paragraph" w:customStyle="1" w:styleId="QuoteListBullet">
    <w:name w:val="Quote List Bullet"/>
    <w:basedOn w:val="Quote"/>
    <w:qFormat/>
    <w:rsid w:val="0020185D"/>
    <w:pPr>
      <w:numPr>
        <w:numId w:val="25"/>
      </w:numPr>
      <w:spacing w:before="0"/>
      <w:ind w:left="777" w:hanging="357"/>
      <w:contextualSpacing/>
    </w:pPr>
  </w:style>
  <w:style w:type="paragraph" w:customStyle="1" w:styleId="QuoteSource">
    <w:name w:val="Quote Source"/>
    <w:basedOn w:val="Quote"/>
    <w:next w:val="BodyText"/>
    <w:qFormat/>
    <w:rsid w:val="0020185D"/>
    <w:pPr>
      <w:contextualSpacing/>
      <w:jc w:val="right"/>
    </w:pPr>
  </w:style>
  <w:style w:type="paragraph" w:customStyle="1" w:styleId="TableQuotesmall">
    <w:name w:val="Table Quote (small)"/>
    <w:basedOn w:val="Normal-nospace"/>
    <w:qFormat/>
    <w:rsid w:val="00A40703"/>
    <w:pPr>
      <w:numPr>
        <w:numId w:val="32"/>
      </w:numPr>
      <w:spacing w:before="60" w:after="80" w:line="180" w:lineRule="exact"/>
    </w:pPr>
    <w:rPr>
      <w:rFonts w:ascii="Yu Gothic Medium" w:eastAsia="Yu Gothic Medium" w:hAnsi="Yu Gothic Medium" w:cstheme="minorBidi"/>
      <w:i/>
      <w:color w:val="403F40"/>
      <w:spacing w:val="-12"/>
      <w:sz w:val="15"/>
    </w:rPr>
  </w:style>
  <w:style w:type="paragraph" w:customStyle="1" w:styleId="TableQuoteBullet">
    <w:name w:val="Table Quote Bullet"/>
    <w:basedOn w:val="Normal-nospace"/>
    <w:qFormat/>
    <w:rsid w:val="00F63686"/>
    <w:pPr>
      <w:numPr>
        <w:ilvl w:val="1"/>
        <w:numId w:val="30"/>
      </w:numPr>
      <w:spacing w:before="60" w:after="60" w:line="192" w:lineRule="auto"/>
      <w:ind w:right="200"/>
      <w:contextualSpacing/>
    </w:pPr>
    <w:rPr>
      <w:rFonts w:ascii="Yu Gothic Medium" w:hAnsi="Yu Gothic Medium" w:cstheme="minorBidi"/>
      <w:i/>
      <w:color w:val="404040" w:themeColor="text1" w:themeTint="BF"/>
      <w:sz w:val="19"/>
    </w:rPr>
  </w:style>
  <w:style w:type="paragraph" w:customStyle="1" w:styleId="TableQuoteBulletsmall">
    <w:name w:val="Table Quote Bullet (small)"/>
    <w:basedOn w:val="Normal-nospace"/>
    <w:qFormat/>
    <w:rsid w:val="00A40703"/>
    <w:pPr>
      <w:numPr>
        <w:ilvl w:val="1"/>
        <w:numId w:val="32"/>
      </w:numPr>
      <w:spacing w:before="40" w:after="60" w:line="192" w:lineRule="auto"/>
      <w:contextualSpacing/>
    </w:pPr>
    <w:rPr>
      <w:rFonts w:ascii="Yu Gothic Medium" w:eastAsia="Yu Gothic Medium" w:hAnsi="Yu Gothic Medium" w:cstheme="minorBidi"/>
      <w:i/>
      <w:color w:val="403F40"/>
      <w:spacing w:val="-10"/>
      <w:sz w:val="15"/>
    </w:rPr>
  </w:style>
  <w:style w:type="paragraph" w:customStyle="1" w:styleId="SubHeading1">
    <w:name w:val="Sub Heading 1"/>
    <w:basedOn w:val="rgb20052"/>
    <w:qFormat/>
    <w:rsid w:val="007F14E3"/>
    <w:pPr>
      <w:spacing w:line="240" w:lineRule="auto"/>
      <w:contextualSpacing/>
    </w:pPr>
    <w:rPr>
      <w:sz w:val="40"/>
    </w:rPr>
  </w:style>
  <w:style w:type="paragraph" w:customStyle="1" w:styleId="tagglossaryChpt">
    <w:name w:val="tag_glossary_Chpt"/>
    <w:basedOn w:val="spacer"/>
    <w:rsid w:val="00A843B7"/>
    <w:pPr>
      <w:keepNext/>
      <w:pageBreakBefore/>
    </w:pPr>
  </w:style>
  <w:style w:type="paragraph" w:customStyle="1" w:styleId="tagbiblioChpt">
    <w:name w:val="tag_biblio_Chpt"/>
    <w:basedOn w:val="spacer"/>
    <w:qFormat/>
    <w:rsid w:val="00A843B7"/>
    <w:pPr>
      <w:keepNext/>
      <w:pageBreakBefore/>
    </w:pPr>
  </w:style>
  <w:style w:type="paragraph" w:customStyle="1" w:styleId="tagrefsChpt">
    <w:name w:val="tag_refs_Chpt"/>
    <w:basedOn w:val="spacer"/>
    <w:qFormat/>
    <w:rsid w:val="00A843B7"/>
    <w:pPr>
      <w:keepNext/>
      <w:pageBreakBefore/>
    </w:pPr>
  </w:style>
  <w:style w:type="paragraph" w:customStyle="1" w:styleId="tagworksCitedChpt">
    <w:name w:val="tag_worksCited_Chpt"/>
    <w:basedOn w:val="spacer"/>
    <w:qFormat/>
    <w:rsid w:val="00A843B7"/>
    <w:pPr>
      <w:keepNext/>
      <w:pageBreakBefore/>
    </w:pPr>
  </w:style>
  <w:style w:type="paragraph" w:customStyle="1" w:styleId="TOCTOFSubHeading">
    <w:name w:val="TOC TOFSubHeading"/>
    <w:basedOn w:val="Normal-nospace"/>
    <w:qFormat/>
    <w:rsid w:val="00CD5804"/>
    <w:pPr>
      <w:keepNext/>
      <w:spacing w:before="240" w:after="60" w:line="260" w:lineRule="exact"/>
    </w:pPr>
    <w:rPr>
      <w:rFonts w:ascii="Yu Gothic Medium" w:hAnsi="Yu Gothic Medium"/>
      <w:b/>
    </w:rPr>
  </w:style>
  <w:style w:type="paragraph" w:customStyle="1" w:styleId="Heading2nonumber">
    <w:name w:val="Heading 2 (no number)"/>
    <w:basedOn w:val="rgb10863153"/>
    <w:next w:val="BodyText"/>
    <w:qFormat/>
    <w:rsid w:val="00F31568"/>
    <w:pPr>
      <w:keepNext/>
      <w:numPr>
        <w:ilvl w:val="1"/>
        <w:numId w:val="22"/>
      </w:numPr>
      <w:spacing w:before="360" w:after="180" w:line="480" w:lineRule="exact"/>
    </w:pPr>
    <w:rPr>
      <w:rFonts w:ascii="Yu Gothic Medium" w:hAnsi="Yu Gothic Medium"/>
      <w:color w:val="6C3E99"/>
      <w:sz w:val="36"/>
    </w:rPr>
  </w:style>
  <w:style w:type="paragraph" w:customStyle="1" w:styleId="Heading3nonumber">
    <w:name w:val="Heading 3 (no number)"/>
    <w:basedOn w:val="Normal-nospace"/>
    <w:next w:val="BodyText"/>
    <w:qFormat/>
    <w:rsid w:val="00481B05"/>
    <w:pPr>
      <w:keepNext/>
      <w:numPr>
        <w:ilvl w:val="2"/>
        <w:numId w:val="22"/>
      </w:numPr>
      <w:spacing w:before="360" w:after="180" w:line="420" w:lineRule="exact"/>
    </w:pPr>
    <w:rPr>
      <w:rFonts w:ascii="Yu Gothic Medium" w:hAnsi="Yu Gothic Medium"/>
      <w:b/>
      <w:color w:val="auto"/>
      <w:sz w:val="32"/>
    </w:rPr>
  </w:style>
  <w:style w:type="paragraph" w:customStyle="1" w:styleId="Heading4nonumber">
    <w:name w:val="Heading 4 (no number)"/>
    <w:basedOn w:val="Normal-nospace"/>
    <w:next w:val="BodyText"/>
    <w:qFormat/>
    <w:rsid w:val="00591A9A"/>
    <w:pPr>
      <w:keepNext/>
      <w:numPr>
        <w:ilvl w:val="3"/>
        <w:numId w:val="22"/>
      </w:numPr>
      <w:spacing w:before="360" w:after="180" w:line="320" w:lineRule="exact"/>
      <w:contextualSpacing/>
    </w:pPr>
    <w:rPr>
      <w:rFonts w:ascii="Yu Gothic" w:hAnsi="Yu Gothic"/>
      <w:b/>
      <w:color w:val="auto"/>
      <w:sz w:val="24"/>
    </w:rPr>
  </w:style>
  <w:style w:type="paragraph" w:customStyle="1" w:styleId="LetterHeading2">
    <w:name w:val="Letter Heading 2"/>
    <w:basedOn w:val="LetterHeading1"/>
    <w:next w:val="BodyText"/>
    <w:qFormat/>
    <w:rsid w:val="002E2EDB"/>
    <w:rPr>
      <w:i/>
    </w:rPr>
  </w:style>
  <w:style w:type="paragraph" w:customStyle="1" w:styleId="LetterHeading3">
    <w:name w:val="Letter Heading 3"/>
    <w:basedOn w:val="LetterHeading1"/>
    <w:next w:val="BodyText"/>
    <w:qFormat/>
    <w:rsid w:val="002E2EDB"/>
    <w:rPr>
      <w:b w:val="0"/>
      <w:i/>
    </w:rPr>
  </w:style>
  <w:style w:type="paragraph" w:customStyle="1" w:styleId="FigureSubHeadings">
    <w:name w:val="Figure (Sub Headings)"/>
    <w:basedOn w:val="Normal-nospace"/>
    <w:qFormat/>
    <w:rsid w:val="004C0A5E"/>
    <w:pPr>
      <w:keepNext/>
      <w:spacing w:before="60" w:after="120" w:line="240" w:lineRule="auto"/>
      <w:jc w:val="center"/>
    </w:pPr>
    <w:rPr>
      <w:sz w:val="18"/>
    </w:rPr>
  </w:style>
  <w:style w:type="table" w:customStyle="1" w:styleId="aacTablenolines">
    <w:name w:val="aac Table (no lines)"/>
    <w:basedOn w:val="TableNormal"/>
    <w:uiPriority w:val="99"/>
    <w:rsid w:val="00A24D9C"/>
    <w:pPr>
      <w:spacing w:after="0" w:line="240" w:lineRule="auto"/>
    </w:pPr>
    <w:tblPr>
      <w:tblCellMar>
        <w:left w:w="0" w:type="dxa"/>
        <w:right w:w="0" w:type="dxa"/>
      </w:tblCellMar>
    </w:tblPr>
  </w:style>
  <w:style w:type="character" w:customStyle="1" w:styleId="Notelabel">
    <w:name w:val="Note label"/>
    <w:basedOn w:val="DefaultParagraphFont"/>
    <w:uiPriority w:val="1"/>
    <w:qFormat/>
    <w:rsid w:val="00B44A58"/>
    <w:rPr>
      <w:b/>
      <w:vertAlign w:val="superscript"/>
    </w:rPr>
  </w:style>
  <w:style w:type="paragraph" w:customStyle="1" w:styleId="LetterConfidentiality">
    <w:name w:val="Letter Confidentiality"/>
    <w:basedOn w:val="BodyText"/>
    <w:qFormat/>
    <w:rsid w:val="007923D8"/>
    <w:pPr>
      <w:keepNext/>
    </w:pPr>
    <w:rPr>
      <w:color w:val="000000"/>
    </w:rPr>
  </w:style>
  <w:style w:type="paragraph" w:customStyle="1" w:styleId="rgb20052">
    <w:name w:val="rgb_(20_0_52)"/>
    <w:basedOn w:val="Normal-nospace"/>
    <w:qFormat/>
    <w:rsid w:val="00CB4DC2"/>
    <w:rPr>
      <w:color w:val="140034"/>
    </w:rPr>
  </w:style>
  <w:style w:type="paragraph" w:customStyle="1" w:styleId="CpContactDetailsWeb">
    <w:name w:val="Cp Contact Details Web"/>
    <w:basedOn w:val="Normalrgb"/>
    <w:qFormat/>
    <w:rsid w:val="005A335C"/>
    <w:pPr>
      <w:spacing w:line="250" w:lineRule="exact"/>
    </w:pPr>
  </w:style>
  <w:style w:type="paragraph" w:customStyle="1" w:styleId="CpContactDetailsHeading">
    <w:name w:val="Cp Contact Details Heading"/>
    <w:basedOn w:val="Normalrgb"/>
    <w:next w:val="CpContactDetails"/>
    <w:qFormat/>
    <w:rsid w:val="005A335C"/>
    <w:pPr>
      <w:spacing w:line="250" w:lineRule="exact"/>
    </w:pPr>
    <w:rPr>
      <w:b/>
    </w:rPr>
  </w:style>
  <w:style w:type="paragraph" w:customStyle="1" w:styleId="tagaaRptTestStyle00">
    <w:name w:val="tag_aa_RptTestStyle_#?_00"/>
    <w:basedOn w:val="BodyText"/>
    <w:qFormat/>
    <w:rsid w:val="00E331FB"/>
    <w:pPr>
      <w:spacing w:before="0" w:after="0" w:line="240" w:lineRule="auto"/>
    </w:pPr>
    <w:rPr>
      <w:sz w:val="16"/>
    </w:rPr>
  </w:style>
  <w:style w:type="paragraph" w:customStyle="1" w:styleId="pmTest">
    <w:name w:val="pmTest"/>
    <w:basedOn w:val="BodyText"/>
    <w:qFormat/>
    <w:rsid w:val="00637DF3"/>
  </w:style>
  <w:style w:type="paragraph" w:customStyle="1" w:styleId="Heading1nonumber">
    <w:name w:val="Heading 1 (no number)"/>
    <w:basedOn w:val="rgb20052"/>
    <w:next w:val="Introduction"/>
    <w:qFormat/>
    <w:rsid w:val="0086084B"/>
    <w:pPr>
      <w:keepNext/>
      <w:pageBreakBefore/>
      <w:numPr>
        <w:numId w:val="22"/>
      </w:numPr>
      <w:spacing w:after="280" w:line="680" w:lineRule="exact"/>
    </w:pPr>
    <w:rPr>
      <w:rFonts w:ascii="Yu Gothic Medium" w:hAnsi="Yu Gothic Medium"/>
      <w:sz w:val="56"/>
    </w:rPr>
  </w:style>
  <w:style w:type="paragraph" w:customStyle="1" w:styleId="rgb10863153">
    <w:name w:val="rgb_(108_63_153)"/>
    <w:basedOn w:val="Normal-nospace"/>
    <w:qFormat/>
    <w:rsid w:val="004E7428"/>
    <w:rPr>
      <w:color w:val="6C3F99"/>
    </w:rPr>
  </w:style>
  <w:style w:type="paragraph" w:customStyle="1" w:styleId="Normalrgb">
    <w:name w:val="Normal_rgb"/>
    <w:basedOn w:val="Normal-nospace"/>
    <w:qFormat/>
    <w:rsid w:val="00C36E42"/>
    <w:rPr>
      <w:color w:val="9D85BE"/>
    </w:rPr>
  </w:style>
  <w:style w:type="table" w:customStyle="1" w:styleId="aacTableBanded-Odd-Purple">
    <w:name w:val="aac Table (Banded-Odd-Purple)"/>
    <w:basedOn w:val="aacTableBasic"/>
    <w:uiPriority w:val="99"/>
    <w:rsid w:val="00BD4F69"/>
    <w:pPr>
      <w:spacing w:line="240" w:lineRule="auto"/>
    </w:pPr>
    <w:tblPr>
      <w:tblStyleRowBandSize w:val="1"/>
    </w:tblPr>
    <w:tblStylePr w:type="firstRow">
      <w:pPr>
        <w:jc w:val="left"/>
      </w:pPr>
      <w:rPr>
        <w:color w:val="FFFFFF" w:themeColor="background1"/>
      </w:rPr>
      <w:tblPr/>
      <w:tcPr>
        <w:shd w:val="clear" w:color="auto" w:fill="140034"/>
      </w:tcPr>
    </w:tblStylePr>
    <w:tblStylePr w:type="band1Horz">
      <w:tblPr/>
      <w:tcPr>
        <w:shd w:val="clear" w:color="auto" w:fill="EBE7F2"/>
      </w:tcPr>
    </w:tblStylePr>
  </w:style>
  <w:style w:type="table" w:customStyle="1" w:styleId="aacTableBanded-Even-Purple">
    <w:name w:val="aac Table (Banded-Even-Purple)"/>
    <w:basedOn w:val="aacTableBasic"/>
    <w:uiPriority w:val="99"/>
    <w:rsid w:val="00BD4F69"/>
    <w:pPr>
      <w:spacing w:line="240" w:lineRule="auto"/>
    </w:pPr>
    <w:tblPr>
      <w:tblStyleRowBandSize w:val="1"/>
    </w:tblPr>
    <w:tblStylePr w:type="firstRow">
      <w:pPr>
        <w:jc w:val="left"/>
      </w:pPr>
      <w:rPr>
        <w:color w:val="FFFFFF" w:themeColor="background1"/>
      </w:rPr>
      <w:tblPr/>
      <w:tcPr>
        <w:shd w:val="clear" w:color="auto" w:fill="140034"/>
      </w:tcPr>
    </w:tblStylePr>
    <w:tblStylePr w:type="band2Horz">
      <w:tblPr/>
      <w:tcPr>
        <w:shd w:val="clear" w:color="auto" w:fill="EBE7F2"/>
      </w:tcPr>
    </w:tblStylePr>
  </w:style>
  <w:style w:type="paragraph" w:customStyle="1" w:styleId="tagcaseStudy">
    <w:name w:val="tag_caseStudy"/>
    <w:basedOn w:val="spacer"/>
    <w:qFormat/>
    <w:rsid w:val="00D5491E"/>
  </w:style>
  <w:style w:type="paragraph" w:customStyle="1" w:styleId="HeadingCaseStudy">
    <w:name w:val="Heading (CaseStudy)"/>
    <w:basedOn w:val="BodyText"/>
    <w:qFormat/>
    <w:rsid w:val="00116A0E"/>
    <w:pPr>
      <w:keepNext/>
    </w:pPr>
    <w:rPr>
      <w:rFonts w:ascii="Yu Gothic Medium" w:hAnsi="Yu Gothic Medium"/>
      <w:b/>
    </w:rPr>
  </w:style>
  <w:style w:type="paragraph" w:customStyle="1" w:styleId="tagtoc">
    <w:name w:val="tag_toc"/>
    <w:basedOn w:val="spacer"/>
    <w:qFormat/>
    <w:rsid w:val="00E078BD"/>
  </w:style>
  <w:style w:type="paragraph" w:customStyle="1" w:styleId="tagaastnletter">
    <w:name w:val="tag_aa_stn_letter"/>
    <w:basedOn w:val="spacer"/>
    <w:qFormat/>
    <w:rsid w:val="005E3D9D"/>
  </w:style>
  <w:style w:type="paragraph" w:customStyle="1" w:styleId="tagaastnmemo">
    <w:name w:val="tag_aa_stn_memo"/>
    <w:basedOn w:val="spacer"/>
    <w:qFormat/>
    <w:rsid w:val="005E3D9D"/>
  </w:style>
  <w:style w:type="paragraph" w:customStyle="1" w:styleId="tagaastnbn">
    <w:name w:val="tag_aa_stn_bn"/>
    <w:basedOn w:val="spacer"/>
    <w:qFormat/>
    <w:rsid w:val="005E3D9D"/>
  </w:style>
  <w:style w:type="numbering" w:customStyle="1" w:styleId="aaclstStyleTableQuote">
    <w:name w:val="aac_lstStyle_TableQuote"/>
    <w:uiPriority w:val="99"/>
    <w:rsid w:val="00F63686"/>
    <w:pPr>
      <w:numPr>
        <w:numId w:val="30"/>
      </w:numPr>
    </w:pPr>
  </w:style>
  <w:style w:type="numbering" w:customStyle="1" w:styleId="aaclstStyleTableQuoteSmall">
    <w:name w:val="aac_lstStyle_TableQuoteSmall"/>
    <w:uiPriority w:val="99"/>
    <w:rsid w:val="00A40703"/>
    <w:pPr>
      <w:numPr>
        <w:numId w:val="31"/>
      </w:numPr>
    </w:pPr>
  </w:style>
  <w:style w:type="character" w:customStyle="1" w:styleId="SourceChar">
    <w:name w:val="Source Char"/>
    <w:basedOn w:val="DefaultParagraphFont"/>
    <w:link w:val="Source"/>
    <w:locked/>
    <w:rsid w:val="00B7276D"/>
    <w:rPr>
      <w:rFonts w:ascii="Yu Gothic Medium" w:hAnsi="Yu Gothic Medium" w:cs="Arial"/>
      <w:i/>
      <w:color w:val="000100"/>
      <w:sz w:val="16"/>
    </w:rPr>
  </w:style>
  <w:style w:type="paragraph" w:customStyle="1" w:styleId="Glossary">
    <w:name w:val="Glossary"/>
    <w:basedOn w:val="Normal"/>
    <w:qFormat/>
    <w:rsid w:val="009D6A84"/>
    <w:pPr>
      <w:spacing w:before="40" w:after="40" w:line="240" w:lineRule="exact"/>
      <w:ind w:left="40"/>
    </w:pPr>
    <w:rPr>
      <w:rFonts w:ascii="Yu Gothic Medium" w:hAnsi="Yu Gothic Medium"/>
      <w:sz w:val="18"/>
    </w:rPr>
  </w:style>
  <w:style w:type="paragraph" w:customStyle="1" w:styleId="tagaaBrief">
    <w:name w:val="tag_aaBrief"/>
    <w:basedOn w:val="spacer"/>
    <w:qFormat/>
    <w:rsid w:val="001C6912"/>
  </w:style>
  <w:style w:type="paragraph" w:customStyle="1" w:styleId="TOCHeadingBrief">
    <w:name w:val="TOC Heading Brief"/>
    <w:basedOn w:val="Heading1nonumber"/>
    <w:qFormat/>
    <w:rsid w:val="002B78C9"/>
    <w:pPr>
      <w:spacing w:after="120"/>
    </w:pPr>
    <w:rPr>
      <w:color w:val="6C3F99"/>
    </w:rPr>
  </w:style>
  <w:style w:type="paragraph" w:customStyle="1" w:styleId="Heading5nonumber">
    <w:name w:val="Heading 5 (no number)"/>
    <w:basedOn w:val="Normal-nospace"/>
    <w:next w:val="BodyText"/>
    <w:qFormat/>
    <w:rsid w:val="003D2B0E"/>
    <w:pPr>
      <w:keepNext/>
      <w:keepLines/>
      <w:numPr>
        <w:ilvl w:val="4"/>
        <w:numId w:val="22"/>
      </w:numPr>
      <w:spacing w:before="240" w:line="240" w:lineRule="atLeast"/>
    </w:pPr>
    <w:rPr>
      <w:rFonts w:ascii="Yu Gothic" w:eastAsia="Yu Gothic" w:hAnsi="Yu Gothic"/>
      <w:b/>
      <w:i/>
      <w:sz w:val="24"/>
    </w:rPr>
  </w:style>
  <w:style w:type="paragraph" w:customStyle="1" w:styleId="Heading5AP">
    <w:name w:val="Heading 5 (AP)"/>
    <w:basedOn w:val="Heading5nonumber"/>
    <w:next w:val="BodyText"/>
    <w:qFormat/>
    <w:rsid w:val="008D2BA5"/>
    <w:pPr>
      <w:numPr>
        <w:numId w:val="36"/>
      </w:numPr>
    </w:pPr>
  </w:style>
  <w:style w:type="paragraph" w:customStyle="1" w:styleId="Heading5ES">
    <w:name w:val="Heading 5 (ES)"/>
    <w:basedOn w:val="Heading5nonumber"/>
    <w:next w:val="BodyText"/>
    <w:qFormat/>
    <w:rsid w:val="00FD6AD2"/>
    <w:pPr>
      <w:numPr>
        <w:numId w:val="33"/>
      </w:numPr>
    </w:pPr>
  </w:style>
  <w:style w:type="paragraph" w:customStyle="1" w:styleId="aawaterMarkTextsec">
    <w:name w:val="aa_waterMarkText_sec"/>
    <w:basedOn w:val="Normal-nospace"/>
    <w:qFormat/>
    <w:rsid w:val="005234F5"/>
    <w:pPr>
      <w:spacing w:before="40" w:line="240" w:lineRule="auto"/>
    </w:pPr>
    <w:rPr>
      <w:color w:val="939393"/>
      <w:sz w:val="24"/>
    </w:rPr>
  </w:style>
  <w:style w:type="paragraph" w:customStyle="1" w:styleId="aawaterMarkTextstat">
    <w:name w:val="aa_waterMarkText_stat"/>
    <w:basedOn w:val="Normal-nospace"/>
    <w:qFormat/>
    <w:rsid w:val="005234F5"/>
    <w:pPr>
      <w:spacing w:line="240" w:lineRule="auto"/>
      <w:jc w:val="center"/>
    </w:pPr>
    <w:rPr>
      <w:color w:val="B4B4B4"/>
      <w:sz w:val="72"/>
    </w:rPr>
  </w:style>
  <w:style w:type="character" w:customStyle="1" w:styleId="ListBulletChar">
    <w:name w:val="List Bullet Char"/>
    <w:aliases w:val="List Bullet Char1 Char,List Bullet Char Char Char,List Bullet Char1 Char Char Char,List Bullet Char Char Char1 Char Char,List Bullet Char Char Char Char Char Char,List Bullet Char3 Char,List Bullet Char2 Char Char,List Bullet1 Char"/>
    <w:basedOn w:val="DefaultParagraphFont"/>
    <w:link w:val="ListBullet"/>
    <w:uiPriority w:val="99"/>
    <w:rsid w:val="00B4453F"/>
    <w:rPr>
      <w:rFonts w:ascii="Arial Narrow" w:hAnsi="Arial Narrow" w:cs="Arial"/>
    </w:rPr>
  </w:style>
  <w:style w:type="paragraph" w:styleId="Revision">
    <w:name w:val="Revision"/>
    <w:hidden/>
    <w:uiPriority w:val="99"/>
    <w:semiHidden/>
    <w:rsid w:val="00016EA6"/>
    <w:pPr>
      <w:spacing w:after="0" w:line="240" w:lineRule="auto"/>
    </w:pPr>
    <w:rPr>
      <w:rFonts w:ascii="Arial Narrow" w:hAnsi="Arial Narrow" w:cs="Arial"/>
    </w:rPr>
  </w:style>
  <w:style w:type="paragraph" w:customStyle="1" w:styleId="BasicParagraph">
    <w:name w:val="[Basic Paragraph]"/>
    <w:basedOn w:val="Normal"/>
    <w:uiPriority w:val="99"/>
    <w:rsid w:val="005B5FF2"/>
    <w:pPr>
      <w:autoSpaceDE w:val="0"/>
      <w:autoSpaceDN w:val="0"/>
      <w:adjustRightInd w:val="0"/>
      <w:spacing w:before="0" w:after="0" w:line="288" w:lineRule="auto"/>
      <w:textAlignment w:val="center"/>
    </w:pPr>
    <w:rPr>
      <w:rFonts w:ascii="MinionPro-Regular" w:hAnsi="MinionPro-Regular" w:cs="MinionPro-Regular"/>
      <w:color w:val="000000"/>
      <w:sz w:val="24"/>
      <w:szCs w:val="24"/>
      <w:lang w:val="en-US"/>
    </w:rPr>
  </w:style>
  <w:style w:type="paragraph" w:customStyle="1" w:styleId="Tablebullet">
    <w:name w:val="Table bullet"/>
    <w:basedOn w:val="Normal"/>
    <w:rsid w:val="000A5665"/>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3512">
      <w:bodyDiv w:val="1"/>
      <w:marLeft w:val="0"/>
      <w:marRight w:val="0"/>
      <w:marTop w:val="0"/>
      <w:marBottom w:val="0"/>
      <w:divBdr>
        <w:top w:val="none" w:sz="0" w:space="0" w:color="auto"/>
        <w:left w:val="none" w:sz="0" w:space="0" w:color="auto"/>
        <w:bottom w:val="none" w:sz="0" w:space="0" w:color="auto"/>
        <w:right w:val="none" w:sz="0" w:space="0" w:color="auto"/>
      </w:divBdr>
    </w:div>
    <w:div w:id="869688290">
      <w:bodyDiv w:val="1"/>
      <w:marLeft w:val="0"/>
      <w:marRight w:val="0"/>
      <w:marTop w:val="0"/>
      <w:marBottom w:val="0"/>
      <w:divBdr>
        <w:top w:val="none" w:sz="0" w:space="0" w:color="auto"/>
        <w:left w:val="none" w:sz="0" w:space="0" w:color="auto"/>
        <w:bottom w:val="none" w:sz="0" w:space="0" w:color="auto"/>
        <w:right w:val="none" w:sz="0" w:space="0" w:color="auto"/>
      </w:divBdr>
    </w:div>
    <w:div w:id="913012545">
      <w:bodyDiv w:val="1"/>
      <w:marLeft w:val="0"/>
      <w:marRight w:val="0"/>
      <w:marTop w:val="0"/>
      <w:marBottom w:val="0"/>
      <w:divBdr>
        <w:top w:val="none" w:sz="0" w:space="0" w:color="auto"/>
        <w:left w:val="none" w:sz="0" w:space="0" w:color="auto"/>
        <w:bottom w:val="none" w:sz="0" w:space="0" w:color="auto"/>
        <w:right w:val="none" w:sz="0" w:space="0" w:color="auto"/>
      </w:divBdr>
    </w:div>
    <w:div w:id="1237547077">
      <w:bodyDiv w:val="1"/>
      <w:marLeft w:val="0"/>
      <w:marRight w:val="0"/>
      <w:marTop w:val="0"/>
      <w:marBottom w:val="0"/>
      <w:divBdr>
        <w:top w:val="none" w:sz="0" w:space="0" w:color="auto"/>
        <w:left w:val="none" w:sz="0" w:space="0" w:color="auto"/>
        <w:bottom w:val="none" w:sz="0" w:space="0" w:color="auto"/>
        <w:right w:val="none" w:sz="0" w:space="0" w:color="auto"/>
      </w:divBdr>
    </w:div>
    <w:div w:id="1587417947">
      <w:bodyDiv w:val="1"/>
      <w:marLeft w:val="0"/>
      <w:marRight w:val="0"/>
      <w:marTop w:val="0"/>
      <w:marBottom w:val="0"/>
      <w:divBdr>
        <w:top w:val="none" w:sz="0" w:space="0" w:color="auto"/>
        <w:left w:val="none" w:sz="0" w:space="0" w:color="auto"/>
        <w:bottom w:val="none" w:sz="0" w:space="0" w:color="auto"/>
        <w:right w:val="none" w:sz="0" w:space="0" w:color="auto"/>
      </w:divBdr>
    </w:div>
    <w:div w:id="1692608268">
      <w:bodyDiv w:val="1"/>
      <w:marLeft w:val="0"/>
      <w:marRight w:val="0"/>
      <w:marTop w:val="0"/>
      <w:marBottom w:val="0"/>
      <w:divBdr>
        <w:top w:val="none" w:sz="0" w:space="0" w:color="auto"/>
        <w:left w:val="none" w:sz="0" w:space="0" w:color="auto"/>
        <w:bottom w:val="none" w:sz="0" w:space="0" w:color="auto"/>
        <w:right w:val="none" w:sz="0" w:space="0" w:color="auto"/>
      </w:divBdr>
    </w:div>
    <w:div w:id="1703284425">
      <w:bodyDiv w:val="1"/>
      <w:marLeft w:val="0"/>
      <w:marRight w:val="0"/>
      <w:marTop w:val="0"/>
      <w:marBottom w:val="0"/>
      <w:divBdr>
        <w:top w:val="none" w:sz="0" w:space="0" w:color="auto"/>
        <w:left w:val="none" w:sz="0" w:space="0" w:color="auto"/>
        <w:bottom w:val="none" w:sz="0" w:space="0" w:color="auto"/>
        <w:right w:val="none" w:sz="0" w:space="0" w:color="auto"/>
      </w:divBdr>
    </w:div>
    <w:div w:id="1761758800">
      <w:bodyDiv w:val="1"/>
      <w:marLeft w:val="0"/>
      <w:marRight w:val="0"/>
      <w:marTop w:val="0"/>
      <w:marBottom w:val="0"/>
      <w:divBdr>
        <w:top w:val="none" w:sz="0" w:space="0" w:color="auto"/>
        <w:left w:val="none" w:sz="0" w:space="0" w:color="auto"/>
        <w:bottom w:val="none" w:sz="0" w:space="0" w:color="auto"/>
        <w:right w:val="none" w:sz="0" w:space="0" w:color="auto"/>
      </w:divBdr>
    </w:div>
    <w:div w:id="1762533053">
      <w:bodyDiv w:val="1"/>
      <w:marLeft w:val="0"/>
      <w:marRight w:val="0"/>
      <w:marTop w:val="0"/>
      <w:marBottom w:val="0"/>
      <w:divBdr>
        <w:top w:val="none" w:sz="0" w:space="0" w:color="auto"/>
        <w:left w:val="none" w:sz="0" w:space="0" w:color="auto"/>
        <w:bottom w:val="none" w:sz="0" w:space="0" w:color="auto"/>
        <w:right w:val="none" w:sz="0" w:space="0" w:color="auto"/>
      </w:divBdr>
    </w:div>
    <w:div w:id="1842967233">
      <w:bodyDiv w:val="1"/>
      <w:marLeft w:val="0"/>
      <w:marRight w:val="0"/>
      <w:marTop w:val="0"/>
      <w:marBottom w:val="0"/>
      <w:divBdr>
        <w:top w:val="none" w:sz="0" w:space="0" w:color="auto"/>
        <w:left w:val="none" w:sz="0" w:space="0" w:color="auto"/>
        <w:bottom w:val="none" w:sz="0" w:space="0" w:color="auto"/>
        <w:right w:val="none" w:sz="0" w:space="0" w:color="auto"/>
      </w:divBdr>
    </w:div>
    <w:div w:id="1959557174">
      <w:bodyDiv w:val="1"/>
      <w:marLeft w:val="0"/>
      <w:marRight w:val="0"/>
      <w:marTop w:val="0"/>
      <w:marBottom w:val="0"/>
      <w:divBdr>
        <w:top w:val="none" w:sz="0" w:space="0" w:color="auto"/>
        <w:left w:val="none" w:sz="0" w:space="0" w:color="auto"/>
        <w:bottom w:val="none" w:sz="0" w:space="0" w:color="auto"/>
        <w:right w:val="none" w:sz="0" w:space="0" w:color="auto"/>
      </w:divBdr>
    </w:div>
    <w:div w:id="2088114220">
      <w:bodyDiv w:val="1"/>
      <w:marLeft w:val="0"/>
      <w:marRight w:val="0"/>
      <w:marTop w:val="0"/>
      <w:marBottom w:val="0"/>
      <w:divBdr>
        <w:top w:val="none" w:sz="0" w:space="0" w:color="auto"/>
        <w:left w:val="none" w:sz="0" w:space="0" w:color="auto"/>
        <w:bottom w:val="none" w:sz="0" w:space="0" w:color="auto"/>
        <w:right w:val="none" w:sz="0" w:space="0" w:color="auto"/>
      </w:divBdr>
    </w:div>
    <w:div w:id="214272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s://www.bluecare.org.au/" TargetMode="External"/><Relationship Id="rId39" Type="http://schemas.openxmlformats.org/officeDocument/2006/relationships/header" Target="header7.xml"/><Relationship Id="rId21" Type="http://schemas.openxmlformats.org/officeDocument/2006/relationships/hyperlink" Target="https://melbournedisabilityexpo.com.au/" TargetMode="External"/><Relationship Id="rId34" Type="http://schemas.openxmlformats.org/officeDocument/2006/relationships/hyperlink" Target="https://www.scopeaust.org.au/about-us"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www.crosslinks.org.au/"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health.gov.au/topics/aged-care-workforce" TargetMode="External"/><Relationship Id="rId32" Type="http://schemas.openxmlformats.org/officeDocument/2006/relationships/hyperlink" Target="https://chorus.org.au/" TargetMode="External"/><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hyperlink" Target="https://nds.org.au/resources/all-resources/support-your-staffing-strategy-in-nsw" TargetMode="External"/><Relationship Id="rId28" Type="http://schemas.openxmlformats.org/officeDocument/2006/relationships/hyperlink" Target="https://training.ndiscommission.gov.au/" TargetMode="External"/><Relationship Id="rId36"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yperlink" Target="https://unitingcare.org.au/organisation/eldercar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yperlink" Target="https://nds.org.au/workforce-hub" TargetMode="External"/><Relationship Id="rId27" Type="http://schemas.openxmlformats.org/officeDocument/2006/relationships/hyperlink" Target="https://www.dewr.gov.au/skills-reform/fee-free-tafe" TargetMode="External"/><Relationship Id="rId30" Type="http://schemas.openxmlformats.org/officeDocument/2006/relationships/hyperlink" Target="https://iinduct.com.au/" TargetMode="External"/><Relationship Id="rId35" Type="http://schemas.openxmlformats.org/officeDocument/2006/relationships/header" Target="header5.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skilledcare.edu.au/aged-care-traineeship/" TargetMode="External"/><Relationship Id="rId33" Type="http://schemas.openxmlformats.org/officeDocument/2006/relationships/hyperlink" Target="https://www.rmit.edu.au/news/all-news/2024/feb/skip" TargetMode="External"/><Relationship Id="rId38" Type="http://schemas.openxmlformats.org/officeDocument/2006/relationships/footer" Target="footer5.xml"/></Relationships>
</file>

<file path=word/_rels/footnotes.xml.rels><?xml version="1.0" encoding="UTF-8" standalone="yes"?>
<Relationships xmlns="http://schemas.openxmlformats.org/package/2006/relationships"><Relationship Id="rId1" Type="http://schemas.openxmlformats.org/officeDocument/2006/relationships/hyperlink" Target="https://www.pmc.gov.au/resources/care-and-support-economy-state-pl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AA%20GeneralReport.dotx" TargetMode="External"/></Relationships>
</file>

<file path=word/theme/theme1.xml><?xml version="1.0" encoding="utf-8"?>
<a:theme xmlns:a="http://schemas.openxmlformats.org/drawingml/2006/main" name="AAC Theme">
  <a:themeElements>
    <a:clrScheme name="AAC">
      <a:dk1>
        <a:sysClr val="windowText" lastClr="000000"/>
      </a:dk1>
      <a:lt1>
        <a:sysClr val="window" lastClr="FFFFFF"/>
      </a:lt1>
      <a:dk2>
        <a:srgbClr val="6C3F99"/>
      </a:dk2>
      <a:lt2>
        <a:srgbClr val="140034"/>
      </a:lt2>
      <a:accent1>
        <a:srgbClr val="9D85BE"/>
      </a:accent1>
      <a:accent2>
        <a:srgbClr val="7D7D7D"/>
      </a:accent2>
      <a:accent3>
        <a:srgbClr val="C8C8C8"/>
      </a:accent3>
      <a:accent4>
        <a:srgbClr val="006A9F"/>
      </a:accent4>
      <a:accent5>
        <a:srgbClr val="7BBDD6"/>
      </a:accent5>
      <a:accent6>
        <a:srgbClr val="428D52"/>
      </a:accent6>
      <a:hlink>
        <a:srgbClr val="7BBDD6"/>
      </a:hlink>
      <a:folHlink>
        <a:srgbClr val="9FD18B"/>
      </a:folHlink>
    </a:clrScheme>
    <a:fontScheme name="AAC Fonts">
      <a:majorFont>
        <a:latin typeface="Yu Gothic Medium"/>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GB = 0,0,0">
      <a:srgbClr val="000000"/>
    </a:custClr>
    <a:custClr name="RGB = 255,255,255">
      <a:srgbClr val="FFFFFF"/>
    </a:custClr>
    <a:custClr name="RGB = 20,0,52">
      <a:srgbClr val="140034"/>
    </a:custClr>
    <a:custClr name="RGB = 108,63,153">
      <a:srgbClr val="6C3F99"/>
    </a:custClr>
    <a:custClr name="RGB = 157,133,190">
      <a:srgbClr val="9D85BE"/>
    </a:custClr>
    <a:custClr name="RGB = 204,195,220">
      <a:srgbClr val="CCC3DC"/>
    </a:custClr>
    <a:custClr name="RGB = 123,189,214">
      <a:srgbClr val="7BBDD6"/>
    </a:custClr>
    <a:custClr name="RGB = 0,106,159">
      <a:srgbClr val="006A9F"/>
    </a:custClr>
    <a:custClr name="RGB = 159,209,139">
      <a:srgbClr val="9FD18B"/>
    </a:custClr>
    <a:custClr name="RGB = 66,141,82">
      <a:srgbClr val="428D52"/>
    </a:custClr>
    <a:custClr name="RGB = 29,29,29">
      <a:srgbClr val="1D1D1D"/>
    </a:custClr>
    <a:custClr name="RGB = 249,249,249">
      <a:srgbClr val="F9F9F9"/>
    </a:custClr>
    <a:custClr name="RGB = 230,226,238">
      <a:srgbClr val="E6E2EE"/>
    </a:custClr>
    <a:custClr name="RGB = 230,219,240">
      <a:srgbClr val="E6DBF0"/>
    </a:custClr>
    <a:custClr name="RGB = 228,222,237">
      <a:srgbClr val="E4DEED"/>
    </a:custClr>
    <a:custClr name="RGB = 228,223,236">
      <a:srgbClr val="E4DFEC"/>
    </a:custClr>
    <a:custClr name="RGB = 233,242,247">
      <a:srgbClr val="E9F2F7"/>
    </a:custClr>
    <a:custClr name="RGB = 204,238,255">
      <a:srgbClr val="CCEEFF"/>
    </a:custClr>
    <a:custClr name="RGB = 241,247,237">
      <a:srgbClr val="F1F7ED"/>
    </a:custClr>
    <a:custClr name="RGB = 220,239,224">
      <a:srgbClr val="DCEFE0"/>
    </a:custClr>
    <a:custClr name="RGB = 77,77,77">
      <a:srgbClr val="4D4D4D"/>
    </a:custClr>
    <a:custClr name="RGB = 229,229,229">
      <a:srgbClr val="E5E5E5"/>
    </a:custClr>
    <a:custClr name="RGB = 204,195,220">
      <a:srgbClr val="CCC3DC"/>
    </a:custClr>
    <a:custClr name="RGB = 204,183,225">
      <a:srgbClr val="CCB7E1"/>
    </a:custClr>
    <a:custClr name="RGB = 202,188,220">
      <a:srgbClr val="CABCDC"/>
    </a:custClr>
    <a:custClr name="RGB = 200,191,217">
      <a:srgbClr val="C8BFD9"/>
    </a:custClr>
    <a:custClr name="RGB = 196,221,233">
      <a:srgbClr val="C4DDE9"/>
    </a:custClr>
    <a:custClr name="RGB = 153,221,255">
      <a:srgbClr val="99DDFF"/>
    </a:custClr>
    <a:custClr name="RGB = 212,231,200">
      <a:srgbClr val="D4E7C8"/>
    </a:custClr>
    <a:custClr name="RGB = 186,222,193">
      <a:srgbClr val="BADEC1"/>
    </a:custClr>
    <a:custClr name="RGB = 99,99,99">
      <a:srgbClr val="636363"/>
    </a:custClr>
    <a:custClr name="RGB = 200,200,200">
      <a:srgbClr val="C8C8C8"/>
    </a:custClr>
    <a:custClr name="RGB = 157,133,190">
      <a:srgbClr val="9D85BE"/>
    </a:custClr>
    <a:custClr name="RGB = 178,147,210">
      <a:srgbClr val="B293D2"/>
    </a:custClr>
    <a:custClr name="RGB = 175,155,202">
      <a:srgbClr val="AF9BCA"/>
    </a:custClr>
    <a:custClr name="RGB = 173,158,199">
      <a:srgbClr val="AD9EC7"/>
    </a:custClr>
    <a:custClr name="RGB = 138,197,219">
      <a:srgbClr val="8AC5DB"/>
    </a:custClr>
    <a:custClr name="RGB = 102,204,255">
      <a:srgbClr val="66CCFF"/>
    </a:custClr>
    <a:custClr name="RGB = 134,197,109">
      <a:srgbClr val="86C56D"/>
    </a:custClr>
    <a:custClr name="RGB = 151,206,163">
      <a:srgbClr val="97CEA3"/>
    </a:custClr>
    <a:custClr name="RGB = 110,110,110">
      <a:srgbClr val="6E6E6E"/>
    </a:custClr>
    <a:custClr name="RGB = 125,125,125">
      <a:srgbClr val="7D7D7D"/>
    </a:custClr>
    <a:custClr name="RGB = 51,16,99">
      <a:srgbClr val="331063"/>
    </a:custClr>
    <a:custClr name="RGB = 34,11,65">
      <a:srgbClr val="220B41"/>
    </a:custClr>
    <a:custClr name="RGB = 148,122,184">
      <a:srgbClr val="947AB8"/>
    </a:custClr>
    <a:custClr name="RGB = 145,126,180">
      <a:srgbClr val="917EB4"/>
    </a:custClr>
    <a:custClr name="RGB = 0,72,110">
      <a:srgbClr val="00486E"/>
    </a:custClr>
    <a:custClr name="RGB = 0,32,50">
      <a:srgbClr val="002032"/>
    </a:custClr>
    <a:custClr name="RGB = 0,64,22">
      <a:srgbClr val="004016"/>
    </a:custClr>
    <a:custClr name="RGB = 116,190,132">
      <a:srgbClr val="74BE84"/>
    </a:custClr>
  </a:custClrLst>
  <a:extLst>
    <a:ext uri="{05A4C25C-085E-4340-85A3-A5531E510DB2}">
      <thm15:themeFamily xmlns:thm15="http://schemas.microsoft.com/office/thememl/2012/main" name="AAC Theme" id="{39DCDA45-834A-4271-971B-D88418EF0CAC}" vid="{6B1B7BD4-6D0E-46B1-9105-78C834965B7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EB15B7BF881C54E9541960E20D8AB4C" ma:contentTypeVersion="30" ma:contentTypeDescription="Create a new document." ma:contentTypeScope="" ma:versionID="d63dafaf8fbb476f9e50259063539d44">
  <xsd:schema xmlns:xsd="http://www.w3.org/2001/XMLSchema" xmlns:xs="http://www.w3.org/2001/XMLSchema" xmlns:p="http://schemas.microsoft.com/office/2006/metadata/properties" xmlns:ns2="35fbcea8-365b-4043-ac26-3d78cbb7f6cc" xmlns:ns3="07d774a0-5bde-4699-ade2-d09c13d8c44d" targetNamespace="http://schemas.microsoft.com/office/2006/metadata/properties" ma:root="true" ma:fieldsID="860e1acc9249d5130e0e5f0c64c7b8f4" ns2:_="" ns3:_="">
    <xsd:import namespace="35fbcea8-365b-4043-ac26-3d78cbb7f6cc"/>
    <xsd:import namespace="07d774a0-5bde-4699-ade2-d09c13d8c44d"/>
    <xsd:element name="properties">
      <xsd:complexType>
        <xsd:sequence>
          <xsd:element name="documentManagement">
            <xsd:complexType>
              <xsd:all>
                <xsd:element ref="ns2:Status" minOccurs="0"/>
                <xsd:element ref="ns2:Duedate" minOccurs="0"/>
                <xsd:element ref="ns2:MediaServiceMetadata" minOccurs="0"/>
                <xsd:element ref="ns2:MediaServiceFastMetadata" minOccurs="0"/>
                <xsd:element ref="ns2:MediaServiceSearchProperties" minOccurs="0"/>
                <xsd:element ref="ns2:MediaServiceObjectDetectorVersions" minOccurs="0"/>
                <xsd:element ref="ns2:Not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bcea8-365b-4043-ac26-3d78cbb7f6cc" elementFormDefault="qualified">
    <xsd:import namespace="http://schemas.microsoft.com/office/2006/documentManagement/types"/>
    <xsd:import namespace="http://schemas.microsoft.com/office/infopath/2007/PartnerControls"/>
    <xsd:element name="Status" ma:index="8" nillable="true" ma:displayName="Status" ma:default="Not yet started" ma:format="Dropdown" ma:internalName="Status">
      <xsd:simpleType>
        <xsd:restriction base="dms:Choice">
          <xsd:enumeration value="Not yet started"/>
          <xsd:enumeration value="Initial editing"/>
          <xsd:enumeration value="Ready for initial QA"/>
          <xsd:enumeration value="Ready for technical committee/consultation"/>
          <xsd:enumeration value="Editing post technical committee/consultation"/>
          <xsd:enumeration value="Ready for pre-SRO QA check"/>
          <xsd:enumeration value="Ready for SRO"/>
          <xsd:enumeration value="Editing post SRO"/>
          <xsd:enumeration value="Ready for QA before submission"/>
          <xsd:enumeration value="Ready for submission"/>
          <xsd:enumeration value="Submitted"/>
        </xsd:restriction>
      </xsd:simpleType>
    </xsd:element>
    <xsd:element name="Duedate" ma:index="9" nillable="true" ma:displayName="Due date" ma:format="DateOnly" ma:internalName="Duedate">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Notes" ma:index="14" nillable="true" ma:displayName="Notes" ma:format="Dropdown" ma:internalName="Notes">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6e79cd2-1ed5-4413-980a-eadead3acc9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774a0-5bde-4699-ade2-d09c13d8c44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22e850-47fe-4af3-8ac2-54d4dd428fa0}" ma:internalName="TaxCatchAll" ma:showField="CatchAllData" ma:web="07d774a0-5bde-4699-ade2-d09c13d8c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35fbcea8-365b-4043-ac26-3d78cbb7f6cc" xsi:nil="true"/>
    <Duedate xmlns="35fbcea8-365b-4043-ac26-3d78cbb7f6cc" xsi:nil="true"/>
    <Status xmlns="35fbcea8-365b-4043-ac26-3d78cbb7f6cc">Ready for submission</Status>
    <TaxCatchAll xmlns="07d774a0-5bde-4699-ade2-d09c13d8c44d" xsi:nil="true"/>
    <lcf76f155ced4ddcb4097134ff3c332f xmlns="35fbcea8-365b-4043-ac26-3d78cbb7f6cc">
      <Terms xmlns="http://schemas.microsoft.com/office/infopath/2007/PartnerControls"/>
    </lcf76f155ced4ddcb4097134ff3c332f>
  </documentManagement>
</p:properties>
</file>

<file path=customXml/item4.xml><?xml version="1.0" encoding="utf-8"?>
<cdm:cachedDataManifest xmlns:cdm="http://schemas.microsoft.com/2004/VisualStudio/Tools/Applications/CachedDataManifest.xsd" cdm:revision="1"/>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D6133C-2394-44EF-816F-ED604A582F36}">
  <ds:schemaRefs>
    <ds:schemaRef ds:uri="http://schemas.openxmlformats.org/officeDocument/2006/bibliography"/>
  </ds:schemaRefs>
</ds:datastoreItem>
</file>

<file path=customXml/itemProps2.xml><?xml version="1.0" encoding="utf-8"?>
<ds:datastoreItem xmlns:ds="http://schemas.openxmlformats.org/officeDocument/2006/customXml" ds:itemID="{6C092D0B-38C1-462A-B910-24A5382ED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bcea8-365b-4043-ac26-3d78cbb7f6cc"/>
    <ds:schemaRef ds:uri="07d774a0-5bde-4699-ade2-d09c13d8c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70654B-01FD-4613-BB08-3F85C2958EDA}">
  <ds:schemaRefs>
    <ds:schemaRef ds:uri="http://schemas.microsoft.com/office/2006/metadata/properties"/>
    <ds:schemaRef ds:uri="http://schemas.microsoft.com/office/infopath/2007/PartnerControls"/>
    <ds:schemaRef ds:uri="35fbcea8-365b-4043-ac26-3d78cbb7f6cc"/>
    <ds:schemaRef ds:uri="07d774a0-5bde-4699-ade2-d09c13d8c44d"/>
  </ds:schemaRefs>
</ds:datastoreItem>
</file>

<file path=customXml/itemProps4.xml><?xml version="1.0" encoding="utf-8"?>
<ds:datastoreItem xmlns:ds="http://schemas.openxmlformats.org/officeDocument/2006/customXml" ds:itemID="{BE09BE19-591D-4AF4-8E77-0FBF065344A2}">
  <ds:schemaRefs>
    <ds:schemaRef ds:uri="http://schemas.microsoft.com/2004/VisualStudio/Tools/Applications/CachedDataManifest.xsd"/>
  </ds:schemaRefs>
</ds:datastoreItem>
</file>

<file path=customXml/itemProps5.xml><?xml version="1.0" encoding="utf-8"?>
<ds:datastoreItem xmlns:ds="http://schemas.openxmlformats.org/officeDocument/2006/customXml" ds:itemID="{F9AF1F6D-ADD7-47E4-91C1-50C716F307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C:\Templates\AA GeneralReport.dotx</Template>
  <TotalTime>0</TotalTime>
  <Pages>28</Pages>
  <Words>8571</Words>
  <Characters>48857</Characters>
  <Application>Microsoft Office Word</Application>
  <DocSecurity>0</DocSecurity>
  <Lines>407</Lines>
  <Paragraphs>114</Paragraphs>
  <ScaleCrop>false</ScaleCrop>
  <Company>Acil Allen</Company>
  <LinksUpToDate>false</LinksUpToDate>
  <CharactersWithSpaces>57314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 Practice Guide</dc:title>
  <dc:subject/>
  <dc:creator>Amy Mehrton</dc:creator>
  <cp:keywords/>
  <dc:description>© ACIL Allen 2025</dc:description>
  <cp:lastModifiedBy>Kate De Clercq</cp:lastModifiedBy>
  <cp:revision>2</cp:revision>
  <cp:lastPrinted>2024-12-01T21:58:00Z</cp:lastPrinted>
  <dcterms:created xsi:type="dcterms:W3CDTF">2025-09-23T00:41:00Z</dcterms:created>
  <dcterms:modified xsi:type="dcterms:W3CDTF">2025-09-23T00:41:00Z</dcterms:modified>
  <cp:category>12.12.44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http://templates.acilallen.com.au/word/GeneralReport/install/AA GeneralReport.vsto|38218949-3a6a-4064-898e-34119e91a4dc</vt:lpwstr>
  </property>
  <property fmtid="{D5CDD505-2E9C-101B-9397-08002B2CF9AE}" pid="3" name="_AssemblyName">
    <vt:lpwstr>4E3C66D5-58D4-491E-A7D4-64AF99AF6E8B</vt:lpwstr>
  </property>
  <property fmtid="{D5CDD505-2E9C-101B-9397-08002B2CF9AE}" pid="4" name="reportMode">
    <vt:lpwstr>longReport</vt:lpwstr>
  </property>
  <property fmtid="{D5CDD505-2E9C-101B-9397-08002B2CF9AE}" pid="5" name="pgNumberFormat">
    <vt:lpwstr>std</vt:lpwstr>
  </property>
  <property fmtid="{D5CDD505-2E9C-101B-9397-08002B2CF9AE}" pid="6" name="rptAccessible">
    <vt:lpwstr>false</vt:lpwstr>
  </property>
  <property fmtid="{D5CDD505-2E9C-101B-9397-08002B2CF9AE}" pid="7" name="ContentTypeId">
    <vt:lpwstr>0x0101002EB15B7BF881C54E9541960E20D8AB4C</vt:lpwstr>
  </property>
  <property fmtid="{D5CDD505-2E9C-101B-9397-08002B2CF9AE}" pid="8" name="MediaServiceImageTags">
    <vt:lpwstr/>
  </property>
</Properties>
</file>