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04D82" w14:textId="77777777" w:rsidR="00C60AD3" w:rsidRDefault="00CC46AD">
      <w:pPr>
        <w:spacing w:after="40"/>
        <w:jc w:val="center"/>
      </w:pPr>
      <w:r>
        <w:rPr>
          <w:b/>
          <w:color w:val="071A33"/>
          <w:sz w:val="44"/>
        </w:rPr>
        <w:t>Renovations Webinar Q&amp;A</w:t>
      </w:r>
    </w:p>
    <w:p w14:paraId="66FA4872" w14:textId="77777777" w:rsidR="00C60AD3" w:rsidRDefault="00CC46AD">
      <w:pPr>
        <w:spacing w:after="160"/>
        <w:jc w:val="center"/>
      </w:pPr>
      <w:r>
        <w:rPr>
          <w:color w:val="A6532E"/>
          <w:sz w:val="26"/>
        </w:rPr>
        <w:t>Owner questions and practical answers</w:t>
      </w:r>
    </w:p>
    <w:p w14:paraId="2ABA1D8C" w14:textId="77777777" w:rsidR="00C60AD3" w:rsidRDefault="00CC46AD">
      <w:pPr>
        <w:spacing w:after="280"/>
        <w:jc w:val="center"/>
      </w:pPr>
      <w:r>
        <w:rPr>
          <w:color w:val="667085"/>
          <w:sz w:val="18"/>
        </w:rPr>
        <w:t>Prepared by Netstrata | 15 June 2026</w:t>
      </w:r>
    </w:p>
    <w:tbl>
      <w:tblPr>
        <w:tblW w:w="0" w:type="auto"/>
        <w:jc w:val="center"/>
        <w:tblLook w:val="04A0" w:firstRow="1" w:lastRow="0" w:firstColumn="1" w:lastColumn="0" w:noHBand="0" w:noVBand="1"/>
      </w:tblPr>
      <w:tblGrid>
        <w:gridCol w:w="10348"/>
      </w:tblGrid>
      <w:tr w:rsidR="00C60AD3" w14:paraId="12B58ABA" w14:textId="77777777">
        <w:trPr>
          <w:jc w:val="center"/>
        </w:trPr>
        <w:tc>
          <w:tcPr>
            <w:tcW w:w="10368" w:type="dxa"/>
            <w:tcBorders>
              <w:top w:val="single" w:sz="8" w:space="0" w:color="D9A383"/>
              <w:left w:val="single" w:sz="8" w:space="0" w:color="D9A383"/>
              <w:bottom w:val="single" w:sz="8" w:space="0" w:color="D9A383"/>
              <w:right w:val="single" w:sz="8" w:space="0" w:color="D9A383"/>
            </w:tcBorders>
            <w:shd w:val="clear" w:color="auto" w:fill="F6F1EC"/>
            <w:tcMar>
              <w:top w:w="160" w:type="dxa"/>
              <w:left w:w="180" w:type="dxa"/>
              <w:bottom w:w="160" w:type="dxa"/>
              <w:right w:w="180" w:type="dxa"/>
            </w:tcMar>
          </w:tcPr>
          <w:p w14:paraId="410C5F6C" w14:textId="77777777" w:rsidR="00C60AD3" w:rsidRDefault="00CC46AD">
            <w:r>
              <w:rPr>
                <w:b/>
                <w:color w:val="A6532E"/>
              </w:rPr>
              <w:t xml:space="preserve">Important note: </w:t>
            </w:r>
            <w:r>
              <w:rPr>
                <w:color w:val="101828"/>
              </w:rPr>
              <w:t>These responses are general information for owners. Approval requirements can vary depending on the registered by-laws, strata plan, scope of works, building conditions and any council or statutory requirements.</w:t>
            </w:r>
          </w:p>
        </w:tc>
      </w:tr>
    </w:tbl>
    <w:p w14:paraId="5997C8E7" w14:textId="77777777" w:rsidR="00C60AD3" w:rsidRDefault="00C60AD3"/>
    <w:p w14:paraId="2F031CC3" w14:textId="77777777" w:rsidR="00C60AD3" w:rsidRDefault="00CC46AD">
      <w:pPr>
        <w:spacing w:after="120"/>
      </w:pPr>
      <w:r>
        <w:rPr>
          <w:b/>
          <w:color w:val="071A33"/>
          <w:sz w:val="30"/>
        </w:rPr>
        <w:t>Quick approval guide</w:t>
      </w:r>
    </w:p>
    <w:tbl>
      <w:tblPr>
        <w:tblStyle w:val="TableGrid"/>
        <w:tblW w:w="0" w:type="auto"/>
        <w:jc w:val="center"/>
        <w:tblLook w:val="04A0" w:firstRow="1" w:lastRow="0" w:firstColumn="1" w:lastColumn="0" w:noHBand="0" w:noVBand="1"/>
      </w:tblPr>
      <w:tblGrid>
        <w:gridCol w:w="2589"/>
        <w:gridCol w:w="2589"/>
        <w:gridCol w:w="2590"/>
        <w:gridCol w:w="2590"/>
      </w:tblGrid>
      <w:tr w:rsidR="00C60AD3" w14:paraId="36745F6D" w14:textId="77777777">
        <w:trPr>
          <w:tblHeader/>
          <w:jc w:val="center"/>
        </w:trPr>
        <w:tc>
          <w:tcPr>
            <w:tcW w:w="2592" w:type="dxa"/>
            <w:tcBorders>
              <w:top w:val="single" w:sz="4" w:space="0" w:color="D0D5DD"/>
              <w:left w:val="single" w:sz="4" w:space="0" w:color="D0D5DD"/>
              <w:bottom w:val="single" w:sz="4" w:space="0" w:color="D0D5DD"/>
              <w:right w:val="single" w:sz="4" w:space="0" w:color="D0D5DD"/>
            </w:tcBorders>
            <w:shd w:val="clear" w:color="auto" w:fill="071A33"/>
            <w:tcMar>
              <w:top w:w="110" w:type="dxa"/>
              <w:left w:w="110" w:type="dxa"/>
              <w:bottom w:w="110" w:type="dxa"/>
              <w:right w:w="110" w:type="dxa"/>
            </w:tcMar>
          </w:tcPr>
          <w:p w14:paraId="25732C53" w14:textId="77777777" w:rsidR="00C60AD3" w:rsidRDefault="00CC46AD">
            <w:r>
              <w:rPr>
                <w:b/>
                <w:color w:val="FFFFFF"/>
                <w:sz w:val="17"/>
              </w:rPr>
              <w:t>Category</w:t>
            </w:r>
          </w:p>
        </w:tc>
        <w:tc>
          <w:tcPr>
            <w:tcW w:w="2592" w:type="dxa"/>
            <w:tcBorders>
              <w:top w:val="single" w:sz="4" w:space="0" w:color="D0D5DD"/>
              <w:left w:val="single" w:sz="4" w:space="0" w:color="D0D5DD"/>
              <w:bottom w:val="single" w:sz="4" w:space="0" w:color="D0D5DD"/>
              <w:right w:val="single" w:sz="4" w:space="0" w:color="D0D5DD"/>
            </w:tcBorders>
            <w:shd w:val="clear" w:color="auto" w:fill="071A33"/>
            <w:tcMar>
              <w:top w:w="110" w:type="dxa"/>
              <w:left w:w="110" w:type="dxa"/>
              <w:bottom w:w="110" w:type="dxa"/>
              <w:right w:w="110" w:type="dxa"/>
            </w:tcMar>
          </w:tcPr>
          <w:p w14:paraId="4E782A91" w14:textId="77777777" w:rsidR="00C60AD3" w:rsidRDefault="00CC46AD">
            <w:r>
              <w:rPr>
                <w:b/>
                <w:color w:val="FFFFFF"/>
                <w:sz w:val="17"/>
              </w:rPr>
              <w:t>Typical approval</w:t>
            </w:r>
          </w:p>
        </w:tc>
        <w:tc>
          <w:tcPr>
            <w:tcW w:w="2592" w:type="dxa"/>
            <w:tcBorders>
              <w:top w:val="single" w:sz="4" w:space="0" w:color="D0D5DD"/>
              <w:left w:val="single" w:sz="4" w:space="0" w:color="D0D5DD"/>
              <w:bottom w:val="single" w:sz="4" w:space="0" w:color="D0D5DD"/>
              <w:right w:val="single" w:sz="4" w:space="0" w:color="D0D5DD"/>
            </w:tcBorders>
            <w:shd w:val="clear" w:color="auto" w:fill="071A33"/>
            <w:tcMar>
              <w:top w:w="110" w:type="dxa"/>
              <w:left w:w="110" w:type="dxa"/>
              <w:bottom w:w="110" w:type="dxa"/>
              <w:right w:w="110" w:type="dxa"/>
            </w:tcMar>
          </w:tcPr>
          <w:p w14:paraId="7305E247" w14:textId="77777777" w:rsidR="00C60AD3" w:rsidRDefault="00CC46AD">
            <w:r>
              <w:rPr>
                <w:b/>
                <w:color w:val="FFFFFF"/>
                <w:sz w:val="17"/>
              </w:rPr>
              <w:t>Common examples</w:t>
            </w:r>
          </w:p>
        </w:tc>
        <w:tc>
          <w:tcPr>
            <w:tcW w:w="2592" w:type="dxa"/>
            <w:tcBorders>
              <w:top w:val="single" w:sz="4" w:space="0" w:color="D0D5DD"/>
              <w:left w:val="single" w:sz="4" w:space="0" w:color="D0D5DD"/>
              <w:bottom w:val="single" w:sz="4" w:space="0" w:color="D0D5DD"/>
              <w:right w:val="single" w:sz="4" w:space="0" w:color="D0D5DD"/>
            </w:tcBorders>
            <w:shd w:val="clear" w:color="auto" w:fill="071A33"/>
            <w:tcMar>
              <w:top w:w="110" w:type="dxa"/>
              <w:left w:w="110" w:type="dxa"/>
              <w:bottom w:w="110" w:type="dxa"/>
              <w:right w:w="110" w:type="dxa"/>
            </w:tcMar>
          </w:tcPr>
          <w:p w14:paraId="43C6A352" w14:textId="77777777" w:rsidR="00C60AD3" w:rsidRDefault="00CC46AD">
            <w:r>
              <w:rPr>
                <w:b/>
                <w:color w:val="FFFFFF"/>
                <w:sz w:val="17"/>
              </w:rPr>
              <w:t>Watch-outs</w:t>
            </w:r>
          </w:p>
        </w:tc>
      </w:tr>
      <w:tr w:rsidR="00C60AD3" w14:paraId="4DA0D211" w14:textId="77777777">
        <w:trPr>
          <w:jc w:val="center"/>
        </w:trPr>
        <w:tc>
          <w:tcPr>
            <w:tcW w:w="2592" w:type="dxa"/>
            <w:tcBorders>
              <w:top w:val="single" w:sz="4" w:space="0" w:color="D0D5DD"/>
              <w:left w:val="single" w:sz="4" w:space="0" w:color="D0D5DD"/>
              <w:bottom w:val="single" w:sz="4" w:space="0" w:color="D0D5DD"/>
              <w:right w:val="single" w:sz="4" w:space="0" w:color="D0D5DD"/>
            </w:tcBorders>
            <w:shd w:val="clear" w:color="auto" w:fill="FFFFFF"/>
            <w:tcMar>
              <w:top w:w="110" w:type="dxa"/>
              <w:left w:w="110" w:type="dxa"/>
              <w:bottom w:w="110" w:type="dxa"/>
              <w:right w:w="110" w:type="dxa"/>
            </w:tcMar>
          </w:tcPr>
          <w:p w14:paraId="297D9BE3" w14:textId="77777777" w:rsidR="00C60AD3" w:rsidRDefault="00CC46AD">
            <w:r>
              <w:rPr>
                <w:color w:val="101828"/>
                <w:sz w:val="17"/>
              </w:rPr>
              <w:t>Cosmetic works</w:t>
            </w:r>
          </w:p>
        </w:tc>
        <w:tc>
          <w:tcPr>
            <w:tcW w:w="2592" w:type="dxa"/>
            <w:tcBorders>
              <w:top w:val="single" w:sz="4" w:space="0" w:color="D0D5DD"/>
              <w:left w:val="single" w:sz="4" w:space="0" w:color="D0D5DD"/>
              <w:bottom w:val="single" w:sz="4" w:space="0" w:color="D0D5DD"/>
              <w:right w:val="single" w:sz="4" w:space="0" w:color="D0D5DD"/>
            </w:tcBorders>
            <w:shd w:val="clear" w:color="auto" w:fill="FFFFFF"/>
            <w:tcMar>
              <w:top w:w="110" w:type="dxa"/>
              <w:left w:w="110" w:type="dxa"/>
              <w:bottom w:w="110" w:type="dxa"/>
              <w:right w:w="110" w:type="dxa"/>
            </w:tcMar>
          </w:tcPr>
          <w:p w14:paraId="52D20B49" w14:textId="77777777" w:rsidR="00C60AD3" w:rsidRDefault="00CC46AD">
            <w:r>
              <w:rPr>
                <w:color w:val="101828"/>
                <w:sz w:val="17"/>
              </w:rPr>
              <w:t>Usually no owners corporation approval required</w:t>
            </w:r>
          </w:p>
        </w:tc>
        <w:tc>
          <w:tcPr>
            <w:tcW w:w="2592" w:type="dxa"/>
            <w:tcBorders>
              <w:top w:val="single" w:sz="4" w:space="0" w:color="D0D5DD"/>
              <w:left w:val="single" w:sz="4" w:space="0" w:color="D0D5DD"/>
              <w:bottom w:val="single" w:sz="4" w:space="0" w:color="D0D5DD"/>
              <w:right w:val="single" w:sz="4" w:space="0" w:color="D0D5DD"/>
            </w:tcBorders>
            <w:shd w:val="clear" w:color="auto" w:fill="FFFFFF"/>
            <w:tcMar>
              <w:top w:w="110" w:type="dxa"/>
              <w:left w:w="110" w:type="dxa"/>
              <w:bottom w:w="110" w:type="dxa"/>
              <w:right w:w="110" w:type="dxa"/>
            </w:tcMar>
          </w:tcPr>
          <w:p w14:paraId="5F07D5B8" w14:textId="77777777" w:rsidR="00C60AD3" w:rsidRDefault="00CC46AD">
            <w:r>
              <w:rPr>
                <w:color w:val="101828"/>
                <w:sz w:val="17"/>
              </w:rPr>
              <w:t>Internal painting, laying carpet, minor hooks/screws, internal blinds</w:t>
            </w:r>
          </w:p>
        </w:tc>
        <w:tc>
          <w:tcPr>
            <w:tcW w:w="2592" w:type="dxa"/>
            <w:tcBorders>
              <w:top w:val="single" w:sz="4" w:space="0" w:color="D0D5DD"/>
              <w:left w:val="single" w:sz="4" w:space="0" w:color="D0D5DD"/>
              <w:bottom w:val="single" w:sz="4" w:space="0" w:color="D0D5DD"/>
              <w:right w:val="single" w:sz="4" w:space="0" w:color="D0D5DD"/>
            </w:tcBorders>
            <w:shd w:val="clear" w:color="auto" w:fill="FFFFFF"/>
            <w:tcMar>
              <w:top w:w="110" w:type="dxa"/>
              <w:left w:w="110" w:type="dxa"/>
              <w:bottom w:w="110" w:type="dxa"/>
              <w:right w:w="110" w:type="dxa"/>
            </w:tcMar>
          </w:tcPr>
          <w:p w14:paraId="4A9EEAC1" w14:textId="77777777" w:rsidR="00C60AD3" w:rsidRDefault="00CC46AD">
            <w:r>
              <w:rPr>
                <w:color w:val="101828"/>
                <w:sz w:val="17"/>
              </w:rPr>
              <w:t>Must be done competently and any common property damage must be repaired.</w:t>
            </w:r>
          </w:p>
        </w:tc>
      </w:tr>
      <w:tr w:rsidR="00C60AD3" w14:paraId="57D18A6A" w14:textId="77777777">
        <w:trPr>
          <w:jc w:val="center"/>
        </w:trPr>
        <w:tc>
          <w:tcPr>
            <w:tcW w:w="2592" w:type="dxa"/>
            <w:tcBorders>
              <w:top w:val="single" w:sz="4" w:space="0" w:color="D0D5DD"/>
              <w:left w:val="single" w:sz="4" w:space="0" w:color="D0D5DD"/>
              <w:bottom w:val="single" w:sz="4" w:space="0" w:color="D0D5DD"/>
              <w:right w:val="single" w:sz="4" w:space="0" w:color="D0D5DD"/>
            </w:tcBorders>
            <w:shd w:val="clear" w:color="auto" w:fill="FFFFFF"/>
            <w:tcMar>
              <w:top w:w="110" w:type="dxa"/>
              <w:left w:w="110" w:type="dxa"/>
              <w:bottom w:w="110" w:type="dxa"/>
              <w:right w:w="110" w:type="dxa"/>
            </w:tcMar>
          </w:tcPr>
          <w:p w14:paraId="2DA7BBDB" w14:textId="77777777" w:rsidR="00C60AD3" w:rsidRDefault="00CC46AD">
            <w:r>
              <w:rPr>
                <w:color w:val="101828"/>
                <w:sz w:val="17"/>
              </w:rPr>
              <w:t>Minor renovations</w:t>
            </w:r>
          </w:p>
        </w:tc>
        <w:tc>
          <w:tcPr>
            <w:tcW w:w="2592" w:type="dxa"/>
            <w:tcBorders>
              <w:top w:val="single" w:sz="4" w:space="0" w:color="D0D5DD"/>
              <w:left w:val="single" w:sz="4" w:space="0" w:color="D0D5DD"/>
              <w:bottom w:val="single" w:sz="4" w:space="0" w:color="D0D5DD"/>
              <w:right w:val="single" w:sz="4" w:space="0" w:color="D0D5DD"/>
            </w:tcBorders>
            <w:shd w:val="clear" w:color="auto" w:fill="FFFFFF"/>
            <w:tcMar>
              <w:top w:w="110" w:type="dxa"/>
              <w:left w:w="110" w:type="dxa"/>
              <w:bottom w:w="110" w:type="dxa"/>
              <w:right w:w="110" w:type="dxa"/>
            </w:tcMar>
          </w:tcPr>
          <w:p w14:paraId="16DE86B2" w14:textId="77777777" w:rsidR="00C60AD3" w:rsidRDefault="00CC46AD">
            <w:r>
              <w:rPr>
                <w:color w:val="101828"/>
                <w:sz w:val="17"/>
              </w:rPr>
              <w:t>Ordinary resolution, or strata committee approval if delegated by by-law</w:t>
            </w:r>
          </w:p>
        </w:tc>
        <w:tc>
          <w:tcPr>
            <w:tcW w:w="2592" w:type="dxa"/>
            <w:tcBorders>
              <w:top w:val="single" w:sz="4" w:space="0" w:color="D0D5DD"/>
              <w:left w:val="single" w:sz="4" w:space="0" w:color="D0D5DD"/>
              <w:bottom w:val="single" w:sz="4" w:space="0" w:color="D0D5DD"/>
              <w:right w:val="single" w:sz="4" w:space="0" w:color="D0D5DD"/>
            </w:tcBorders>
            <w:shd w:val="clear" w:color="auto" w:fill="FFFFFF"/>
            <w:tcMar>
              <w:top w:w="110" w:type="dxa"/>
              <w:left w:w="110" w:type="dxa"/>
              <w:bottom w:w="110" w:type="dxa"/>
              <w:right w:w="110" w:type="dxa"/>
            </w:tcMar>
          </w:tcPr>
          <w:p w14:paraId="71E20EBD" w14:textId="77777777" w:rsidR="00C60AD3" w:rsidRDefault="00CC46AD">
            <w:r>
              <w:rPr>
                <w:color w:val="101828"/>
                <w:sz w:val="17"/>
              </w:rPr>
              <w:t>Kitchen renovation, hard flooring, recessed lights, cabling, split system air conditioning</w:t>
            </w:r>
          </w:p>
        </w:tc>
        <w:tc>
          <w:tcPr>
            <w:tcW w:w="2592" w:type="dxa"/>
            <w:tcBorders>
              <w:top w:val="single" w:sz="4" w:space="0" w:color="D0D5DD"/>
              <w:left w:val="single" w:sz="4" w:space="0" w:color="D0D5DD"/>
              <w:bottom w:val="single" w:sz="4" w:space="0" w:color="D0D5DD"/>
              <w:right w:val="single" w:sz="4" w:space="0" w:color="D0D5DD"/>
            </w:tcBorders>
            <w:shd w:val="clear" w:color="auto" w:fill="FFFFFF"/>
            <w:tcMar>
              <w:top w:w="110" w:type="dxa"/>
              <w:left w:w="110" w:type="dxa"/>
              <w:bottom w:w="110" w:type="dxa"/>
              <w:right w:w="110" w:type="dxa"/>
            </w:tcMar>
          </w:tcPr>
          <w:p w14:paraId="085C4BB8" w14:textId="77777777" w:rsidR="00C60AD3" w:rsidRDefault="00CC46AD">
            <w:r>
              <w:rPr>
                <w:color w:val="101828"/>
                <w:sz w:val="17"/>
              </w:rPr>
              <w:t>Approval cannot be unreasonably withheld. Owners should provide written details before works begin.</w:t>
            </w:r>
          </w:p>
        </w:tc>
      </w:tr>
      <w:tr w:rsidR="00C60AD3" w14:paraId="33225F8F" w14:textId="77777777">
        <w:trPr>
          <w:jc w:val="center"/>
        </w:trPr>
        <w:tc>
          <w:tcPr>
            <w:tcW w:w="2592" w:type="dxa"/>
            <w:tcBorders>
              <w:top w:val="single" w:sz="4" w:space="0" w:color="D0D5DD"/>
              <w:left w:val="single" w:sz="4" w:space="0" w:color="D0D5DD"/>
              <w:bottom w:val="single" w:sz="4" w:space="0" w:color="D0D5DD"/>
              <w:right w:val="single" w:sz="4" w:space="0" w:color="D0D5DD"/>
            </w:tcBorders>
            <w:shd w:val="clear" w:color="auto" w:fill="FFFFFF"/>
            <w:tcMar>
              <w:top w:w="110" w:type="dxa"/>
              <w:left w:w="110" w:type="dxa"/>
              <w:bottom w:w="110" w:type="dxa"/>
              <w:right w:w="110" w:type="dxa"/>
            </w:tcMar>
          </w:tcPr>
          <w:p w14:paraId="1CB7E3AB" w14:textId="77777777" w:rsidR="00C60AD3" w:rsidRDefault="00CC46AD">
            <w:r>
              <w:rPr>
                <w:color w:val="101828"/>
                <w:sz w:val="17"/>
              </w:rPr>
              <w:t>Major works</w:t>
            </w:r>
          </w:p>
        </w:tc>
        <w:tc>
          <w:tcPr>
            <w:tcW w:w="2592" w:type="dxa"/>
            <w:tcBorders>
              <w:top w:val="single" w:sz="4" w:space="0" w:color="D0D5DD"/>
              <w:left w:val="single" w:sz="4" w:space="0" w:color="D0D5DD"/>
              <w:bottom w:val="single" w:sz="4" w:space="0" w:color="D0D5DD"/>
              <w:right w:val="single" w:sz="4" w:space="0" w:color="D0D5DD"/>
            </w:tcBorders>
            <w:shd w:val="clear" w:color="auto" w:fill="FFFFFF"/>
            <w:tcMar>
              <w:top w:w="110" w:type="dxa"/>
              <w:left w:w="110" w:type="dxa"/>
              <w:bottom w:w="110" w:type="dxa"/>
              <w:right w:w="110" w:type="dxa"/>
            </w:tcMar>
          </w:tcPr>
          <w:p w14:paraId="55A5E4D2" w14:textId="77777777" w:rsidR="00C60AD3" w:rsidRDefault="00CC46AD">
            <w:r>
              <w:rPr>
                <w:color w:val="101828"/>
                <w:sz w:val="17"/>
              </w:rPr>
              <w:t>Special resolution and often a renovation by-law</w:t>
            </w:r>
          </w:p>
        </w:tc>
        <w:tc>
          <w:tcPr>
            <w:tcW w:w="2592" w:type="dxa"/>
            <w:tcBorders>
              <w:top w:val="single" w:sz="4" w:space="0" w:color="D0D5DD"/>
              <w:left w:val="single" w:sz="4" w:space="0" w:color="D0D5DD"/>
              <w:bottom w:val="single" w:sz="4" w:space="0" w:color="D0D5DD"/>
              <w:right w:val="single" w:sz="4" w:space="0" w:color="D0D5DD"/>
            </w:tcBorders>
            <w:shd w:val="clear" w:color="auto" w:fill="FFFFFF"/>
            <w:tcMar>
              <w:top w:w="110" w:type="dxa"/>
              <w:left w:w="110" w:type="dxa"/>
              <w:bottom w:w="110" w:type="dxa"/>
              <w:right w:w="110" w:type="dxa"/>
            </w:tcMar>
          </w:tcPr>
          <w:p w14:paraId="584833FD" w14:textId="77777777" w:rsidR="00C60AD3" w:rsidRDefault="00CC46AD">
            <w:r>
              <w:rPr>
                <w:color w:val="101828"/>
                <w:sz w:val="17"/>
              </w:rPr>
              <w:t>Structural work, waterproofing, external appearance changes, works affecting common property services</w:t>
            </w:r>
          </w:p>
        </w:tc>
        <w:tc>
          <w:tcPr>
            <w:tcW w:w="2592" w:type="dxa"/>
            <w:tcBorders>
              <w:top w:val="single" w:sz="4" w:space="0" w:color="D0D5DD"/>
              <w:left w:val="single" w:sz="4" w:space="0" w:color="D0D5DD"/>
              <w:bottom w:val="single" w:sz="4" w:space="0" w:color="D0D5DD"/>
              <w:right w:val="single" w:sz="4" w:space="0" w:color="D0D5DD"/>
            </w:tcBorders>
            <w:shd w:val="clear" w:color="auto" w:fill="FFFFFF"/>
            <w:tcMar>
              <w:top w:w="110" w:type="dxa"/>
              <w:left w:w="110" w:type="dxa"/>
              <w:bottom w:w="110" w:type="dxa"/>
              <w:right w:w="110" w:type="dxa"/>
            </w:tcMar>
          </w:tcPr>
          <w:p w14:paraId="64FF59BC" w14:textId="77777777" w:rsidR="00C60AD3" w:rsidRDefault="00CC46AD">
            <w:r>
              <w:rPr>
                <w:color w:val="101828"/>
                <w:sz w:val="17"/>
              </w:rPr>
              <w:t>Do not start until approvals, by-laws and registrations are complete where required.</w:t>
            </w:r>
          </w:p>
        </w:tc>
      </w:tr>
    </w:tbl>
    <w:p w14:paraId="48B8B7C2" w14:textId="77777777" w:rsidR="00C60AD3" w:rsidRDefault="00C60AD3"/>
    <w:p w14:paraId="716E59E7" w14:textId="77777777" w:rsidR="00C60AD3" w:rsidRDefault="00CC46AD">
      <w:pPr>
        <w:spacing w:after="80"/>
      </w:pPr>
      <w:r>
        <w:rPr>
          <w:b/>
          <w:color w:val="071A33"/>
          <w:sz w:val="30"/>
        </w:rPr>
        <w:t>Key references</w:t>
      </w:r>
    </w:p>
    <w:p w14:paraId="317BD740" w14:textId="77777777" w:rsidR="00C60AD3" w:rsidRDefault="00CC46AD">
      <w:pPr>
        <w:spacing w:after="60"/>
        <w:ind w:left="216" w:hanging="216"/>
      </w:pPr>
      <w:r>
        <w:rPr>
          <w:color w:val="A6532E"/>
          <w:sz w:val="18"/>
        </w:rPr>
        <w:t xml:space="preserve">• </w:t>
      </w:r>
      <w:r>
        <w:rPr>
          <w:color w:val="101828"/>
          <w:sz w:val="18"/>
        </w:rPr>
        <w:t>Strata Schemes Management Act 2015 (NSW): sections 108, 109, 110, 132B, 143, 146, 147 and 232 are commonly relevant to renovation approvals, by-laws and enforcement.</w:t>
      </w:r>
    </w:p>
    <w:p w14:paraId="76FD6E1D" w14:textId="77777777" w:rsidR="00C60AD3" w:rsidRDefault="00CC46AD">
      <w:pPr>
        <w:spacing w:after="60"/>
        <w:ind w:left="216" w:hanging="216"/>
      </w:pPr>
      <w:r>
        <w:rPr>
          <w:color w:val="A6532E"/>
          <w:sz w:val="18"/>
        </w:rPr>
        <w:t xml:space="preserve">• </w:t>
      </w:r>
      <w:r>
        <w:rPr>
          <w:color w:val="101828"/>
          <w:sz w:val="18"/>
        </w:rPr>
        <w:t>Strata Schemes Management Regulation 2016 (NSW): clause 28 prescribes additional minor renovations, including certain air conditioning, glazing, heat pump and insulation works.</w:t>
      </w:r>
    </w:p>
    <w:p w14:paraId="737653C1" w14:textId="77777777" w:rsidR="00C60AD3" w:rsidRDefault="00CC46AD">
      <w:pPr>
        <w:spacing w:after="60"/>
        <w:ind w:left="216" w:hanging="216"/>
      </w:pPr>
      <w:r>
        <w:rPr>
          <w:color w:val="A6532E"/>
          <w:sz w:val="18"/>
        </w:rPr>
        <w:t xml:space="preserve">• </w:t>
      </w:r>
      <w:r>
        <w:rPr>
          <w:color w:val="101828"/>
          <w:sz w:val="18"/>
        </w:rPr>
        <w:t>Netstrata request forms: owners can submit renovation and related requests at https://netstrata.com.au/request-forms/.</w:t>
      </w:r>
    </w:p>
    <w:p w14:paraId="1D7811D2" w14:textId="77777777" w:rsidR="00C60AD3" w:rsidRDefault="00C60AD3"/>
    <w:p w14:paraId="22505EC3" w14:textId="77777777" w:rsidR="00C60AD3" w:rsidRDefault="00CC46AD">
      <w:pPr>
        <w:spacing w:after="80"/>
      </w:pPr>
      <w:r>
        <w:rPr>
          <w:b/>
          <w:color w:val="071A33"/>
          <w:sz w:val="34"/>
        </w:rPr>
        <w:t>Questions and answers</w:t>
      </w:r>
    </w:p>
    <w:p w14:paraId="00501E88" w14:textId="77777777" w:rsidR="00C60AD3" w:rsidRDefault="00CC46AD">
      <w:pPr>
        <w:spacing w:after="160"/>
      </w:pPr>
      <w:r>
        <w:rPr>
          <w:color w:val="667085"/>
          <w:sz w:val="18"/>
        </w:rPr>
        <w:t>27 questions are included after removing the requested entries. Questions have been renumbered sequentially for ease of reading.</w:t>
      </w:r>
    </w:p>
    <w:tbl>
      <w:tblPr>
        <w:tblW w:w="0" w:type="auto"/>
        <w:jc w:val="center"/>
        <w:tblLook w:val="04A0" w:firstRow="1" w:lastRow="0" w:firstColumn="1" w:lastColumn="0" w:noHBand="0" w:noVBand="1"/>
      </w:tblPr>
      <w:tblGrid>
        <w:gridCol w:w="10352"/>
      </w:tblGrid>
      <w:tr w:rsidR="00C60AD3" w14:paraId="287D27A7"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1CB00A05" w14:textId="77777777" w:rsidR="00C60AD3" w:rsidRDefault="00CC46AD">
            <w:r>
              <w:t>Question 1: Do we need approval for replacing carpet with floating floor.</w:t>
            </w:r>
          </w:p>
        </w:tc>
      </w:tr>
      <w:tr w:rsidR="00C60AD3" w14:paraId="5E42E224"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6466FE9E" w14:textId="77777777" w:rsidR="00C60AD3" w:rsidRDefault="00CC46AD">
            <w:pPr>
              <w:spacing w:after="40"/>
            </w:pPr>
            <w:r>
              <w:rPr>
                <w:b/>
                <w:color w:val="A6532E"/>
                <w:sz w:val="19"/>
              </w:rPr>
              <w:t xml:space="preserve">Answer: </w:t>
            </w:r>
            <w:r>
              <w:rPr>
                <w:color w:val="101828"/>
                <w:sz w:val="19"/>
              </w:rPr>
              <w:t>Yes. Replacing carpet with floating or hard flooring is generally a minor renovation under section 110 of the Strata Schemes Management Act 2015, unless the work is excluded because it changes external appearance, affects waterproofing/structure, requires another statutory approval, or is dealt with by a registered by-law. Check the scheme's flooring by-law first. Most schemes will require an application with the flooring specifications, acoustic underlay details, installation areas and contractor details.</w:t>
            </w:r>
          </w:p>
        </w:tc>
      </w:tr>
    </w:tbl>
    <w:p w14:paraId="46EA6AC0"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7B454E5C"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2A0E2244" w14:textId="77777777" w:rsidR="00C60AD3" w:rsidRDefault="00CC46AD">
            <w:r>
              <w:t>Question 2: If need to change toilet basin, fall under minor or major?</w:t>
            </w:r>
          </w:p>
        </w:tc>
      </w:tr>
      <w:tr w:rsidR="00C60AD3" w14:paraId="13D5AD87"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2CDC2073" w14:textId="77777777" w:rsidR="00C60AD3" w:rsidRDefault="00CC46AD">
            <w:pPr>
              <w:spacing w:after="40"/>
            </w:pPr>
            <w:r>
              <w:rPr>
                <w:b/>
                <w:color w:val="A6532E"/>
                <w:sz w:val="19"/>
              </w:rPr>
              <w:t xml:space="preserve">Answer: </w:t>
            </w:r>
            <w:r>
              <w:rPr>
                <w:color w:val="101828"/>
                <w:sz w:val="19"/>
              </w:rPr>
              <w:t>Changing a toilet basin may be a repair or minor renovation if it is like-for-like and does not disturb waterproofing, plumbing penetrations, common property or tiles. It may become major work if it involves waterproofing, relocation of plumbing, floor wastes, penetrations through common property or broader bathroom works. The safest approach is to submit the proposed scope and ask the strata manager to confirm the approval pathway.</w:t>
            </w:r>
          </w:p>
        </w:tc>
      </w:tr>
    </w:tbl>
    <w:p w14:paraId="076ECE0B"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644561C9"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40E31FBD" w14:textId="77777777" w:rsidR="00C60AD3" w:rsidRDefault="00CC46AD">
            <w:r>
              <w:t>Question 3: Does installation also cover replacement, say in the case of air con?</w:t>
            </w:r>
          </w:p>
        </w:tc>
      </w:tr>
      <w:tr w:rsidR="00C60AD3" w14:paraId="2FD4E662"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54C54AD6" w14:textId="77777777" w:rsidR="00C60AD3" w:rsidRDefault="00CC46AD">
            <w:pPr>
              <w:spacing w:after="40"/>
            </w:pPr>
            <w:r>
              <w:rPr>
                <w:b/>
                <w:color w:val="A6532E"/>
                <w:sz w:val="19"/>
              </w:rPr>
              <w:t xml:space="preserve">Answer: </w:t>
            </w:r>
            <w:r>
              <w:rPr>
                <w:color w:val="101828"/>
                <w:sz w:val="19"/>
              </w:rPr>
              <w:t>Yes. In this context, installation usually includes replacing, relocating or modifying an item if the work affects common property, services, the facade, drainage, penetrations or building appearance. Replacing an air conditioning unit on a like-for-like basis may still need approval if the condenser, pipework, drainage or penetrations involve common property or external walls.</w:t>
            </w:r>
          </w:p>
        </w:tc>
      </w:tr>
    </w:tbl>
    <w:p w14:paraId="159713FF"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376C5AA0"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5FE6E1AC" w14:textId="77777777" w:rsidR="00C60AD3" w:rsidRDefault="00CC46AD">
            <w:r>
              <w:t>Question 4: Can the SC ask to have work that has changed the external appearance of a building that has not had permission to be removed.</w:t>
            </w:r>
          </w:p>
        </w:tc>
      </w:tr>
      <w:tr w:rsidR="00C60AD3" w14:paraId="18D635FB"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52DD8F7B" w14:textId="77777777" w:rsidR="00C60AD3" w:rsidRDefault="00CC46AD">
            <w:pPr>
              <w:spacing w:after="40"/>
            </w:pPr>
            <w:r>
              <w:rPr>
                <w:b/>
                <w:color w:val="A6532E"/>
                <w:sz w:val="19"/>
              </w:rPr>
              <w:t xml:space="preserve">Answer: </w:t>
            </w:r>
            <w:r>
              <w:rPr>
                <w:color w:val="101828"/>
                <w:sz w:val="19"/>
              </w:rPr>
              <w:t>Yes. If work has changed the external appearance of the building without approval, the strata committee can ask for the matter to be investigated and can recommend action. The owners corporation may request information, issue a by-law breach process where applicable, seek mediation, or apply to NCAT for orders requiring removal, rectification or compliance. The committee itself should act within its delegated authority and the owners corporation should obtain advice before escalating.</w:t>
            </w:r>
          </w:p>
        </w:tc>
      </w:tr>
    </w:tbl>
    <w:p w14:paraId="6CE19EEB"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143FE64A"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269A9B2D" w14:textId="77777777" w:rsidR="00C60AD3" w:rsidRDefault="00CC46AD">
            <w:r>
              <w:t>Question 5: If an owner has ducted air conditioning that is no longer working and the owner wants to replace it with a new ducted air conditioning system, does that person have to seek approval?</w:t>
            </w:r>
          </w:p>
        </w:tc>
      </w:tr>
      <w:tr w:rsidR="00C60AD3" w14:paraId="2B328AE0"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72726FA9" w14:textId="77777777" w:rsidR="00C60AD3" w:rsidRDefault="00CC46AD">
            <w:pPr>
              <w:spacing w:after="40"/>
            </w:pPr>
            <w:r>
              <w:rPr>
                <w:b/>
                <w:color w:val="A6532E"/>
                <w:sz w:val="19"/>
              </w:rPr>
              <w:t xml:space="preserve">Answer: </w:t>
            </w:r>
            <w:r>
              <w:rPr>
                <w:color w:val="101828"/>
                <w:sz w:val="19"/>
              </w:rPr>
              <w:t>Usually yes. Replacing ducted air conditioning can affect common property ducts, ceilings, condensers, drainage, electrical services, roof space, facade penetrations or fire/acoustic elements. Even if it is replacing a failed system, the owner should submit the scope, contractor details, plans, drainage method and compliance information before work starts.</w:t>
            </w:r>
          </w:p>
        </w:tc>
      </w:tr>
    </w:tbl>
    <w:p w14:paraId="4D067D2E"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66678374"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0CFD2455" w14:textId="77777777" w:rsidR="00C60AD3" w:rsidRDefault="00CC46AD">
            <w:r>
              <w:t>Question 6: Replace gas stove with electric stove : need approval?</w:t>
            </w:r>
          </w:p>
        </w:tc>
      </w:tr>
      <w:tr w:rsidR="00C60AD3" w14:paraId="056AB0A4"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2C2AEA49" w14:textId="77777777" w:rsidR="00C60AD3" w:rsidRDefault="00CC46AD">
            <w:pPr>
              <w:spacing w:after="40"/>
            </w:pPr>
            <w:r>
              <w:rPr>
                <w:b/>
                <w:color w:val="A6532E"/>
                <w:sz w:val="19"/>
              </w:rPr>
              <w:t xml:space="preserve">Answer: </w:t>
            </w:r>
            <w:r>
              <w:rPr>
                <w:color w:val="101828"/>
                <w:sz w:val="19"/>
              </w:rPr>
              <w:t>Replacing a gas stove with an electric stove may need approval if it involves electrical upgrades, gas disconnection, changes to common services, ventilation or kitchen cabinetry. A simple appliance swap within the lot may be straightforward, but if new wiring, switchboard upgrades, gas capping or common property services are affected, the owner should seek approval and use licensed trades.</w:t>
            </w:r>
          </w:p>
        </w:tc>
      </w:tr>
    </w:tbl>
    <w:p w14:paraId="690726F1"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5C732E5F"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526DE190" w14:textId="77777777" w:rsidR="00C60AD3" w:rsidRDefault="00CC46AD">
            <w:r>
              <w:t>Question 7: If I’m living on the level 3 and there are no residential lots under me but rather the residential parking, do I still need to get permission from the strata committee before I pull out the existing carpet and replace with engineered timber floor boards?</w:t>
            </w:r>
          </w:p>
        </w:tc>
      </w:tr>
      <w:tr w:rsidR="00C60AD3" w14:paraId="6E0A02CA"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49C6E347" w14:textId="77777777" w:rsidR="00C60AD3" w:rsidRDefault="00CC46AD">
            <w:pPr>
              <w:spacing w:after="40"/>
            </w:pPr>
            <w:r>
              <w:rPr>
                <w:b/>
                <w:color w:val="A6532E"/>
                <w:sz w:val="19"/>
              </w:rPr>
              <w:t xml:space="preserve">Answer: </w:t>
            </w:r>
            <w:r>
              <w:rPr>
                <w:color w:val="101828"/>
                <w:sz w:val="19"/>
              </w:rPr>
              <w:t>Yes, approval is still usually needed. The fact that parking or garages are below rather than another residential lot does not remove the approval requirement for replacing carpet with engineered timber or other hard flooring. The by-laws and section 110 pathway still apply, and the owners corporation may still require acoustic details because noise can transmit through the structure.</w:t>
            </w:r>
          </w:p>
        </w:tc>
      </w:tr>
    </w:tbl>
    <w:p w14:paraId="111A0416"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6C5DA8F5"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2E1B677B" w14:textId="77777777" w:rsidR="00C60AD3" w:rsidRDefault="00CC46AD">
            <w:r>
              <w:t>Question 8: What recourse does the committee/strata have if approval for a major/minor modification was subject to providing Engineering sign off post the works, but this was not been received.</w:t>
            </w:r>
          </w:p>
        </w:tc>
      </w:tr>
      <w:tr w:rsidR="00C60AD3" w14:paraId="6B221C93"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60279F96" w14:textId="77777777" w:rsidR="00C60AD3" w:rsidRDefault="00CC46AD">
            <w:pPr>
              <w:spacing w:after="40"/>
            </w:pPr>
            <w:r>
              <w:rPr>
                <w:b/>
                <w:color w:val="A6532E"/>
                <w:sz w:val="19"/>
              </w:rPr>
              <w:t xml:space="preserve">Answer: </w:t>
            </w:r>
            <w:r>
              <w:rPr>
                <w:color w:val="101828"/>
                <w:sz w:val="19"/>
              </w:rPr>
              <w:t>If approval was conditional on engineering sign-off and it has not been provided, the owners corporation should formally request the outstanding certificate and set a reasonable deadline. If the owner still does not comply, the matter may be treated as a breach of the approval conditions or by-law. Depending on the risk, the owners corporation may seek consultant advice, restrict further works, issue breach correspondence, seek mediation or apply to NCAT for orders.</w:t>
            </w:r>
          </w:p>
        </w:tc>
      </w:tr>
    </w:tbl>
    <w:p w14:paraId="16AF2080"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2DFF0675"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577E93F5" w14:textId="77777777" w:rsidR="00C60AD3" w:rsidRDefault="00CC46AD">
            <w:r>
              <w:t>Question 9: What about fitting under sink water filters that require a separate tap on the bench top?</w:t>
            </w:r>
          </w:p>
        </w:tc>
      </w:tr>
      <w:tr w:rsidR="00C60AD3" w14:paraId="51CA4625"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2BA771EC" w14:textId="77777777" w:rsidR="00C60AD3" w:rsidRDefault="00CC46AD">
            <w:pPr>
              <w:spacing w:after="40"/>
            </w:pPr>
            <w:r>
              <w:rPr>
                <w:b/>
                <w:color w:val="A6532E"/>
                <w:sz w:val="19"/>
              </w:rPr>
              <w:t xml:space="preserve">Answer: </w:t>
            </w:r>
            <w:r>
              <w:rPr>
                <w:color w:val="101828"/>
                <w:sz w:val="19"/>
              </w:rPr>
              <w:t>An under-sink water filter with a separate tap may be low risk if it is wholly within the lot and only connects to lot plumbing. Approval may be needed if it penetrates common property, alters a shared plumbing service, changes the benchtop in a way controlled by a by-law, or creates leak risk. The owner should use a licensed plumber where required and keep product and installation records.</w:t>
            </w:r>
          </w:p>
        </w:tc>
      </w:tr>
    </w:tbl>
    <w:p w14:paraId="57F1EA5B"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231EFEBB"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76B89AFE" w14:textId="77777777" w:rsidR="00C60AD3" w:rsidRDefault="00CC46AD">
            <w:r>
              <w:t>Question 10: changing kitchen cabinets and worktops are cosmetic?</w:t>
            </w:r>
          </w:p>
        </w:tc>
      </w:tr>
      <w:tr w:rsidR="00C60AD3" w14:paraId="7F49C1FF"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771F1A88" w14:textId="77777777" w:rsidR="00C60AD3" w:rsidRDefault="00CC46AD">
            <w:pPr>
              <w:spacing w:after="40"/>
            </w:pPr>
            <w:r>
              <w:rPr>
                <w:b/>
                <w:color w:val="A6532E"/>
                <w:sz w:val="19"/>
              </w:rPr>
              <w:t xml:space="preserve">Answer: </w:t>
            </w:r>
            <w:r>
              <w:rPr>
                <w:color w:val="101828"/>
                <w:sz w:val="19"/>
              </w:rPr>
              <w:t>Changing kitchen cabinets and worktops may be cosmetic if it is a simple replacement wholly within the lot and does not affect plumbing, waterproofing, gas, electrical services, exhaust ducting, structural elements or common property. It becomes a minor renovation or major work if those items are affected. Kitchen works should be assessed on the actual scope, not just the label 'kitchen cabinets'.</w:t>
            </w:r>
          </w:p>
        </w:tc>
      </w:tr>
    </w:tbl>
    <w:p w14:paraId="4BA457BC"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32797DDE"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7AC6AA20" w14:textId="77777777" w:rsidR="00C60AD3" w:rsidRDefault="00CC46AD">
            <w:r>
              <w:t>Question 11: Are repairs considered renovations? e.g., replacing worn out ceiling lights not downlights) or replacing a tap in the bathroom.</w:t>
            </w:r>
          </w:p>
        </w:tc>
      </w:tr>
      <w:tr w:rsidR="00C60AD3" w14:paraId="6996115B"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79DE8B61" w14:textId="77777777" w:rsidR="00C60AD3" w:rsidRDefault="00CC46AD">
            <w:pPr>
              <w:spacing w:after="40"/>
            </w:pPr>
            <w:r>
              <w:rPr>
                <w:b/>
                <w:color w:val="A6532E"/>
                <w:sz w:val="19"/>
              </w:rPr>
              <w:t xml:space="preserve">Answer: </w:t>
            </w:r>
            <w:r>
              <w:rPr>
                <w:color w:val="101828"/>
                <w:sz w:val="19"/>
              </w:rPr>
              <w:t>Repairs are not always renovations. Like-for-like repair or replacement of an owner-owned item may not need strata approval. However, repairs can still require approval if they affect common property, services, waterproofing, structure, fire safety, external appearance or by-laws. Replacing standard ceiling lights may be simple; changing recessed downlights or wiring may be a minor renovation.</w:t>
            </w:r>
          </w:p>
        </w:tc>
      </w:tr>
    </w:tbl>
    <w:p w14:paraId="3D24B97C"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42DCC9B8"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44EC9354" w14:textId="77777777" w:rsidR="00C60AD3" w:rsidRDefault="00CC46AD">
            <w:r>
              <w:t>Question 12: What about things like shower screens, that don't impact tiles/waterproofing? Just a like for like screen which is currently siliconed to the tiles?</w:t>
            </w:r>
          </w:p>
        </w:tc>
      </w:tr>
      <w:tr w:rsidR="00C60AD3" w14:paraId="6E0D8A38"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2B336745" w14:textId="77777777" w:rsidR="00C60AD3" w:rsidRDefault="00CC46AD">
            <w:pPr>
              <w:spacing w:after="40"/>
            </w:pPr>
            <w:r>
              <w:rPr>
                <w:b/>
                <w:color w:val="A6532E"/>
                <w:sz w:val="19"/>
              </w:rPr>
              <w:t xml:space="preserve">Answer: </w:t>
            </w:r>
            <w:r>
              <w:rPr>
                <w:color w:val="101828"/>
                <w:sz w:val="19"/>
              </w:rPr>
              <w:t>A like-for-like shower screen replacement that does not affect tiles, waterproofing, plumbing or common property may be treated as a repair or low-risk work. However, because bathrooms involve waterproofing risk, owners should still notify the strata manager if there is drilling into tiles, penetrations or any chance of membrane impact. Use a suitably qualified installer and keep records.</w:t>
            </w:r>
          </w:p>
        </w:tc>
      </w:tr>
    </w:tbl>
    <w:p w14:paraId="187C837A"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74225704"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7BCC9FFB" w14:textId="77777777" w:rsidR="00C60AD3" w:rsidRDefault="00CC46AD">
            <w:r>
              <w:t>Question 13: Re grouting bathroom and replace shower screen is considered minor or major? Thank you</w:t>
            </w:r>
          </w:p>
        </w:tc>
      </w:tr>
      <w:tr w:rsidR="00C60AD3" w14:paraId="667C5D16"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647137F3" w14:textId="77777777" w:rsidR="00C60AD3" w:rsidRDefault="00CC46AD">
            <w:pPr>
              <w:spacing w:after="40"/>
            </w:pPr>
            <w:r>
              <w:rPr>
                <w:b/>
                <w:color w:val="A6532E"/>
                <w:sz w:val="19"/>
              </w:rPr>
              <w:t xml:space="preserve">Answer: </w:t>
            </w:r>
            <w:r>
              <w:rPr>
                <w:color w:val="101828"/>
                <w:sz w:val="19"/>
              </w:rPr>
              <w:t>Re-grouting and replacing a shower screen may be low risk if it is maintenance only and does not disturb waterproofing. It may become major work if tiles are removed, the membrane is affected, plumbing is changed, floor wastes are altered or leaks are being rectified. Bathroom works should be checked carefully because waterproofing is a common property and insurance risk.</w:t>
            </w:r>
          </w:p>
        </w:tc>
      </w:tr>
    </w:tbl>
    <w:p w14:paraId="4C0BFFD7"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7CE1384A"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0362B5B3" w14:textId="77777777" w:rsidR="00C60AD3" w:rsidRDefault="00CC46AD">
            <w:r>
              <w:t>Question 14: do you need approval for shelving/cupboards attached to walls</w:t>
            </w:r>
          </w:p>
        </w:tc>
      </w:tr>
      <w:tr w:rsidR="00C60AD3" w14:paraId="20E8F66E"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67396BC9" w14:textId="77777777" w:rsidR="00C60AD3" w:rsidRDefault="00CC46AD">
            <w:pPr>
              <w:spacing w:after="40"/>
            </w:pPr>
            <w:r>
              <w:rPr>
                <w:b/>
                <w:color w:val="A6532E"/>
                <w:sz w:val="19"/>
              </w:rPr>
              <w:t xml:space="preserve">Answer: </w:t>
            </w:r>
            <w:r>
              <w:rPr>
                <w:color w:val="101828"/>
                <w:sz w:val="19"/>
              </w:rPr>
              <w:t>Shelving or cupboards attached to walls may be cosmetic if they only use minor fixings in internal lot walls. Approval may be needed if the wall is common property, the installation is heavy, penetrates services, affects fire/acoustic walls or changes common property. Owners should check what the wall is before drilling. Stud finders are good. Strata plans are better.</w:t>
            </w:r>
          </w:p>
        </w:tc>
      </w:tr>
    </w:tbl>
    <w:p w14:paraId="2442AFD5"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5F5125A0"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2D603800" w14:textId="77777777" w:rsidR="00C60AD3" w:rsidRDefault="00CC46AD">
            <w:r>
              <w:t>Question 15: Nails on common wall for fixing furniture?</w:t>
            </w:r>
          </w:p>
        </w:tc>
      </w:tr>
      <w:tr w:rsidR="00C60AD3" w14:paraId="49F3FD81"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471D4BDB" w14:textId="77777777" w:rsidR="00C60AD3" w:rsidRDefault="00CC46AD">
            <w:pPr>
              <w:spacing w:after="40"/>
            </w:pPr>
            <w:r>
              <w:rPr>
                <w:b/>
                <w:color w:val="A6532E"/>
                <w:sz w:val="19"/>
              </w:rPr>
              <w:t xml:space="preserve">Answer: </w:t>
            </w:r>
            <w:r>
              <w:rPr>
                <w:color w:val="101828"/>
                <w:sz w:val="19"/>
              </w:rPr>
              <w:t>Nails or fixings in a common wall can be cosmetic if they are minor hooks, nails or screws for hanging items and do not damage common property or affect services, fire/acoustic performance or waterproofing. Heavy furniture fixing, drilling into fire-rated walls or works causing damage may need approval. Owners remain responsible for repairing any damage caused.</w:t>
            </w:r>
          </w:p>
        </w:tc>
      </w:tr>
    </w:tbl>
    <w:p w14:paraId="30511BC0"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1A26634D"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32A25F14" w14:textId="77777777" w:rsidR="00C60AD3" w:rsidRDefault="00CC46AD">
            <w:r>
              <w:t>Question 16: Install fly screen need approval?</w:t>
            </w:r>
          </w:p>
        </w:tc>
      </w:tr>
      <w:tr w:rsidR="00C60AD3" w14:paraId="497F8294"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4DBC3D11" w14:textId="77777777" w:rsidR="00C60AD3" w:rsidRDefault="00CC46AD">
            <w:pPr>
              <w:spacing w:after="40"/>
            </w:pPr>
            <w:r>
              <w:rPr>
                <w:b/>
                <w:color w:val="A6532E"/>
                <w:sz w:val="19"/>
              </w:rPr>
              <w:t xml:space="preserve">Answer: </w:t>
            </w:r>
            <w:r>
              <w:rPr>
                <w:color w:val="101828"/>
                <w:sz w:val="19"/>
              </w:rPr>
              <w:t>Fly screens may need approval if installed externally, attached to common property or visible from outside. Internal or removable screens may be lower risk. Check the scheme's by-laws for appearance, windows, doors and screens before installation.</w:t>
            </w:r>
          </w:p>
        </w:tc>
      </w:tr>
    </w:tbl>
    <w:p w14:paraId="3BC13398"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5A362505"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7DE52129" w14:textId="77777777" w:rsidR="00C60AD3" w:rsidRDefault="00CC46AD">
            <w:r>
              <w:t>Question 17: If strata manager does not enforce the by-laws, and tries to bypass the by-laws, what could we do.</w:t>
            </w:r>
          </w:p>
        </w:tc>
      </w:tr>
      <w:tr w:rsidR="00C60AD3" w14:paraId="5BE8A8FB"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6A3705DC" w14:textId="77777777" w:rsidR="00C60AD3" w:rsidRDefault="00CC46AD">
            <w:pPr>
              <w:spacing w:after="40"/>
            </w:pPr>
            <w:r>
              <w:rPr>
                <w:b/>
                <w:color w:val="A6532E"/>
                <w:sz w:val="19"/>
              </w:rPr>
              <w:t xml:space="preserve">Answer: </w:t>
            </w:r>
            <w:r>
              <w:rPr>
                <w:color w:val="101828"/>
                <w:sz w:val="19"/>
              </w:rPr>
              <w:t>If the strata manager is not enforcing by-laws, owners can raise the issue with the strata committee, request that it be placed on the agenda, ask for written reasons, or put a motion to a general meeting. Owners may also seek mediation through NSW Fair Trading and, if unresolved, apply to NCAT for appropriate orders. Remember the strata manager acts as agent for the owners corporation and can usually only act within delegated authority.</w:t>
            </w:r>
          </w:p>
        </w:tc>
      </w:tr>
    </w:tbl>
    <w:p w14:paraId="07A779C8"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3D57C23D"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3EF7A3E8" w14:textId="77777777" w:rsidR="00C60AD3" w:rsidRDefault="00CC46AD">
            <w:r>
              <w:t>Question 18: How do you go about getting outside of a strata complex repainted?</w:t>
            </w:r>
          </w:p>
        </w:tc>
      </w:tr>
      <w:tr w:rsidR="00C60AD3" w14:paraId="67F388C4"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6AC37885" w14:textId="77777777" w:rsidR="00C60AD3" w:rsidRDefault="00CC46AD">
            <w:pPr>
              <w:spacing w:after="40"/>
            </w:pPr>
            <w:r>
              <w:rPr>
                <w:b/>
                <w:color w:val="A6532E"/>
                <w:sz w:val="19"/>
              </w:rPr>
              <w:t xml:space="preserve">Answer: </w:t>
            </w:r>
            <w:r>
              <w:rPr>
                <w:color w:val="101828"/>
                <w:sz w:val="19"/>
              </w:rPr>
              <w:t>Repainting the outside of a strata complex is usually common property work. Start by raising it with the strata committee or strata manager, asking whether it is in the capital works plan, and requesting quotes or a building condition review. Funding may need to come from the capital works fund or a special levy, and approval may be required at a general meeting depending on cost, budget and scope.</w:t>
            </w:r>
          </w:p>
        </w:tc>
      </w:tr>
    </w:tbl>
    <w:p w14:paraId="04D2AA1D"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1D972A49"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20D4C506" w14:textId="77777777" w:rsidR="00C60AD3" w:rsidRDefault="00CC46AD">
            <w:r>
              <w:t>Question 19: how do we start adding a pergola to a groundfloor unit where the front courtyard constantly affected by rain since there is no roof/balcony above</w:t>
            </w:r>
          </w:p>
        </w:tc>
      </w:tr>
      <w:tr w:rsidR="00C60AD3" w14:paraId="1FFB0154"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4B3DE159" w14:textId="77777777" w:rsidR="00C60AD3" w:rsidRDefault="00CC46AD">
            <w:pPr>
              <w:spacing w:after="40"/>
            </w:pPr>
            <w:r>
              <w:rPr>
                <w:b/>
                <w:color w:val="A6532E"/>
                <w:sz w:val="19"/>
              </w:rPr>
              <w:t xml:space="preserve">Answer: </w:t>
            </w:r>
            <w:r>
              <w:rPr>
                <w:color w:val="101828"/>
                <w:sz w:val="19"/>
              </w:rPr>
              <w:t>For a pergola to a ground-floor courtyard, start with a written application including plans, dimensions, materials, drainage, fixing method, engineering details if needed, council requirements and photos. Because pergolas usually affect common property or external appearance, approval will often require a special resolution and a by-law assigning ongoing maintenance responsibility to the owner. Council or certifier approval may also be needed.</w:t>
            </w:r>
          </w:p>
        </w:tc>
      </w:tr>
    </w:tbl>
    <w:p w14:paraId="7B6EBFDD"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01D28428"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62C38502" w14:textId="77777777" w:rsidR="00C60AD3" w:rsidRDefault="00CC46AD">
            <w:r>
              <w:t>Question 20: how does the future onus get passed to new owner? via contract of sale?</w:t>
            </w:r>
          </w:p>
        </w:tc>
      </w:tr>
      <w:tr w:rsidR="00C60AD3" w14:paraId="0EBEF85C"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0424B1A0" w14:textId="77777777" w:rsidR="00C60AD3" w:rsidRDefault="00CC46AD">
            <w:pPr>
              <w:spacing w:after="40"/>
            </w:pPr>
            <w:r>
              <w:rPr>
                <w:b/>
                <w:color w:val="A6532E"/>
                <w:sz w:val="19"/>
              </w:rPr>
              <w:t xml:space="preserve">Answer: </w:t>
            </w:r>
            <w:r>
              <w:rPr>
                <w:color w:val="101828"/>
                <w:sz w:val="19"/>
              </w:rPr>
              <w:t>Future responsibility is usually passed to new owners through a registered by-law or common property rights by-law because it binds owners and successors in title. It may also be disclosed in sale contracts through the registered by-laws and strata records. A private agreement alone is generally not enough to bind future owners in the same way.</w:t>
            </w:r>
          </w:p>
        </w:tc>
      </w:tr>
    </w:tbl>
    <w:p w14:paraId="4F4A927D"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665595BE"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7AE2B563" w14:textId="77777777" w:rsidR="00C60AD3" w:rsidRDefault="00CC46AD">
            <w:r>
              <w:t>Question 21: Who is responsible for the costs of getting a new by-law created.?</w:t>
            </w:r>
          </w:p>
        </w:tc>
      </w:tr>
      <w:tr w:rsidR="00C60AD3" w14:paraId="507E20B6"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7C5E80BF" w14:textId="77777777" w:rsidR="00C60AD3" w:rsidRDefault="00CC46AD">
            <w:pPr>
              <w:spacing w:after="40"/>
            </w:pPr>
            <w:r>
              <w:rPr>
                <w:b/>
                <w:color w:val="A6532E"/>
                <w:sz w:val="19"/>
              </w:rPr>
              <w:t xml:space="preserve">Answer: </w:t>
            </w:r>
            <w:r>
              <w:rPr>
                <w:color w:val="101828"/>
                <w:sz w:val="19"/>
              </w:rPr>
              <w:t>Usually the owner requesting the works pays for the renovation by-law, including drafting, legal review, meeting costs if applicable and registration. Some schemes have a by-law or policy saying this expressly. If the works benefit the whole scheme, the owners corporation may choose to pay, but owner-specific works are commonly at the owner's cost.</w:t>
            </w:r>
          </w:p>
        </w:tc>
      </w:tr>
    </w:tbl>
    <w:p w14:paraId="11B9D3BE"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1CCC5860"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20FCC989" w14:textId="77777777" w:rsidR="00C60AD3" w:rsidRDefault="00CC46AD">
            <w:r>
              <w:t>Question 22: What happened to the shower membrane damaged the downstairs kitchen? Does the strata cover the cost of repairs for the kitchen downstairs?</w:t>
            </w:r>
          </w:p>
        </w:tc>
      </w:tr>
      <w:tr w:rsidR="00C60AD3" w14:paraId="1C33B222"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666718EA" w14:textId="77777777" w:rsidR="00C60AD3" w:rsidRDefault="00CC46AD">
            <w:pPr>
              <w:spacing w:after="40"/>
            </w:pPr>
            <w:r>
              <w:rPr>
                <w:b/>
                <w:color w:val="A6532E"/>
                <w:sz w:val="19"/>
              </w:rPr>
              <w:t xml:space="preserve">Answer: </w:t>
            </w:r>
            <w:r>
              <w:rPr>
                <w:color w:val="101828"/>
                <w:sz w:val="19"/>
              </w:rPr>
              <w:t>If a shower membrane failure damages the downstairs kitchen, responsibility depends on the cause. If the waterproofing membrane is common property and failed through age or defect, the owners corporation may be responsible for rectifying common property and damage caused by that failure. If the leak was caused by unauthorised or defective owner renovation works, the owner may be responsible. Insurance may respond, but excesses and recovery rights need to be considered.</w:t>
            </w:r>
          </w:p>
        </w:tc>
      </w:tr>
    </w:tbl>
    <w:p w14:paraId="06459620"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4013DB34"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369CFFF3" w14:textId="77777777" w:rsidR="00C60AD3" w:rsidRDefault="00CC46AD">
            <w:r>
              <w:t>Question 23: What about fitting under sink water filters that require a separate tap on the bench top?</w:t>
            </w:r>
          </w:p>
        </w:tc>
      </w:tr>
      <w:tr w:rsidR="00C60AD3" w14:paraId="5EBC64D0"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54CD3022" w14:textId="77777777" w:rsidR="00C60AD3" w:rsidRDefault="00CC46AD">
            <w:pPr>
              <w:spacing w:after="40"/>
            </w:pPr>
            <w:r>
              <w:rPr>
                <w:b/>
                <w:color w:val="A6532E"/>
                <w:sz w:val="19"/>
              </w:rPr>
              <w:t xml:space="preserve">Answer: </w:t>
            </w:r>
            <w:r>
              <w:rPr>
                <w:color w:val="101828"/>
                <w:sz w:val="19"/>
              </w:rPr>
              <w:t>An under-sink water filter with a separate tap may be low risk if wholly within the lot, but approval may be needed if it affects shared plumbing, penetrates common property or creates leak risk. Use a licensed plumber where required and keep product, installation and warranty records.</w:t>
            </w:r>
          </w:p>
        </w:tc>
      </w:tr>
    </w:tbl>
    <w:p w14:paraId="7C745EF1"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0A6365A8"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176B4C86" w14:textId="77777777" w:rsidR="00C60AD3" w:rsidRDefault="00CC46AD">
            <w:r>
              <w:t>Question 24: Windows and sliding door tinted using tinting film. Is this a minor?</w:t>
            </w:r>
          </w:p>
        </w:tc>
      </w:tr>
      <w:tr w:rsidR="00C60AD3" w14:paraId="7E27FE17"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223FA19E" w14:textId="77777777" w:rsidR="00C60AD3" w:rsidRDefault="00CC46AD">
            <w:pPr>
              <w:spacing w:after="40"/>
            </w:pPr>
            <w:r>
              <w:rPr>
                <w:b/>
                <w:color w:val="A6532E"/>
                <w:sz w:val="19"/>
              </w:rPr>
              <w:t xml:space="preserve">Answer: </w:t>
            </w:r>
            <w:r>
              <w:rPr>
                <w:color w:val="101828"/>
                <w:sz w:val="19"/>
              </w:rPr>
              <w:t>Tinting windows or sliding doors with film may require approval because windows and balcony doors are often common property and tinting can alter the external appearance of the building. It is unlikely to be purely cosmetic if visible externally. Check the by-laws and obtain approval before installation.</w:t>
            </w:r>
          </w:p>
        </w:tc>
      </w:tr>
    </w:tbl>
    <w:p w14:paraId="5F4BB46F"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5C1A482A"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7655FEBB" w14:textId="77777777" w:rsidR="00C60AD3" w:rsidRDefault="00CC46AD">
            <w:r>
              <w:t>Question 25: Who is responsible for an external balcony floor repair/waterproofing?</w:t>
            </w:r>
          </w:p>
        </w:tc>
      </w:tr>
      <w:tr w:rsidR="00C60AD3" w14:paraId="393EFEE4"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774F5363" w14:textId="77777777" w:rsidR="00C60AD3" w:rsidRDefault="00CC46AD">
            <w:pPr>
              <w:spacing w:after="40"/>
            </w:pPr>
            <w:r>
              <w:rPr>
                <w:b/>
                <w:color w:val="A6532E"/>
                <w:sz w:val="19"/>
              </w:rPr>
              <w:t xml:space="preserve">Answer: </w:t>
            </w:r>
            <w:r>
              <w:rPr>
                <w:color w:val="101828"/>
                <w:sz w:val="19"/>
              </w:rPr>
              <w:t>External balcony floor repair and waterproofing is often an owners corporation responsibility if it relates to common property slab, membrane or balcony structure. However, responsibility can shift if a registered by-law makes the lot owner responsible, or if damage was caused by owner works or misuse. The by-laws, strata plan, cause of damage and expert advice should be checked.</w:t>
            </w:r>
          </w:p>
        </w:tc>
      </w:tr>
    </w:tbl>
    <w:p w14:paraId="40C54978"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010ACDE4"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6BA055DC" w14:textId="77777777" w:rsidR="00C60AD3" w:rsidRDefault="00CC46AD">
            <w:r>
              <w:t>Question 26: If I would like to install a charge in carport for charge my car, any progress</w:t>
            </w:r>
          </w:p>
        </w:tc>
      </w:tr>
      <w:tr w:rsidR="00C60AD3" w14:paraId="2B467B46"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168945C6" w14:textId="77777777" w:rsidR="00C60AD3" w:rsidRDefault="00CC46AD">
            <w:pPr>
              <w:spacing w:after="40"/>
            </w:pPr>
            <w:r>
              <w:rPr>
                <w:b/>
                <w:color w:val="A6532E"/>
                <w:sz w:val="19"/>
              </w:rPr>
              <w:t xml:space="preserve">Answer: </w:t>
            </w:r>
            <w:r>
              <w:rPr>
                <w:color w:val="101828"/>
                <w:sz w:val="19"/>
              </w:rPr>
              <w:t>For an EV charger in a car space or carport, start with a written application covering the charger type, electrical capacity, cabling route, metering, fire safety, load management, insurance, contractor licence, ongoing maintenance and who pays for power. It may require a sustainability infrastructure resolution, by-law, special resolution, electrical engineer advice and/or council or building approvals depending on the installation.</w:t>
            </w:r>
          </w:p>
        </w:tc>
      </w:tr>
    </w:tbl>
    <w:p w14:paraId="49F3F034" w14:textId="77777777" w:rsidR="00C60AD3" w:rsidRDefault="00C60AD3">
      <w:pPr>
        <w:spacing w:after="100"/>
      </w:pPr>
    </w:p>
    <w:tbl>
      <w:tblPr>
        <w:tblW w:w="0" w:type="auto"/>
        <w:jc w:val="center"/>
        <w:tblLook w:val="04A0" w:firstRow="1" w:lastRow="0" w:firstColumn="1" w:lastColumn="0" w:noHBand="0" w:noVBand="1"/>
      </w:tblPr>
      <w:tblGrid>
        <w:gridCol w:w="10352"/>
      </w:tblGrid>
      <w:tr w:rsidR="00C60AD3" w14:paraId="39889936" w14:textId="77777777">
        <w:trPr>
          <w:cantSplit/>
          <w:jc w:val="center"/>
        </w:trPr>
        <w:tc>
          <w:tcPr>
            <w:tcW w:w="10368" w:type="dxa"/>
            <w:tcBorders>
              <w:top w:val="single" w:sz="6" w:space="0" w:color="071A33"/>
              <w:left w:val="single" w:sz="6" w:space="0" w:color="071A33"/>
              <w:bottom w:val="single" w:sz="6" w:space="0" w:color="071A33"/>
              <w:right w:val="single" w:sz="6" w:space="0" w:color="071A33"/>
            </w:tcBorders>
            <w:shd w:val="clear" w:color="auto" w:fill="071A33"/>
            <w:tcMar>
              <w:top w:w="100" w:type="dxa"/>
              <w:left w:w="150" w:type="dxa"/>
              <w:bottom w:w="100" w:type="dxa"/>
              <w:right w:w="150" w:type="dxa"/>
            </w:tcMar>
          </w:tcPr>
          <w:p w14:paraId="2E52CCD3" w14:textId="77777777" w:rsidR="00C60AD3" w:rsidRDefault="00CC46AD">
            <w:r>
              <w:t>Question 27: if Strata Committee doesn’t approve the rectification, what owners can do?</w:t>
            </w:r>
          </w:p>
        </w:tc>
      </w:tr>
      <w:tr w:rsidR="00C60AD3" w14:paraId="3B0838EA" w14:textId="77777777">
        <w:trPr>
          <w:cantSplit/>
          <w:jc w:val="center"/>
        </w:trPr>
        <w:tc>
          <w:tcPr>
            <w:tcW w:w="10368"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50" w:type="dxa"/>
              <w:bottom w:w="140" w:type="dxa"/>
              <w:right w:w="150" w:type="dxa"/>
            </w:tcMar>
          </w:tcPr>
          <w:p w14:paraId="486A8F4C" w14:textId="77777777" w:rsidR="00C60AD3" w:rsidRDefault="00CC46AD">
            <w:pPr>
              <w:spacing w:after="40"/>
            </w:pPr>
            <w:r>
              <w:rPr>
                <w:b/>
                <w:color w:val="A6532E"/>
                <w:sz w:val="19"/>
              </w:rPr>
              <w:t xml:space="preserve">Answer: </w:t>
            </w:r>
            <w:r>
              <w:rPr>
                <w:color w:val="101828"/>
                <w:sz w:val="19"/>
              </w:rPr>
              <w:t>If the strata committee does not approve rectification, owners should ask for written reasons and clarification of the approval pathway. The issue may need to go to the owners corporation at a general meeting, especially if it involves common property or major works. If the refusal is unreasonable or the owners corporation is failing to repair common property, the owner may seek mediation and then NCAT orders.</w:t>
            </w:r>
          </w:p>
        </w:tc>
      </w:tr>
    </w:tbl>
    <w:p w14:paraId="457C4ED6" w14:textId="77777777" w:rsidR="00C60AD3" w:rsidRDefault="00C60AD3">
      <w:pPr>
        <w:spacing w:after="100"/>
      </w:pPr>
    </w:p>
    <w:p w14:paraId="4CE93BD0" w14:textId="77777777" w:rsidR="00C60AD3" w:rsidRDefault="00CC46AD">
      <w:pPr>
        <w:spacing w:after="140"/>
      </w:pPr>
      <w:r>
        <w:rPr>
          <w:b/>
          <w:color w:val="071A33"/>
          <w:sz w:val="34"/>
        </w:rPr>
        <w:t>How owners should submit renovation requests</w:t>
      </w:r>
    </w:p>
    <w:p w14:paraId="2AA86CC3" w14:textId="77777777" w:rsidR="00C60AD3" w:rsidRDefault="00CC46AD">
      <w:pPr>
        <w:spacing w:after="120"/>
        <w:ind w:left="461" w:hanging="461"/>
      </w:pPr>
      <w:r>
        <w:rPr>
          <w:b/>
          <w:color w:val="A6532E"/>
        </w:rPr>
        <w:t xml:space="preserve">1. </w:t>
      </w:r>
      <w:r>
        <w:rPr>
          <w:color w:val="101828"/>
        </w:rPr>
        <w:t>Check the registered by-laws and strata plan to understand what is lot property and common property.</w:t>
      </w:r>
    </w:p>
    <w:p w14:paraId="1A613249" w14:textId="77777777" w:rsidR="00C60AD3" w:rsidRDefault="00CC46AD">
      <w:pPr>
        <w:spacing w:after="120"/>
        <w:ind w:left="461" w:hanging="461"/>
      </w:pPr>
      <w:r>
        <w:rPr>
          <w:b/>
          <w:color w:val="A6532E"/>
        </w:rPr>
        <w:t xml:space="preserve">2. </w:t>
      </w:r>
      <w:r>
        <w:rPr>
          <w:color w:val="101828"/>
        </w:rPr>
        <w:t>Prepare a clear scope of works, plans, product specifications, contractor licence and insurance details, and proposed dates.</w:t>
      </w:r>
    </w:p>
    <w:p w14:paraId="1DD2CBE6" w14:textId="77777777" w:rsidR="00C60AD3" w:rsidRDefault="00CC46AD">
      <w:pPr>
        <w:spacing w:after="120"/>
        <w:ind w:left="461" w:hanging="461"/>
      </w:pPr>
      <w:r>
        <w:rPr>
          <w:b/>
          <w:color w:val="A6532E"/>
        </w:rPr>
        <w:t xml:space="preserve">3. </w:t>
      </w:r>
      <w:r>
        <w:rPr>
          <w:color w:val="101828"/>
        </w:rPr>
        <w:t>Include certificates or consultant reports where relevant, such as acoustic, engineering, waterproofing, electrical or fire safety documents.</w:t>
      </w:r>
    </w:p>
    <w:p w14:paraId="3AE504EE" w14:textId="77777777" w:rsidR="00C60AD3" w:rsidRDefault="00CC46AD">
      <w:pPr>
        <w:spacing w:after="120"/>
        <w:ind w:left="461" w:hanging="461"/>
      </w:pPr>
      <w:r>
        <w:rPr>
          <w:b/>
          <w:color w:val="A6532E"/>
        </w:rPr>
        <w:t xml:space="preserve">4. </w:t>
      </w:r>
      <w:r>
        <w:rPr>
          <w:color w:val="101828"/>
        </w:rPr>
        <w:t>Submit the request before booking works or paying non-refundable deposits.</w:t>
      </w:r>
    </w:p>
    <w:p w14:paraId="7EFAF826" w14:textId="77777777" w:rsidR="00C60AD3" w:rsidRDefault="00CC46AD">
      <w:pPr>
        <w:spacing w:after="120"/>
        <w:ind w:left="461" w:hanging="461"/>
      </w:pPr>
      <w:r>
        <w:rPr>
          <w:b/>
          <w:color w:val="A6532E"/>
        </w:rPr>
        <w:t xml:space="preserve">5. </w:t>
      </w:r>
      <w:r>
        <w:rPr>
          <w:color w:val="101828"/>
        </w:rPr>
        <w:t>Wait for written approval and follow all approval conditions, including work hours, common property protection and completion certificates.</w:t>
      </w:r>
    </w:p>
    <w:tbl>
      <w:tblPr>
        <w:tblW w:w="0" w:type="auto"/>
        <w:jc w:val="center"/>
        <w:tblLook w:val="04A0" w:firstRow="1" w:lastRow="0" w:firstColumn="1" w:lastColumn="0" w:noHBand="0" w:noVBand="1"/>
      </w:tblPr>
      <w:tblGrid>
        <w:gridCol w:w="10348"/>
      </w:tblGrid>
      <w:tr w:rsidR="00C60AD3" w14:paraId="3818868D" w14:textId="77777777">
        <w:trPr>
          <w:jc w:val="center"/>
        </w:trPr>
        <w:tc>
          <w:tcPr>
            <w:tcW w:w="10368" w:type="dxa"/>
            <w:tcBorders>
              <w:top w:val="single" w:sz="8" w:space="0" w:color="071A33"/>
              <w:left w:val="single" w:sz="8" w:space="0" w:color="071A33"/>
              <w:bottom w:val="single" w:sz="8" w:space="0" w:color="071A33"/>
              <w:right w:val="single" w:sz="8" w:space="0" w:color="071A33"/>
            </w:tcBorders>
            <w:shd w:val="clear" w:color="auto" w:fill="071A33"/>
            <w:tcMar>
              <w:top w:w="150" w:type="dxa"/>
              <w:left w:w="180" w:type="dxa"/>
              <w:bottom w:w="150" w:type="dxa"/>
              <w:right w:w="180" w:type="dxa"/>
            </w:tcMar>
          </w:tcPr>
          <w:p w14:paraId="7D0EB3E6" w14:textId="77777777" w:rsidR="00C60AD3" w:rsidRDefault="00CC46AD">
            <w:r>
              <w:rPr>
                <w:b/>
                <w:color w:val="FFFFFF"/>
                <w:sz w:val="21"/>
              </w:rPr>
              <w:t xml:space="preserve">Netstrata request forms: </w:t>
            </w:r>
            <w:r>
              <w:rPr>
                <w:color w:val="FFFFFF"/>
                <w:sz w:val="21"/>
              </w:rPr>
              <w:t>https://netstrata.com.au/request-forms/</w:t>
            </w:r>
          </w:p>
        </w:tc>
      </w:tr>
    </w:tbl>
    <w:p w14:paraId="1FEE9CC7" w14:textId="77777777" w:rsidR="00C60AD3" w:rsidRDefault="00C60AD3"/>
    <w:p w14:paraId="200131B2" w14:textId="77777777" w:rsidR="00C60AD3" w:rsidRDefault="00CC46AD">
      <w:pPr>
        <w:spacing w:after="80"/>
      </w:pPr>
      <w:r>
        <w:rPr>
          <w:b/>
          <w:color w:val="071A33"/>
          <w:sz w:val="30"/>
        </w:rPr>
        <w:t>Final note</w:t>
      </w:r>
    </w:p>
    <w:p w14:paraId="68DC445E" w14:textId="77777777" w:rsidR="00C60AD3" w:rsidRDefault="00CC46AD">
      <w:r>
        <w:rPr>
          <w:color w:val="101828"/>
        </w:rPr>
        <w:t>Renovation disputes usually start because the approval pathway was unclear, records were incomplete, or works commenced too early. When in doubt, ask first, document everything and keep the approval trail tidy. Future-you will appreciate the paperwork. So will everyone else.</w:t>
      </w:r>
    </w:p>
    <w:sectPr w:rsidR="00C60AD3" w:rsidSect="00034616">
      <w:headerReference w:type="default" r:id="rId8"/>
      <w:footerReference w:type="default" r:id="rId9"/>
      <w:pgSz w:w="12240" w:h="15840"/>
      <w:pgMar w:top="792" w:right="936" w:bottom="792" w:left="93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B9BD7" w14:textId="77777777" w:rsidR="00CC46AD" w:rsidRDefault="00CC46AD">
      <w:pPr>
        <w:spacing w:after="0" w:line="240" w:lineRule="auto"/>
      </w:pPr>
      <w:r>
        <w:separator/>
      </w:r>
    </w:p>
  </w:endnote>
  <w:endnote w:type="continuationSeparator" w:id="0">
    <w:p w14:paraId="3382F8BF" w14:textId="77777777" w:rsidR="00CC46AD" w:rsidRDefault="00CC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FD33" w14:textId="77777777" w:rsidR="00C60AD3" w:rsidRDefault="00CC46AD">
    <w:pPr>
      <w:pStyle w:val="Footer"/>
      <w:jc w:val="center"/>
    </w:pPr>
    <w:r>
      <w:rPr>
        <w:color w:val="667085"/>
        <w:sz w:val="16"/>
      </w:rPr>
      <w:t>General information only. Scheme-specific advice may be required. | Netstrata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CC98" w14:textId="77777777" w:rsidR="00CC46AD" w:rsidRDefault="00CC46AD">
      <w:pPr>
        <w:spacing w:after="0" w:line="240" w:lineRule="auto"/>
      </w:pPr>
      <w:r>
        <w:separator/>
      </w:r>
    </w:p>
  </w:footnote>
  <w:footnote w:type="continuationSeparator" w:id="0">
    <w:p w14:paraId="1746A755" w14:textId="77777777" w:rsidR="00CC46AD" w:rsidRDefault="00CC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964A" w14:textId="77777777" w:rsidR="00C60AD3" w:rsidRDefault="00CC46AD">
    <w:pPr>
      <w:pStyle w:val="Header"/>
      <w:jc w:val="center"/>
    </w:pPr>
    <w:r>
      <w:rPr>
        <w:noProof/>
      </w:rPr>
      <w:drawing>
        <wp:inline distT="0" distB="0" distL="0" distR="0" wp14:anchorId="70BF2EAE" wp14:editId="716ECFDB">
          <wp:extent cx="2011680" cy="8082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stretch>
                    <a:fillRect/>
                  </a:stretch>
                </pic:blipFill>
                <pic:spPr>
                  <a:xfrm>
                    <a:off x="0" y="0"/>
                    <a:ext cx="2011680" cy="8082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51753062">
    <w:abstractNumId w:val="8"/>
  </w:num>
  <w:num w:numId="2" w16cid:durableId="733702602">
    <w:abstractNumId w:val="6"/>
  </w:num>
  <w:num w:numId="3" w16cid:durableId="291833105">
    <w:abstractNumId w:val="5"/>
  </w:num>
  <w:num w:numId="4" w16cid:durableId="2101291877">
    <w:abstractNumId w:val="4"/>
  </w:num>
  <w:num w:numId="5" w16cid:durableId="968439453">
    <w:abstractNumId w:val="7"/>
  </w:num>
  <w:num w:numId="6" w16cid:durableId="1500923272">
    <w:abstractNumId w:val="3"/>
  </w:num>
  <w:num w:numId="7" w16cid:durableId="1336765469">
    <w:abstractNumId w:val="2"/>
  </w:num>
  <w:num w:numId="8" w16cid:durableId="921063519">
    <w:abstractNumId w:val="1"/>
  </w:num>
  <w:num w:numId="9" w16cid:durableId="103161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6779E"/>
    <w:rsid w:val="00666089"/>
    <w:rsid w:val="009A3DD8"/>
    <w:rsid w:val="00A33E03"/>
    <w:rsid w:val="00AA1D8D"/>
    <w:rsid w:val="00B47730"/>
    <w:rsid w:val="00C60AD3"/>
    <w:rsid w:val="00CB0664"/>
    <w:rsid w:val="00CC46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4465A5"/>
  <w14:defaultImageDpi w14:val="300"/>
  <w15:docId w15:val="{72FB77C9-C373-4789-B421-70AD2D3A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2923</Words>
  <Characters>13771</Characters>
  <Application>Microsoft Office Word</Application>
  <DocSecurity>0</DocSecurity>
  <Lines>1377</Lines>
  <Paragraphs>1043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Tunks</cp:lastModifiedBy>
  <cp:revision>2</cp:revision>
  <dcterms:created xsi:type="dcterms:W3CDTF">2026-06-16T01:12:00Z</dcterms:created>
  <dcterms:modified xsi:type="dcterms:W3CDTF">2026-06-16T01:12:00Z</dcterms:modified>
  <cp:category/>
</cp:coreProperties>
</file>